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4317049" w14:textId="77777777" w:rsidTr="009C657A">
        <w:trPr>
          <w:trHeight w:hRule="exact" w:val="1418"/>
        </w:trPr>
        <w:tc>
          <w:tcPr>
            <w:tcW w:w="7761" w:type="dxa"/>
            <w:vAlign w:val="center"/>
          </w:tcPr>
          <w:p w14:paraId="3C813740" w14:textId="77777777" w:rsidR="009B1003" w:rsidRPr="009B1003" w:rsidRDefault="028DF08E" w:rsidP="00EA3F2E">
            <w:pPr>
              <w:pStyle w:val="Title"/>
            </w:pPr>
            <w:r>
              <w:t>NaturePrint</w:t>
            </w:r>
          </w:p>
        </w:tc>
      </w:tr>
      <w:tr w:rsidR="00975ED3" w14:paraId="14FF8FD0" w14:textId="77777777" w:rsidTr="009C657A">
        <w:trPr>
          <w:trHeight w:val="1247"/>
        </w:trPr>
        <w:tc>
          <w:tcPr>
            <w:tcW w:w="7761" w:type="dxa"/>
            <w:vAlign w:val="center"/>
          </w:tcPr>
          <w:p w14:paraId="37AD78C9" w14:textId="4EB9ACC4" w:rsidR="009B1003" w:rsidRPr="009B1003" w:rsidRDefault="028DF08E" w:rsidP="028DF08E">
            <w:pPr>
              <w:pStyle w:val="Subtitle"/>
            </w:pPr>
            <w:r>
              <w:t>Strategic Management Prospects inputs</w:t>
            </w:r>
          </w:p>
        </w:tc>
      </w:tr>
    </w:tbl>
    <w:p w14:paraId="2B3CDB68" w14:textId="77777777" w:rsidR="00806AB6" w:rsidRDefault="00806AB6" w:rsidP="00307C36"/>
    <w:p w14:paraId="78AE71FF" w14:textId="77777777" w:rsidR="00806AB6" w:rsidRDefault="00806AB6" w:rsidP="00806AB6">
      <w:pPr>
        <w:pStyle w:val="BodyText"/>
        <w:sectPr w:rsidR="00806AB6" w:rsidSect="0033793B">
          <w:headerReference w:type="even" r:id="rId14"/>
          <w:headerReference w:type="default"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5722289F" w14:textId="19379907" w:rsidR="00256A7D" w:rsidRDefault="00256A7D" w:rsidP="00FA7670">
      <w:pPr>
        <w:pStyle w:val="IntroFeatureText"/>
      </w:pPr>
      <w:bookmarkStart w:id="0" w:name="Here"/>
      <w:bookmarkStart w:id="1" w:name="_Hlk500922302"/>
      <w:bookmarkEnd w:id="0"/>
      <w:r>
        <w:t>Strategic Management Prospects (SMP) is one of NaturePrint’s decision-support tools. SMP was developed to give Victoria a long-term, strategic approach to identifying cost-effective management actions that deliver an improved outlook for as many species as possible.</w:t>
      </w:r>
    </w:p>
    <w:p w14:paraId="1F73340C" w14:textId="47704E4D" w:rsidR="00A07EC7" w:rsidRDefault="028DF08E" w:rsidP="00A07EC7">
      <w:pPr>
        <w:pStyle w:val="BodyText"/>
      </w:pPr>
      <w:r>
        <w:t>The inputs to the SMP analysis (Table 1) are fine-scale, state</w:t>
      </w:r>
      <w:r w:rsidR="00B44B27">
        <w:t>-</w:t>
      </w:r>
      <w:r>
        <w:t xml:space="preserve">wide spatial models based on extrapolation from different primary datasets. The SMP inputs include </w:t>
      </w:r>
      <w:r w:rsidRPr="00C94018">
        <w:t>habitat distribution models, threat models, expert eli</w:t>
      </w:r>
      <w:r w:rsidRPr="00050AD9">
        <w:t xml:space="preserve">cited response models for </w:t>
      </w:r>
      <w:r w:rsidRPr="002513BF">
        <w:t xml:space="preserve">thousands of species </w:t>
      </w:r>
      <w:r w:rsidR="00C94018" w:rsidRPr="002513BF">
        <w:t xml:space="preserve">for </w:t>
      </w:r>
      <w:r w:rsidRPr="002513BF">
        <w:t>management actions, and cost</w:t>
      </w:r>
      <w:r w:rsidRPr="00050AD9">
        <w:t xml:space="preserve"> estimates for management action</w:t>
      </w:r>
      <w:r w:rsidR="009F42D7">
        <w:t>s</w:t>
      </w:r>
      <w:r w:rsidRPr="00050AD9">
        <w:t>.</w:t>
      </w:r>
    </w:p>
    <w:p w14:paraId="5F51F148" w14:textId="77777777" w:rsidR="00FF511A" w:rsidRPr="00A07EC7" w:rsidRDefault="00FF511A" w:rsidP="00A07EC7">
      <w:pPr>
        <w:pStyle w:val="BodyText"/>
      </w:pPr>
    </w:p>
    <w:p w14:paraId="09B46402" w14:textId="582AEA3B" w:rsidR="00A70B9F" w:rsidRDefault="028DF08E" w:rsidP="00A70B9F">
      <w:pPr>
        <w:pStyle w:val="Heading1"/>
      </w:pPr>
      <w:r>
        <w:t>Biodiversity values</w:t>
      </w:r>
    </w:p>
    <w:p w14:paraId="7793E7A7" w14:textId="60474A40" w:rsidR="004B2B99" w:rsidRPr="004B2B99" w:rsidRDefault="028DF08E" w:rsidP="004B2B99">
      <w:pPr>
        <w:pStyle w:val="BodyText"/>
      </w:pPr>
      <w:r>
        <w:t xml:space="preserve">Biodiversity values in Strategic Management Prospects are determined from species data. Habitat Distribution Models (HDMs) for over 4000 species are used in the first version of SMP analysis. HDMs predict the likely locations of habitat for species by comparing information on where a species has been recorded, and relate that data to environmental variables, such as soil, prevailing climate and topography. Sophisticated statistical and mathematical processes are then used to estimate the distribution of a species’ habitat. </w:t>
      </w:r>
    </w:p>
    <w:p w14:paraId="08E17D1B" w14:textId="4AD5504D" w:rsidR="004B2B99" w:rsidRPr="004B2B99" w:rsidRDefault="028DF08E" w:rsidP="004B2B99">
      <w:pPr>
        <w:pStyle w:val="BodyText"/>
      </w:pPr>
      <w:r>
        <w:t>HDMs have been created for most of Victoria’s vertebrate fauna, threatened vascular flora and some rare or threatened invertebrates.</w:t>
      </w:r>
    </w:p>
    <w:p w14:paraId="6CDF9C77" w14:textId="37CDBBA9" w:rsidR="00B020E4" w:rsidRDefault="028DF08E" w:rsidP="028DF08E">
      <w:pPr>
        <w:pStyle w:val="BodyText"/>
        <w:rPr>
          <w:lang w:eastAsia="en-AU"/>
        </w:rPr>
      </w:pPr>
      <w:r w:rsidRPr="028DF08E">
        <w:rPr>
          <w:lang w:eastAsia="en-AU"/>
        </w:rPr>
        <w:t xml:space="preserve">Further detail about how HDMs were developed is in the </w:t>
      </w:r>
      <w:r w:rsidRPr="028DF08E">
        <w:rPr>
          <w:i/>
          <w:iCs/>
          <w:lang w:eastAsia="en-AU"/>
        </w:rPr>
        <w:t>Habitat Distribution Models and Habitat Importance Models</w:t>
      </w:r>
      <w:r w:rsidRPr="028DF08E">
        <w:rPr>
          <w:lang w:eastAsia="en-AU"/>
        </w:rPr>
        <w:t xml:space="preserve"> information sheet.</w:t>
      </w:r>
    </w:p>
    <w:p w14:paraId="6776502E" w14:textId="058BA0A1" w:rsidR="001367F5" w:rsidRDefault="028DF08E" w:rsidP="001367F5">
      <w:pPr>
        <w:pStyle w:val="Heading1"/>
      </w:pPr>
      <w:r>
        <w:t>Threats</w:t>
      </w:r>
    </w:p>
    <w:p w14:paraId="28032008" w14:textId="3A475FCD" w:rsidR="001367F5" w:rsidRDefault="004E5B1E" w:rsidP="001367F5">
      <w:pPr>
        <w:pStyle w:val="BodyText"/>
      </w:pPr>
      <w:r>
        <w:t>Fourt</w:t>
      </w:r>
      <w:r w:rsidR="028DF08E" w:rsidRPr="00C94018">
        <w:t>een threatening processes were</w:t>
      </w:r>
      <w:r w:rsidR="028DF08E">
        <w:t xml:space="preserve"> chosen to be spatially mapped and modelled </w:t>
      </w:r>
      <w:r w:rsidR="002513BF">
        <w:t>to inform</w:t>
      </w:r>
      <w:r w:rsidR="028DF08E">
        <w:t xml:space="preserve"> the </w:t>
      </w:r>
      <w:r w:rsidR="002513BF">
        <w:t>current</w:t>
      </w:r>
      <w:r w:rsidR="028DF08E">
        <w:t xml:space="preserve"> version of SMP.</w:t>
      </w:r>
    </w:p>
    <w:p w14:paraId="1AF08808" w14:textId="5335FEB3" w:rsidR="001367F5" w:rsidRDefault="028DF08E" w:rsidP="001367F5">
      <w:pPr>
        <w:pStyle w:val="BodyText"/>
      </w:pPr>
      <w:r>
        <w:t>Threats need to be better managed across the landscape to ensure that species and ecosystems are conserved, and to give biodiversity the best chance to adapt to the effects of climate change and human population growth. Understanding where threats occur in different landscapes, is fundamental to making decisions about where resources are best directed to achieve the greatest conservation benefit.</w:t>
      </w:r>
    </w:p>
    <w:p w14:paraId="189F6C6E" w14:textId="77777777" w:rsidR="001367F5" w:rsidRDefault="028DF08E" w:rsidP="001367F5">
      <w:pPr>
        <w:pStyle w:val="BodyText"/>
      </w:pPr>
      <w:r>
        <w:t>Strategic management actions that focus on addressing threats to multiple species can prevent many vulnerable and common species from entering the endangered category, and provide co-benefits to endangered species.</w:t>
      </w:r>
    </w:p>
    <w:p w14:paraId="37324B37" w14:textId="77777777" w:rsidR="001367F5" w:rsidRDefault="028DF08E" w:rsidP="001367F5">
      <w:pPr>
        <w:pStyle w:val="Heading2"/>
      </w:pPr>
      <w:r>
        <w:t>Modelling Threats</w:t>
      </w:r>
    </w:p>
    <w:p w14:paraId="1F7C4DC1" w14:textId="77777777" w:rsidR="001367F5" w:rsidRDefault="028DF08E" w:rsidP="001367F5">
      <w:pPr>
        <w:pStyle w:val="BodyText"/>
      </w:pPr>
      <w:r>
        <w:t xml:space="preserve">Threat models are one of the inputs used in the SMP analysis. The key threatening processes operating in Victoria can generally be placed into one of four categories based on the number of species they affect, their spatial scale and the type of action required to mitigate the threat: </w:t>
      </w:r>
    </w:p>
    <w:p w14:paraId="7EBFB79B" w14:textId="77777777" w:rsidR="001367F5" w:rsidRDefault="028DF08E" w:rsidP="001367F5">
      <w:pPr>
        <w:pStyle w:val="ListBullet"/>
      </w:pPr>
      <w:r>
        <w:t>pervasive (e.g. climate change)</w:t>
      </w:r>
    </w:p>
    <w:p w14:paraId="1BF3B4FD" w14:textId="77777777" w:rsidR="001367F5" w:rsidRDefault="028DF08E" w:rsidP="001367F5">
      <w:pPr>
        <w:pStyle w:val="ListBullet"/>
      </w:pPr>
      <w:r>
        <w:t>broad (e.g. weed invasion, predation by foxes)</w:t>
      </w:r>
    </w:p>
    <w:p w14:paraId="6F73152A" w14:textId="77777777" w:rsidR="001367F5" w:rsidRDefault="028DF08E" w:rsidP="001367F5">
      <w:pPr>
        <w:pStyle w:val="ListBullet"/>
      </w:pPr>
      <w:r>
        <w:t>narrow (e.g. chytrid fungus, loss of tree hollows)</w:t>
      </w:r>
    </w:p>
    <w:p w14:paraId="2CFFE27F" w14:textId="77777777" w:rsidR="001367F5" w:rsidRDefault="028DF08E" w:rsidP="001367F5">
      <w:pPr>
        <w:pStyle w:val="ListBullet"/>
      </w:pPr>
      <w:r>
        <w:t>unique (e.g. inbreeding depression).</w:t>
      </w:r>
    </w:p>
    <w:p w14:paraId="6FA0EDE3" w14:textId="2F0CABF6" w:rsidR="001367F5" w:rsidRDefault="00EF7A41" w:rsidP="001367F5">
      <w:pPr>
        <w:pStyle w:val="BodyText"/>
      </w:pPr>
      <w:r>
        <w:t xml:space="preserve">The threats </w:t>
      </w:r>
      <w:r w:rsidR="00535D57">
        <w:t xml:space="preserve">modelled </w:t>
      </w:r>
      <w:r>
        <w:t xml:space="preserve">in </w:t>
      </w:r>
      <w:r w:rsidR="009C657A">
        <w:t xml:space="preserve">SMP </w:t>
      </w:r>
      <w:r>
        <w:t>are</w:t>
      </w:r>
      <w:r w:rsidR="009C657A">
        <w:t xml:space="preserve"> in the</w:t>
      </w:r>
      <w:r>
        <w:t xml:space="preserve"> ‘broad’ </w:t>
      </w:r>
      <w:r w:rsidR="009C657A">
        <w:t>category</w:t>
      </w:r>
      <w:r>
        <w:t xml:space="preserve">. </w:t>
      </w:r>
      <w:r w:rsidR="028DF08E">
        <w:t xml:space="preserve">For each of NaturePrint’s </w:t>
      </w:r>
      <w:r w:rsidR="00395187">
        <w:t>thir</w:t>
      </w:r>
      <w:r w:rsidR="028DF08E" w:rsidRPr="00C94018">
        <w:t>teen</w:t>
      </w:r>
      <w:r w:rsidR="028DF08E">
        <w:t xml:space="preserve"> modelled threats (Table 1), there is a spatial product or map. These maps are either binary or continuous, depending on the threat and how it was modelled. </w:t>
      </w:r>
    </w:p>
    <w:p w14:paraId="0BD30FCF" w14:textId="786A1589" w:rsidR="001367F5" w:rsidRDefault="028DF08E" w:rsidP="001367F5">
      <w:pPr>
        <w:pStyle w:val="BodyText"/>
      </w:pPr>
      <w:r>
        <w:t xml:space="preserve">The binary models indicate whether a threat is operating at a location or not (e.g. goats, pigs), while the continuous models (e.g. weed invasion, risk of land clearing, rabbit warrens) show the modelled </w:t>
      </w:r>
      <w:r w:rsidR="007B6701">
        <w:t xml:space="preserve">likelihood </w:t>
      </w:r>
      <w:r>
        <w:lastRenderedPageBreak/>
        <w:t xml:space="preserve">of a threat </w:t>
      </w:r>
      <w:r w:rsidR="007B6701">
        <w:t xml:space="preserve">occurring </w:t>
      </w:r>
      <w:r>
        <w:t xml:space="preserve">at a location. Figure 1 shows an example of a continuous model </w:t>
      </w:r>
      <w:r w:rsidR="00950116">
        <w:t xml:space="preserve">for </w:t>
      </w:r>
      <w:r>
        <w:t xml:space="preserve">rabbit warrens </w:t>
      </w:r>
      <w:r w:rsidR="00950116">
        <w:t>and indicates where rabbit warrens are</w:t>
      </w:r>
      <w:r>
        <w:t xml:space="preserve"> more, or less</w:t>
      </w:r>
      <w:r w:rsidR="007B6701">
        <w:t>,</w:t>
      </w:r>
      <w:r>
        <w:t xml:space="preserve"> likely </w:t>
      </w:r>
      <w:r w:rsidR="00950116">
        <w:t>to occur</w:t>
      </w:r>
      <w:r w:rsidR="007B6701">
        <w:t xml:space="preserve"> across the state</w:t>
      </w:r>
      <w:r>
        <w:t>.</w:t>
      </w:r>
    </w:p>
    <w:p w14:paraId="521D5FFB" w14:textId="3E424AC9" w:rsidR="001A19C7" w:rsidRDefault="028DF08E" w:rsidP="006372A2">
      <w:pPr>
        <w:pStyle w:val="BodyText"/>
      </w:pPr>
      <w:r>
        <w:t xml:space="preserve">The threat models were built using a similar process to NaturePrint’s suite of Habitat Distribution Models (see the information sheet </w:t>
      </w:r>
      <w:r w:rsidRPr="028DF08E">
        <w:rPr>
          <w:i/>
          <w:iCs/>
        </w:rPr>
        <w:t>NaturePrint:</w:t>
      </w:r>
      <w:r>
        <w:t xml:space="preserve"> </w:t>
      </w:r>
      <w:r w:rsidRPr="028DF08E">
        <w:rPr>
          <w:i/>
          <w:iCs/>
        </w:rPr>
        <w:t>Habit</w:t>
      </w:r>
      <w:r w:rsidR="00F067D7">
        <w:rPr>
          <w:i/>
          <w:iCs/>
        </w:rPr>
        <w:t>at</w:t>
      </w:r>
      <w:r w:rsidRPr="028DF08E">
        <w:rPr>
          <w:i/>
          <w:iCs/>
        </w:rPr>
        <w:t xml:space="preserve"> Distribution Models and Habitat Importance Models</w:t>
      </w:r>
      <w:r>
        <w:t xml:space="preserve">). An overview of how each threat model was developed is provided in Table 1. </w:t>
      </w:r>
    </w:p>
    <w:p w14:paraId="7E4A877B" w14:textId="4E955652" w:rsidR="006372A2" w:rsidRDefault="028DF08E" w:rsidP="006372A2">
      <w:pPr>
        <w:pStyle w:val="BodyText"/>
      </w:pPr>
      <w:r>
        <w:t>Generally, location information for a threat was related to a range of environmental variables (e.g. soil, climate, vegetation) and then extrapolated across the state.</w:t>
      </w:r>
    </w:p>
    <w:p w14:paraId="3B1232DE" w14:textId="529E6645" w:rsidR="001367F5" w:rsidRDefault="00897E8F" w:rsidP="00FF511A">
      <w:pPr>
        <w:pStyle w:val="BodyText"/>
        <w:jc w:val="center"/>
      </w:pPr>
      <w:r>
        <w:rPr>
          <w:noProof/>
          <w:lang w:eastAsia="en-AU"/>
        </w:rPr>
        <w:drawing>
          <wp:inline distT="0" distB="0" distL="0" distR="0" wp14:anchorId="21C64C9F" wp14:editId="72D69521">
            <wp:extent cx="3039247" cy="2136424"/>
            <wp:effectExtent l="0" t="0" r="8890" b="0"/>
            <wp:docPr id="16" name="Picture 16" descr="This is a statewide map showing the modelled likelihood of rabbit warrens in Victoria. It provides an example of one of the threat models in the NaturePrint suite of products." title="Threat model for 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abbitThreat.jpg"/>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039247" cy="2136424"/>
                    </a:xfrm>
                    <a:prstGeom prst="rect">
                      <a:avLst/>
                    </a:prstGeom>
                    <a:ln>
                      <a:noFill/>
                    </a:ln>
                    <a:effectLst>
                      <a:softEdge rad="12700"/>
                    </a:effectLst>
                    <a:extLst>
                      <a:ext uri="{53640926-AAD7-44D8-BBD7-CCE9431645EC}">
                        <a14:shadowObscured xmlns:a14="http://schemas.microsoft.com/office/drawing/2010/main"/>
                      </a:ext>
                    </a:extLst>
                  </pic:spPr>
                </pic:pic>
              </a:graphicData>
            </a:graphic>
          </wp:inline>
        </w:drawing>
      </w:r>
    </w:p>
    <w:p w14:paraId="4436511B" w14:textId="7B342A99" w:rsidR="001367F5" w:rsidRDefault="028DF08E" w:rsidP="007002A5">
      <w:pPr>
        <w:pStyle w:val="CaptionImageorFigure"/>
      </w:pPr>
      <w:r>
        <w:t xml:space="preserve">Figure 1: </w:t>
      </w:r>
      <w:r w:rsidR="00950116">
        <w:t>Threat m</w:t>
      </w:r>
      <w:r>
        <w:t xml:space="preserve">odel </w:t>
      </w:r>
      <w:r w:rsidR="00950116">
        <w:t xml:space="preserve">for </w:t>
      </w:r>
      <w:r>
        <w:t>rabbit</w:t>
      </w:r>
      <w:r w:rsidR="00950116">
        <w:t>s</w:t>
      </w:r>
      <w:r>
        <w:t xml:space="preserve"> </w:t>
      </w:r>
      <w:r w:rsidR="00950116">
        <w:t>–</w:t>
      </w:r>
      <w:r>
        <w:t xml:space="preserve"> </w:t>
      </w:r>
      <w:r w:rsidR="00950116">
        <w:t>t</w:t>
      </w:r>
      <w:r>
        <w:t xml:space="preserve">he darker red coloured areas indicate </w:t>
      </w:r>
      <w:r w:rsidR="00950116">
        <w:t xml:space="preserve">locations </w:t>
      </w:r>
      <w:r>
        <w:t xml:space="preserve">where there is a higher </w:t>
      </w:r>
      <w:r w:rsidR="00950116">
        <w:t xml:space="preserve">likelihood </w:t>
      </w:r>
      <w:r>
        <w:t>of rabbit warrens</w:t>
      </w:r>
      <w:r w:rsidR="00950116">
        <w:t xml:space="preserve"> occurring</w:t>
      </w:r>
      <w:r>
        <w:t>.</w:t>
      </w:r>
    </w:p>
    <w:p w14:paraId="6202CDEC" w14:textId="77777777" w:rsidR="005D2E6B" w:rsidRDefault="005D2E6B" w:rsidP="005D2E6B">
      <w:pPr>
        <w:pStyle w:val="BodyText"/>
      </w:pPr>
    </w:p>
    <w:p w14:paraId="794D6A33" w14:textId="3E3F24B0" w:rsidR="001367F5" w:rsidRDefault="028DF08E" w:rsidP="00252B85">
      <w:pPr>
        <w:pStyle w:val="Heading1"/>
        <w:spacing w:before="0"/>
      </w:pPr>
      <w:r>
        <w:t>Indicative benefits</w:t>
      </w:r>
    </w:p>
    <w:p w14:paraId="29F01ECA" w14:textId="77777777" w:rsidR="001367F5" w:rsidRDefault="028DF08E" w:rsidP="001367F5">
      <w:pPr>
        <w:pStyle w:val="BodyText"/>
      </w:pPr>
      <w:r>
        <w:t xml:space="preserve">To plan and prioritise which biodiversity management actions we will do, and where, we want to know how particular management actions could benefit different species of plants and animals in different locations, and how that benefit may vary across species and locations. </w:t>
      </w:r>
    </w:p>
    <w:p w14:paraId="7BD9F363" w14:textId="1337E920" w:rsidR="001367F5" w:rsidRDefault="028DF08E" w:rsidP="001367F5">
      <w:pPr>
        <w:pStyle w:val="BodyText"/>
      </w:pPr>
      <w:r>
        <w:t>For example, a fox baiting program might have a high benefit for small-medium sized mammals that are vulnerable to fox predation, but little or even a negative benefit to plant species in the area if rabbit numbers increase when foxes are controlled. A weed management program which highly benefits threatened plant species might have a negative impact on bandicoots if their blackberry refuge is removed and they are more vulnerable to foxes</w:t>
      </w:r>
      <w:r w:rsidR="00EF7A41">
        <w:t>;</w:t>
      </w:r>
      <w:r>
        <w:t xml:space="preserve"> but in another place where there are no bandicoots, there may be no negative impact.</w:t>
      </w:r>
    </w:p>
    <w:p w14:paraId="55B5654C" w14:textId="064ED2B8" w:rsidR="001A19C7" w:rsidRDefault="001A19C7" w:rsidP="001A19C7">
      <w:pPr>
        <w:pStyle w:val="Heading2"/>
      </w:pPr>
      <w:r>
        <w:t>Estimating Benefit</w:t>
      </w:r>
    </w:p>
    <w:p w14:paraId="735B0C28" w14:textId="5C94FF8B" w:rsidR="001367F5" w:rsidRDefault="028DF08E" w:rsidP="001367F5">
      <w:pPr>
        <w:pStyle w:val="BodyText"/>
      </w:pPr>
      <w:r>
        <w:t>To estimate benefit, SMP uses a best-practice, scientifically rigorous method that collects and analyses expert judgements on the potential success of management actions, or suites of actions</w:t>
      </w:r>
      <w:r w:rsidR="00C61EE7">
        <w:t>. T</w:t>
      </w:r>
      <w:r>
        <w:t xml:space="preserve">he expected benefit to a species of performing an action is represented spatially so we can see how much an action might benefit </w:t>
      </w:r>
      <w:r w:rsidR="00C61EE7">
        <w:t>one (or many) species</w:t>
      </w:r>
      <w:r>
        <w:t>, and where.</w:t>
      </w:r>
    </w:p>
    <w:p w14:paraId="228A1989" w14:textId="3494F85F" w:rsidR="001367F5" w:rsidRDefault="028DF08E" w:rsidP="001367F5">
      <w:pPr>
        <w:pStyle w:val="BodyText"/>
      </w:pPr>
      <w:r>
        <w:t>Understanding how much improvement a species, or many species, is likely to receive because of a management action is an important step to inform decision making. A new measure – Change in Suitable Habitat – was developed to provide a consistent measure of the relative contribution of management actions to habitat quality and populations’ persistence across many different species (Figure 2).</w:t>
      </w:r>
    </w:p>
    <w:p w14:paraId="47FFEA52" w14:textId="79DE4616" w:rsidR="002E7E89" w:rsidRPr="000B5A91" w:rsidRDefault="028DF08E" w:rsidP="000B5A91">
      <w:pPr>
        <w:pStyle w:val="BodyText"/>
      </w:pPr>
      <w:r>
        <w:t>This gives us a view of which actions improve a species’ trajectory the most, and in which places. Measuring Change in Suitable Habitat helps us to decide which actions will have the greatest benefit for a single species, or all of biodiversity, and where. Figure 3 shows the expected benefit to all biodiversity of conducting rabbit control across Victoria.</w:t>
      </w:r>
    </w:p>
    <w:p w14:paraId="38C95091" w14:textId="77777777" w:rsidR="00E01D75" w:rsidRDefault="00E01D75" w:rsidP="00E01D75">
      <w:pPr>
        <w:pStyle w:val="Heading2"/>
      </w:pPr>
      <w:r>
        <w:t xml:space="preserve">Modelling Management Actions </w:t>
      </w:r>
    </w:p>
    <w:p w14:paraId="1E24A2DE" w14:textId="14F5F22B" w:rsidR="00E01D75" w:rsidRDefault="00B44B27" w:rsidP="00E01D75">
      <w:pPr>
        <w:pStyle w:val="BodyText"/>
      </w:pPr>
      <w:r w:rsidRPr="002513BF">
        <w:t xml:space="preserve">The benefits of </w:t>
      </w:r>
      <w:r w:rsidR="00585814" w:rsidRPr="002513BF">
        <w:t>1</w:t>
      </w:r>
      <w:r w:rsidR="00B3142B">
        <w:t>7</w:t>
      </w:r>
      <w:r w:rsidR="00E01D75">
        <w:t xml:space="preserve"> management actions were spatially mapped and modelled</w:t>
      </w:r>
      <w:r w:rsidR="009C6117">
        <w:t xml:space="preserve"> to inform</w:t>
      </w:r>
      <w:r w:rsidR="00E01D75">
        <w:t xml:space="preserve"> SMP version 1.2 (Table 1). These include: actions that target specific threats; and ‘actions’ which are a combination of actions required to address threats (control foxes and cats; remove domestic stock and manage weeds; control large invasive herbivores (pigs, goats and deer)), which assumes these best practice actions are done in combination. The last action is revegetation, which aims to address the impact of clearing or degradation that occurred in the past.</w:t>
      </w:r>
    </w:p>
    <w:p w14:paraId="7E88F077" w14:textId="3E8B9EDD" w:rsidR="00E01D75" w:rsidRPr="009C6117" w:rsidRDefault="00E01D75" w:rsidP="00E01D75">
      <w:pPr>
        <w:pStyle w:val="BodyText"/>
        <w:rPr>
          <w:spacing w:val="-2"/>
        </w:rPr>
      </w:pPr>
      <w:r w:rsidRPr="009C6117">
        <w:rPr>
          <w:spacing w:val="-2"/>
        </w:rPr>
        <w:t xml:space="preserve">When devising suitable management actions to target threats, </w:t>
      </w:r>
      <w:r w:rsidR="009C6117" w:rsidRPr="009C6117">
        <w:rPr>
          <w:spacing w:val="-2"/>
        </w:rPr>
        <w:t xml:space="preserve">the following </w:t>
      </w:r>
      <w:r w:rsidRPr="009C6117">
        <w:rPr>
          <w:spacing w:val="-2"/>
        </w:rPr>
        <w:t>assumptions about best practice management standards and implementation were made</w:t>
      </w:r>
      <w:r w:rsidR="009C6117" w:rsidRPr="009C6117">
        <w:rPr>
          <w:spacing w:val="-2"/>
        </w:rPr>
        <w:t>:</w:t>
      </w:r>
    </w:p>
    <w:p w14:paraId="667E12EB" w14:textId="01CD3622" w:rsidR="00E01D75" w:rsidRDefault="00E01D75" w:rsidP="00E01D75">
      <w:pPr>
        <w:pStyle w:val="ListBullet"/>
      </w:pPr>
      <w:r>
        <w:t>Only generic man</w:t>
      </w:r>
      <w:r w:rsidR="00C61EE7">
        <w:t>agement actions are considered.</w:t>
      </w:r>
    </w:p>
    <w:p w14:paraId="0DA8ADCC" w14:textId="77777777" w:rsidR="00E01D75" w:rsidRDefault="00E01D75" w:rsidP="00E01D75">
      <w:pPr>
        <w:pStyle w:val="ListBullet"/>
      </w:pPr>
      <w:r>
        <w:t>Only on-ground actions are considered.</w:t>
      </w:r>
    </w:p>
    <w:p w14:paraId="1B201838" w14:textId="77777777" w:rsidR="00E01D75" w:rsidRDefault="00E01D75" w:rsidP="00E01D75">
      <w:pPr>
        <w:pStyle w:val="ListBullet"/>
      </w:pPr>
      <w:r>
        <w:t xml:space="preserve">Assume that landholders/managers are willing to undertake best practice management. </w:t>
      </w:r>
    </w:p>
    <w:p w14:paraId="394DDD28" w14:textId="77777777" w:rsidR="00E01D75" w:rsidRDefault="00E01D75" w:rsidP="00E01D75">
      <w:pPr>
        <w:pStyle w:val="ListBullet"/>
      </w:pPr>
      <w:r>
        <w:t xml:space="preserve">Actions are undertaken by competent and skilled practitioners. </w:t>
      </w:r>
    </w:p>
    <w:p w14:paraId="7B2A25F0" w14:textId="77777777" w:rsidR="00E01D75" w:rsidRDefault="00E01D75" w:rsidP="00E01D75">
      <w:pPr>
        <w:pStyle w:val="ListBullet"/>
      </w:pPr>
      <w:r>
        <w:t xml:space="preserve">Actions are undertaken humanely. </w:t>
      </w:r>
    </w:p>
    <w:p w14:paraId="2E7A430A" w14:textId="6E4C3F1A" w:rsidR="000B5A91" w:rsidRDefault="00E01D75" w:rsidP="00055966">
      <w:pPr>
        <w:pStyle w:val="ListBullet"/>
      </w:pPr>
      <w:r>
        <w:t>Actions are persistent across the time horizon (50 years).</w:t>
      </w:r>
    </w:p>
    <w:p w14:paraId="5FE78C8B" w14:textId="77777777" w:rsidR="00E01D75" w:rsidRDefault="00E01D75" w:rsidP="001367F5">
      <w:pPr>
        <w:pStyle w:val="BodyText"/>
        <w:sectPr w:rsidR="00E01D75" w:rsidSect="00736385">
          <w:type w:val="continuous"/>
          <w:pgSz w:w="11907" w:h="16840" w:code="9"/>
          <w:pgMar w:top="2211" w:right="851" w:bottom="1758" w:left="851" w:header="284" w:footer="284" w:gutter="0"/>
          <w:cols w:num="2" w:space="284"/>
          <w:docGrid w:linePitch="360"/>
        </w:sectPr>
      </w:pPr>
    </w:p>
    <w:p w14:paraId="1ADFC39E" w14:textId="56BFB6B2" w:rsidR="00C61EE7" w:rsidRDefault="00C61EE7" w:rsidP="007002A5">
      <w:pPr>
        <w:pStyle w:val="CaptionImageorFigure"/>
      </w:pPr>
      <w:r>
        <w:t xml:space="preserve">Table 1: Summary of </w:t>
      </w:r>
      <w:r w:rsidR="00B72A8C">
        <w:t xml:space="preserve">NaturePrint’s </w:t>
      </w:r>
      <w:r>
        <w:t>modelled threats and management actions</w:t>
      </w:r>
    </w:p>
    <w:p w14:paraId="58B6E83E" w14:textId="143035AC" w:rsidR="00CF5B73" w:rsidRDefault="00CF5B73" w:rsidP="00B3142B">
      <w:pPr>
        <w:pStyle w:val="BodyText"/>
        <w:spacing w:before="0" w:line="200" w:lineRule="atLeast"/>
      </w:pPr>
      <w:r>
        <w:t>*</w:t>
      </w:r>
      <w:r w:rsidRPr="00EC6837">
        <w:rPr>
          <w:sz w:val="16"/>
          <w:szCs w:val="16"/>
        </w:rPr>
        <w:t>Note</w:t>
      </w:r>
      <w:r>
        <w:rPr>
          <w:sz w:val="16"/>
          <w:szCs w:val="16"/>
        </w:rPr>
        <w:t xml:space="preserve">: </w:t>
      </w:r>
      <w:r w:rsidR="00B72A8C">
        <w:rPr>
          <w:sz w:val="16"/>
          <w:szCs w:val="16"/>
        </w:rPr>
        <w:t>some</w:t>
      </w:r>
      <w:r w:rsidRPr="00EC6837">
        <w:rPr>
          <w:sz w:val="16"/>
          <w:szCs w:val="16"/>
        </w:rPr>
        <w:t xml:space="preserve"> management actions are</w:t>
      </w:r>
      <w:r>
        <w:rPr>
          <w:sz w:val="16"/>
          <w:szCs w:val="16"/>
        </w:rPr>
        <w:t xml:space="preserve"> not</w:t>
      </w:r>
      <w:r w:rsidRPr="00EC6837">
        <w:rPr>
          <w:sz w:val="16"/>
          <w:szCs w:val="16"/>
        </w:rPr>
        <w:t xml:space="preserve"> included in the SMP analysis</w:t>
      </w:r>
      <w:r>
        <w:rPr>
          <w:sz w:val="16"/>
          <w:szCs w:val="16"/>
        </w:rPr>
        <w:t xml:space="preserve"> because at this stage they are difficult to cost and/or have legal or social ramifications that are beyond the scope of SMP. Benefit of Action models are available to view in NatureKit to inform management decisions and demonstrate the potential benefit of managing these threats.</w:t>
      </w:r>
    </w:p>
    <w:tbl>
      <w:tblPr>
        <w:tblStyle w:val="TableGrid"/>
        <w:tblW w:w="5000" w:type="pct"/>
        <w:tblLook w:val="04A0" w:firstRow="1" w:lastRow="0" w:firstColumn="1" w:lastColumn="0" w:noHBand="0" w:noVBand="1"/>
        <w:tblCaption w:val="Summary of modelled threats used in SMP"/>
        <w:tblDescription w:val="This table lists each of the threats and management actions modelled for SMP with a brief description of the model."/>
      </w:tblPr>
      <w:tblGrid>
        <w:gridCol w:w="1298"/>
        <w:gridCol w:w="3845"/>
        <w:gridCol w:w="1692"/>
        <w:gridCol w:w="3370"/>
      </w:tblGrid>
      <w:tr w:rsidR="00C61EE7" w:rsidRPr="00ED354A" w14:paraId="4E838FAD" w14:textId="77777777" w:rsidTr="00B3142B">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636" w:type="pct"/>
          </w:tcPr>
          <w:p w14:paraId="15604C68" w14:textId="77777777" w:rsidR="00C61EE7" w:rsidRPr="00ED354A" w:rsidRDefault="00C61EE7" w:rsidP="00C55250">
            <w:pPr>
              <w:pStyle w:val="TableHeadingLeft"/>
            </w:pPr>
            <w:bookmarkStart w:id="2" w:name="_Hlk500334494"/>
            <w:r>
              <w:t xml:space="preserve">Threat </w:t>
            </w:r>
          </w:p>
        </w:tc>
        <w:tc>
          <w:tcPr>
            <w:tcW w:w="1884" w:type="pct"/>
            <w:tcBorders>
              <w:right w:val="single" w:sz="4" w:space="0" w:color="CDDC29" w:themeColor="text2"/>
            </w:tcBorders>
          </w:tcPr>
          <w:p w14:paraId="2A5FFA9D" w14:textId="77777777" w:rsidR="00C61EE7" w:rsidRPr="00ED354A" w:rsidRDefault="00C61EE7" w:rsidP="00C55250">
            <w:pPr>
              <w:pStyle w:val="TableHeadingLeft"/>
              <w:cnfStyle w:val="100000000000" w:firstRow="1" w:lastRow="0" w:firstColumn="0" w:lastColumn="0" w:oddVBand="0" w:evenVBand="0" w:oddHBand="0" w:evenHBand="0" w:firstRowFirstColumn="0" w:firstRowLastColumn="0" w:lastRowFirstColumn="0" w:lastRowLastColumn="0"/>
            </w:pPr>
            <w:r>
              <w:t xml:space="preserve">Description </w:t>
            </w:r>
          </w:p>
        </w:tc>
        <w:tc>
          <w:tcPr>
            <w:tcW w:w="829" w:type="pct"/>
            <w:tcBorders>
              <w:left w:val="single" w:sz="4" w:space="0" w:color="CDDC29" w:themeColor="text2"/>
            </w:tcBorders>
          </w:tcPr>
          <w:p w14:paraId="3F1E21CA" w14:textId="77777777" w:rsidR="00C61EE7" w:rsidRDefault="00C61EE7" w:rsidP="00C55250">
            <w:pPr>
              <w:pStyle w:val="TableHeadingLeft"/>
              <w:cnfStyle w:val="100000000000" w:firstRow="1" w:lastRow="0" w:firstColumn="0" w:lastColumn="0" w:oddVBand="0" w:evenVBand="0" w:oddHBand="0" w:evenHBand="0" w:firstRowFirstColumn="0" w:firstRowLastColumn="0" w:lastRowFirstColumn="0" w:lastRowLastColumn="0"/>
            </w:pPr>
            <w:r>
              <w:t>Action</w:t>
            </w:r>
          </w:p>
        </w:tc>
        <w:tc>
          <w:tcPr>
            <w:tcW w:w="1651" w:type="pct"/>
          </w:tcPr>
          <w:p w14:paraId="02032A8A" w14:textId="77777777" w:rsidR="00C61EE7" w:rsidRDefault="00C61EE7" w:rsidP="00C55250">
            <w:pPr>
              <w:pStyle w:val="TableHeadingLeft"/>
              <w:cnfStyle w:val="100000000000" w:firstRow="1" w:lastRow="0" w:firstColumn="0" w:lastColumn="0" w:oddVBand="0" w:evenVBand="0" w:oddHBand="0" w:evenHBand="0" w:firstRowFirstColumn="0" w:firstRowLastColumn="0" w:lastRowFirstColumn="0" w:lastRowLastColumn="0"/>
            </w:pPr>
            <w:r>
              <w:t>Description</w:t>
            </w:r>
          </w:p>
        </w:tc>
      </w:tr>
      <w:tr w:rsidR="00C61EE7" w:rsidRPr="00050253" w14:paraId="43ABA590" w14:textId="77777777" w:rsidTr="00B3142B">
        <w:trPr>
          <w:cantSplit/>
        </w:trPr>
        <w:tc>
          <w:tcPr>
            <w:tcW w:w="636" w:type="pct"/>
          </w:tcPr>
          <w:p w14:paraId="282BCBC0" w14:textId="34CC1EED" w:rsidR="00C61EE7" w:rsidRPr="001F658F" w:rsidRDefault="00C61EE7" w:rsidP="00C55250">
            <w:pPr>
              <w:pStyle w:val="TableTextLeft"/>
            </w:pPr>
            <w:r>
              <w:t xml:space="preserve">Domestic </w:t>
            </w:r>
            <w:r w:rsidR="00867B1E">
              <w:t xml:space="preserve">Stock </w:t>
            </w:r>
            <w:r>
              <w:t xml:space="preserve">Grazing </w:t>
            </w:r>
          </w:p>
        </w:tc>
        <w:tc>
          <w:tcPr>
            <w:tcW w:w="1884" w:type="pct"/>
            <w:tcBorders>
              <w:right w:val="single" w:sz="4" w:space="0" w:color="CDDC29" w:themeColor="text2"/>
            </w:tcBorders>
          </w:tcPr>
          <w:p w14:paraId="33343E72" w14:textId="77777777" w:rsidR="00C61EE7" w:rsidRDefault="00C61EE7" w:rsidP="00C55250">
            <w:pPr>
              <w:pStyle w:val="TableTextLeft"/>
            </w:pPr>
            <w:r>
              <w:t xml:space="preserve">A binary model indicating where grazing is an actual or potential threat based on public land and grazing licence information. </w:t>
            </w:r>
          </w:p>
        </w:tc>
        <w:tc>
          <w:tcPr>
            <w:tcW w:w="829" w:type="pct"/>
            <w:tcBorders>
              <w:left w:val="single" w:sz="4" w:space="0" w:color="CDDC29" w:themeColor="text2"/>
            </w:tcBorders>
          </w:tcPr>
          <w:p w14:paraId="764C7001" w14:textId="77777777" w:rsidR="00C61EE7" w:rsidRDefault="00C61EE7" w:rsidP="00C55250">
            <w:pPr>
              <w:pStyle w:val="TableTextLeft"/>
            </w:pPr>
            <w:r>
              <w:t>Control Domestic Stock</w:t>
            </w:r>
          </w:p>
        </w:tc>
        <w:tc>
          <w:tcPr>
            <w:tcW w:w="1651" w:type="pct"/>
          </w:tcPr>
          <w:p w14:paraId="6D71D956" w14:textId="77777777" w:rsidR="00C61EE7" w:rsidRDefault="00C61EE7" w:rsidP="00C55250">
            <w:pPr>
              <w:pStyle w:val="TableTextLeft"/>
            </w:pPr>
            <w:r>
              <w:t xml:space="preserve">Domestic stock </w:t>
            </w:r>
            <w:proofErr w:type="gramStart"/>
            <w:r>
              <w:t>are</w:t>
            </w:r>
            <w:proofErr w:type="gramEnd"/>
            <w:r>
              <w:t xml:space="preserve"> controlled through their removal and fencing of parcels of land to prevent access by stock.</w:t>
            </w:r>
          </w:p>
        </w:tc>
      </w:tr>
      <w:tr w:rsidR="001E169C" w:rsidRPr="00050253" w14:paraId="39379F97" w14:textId="77777777" w:rsidTr="00B3142B">
        <w:trPr>
          <w:cantSplit/>
        </w:trPr>
        <w:tc>
          <w:tcPr>
            <w:tcW w:w="636" w:type="pct"/>
          </w:tcPr>
          <w:p w14:paraId="5BF14E94" w14:textId="77777777" w:rsidR="001E169C" w:rsidRPr="001F658F" w:rsidRDefault="001E169C" w:rsidP="00F917D5">
            <w:pPr>
              <w:pStyle w:val="TableTextLeft"/>
            </w:pPr>
            <w:r>
              <w:t xml:space="preserve">Transformer Weeds </w:t>
            </w:r>
          </w:p>
        </w:tc>
        <w:tc>
          <w:tcPr>
            <w:tcW w:w="1884" w:type="pct"/>
            <w:tcBorders>
              <w:right w:val="single" w:sz="4" w:space="0" w:color="CDDC29" w:themeColor="text2"/>
            </w:tcBorders>
          </w:tcPr>
          <w:p w14:paraId="53607249" w14:textId="4C79E88B" w:rsidR="001E169C" w:rsidRDefault="001E169C" w:rsidP="00F917D5">
            <w:pPr>
              <w:pStyle w:val="TableTextLeft"/>
            </w:pPr>
            <w:r>
              <w:t xml:space="preserve">A Maxent model was developed using presence-only data of transformer weeds, a range of environmental predictors </w:t>
            </w:r>
            <w:r w:rsidR="00867B1E">
              <w:t xml:space="preserve">including those reflecting invasion pathways and propagule pressure. </w:t>
            </w:r>
            <w:r>
              <w:t>Transformer weeds are a subset of invasive plants which have the capacity to change the character, condition, form or nature of ecosystems over substantial areas relative to the extent of that ecosystem. This model shows the likelihood that a transformer weed is present</w:t>
            </w:r>
            <w:r w:rsidR="00867B1E">
              <w:t xml:space="preserve">. </w:t>
            </w:r>
          </w:p>
        </w:tc>
        <w:tc>
          <w:tcPr>
            <w:tcW w:w="829" w:type="pct"/>
            <w:tcBorders>
              <w:left w:val="single" w:sz="4" w:space="0" w:color="CDDC29" w:themeColor="text2"/>
            </w:tcBorders>
          </w:tcPr>
          <w:p w14:paraId="360D314A" w14:textId="77777777" w:rsidR="001E169C" w:rsidRDefault="001E169C" w:rsidP="00F917D5">
            <w:pPr>
              <w:pStyle w:val="TableTextLeft"/>
            </w:pPr>
            <w:r>
              <w:t>Control Weeds</w:t>
            </w:r>
          </w:p>
        </w:tc>
        <w:tc>
          <w:tcPr>
            <w:tcW w:w="1651" w:type="pct"/>
          </w:tcPr>
          <w:p w14:paraId="3328A466" w14:textId="77777777" w:rsidR="001E169C" w:rsidRDefault="001E169C" w:rsidP="00F917D5">
            <w:pPr>
              <w:pStyle w:val="TableTextLeft"/>
            </w:pPr>
            <w:r>
              <w:t xml:space="preserve">Weeds are controlled through a coordinated program of methods depending on weed type, including mechanical, chemical, fire, heat smothering, grazing and scalping, as well as ongoing surveillance. </w:t>
            </w:r>
          </w:p>
        </w:tc>
      </w:tr>
      <w:tr w:rsidR="00B72A8C" w:rsidRPr="00050253" w14:paraId="40AB2B1B" w14:textId="77777777" w:rsidTr="00B3142B">
        <w:trPr>
          <w:cantSplit/>
        </w:trPr>
        <w:tc>
          <w:tcPr>
            <w:tcW w:w="636" w:type="pct"/>
          </w:tcPr>
          <w:p w14:paraId="25F24916" w14:textId="54A4F6AA" w:rsidR="00B72A8C" w:rsidRDefault="00B72A8C" w:rsidP="00B72A8C">
            <w:pPr>
              <w:pStyle w:val="TableTextLeft"/>
            </w:pPr>
          </w:p>
        </w:tc>
        <w:tc>
          <w:tcPr>
            <w:tcW w:w="1884" w:type="pct"/>
            <w:tcBorders>
              <w:right w:val="single" w:sz="4" w:space="0" w:color="CDDC29" w:themeColor="text2"/>
            </w:tcBorders>
          </w:tcPr>
          <w:p w14:paraId="5AEA93AD" w14:textId="1FA0F2AB" w:rsidR="00B72A8C" w:rsidRDefault="00B72A8C" w:rsidP="00B72A8C">
            <w:pPr>
              <w:pStyle w:val="TableTextLeft"/>
            </w:pPr>
            <w:r w:rsidRPr="00B72A8C">
              <w:rPr>
                <w:i/>
              </w:rPr>
              <w:t>Refer to each threat individually.</w:t>
            </w:r>
          </w:p>
        </w:tc>
        <w:tc>
          <w:tcPr>
            <w:tcW w:w="829" w:type="pct"/>
            <w:tcBorders>
              <w:left w:val="single" w:sz="4" w:space="0" w:color="CDDC29" w:themeColor="text2"/>
            </w:tcBorders>
          </w:tcPr>
          <w:p w14:paraId="74304702" w14:textId="77777777" w:rsidR="00B72A8C" w:rsidRDefault="00B72A8C" w:rsidP="00B72A8C">
            <w:pPr>
              <w:pStyle w:val="TableTextLeft"/>
            </w:pPr>
            <w:r>
              <w:t>Control Domestic Stock and Weeds</w:t>
            </w:r>
          </w:p>
        </w:tc>
        <w:tc>
          <w:tcPr>
            <w:tcW w:w="1651" w:type="pct"/>
          </w:tcPr>
          <w:p w14:paraId="7B211EE5" w14:textId="77777777" w:rsidR="00B72A8C" w:rsidRDefault="00B72A8C" w:rsidP="00B72A8C">
            <w:pPr>
              <w:pStyle w:val="TableTextLeft"/>
            </w:pPr>
            <w:r>
              <w:t xml:space="preserve">A combination of fencing out domestic stock and a weed control program. </w:t>
            </w:r>
          </w:p>
        </w:tc>
      </w:tr>
      <w:tr w:rsidR="00B72A8C" w:rsidRPr="00050253" w14:paraId="22D749A4" w14:textId="77777777" w:rsidTr="00B3142B">
        <w:trPr>
          <w:cantSplit/>
        </w:trPr>
        <w:tc>
          <w:tcPr>
            <w:tcW w:w="636" w:type="pct"/>
          </w:tcPr>
          <w:p w14:paraId="3B3FC80C" w14:textId="77777777" w:rsidR="00B72A8C" w:rsidRPr="001F658F" w:rsidRDefault="00B72A8C" w:rsidP="00B72A8C">
            <w:pPr>
              <w:pStyle w:val="TableTextLeft"/>
            </w:pPr>
            <w:r>
              <w:t>Red Foxes</w:t>
            </w:r>
          </w:p>
        </w:tc>
        <w:tc>
          <w:tcPr>
            <w:tcW w:w="1884" w:type="pct"/>
            <w:tcBorders>
              <w:right w:val="single" w:sz="4" w:space="0" w:color="CDDC29" w:themeColor="text2"/>
            </w:tcBorders>
          </w:tcPr>
          <w:p w14:paraId="18EA47E8" w14:textId="3A051F01" w:rsidR="00B72A8C" w:rsidRDefault="00867B1E" w:rsidP="00B72A8C">
            <w:pPr>
              <w:pStyle w:val="TableTextLeft"/>
            </w:pPr>
            <w:r>
              <w:t>Apart from some off</w:t>
            </w:r>
            <w:r w:rsidR="00BB76B9">
              <w:t>-shore islands f</w:t>
            </w:r>
            <w:r>
              <w:t xml:space="preserve">oxes are ubiquitous in Victoria. The probability of </w:t>
            </w:r>
            <w:r w:rsidR="00A95923">
              <w:t>foxes</w:t>
            </w:r>
            <w:r>
              <w:t xml:space="preserve"> occurring at a location was deemed to be equal to 1. </w:t>
            </w:r>
          </w:p>
        </w:tc>
        <w:tc>
          <w:tcPr>
            <w:tcW w:w="829" w:type="pct"/>
            <w:tcBorders>
              <w:left w:val="single" w:sz="4" w:space="0" w:color="CDDC29" w:themeColor="text2"/>
            </w:tcBorders>
          </w:tcPr>
          <w:p w14:paraId="6ED5570F" w14:textId="77777777" w:rsidR="00B72A8C" w:rsidRDefault="00B72A8C" w:rsidP="00B72A8C">
            <w:pPr>
              <w:pStyle w:val="TableTextLeft"/>
            </w:pPr>
            <w:r>
              <w:t>Control Foxes</w:t>
            </w:r>
          </w:p>
        </w:tc>
        <w:tc>
          <w:tcPr>
            <w:tcW w:w="1651" w:type="pct"/>
          </w:tcPr>
          <w:p w14:paraId="0979DB1B" w14:textId="77777777" w:rsidR="00B72A8C" w:rsidRDefault="00B72A8C" w:rsidP="00B72A8C">
            <w:pPr>
              <w:pStyle w:val="TableTextLeft"/>
            </w:pPr>
            <w:r>
              <w:t xml:space="preserve">Foxes are controlled through a baiting program. </w:t>
            </w:r>
          </w:p>
        </w:tc>
      </w:tr>
      <w:tr w:rsidR="00B72A8C" w:rsidRPr="00050253" w14:paraId="6CF0DE37" w14:textId="77777777" w:rsidTr="00B3142B">
        <w:trPr>
          <w:cantSplit/>
        </w:trPr>
        <w:tc>
          <w:tcPr>
            <w:tcW w:w="636" w:type="pct"/>
          </w:tcPr>
          <w:p w14:paraId="5DBDEAEA" w14:textId="77777777" w:rsidR="00B72A8C" w:rsidRPr="001F658F" w:rsidRDefault="00B72A8C" w:rsidP="00B72A8C">
            <w:pPr>
              <w:pStyle w:val="TableTextLeft"/>
            </w:pPr>
            <w:r>
              <w:t>Feral Cats</w:t>
            </w:r>
          </w:p>
        </w:tc>
        <w:tc>
          <w:tcPr>
            <w:tcW w:w="1884" w:type="pct"/>
            <w:tcBorders>
              <w:right w:val="single" w:sz="4" w:space="0" w:color="CDDC29" w:themeColor="text2"/>
            </w:tcBorders>
          </w:tcPr>
          <w:p w14:paraId="59E9FC81" w14:textId="25ADFFED" w:rsidR="00B72A8C" w:rsidRDefault="00B72A8C" w:rsidP="00B72A8C">
            <w:pPr>
              <w:pStyle w:val="TableTextLeft"/>
            </w:pPr>
            <w:r>
              <w:t xml:space="preserve">Feral cats were assumed to </w:t>
            </w:r>
            <w:r w:rsidR="00BE3727">
              <w:t>be present</w:t>
            </w:r>
            <w:r>
              <w:t xml:space="preserve"> across </w:t>
            </w:r>
            <w:r w:rsidR="00BE3727">
              <w:t xml:space="preserve">all of </w:t>
            </w:r>
            <w:r>
              <w:t>Victoria. The probability of cats occurring at a location was deemed to be equal to 1.</w:t>
            </w:r>
          </w:p>
        </w:tc>
        <w:tc>
          <w:tcPr>
            <w:tcW w:w="829" w:type="pct"/>
            <w:tcBorders>
              <w:left w:val="single" w:sz="4" w:space="0" w:color="CDDC29" w:themeColor="text2"/>
            </w:tcBorders>
          </w:tcPr>
          <w:p w14:paraId="0088D77B" w14:textId="1ABB0987" w:rsidR="00B72A8C" w:rsidRDefault="00BE3727" w:rsidP="00B72A8C">
            <w:pPr>
              <w:pStyle w:val="TableTextLeft"/>
            </w:pPr>
            <w:r>
              <w:t>Control Cats</w:t>
            </w:r>
          </w:p>
        </w:tc>
        <w:tc>
          <w:tcPr>
            <w:tcW w:w="1651" w:type="pct"/>
          </w:tcPr>
          <w:p w14:paraId="1CBF2B67" w14:textId="77777777" w:rsidR="00B72A8C" w:rsidRDefault="00B72A8C" w:rsidP="00B72A8C">
            <w:pPr>
              <w:pStyle w:val="TableTextLeft"/>
            </w:pPr>
            <w:r>
              <w:t>Cats are controlled through a baiting program.</w:t>
            </w:r>
          </w:p>
        </w:tc>
      </w:tr>
      <w:tr w:rsidR="00B72A8C" w:rsidRPr="00050253" w14:paraId="2A7DB073" w14:textId="77777777" w:rsidTr="00B3142B">
        <w:trPr>
          <w:cantSplit/>
        </w:trPr>
        <w:tc>
          <w:tcPr>
            <w:tcW w:w="636" w:type="pct"/>
          </w:tcPr>
          <w:p w14:paraId="7458DDCC" w14:textId="56B6D32C" w:rsidR="00B72A8C" w:rsidRDefault="00B72A8C" w:rsidP="00B72A8C">
            <w:pPr>
              <w:pStyle w:val="TableTextLeft"/>
            </w:pPr>
          </w:p>
        </w:tc>
        <w:tc>
          <w:tcPr>
            <w:tcW w:w="1884" w:type="pct"/>
            <w:tcBorders>
              <w:right w:val="single" w:sz="4" w:space="0" w:color="CDDC29" w:themeColor="text2"/>
            </w:tcBorders>
          </w:tcPr>
          <w:p w14:paraId="1041D060" w14:textId="3B307FFE" w:rsidR="00B72A8C" w:rsidRDefault="00B72A8C" w:rsidP="00B72A8C">
            <w:pPr>
              <w:pStyle w:val="TableTextLeft"/>
            </w:pPr>
            <w:r w:rsidRPr="00B72A8C">
              <w:rPr>
                <w:i/>
              </w:rPr>
              <w:t>Refer to each threat individually.</w:t>
            </w:r>
          </w:p>
        </w:tc>
        <w:tc>
          <w:tcPr>
            <w:tcW w:w="829" w:type="pct"/>
            <w:tcBorders>
              <w:left w:val="single" w:sz="4" w:space="0" w:color="CDDC29" w:themeColor="text2"/>
            </w:tcBorders>
          </w:tcPr>
          <w:p w14:paraId="47E3B0B1" w14:textId="77777777" w:rsidR="00B72A8C" w:rsidRDefault="00B72A8C" w:rsidP="00B72A8C">
            <w:pPr>
              <w:pStyle w:val="TableTextLeft"/>
            </w:pPr>
            <w:r>
              <w:t>Control Foxes and Cats</w:t>
            </w:r>
          </w:p>
        </w:tc>
        <w:tc>
          <w:tcPr>
            <w:tcW w:w="1651" w:type="pct"/>
          </w:tcPr>
          <w:p w14:paraId="04FE4A86" w14:textId="4063FB91" w:rsidR="00B72A8C" w:rsidRDefault="00B72A8C" w:rsidP="00B72A8C">
            <w:pPr>
              <w:pStyle w:val="TableTextLeft"/>
            </w:pPr>
            <w:r>
              <w:t>A combination of fox and cat baiting programs.</w:t>
            </w:r>
          </w:p>
        </w:tc>
      </w:tr>
      <w:tr w:rsidR="00B72A8C" w:rsidRPr="00050253" w14:paraId="7AF91E2E" w14:textId="77777777" w:rsidTr="00B3142B">
        <w:trPr>
          <w:cantSplit/>
        </w:trPr>
        <w:tc>
          <w:tcPr>
            <w:tcW w:w="636" w:type="pct"/>
          </w:tcPr>
          <w:p w14:paraId="1EA28C31" w14:textId="151421DE" w:rsidR="00B72A8C" w:rsidRPr="001F658F" w:rsidRDefault="00B72A8C" w:rsidP="00B72A8C">
            <w:pPr>
              <w:pStyle w:val="TableTextLeft"/>
            </w:pPr>
            <w:r>
              <w:t>Rabbits</w:t>
            </w:r>
          </w:p>
        </w:tc>
        <w:tc>
          <w:tcPr>
            <w:tcW w:w="1884" w:type="pct"/>
            <w:tcBorders>
              <w:right w:val="single" w:sz="4" w:space="0" w:color="CDDC29" w:themeColor="text2"/>
            </w:tcBorders>
          </w:tcPr>
          <w:p w14:paraId="5CE8F55D" w14:textId="406875A1" w:rsidR="00B72A8C" w:rsidRDefault="00B72A8C" w:rsidP="00B72A8C">
            <w:pPr>
              <w:pStyle w:val="TableTextLeft"/>
            </w:pPr>
            <w:r>
              <w:t xml:space="preserve">A </w:t>
            </w:r>
            <w:r w:rsidR="00F05D2F">
              <w:t xml:space="preserve">binary model derived from a </w:t>
            </w:r>
            <w:r>
              <w:t>continuous</w:t>
            </w:r>
            <w:r w:rsidR="00F05D2F">
              <w:t xml:space="preserve">, ‘presence only’ </w:t>
            </w:r>
            <w:r>
              <w:t xml:space="preserve">model indicating the likelihood of the presence of rabbit warrens. </w:t>
            </w:r>
            <w:r w:rsidR="00F05D2F">
              <w:t>Warren l</w:t>
            </w:r>
            <w:r>
              <w:t>ocation data</w:t>
            </w:r>
            <w:r w:rsidR="00F05D2F">
              <w:t xml:space="preserve"> </w:t>
            </w:r>
            <w:r>
              <w:t xml:space="preserve">from </w:t>
            </w:r>
            <w:r w:rsidR="00F05D2F">
              <w:t xml:space="preserve">Victorian </w:t>
            </w:r>
            <w:r>
              <w:t>and New South Wales government databases were related to a range of environmental predictors.</w:t>
            </w:r>
          </w:p>
        </w:tc>
        <w:tc>
          <w:tcPr>
            <w:tcW w:w="829" w:type="pct"/>
            <w:tcBorders>
              <w:left w:val="single" w:sz="4" w:space="0" w:color="CDDC29" w:themeColor="text2"/>
            </w:tcBorders>
          </w:tcPr>
          <w:p w14:paraId="7019C826" w14:textId="77777777" w:rsidR="00B72A8C" w:rsidRDefault="00B72A8C" w:rsidP="00B72A8C">
            <w:pPr>
              <w:pStyle w:val="TableTextLeft"/>
            </w:pPr>
            <w:r>
              <w:t>Control Rabbits</w:t>
            </w:r>
          </w:p>
        </w:tc>
        <w:tc>
          <w:tcPr>
            <w:tcW w:w="1651" w:type="pct"/>
          </w:tcPr>
          <w:p w14:paraId="28205211" w14:textId="1A5DA1C7" w:rsidR="00B72A8C" w:rsidRDefault="00B72A8C" w:rsidP="00B72A8C">
            <w:pPr>
              <w:pStyle w:val="TableTextLeft"/>
            </w:pPr>
            <w:r>
              <w:t xml:space="preserve">Rabbits are controlled through the removal of rabbit warrens through physical destruction (i.e. ripping). </w:t>
            </w:r>
          </w:p>
        </w:tc>
      </w:tr>
      <w:tr w:rsidR="00B72A8C" w:rsidRPr="00050253" w14:paraId="05222D08" w14:textId="77777777" w:rsidTr="00B3142B">
        <w:trPr>
          <w:cantSplit/>
        </w:trPr>
        <w:tc>
          <w:tcPr>
            <w:tcW w:w="636" w:type="pct"/>
          </w:tcPr>
          <w:p w14:paraId="50B42B29" w14:textId="6CF76BA9" w:rsidR="00B72A8C" w:rsidRPr="001F658F" w:rsidRDefault="00B72A8C" w:rsidP="00B72A8C">
            <w:pPr>
              <w:pStyle w:val="TableTextLeft"/>
            </w:pPr>
            <w:r>
              <w:t xml:space="preserve">Feral Horses </w:t>
            </w:r>
          </w:p>
        </w:tc>
        <w:tc>
          <w:tcPr>
            <w:tcW w:w="1884" w:type="pct"/>
            <w:tcBorders>
              <w:right w:val="single" w:sz="4" w:space="0" w:color="CDDC29" w:themeColor="text2"/>
            </w:tcBorders>
          </w:tcPr>
          <w:p w14:paraId="2AE89C89" w14:textId="77777777" w:rsidR="00B72A8C" w:rsidRDefault="00B72A8C" w:rsidP="00B72A8C">
            <w:pPr>
              <w:pStyle w:val="TableTextLeft"/>
            </w:pPr>
            <w:r>
              <w:t>A binary habitat suitability model developed using presence-only data and a range of environmental predictors. Any habitat fragments less than 10,000 hectares were considered unsuitable.</w:t>
            </w:r>
          </w:p>
        </w:tc>
        <w:tc>
          <w:tcPr>
            <w:tcW w:w="829" w:type="pct"/>
            <w:tcBorders>
              <w:left w:val="single" w:sz="4" w:space="0" w:color="CDDC29" w:themeColor="text2"/>
            </w:tcBorders>
          </w:tcPr>
          <w:p w14:paraId="38CA090A" w14:textId="77777777" w:rsidR="00B72A8C" w:rsidRDefault="00B72A8C" w:rsidP="00B72A8C">
            <w:pPr>
              <w:pStyle w:val="TableTextLeft"/>
            </w:pPr>
            <w:r>
              <w:t>Control Horses*</w:t>
            </w:r>
          </w:p>
        </w:tc>
        <w:tc>
          <w:tcPr>
            <w:tcW w:w="1651" w:type="pct"/>
          </w:tcPr>
          <w:p w14:paraId="39C9933C" w14:textId="7B13E1F8" w:rsidR="00B72A8C" w:rsidRDefault="00B72A8C" w:rsidP="00B72A8C">
            <w:pPr>
              <w:pStyle w:val="TableTextLeft"/>
            </w:pPr>
            <w:r>
              <w:t xml:space="preserve">Horses are controlled through regular aerial shooting programs, in combination with mustering and ground shooting where aerial programs are not feasible. </w:t>
            </w:r>
          </w:p>
        </w:tc>
      </w:tr>
      <w:tr w:rsidR="00B72A8C" w:rsidRPr="00050253" w14:paraId="33CA0DC3" w14:textId="77777777" w:rsidTr="00B3142B">
        <w:trPr>
          <w:cantSplit/>
        </w:trPr>
        <w:tc>
          <w:tcPr>
            <w:tcW w:w="636" w:type="pct"/>
          </w:tcPr>
          <w:p w14:paraId="18A7C770" w14:textId="2EF6DC77" w:rsidR="00B72A8C" w:rsidRPr="001F658F" w:rsidRDefault="00B72A8C" w:rsidP="00B72A8C">
            <w:pPr>
              <w:pStyle w:val="TableTextLeft"/>
            </w:pPr>
            <w:r>
              <w:t xml:space="preserve">Feral Deer </w:t>
            </w:r>
          </w:p>
        </w:tc>
        <w:tc>
          <w:tcPr>
            <w:tcW w:w="1884" w:type="pct"/>
            <w:tcBorders>
              <w:right w:val="single" w:sz="4" w:space="0" w:color="CDDC29" w:themeColor="text2"/>
            </w:tcBorders>
          </w:tcPr>
          <w:p w14:paraId="779AE428" w14:textId="77777777" w:rsidR="00B72A8C" w:rsidRDefault="00B72A8C" w:rsidP="00B72A8C">
            <w:pPr>
              <w:pStyle w:val="TableTextLeft"/>
            </w:pPr>
            <w:r>
              <w:t xml:space="preserve">A continuous habitat suitability model developed using presence-only data of all </w:t>
            </w:r>
            <w:proofErr w:type="gramStart"/>
            <w:r>
              <w:t>four deer</w:t>
            </w:r>
            <w:proofErr w:type="gramEnd"/>
            <w:r>
              <w:t xml:space="preserve"> species that occur in Victoria and a range of environmental predictors. Any habitat fragments less than 10,000 hectares were considered unsuitable. </w:t>
            </w:r>
          </w:p>
        </w:tc>
        <w:tc>
          <w:tcPr>
            <w:tcW w:w="829" w:type="pct"/>
            <w:tcBorders>
              <w:left w:val="single" w:sz="4" w:space="0" w:color="CDDC29" w:themeColor="text2"/>
            </w:tcBorders>
          </w:tcPr>
          <w:p w14:paraId="0C2FD5E2" w14:textId="77777777" w:rsidR="00B72A8C" w:rsidRDefault="00B72A8C" w:rsidP="00B72A8C">
            <w:pPr>
              <w:pStyle w:val="TableTextLeft"/>
            </w:pPr>
            <w:r>
              <w:t>Control Deer</w:t>
            </w:r>
          </w:p>
        </w:tc>
        <w:tc>
          <w:tcPr>
            <w:tcW w:w="1651" w:type="pct"/>
          </w:tcPr>
          <w:p w14:paraId="222D029D" w14:textId="287ACCC9" w:rsidR="00B72A8C" w:rsidRDefault="00B72A8C" w:rsidP="00B72A8C">
            <w:pPr>
              <w:pStyle w:val="TableTextLeft"/>
            </w:pPr>
            <w:r>
              <w:t xml:space="preserve">Deer are controlled through coordinated ground shooting programs by skilled shooters. </w:t>
            </w:r>
          </w:p>
        </w:tc>
      </w:tr>
      <w:tr w:rsidR="00B72A8C" w:rsidRPr="00050253" w14:paraId="618B99C0" w14:textId="77777777" w:rsidTr="00B3142B">
        <w:trPr>
          <w:cantSplit/>
        </w:trPr>
        <w:tc>
          <w:tcPr>
            <w:tcW w:w="636" w:type="pct"/>
          </w:tcPr>
          <w:p w14:paraId="697ECBAD" w14:textId="5C80CCA1" w:rsidR="00B72A8C" w:rsidRPr="001F658F" w:rsidRDefault="00B72A8C" w:rsidP="00B72A8C">
            <w:pPr>
              <w:pStyle w:val="TableTextLeft"/>
            </w:pPr>
            <w:r>
              <w:t xml:space="preserve">Feral Goats </w:t>
            </w:r>
          </w:p>
        </w:tc>
        <w:tc>
          <w:tcPr>
            <w:tcW w:w="1884" w:type="pct"/>
            <w:tcBorders>
              <w:right w:val="single" w:sz="4" w:space="0" w:color="CDDC29" w:themeColor="text2"/>
            </w:tcBorders>
          </w:tcPr>
          <w:p w14:paraId="4058A3E2" w14:textId="77777777" w:rsidR="00B72A8C" w:rsidRDefault="00B72A8C" w:rsidP="00B72A8C">
            <w:pPr>
              <w:pStyle w:val="TableTextLeft"/>
            </w:pPr>
            <w:r>
              <w:t xml:space="preserve">A binary habitat suitability model developed using Victorian presence-only data related to a range of environmental predictors. Any habitat fragments less than 10,000 hectares were considered unsuitable. </w:t>
            </w:r>
          </w:p>
        </w:tc>
        <w:tc>
          <w:tcPr>
            <w:tcW w:w="829" w:type="pct"/>
            <w:tcBorders>
              <w:left w:val="single" w:sz="4" w:space="0" w:color="CDDC29" w:themeColor="text2"/>
            </w:tcBorders>
          </w:tcPr>
          <w:p w14:paraId="2393EE7E" w14:textId="77777777" w:rsidR="00B72A8C" w:rsidRDefault="00B72A8C" w:rsidP="00B72A8C">
            <w:pPr>
              <w:pStyle w:val="TableTextLeft"/>
            </w:pPr>
            <w:r>
              <w:t>Control Goats</w:t>
            </w:r>
          </w:p>
        </w:tc>
        <w:tc>
          <w:tcPr>
            <w:tcW w:w="1651" w:type="pct"/>
          </w:tcPr>
          <w:p w14:paraId="7D3125FF" w14:textId="7BC6EABA" w:rsidR="00B72A8C" w:rsidRDefault="00B72A8C" w:rsidP="00B72A8C">
            <w:pPr>
              <w:pStyle w:val="TableTextLeft"/>
            </w:pPr>
            <w:r>
              <w:t xml:space="preserve">Goats are controlled through the use of </w:t>
            </w:r>
            <w:proofErr w:type="spellStart"/>
            <w:r>
              <w:t>judas</w:t>
            </w:r>
            <w:proofErr w:type="spellEnd"/>
            <w:r>
              <w:t xml:space="preserve"> goats fitted with GPS collars, allowing the locating and aerial shooting of goat herds from helicopters. </w:t>
            </w:r>
          </w:p>
        </w:tc>
      </w:tr>
      <w:tr w:rsidR="00B72A8C" w:rsidRPr="00050253" w14:paraId="1D1F667F" w14:textId="77777777" w:rsidTr="00B3142B">
        <w:trPr>
          <w:cantSplit/>
        </w:trPr>
        <w:tc>
          <w:tcPr>
            <w:tcW w:w="636" w:type="pct"/>
          </w:tcPr>
          <w:p w14:paraId="04F7AC01" w14:textId="237E5B92" w:rsidR="00B72A8C" w:rsidRPr="001F658F" w:rsidRDefault="00B72A8C" w:rsidP="00B72A8C">
            <w:pPr>
              <w:pStyle w:val="TableTextLeft"/>
            </w:pPr>
            <w:r>
              <w:t xml:space="preserve">Feral Pigs </w:t>
            </w:r>
          </w:p>
        </w:tc>
        <w:tc>
          <w:tcPr>
            <w:tcW w:w="1884" w:type="pct"/>
            <w:tcBorders>
              <w:right w:val="single" w:sz="4" w:space="0" w:color="CDDC29" w:themeColor="text2"/>
            </w:tcBorders>
          </w:tcPr>
          <w:p w14:paraId="2C8E5DDC" w14:textId="77777777" w:rsidR="00B72A8C" w:rsidRDefault="00B72A8C" w:rsidP="00B72A8C">
            <w:pPr>
              <w:pStyle w:val="TableTextLeft"/>
            </w:pPr>
            <w:r>
              <w:t xml:space="preserve">A binary habitat suitability model developed using Victorian presence-only data and a range of environmental predictors. Any habitat fragments less than 10,000 hectares were considered unsuitable. </w:t>
            </w:r>
          </w:p>
        </w:tc>
        <w:tc>
          <w:tcPr>
            <w:tcW w:w="829" w:type="pct"/>
            <w:tcBorders>
              <w:left w:val="single" w:sz="4" w:space="0" w:color="CDDC29" w:themeColor="text2"/>
            </w:tcBorders>
          </w:tcPr>
          <w:p w14:paraId="6CB37CF0" w14:textId="77777777" w:rsidR="00B72A8C" w:rsidRDefault="00B72A8C" w:rsidP="00B72A8C">
            <w:pPr>
              <w:pStyle w:val="TableTextLeft"/>
            </w:pPr>
            <w:r>
              <w:t>Control Pigs</w:t>
            </w:r>
          </w:p>
        </w:tc>
        <w:tc>
          <w:tcPr>
            <w:tcW w:w="1651" w:type="pct"/>
          </w:tcPr>
          <w:p w14:paraId="3CCCEFFC" w14:textId="60606F83" w:rsidR="00B72A8C" w:rsidRDefault="00B72A8C" w:rsidP="00B72A8C">
            <w:pPr>
              <w:pStyle w:val="TableTextLeft"/>
            </w:pPr>
            <w:r>
              <w:t>Pigs are controlled through trapping and baiting programs.</w:t>
            </w:r>
          </w:p>
        </w:tc>
      </w:tr>
      <w:tr w:rsidR="00B72A8C" w:rsidRPr="00050253" w14:paraId="2F12629E" w14:textId="77777777" w:rsidTr="00B3142B">
        <w:trPr>
          <w:cantSplit/>
        </w:trPr>
        <w:tc>
          <w:tcPr>
            <w:tcW w:w="636" w:type="pct"/>
          </w:tcPr>
          <w:p w14:paraId="05D92760" w14:textId="600E2BE3" w:rsidR="00B72A8C" w:rsidRDefault="00BE3727" w:rsidP="00B72A8C">
            <w:pPr>
              <w:pStyle w:val="TableTextLeft"/>
            </w:pPr>
            <w:r>
              <w:t>Large Invasive Herbivores</w:t>
            </w:r>
          </w:p>
        </w:tc>
        <w:tc>
          <w:tcPr>
            <w:tcW w:w="1884" w:type="pct"/>
            <w:tcBorders>
              <w:right w:val="single" w:sz="4" w:space="0" w:color="CDDC29" w:themeColor="text2"/>
            </w:tcBorders>
          </w:tcPr>
          <w:p w14:paraId="76C83B81" w14:textId="3FB237B0" w:rsidR="00B72A8C" w:rsidRPr="00BE3727" w:rsidRDefault="00B72A8C" w:rsidP="00B72A8C">
            <w:pPr>
              <w:pStyle w:val="TableTextLeft"/>
            </w:pPr>
            <w:r w:rsidRPr="00BE3727">
              <w:t>Refer to each threat individually.</w:t>
            </w:r>
            <w:r w:rsidR="00BE3727" w:rsidRPr="00BE3727">
              <w:t xml:space="preserve"> This is a combination of the modelled likelihood of feral deer, goats and pigs.</w:t>
            </w:r>
          </w:p>
        </w:tc>
        <w:tc>
          <w:tcPr>
            <w:tcW w:w="829" w:type="pct"/>
            <w:tcBorders>
              <w:left w:val="single" w:sz="4" w:space="0" w:color="CDDC29" w:themeColor="text2"/>
            </w:tcBorders>
          </w:tcPr>
          <w:p w14:paraId="7A9FB574" w14:textId="77777777" w:rsidR="00B72A8C" w:rsidRDefault="00B72A8C" w:rsidP="00B72A8C">
            <w:pPr>
              <w:pStyle w:val="TableTextLeft"/>
            </w:pPr>
            <w:r>
              <w:t>Control Large Invasive Herbivores</w:t>
            </w:r>
          </w:p>
        </w:tc>
        <w:tc>
          <w:tcPr>
            <w:tcW w:w="1651" w:type="pct"/>
          </w:tcPr>
          <w:p w14:paraId="5C010B11" w14:textId="59FC2CD9" w:rsidR="00B72A8C" w:rsidRDefault="00B72A8C" w:rsidP="00B72A8C">
            <w:pPr>
              <w:pStyle w:val="TableTextLeft"/>
            </w:pPr>
            <w:r>
              <w:t xml:space="preserve">Deer, goats and pigs are controlled in combination (where relevant). </w:t>
            </w:r>
          </w:p>
        </w:tc>
      </w:tr>
      <w:tr w:rsidR="00B72A8C" w:rsidRPr="00050253" w14:paraId="3D9D2934" w14:textId="77777777" w:rsidTr="00B3142B">
        <w:trPr>
          <w:cantSplit/>
        </w:trPr>
        <w:tc>
          <w:tcPr>
            <w:tcW w:w="636" w:type="pct"/>
          </w:tcPr>
          <w:p w14:paraId="6949EB82" w14:textId="3510A0F8" w:rsidR="00B72A8C" w:rsidRPr="001F658F" w:rsidRDefault="00B72A8C" w:rsidP="00B72A8C">
            <w:pPr>
              <w:pStyle w:val="TableTextLeft"/>
            </w:pPr>
            <w:r>
              <w:t xml:space="preserve">Land Clearing (Habitat Loss) </w:t>
            </w:r>
          </w:p>
        </w:tc>
        <w:tc>
          <w:tcPr>
            <w:tcW w:w="1884" w:type="pct"/>
            <w:tcBorders>
              <w:right w:val="single" w:sz="4" w:space="0" w:color="CDDC29" w:themeColor="text2"/>
            </w:tcBorders>
          </w:tcPr>
          <w:p w14:paraId="53DCC646" w14:textId="77777777" w:rsidR="00B72A8C" w:rsidRDefault="00B72A8C" w:rsidP="00B72A8C">
            <w:pPr>
              <w:pStyle w:val="TableTextLeft"/>
            </w:pPr>
            <w:r>
              <w:t xml:space="preserve">Risk of land clearing over next 50 years calculated by determining the proportion of intact native vegetation, using historical clearing rates to predict future potential clearing. </w:t>
            </w:r>
          </w:p>
        </w:tc>
        <w:tc>
          <w:tcPr>
            <w:tcW w:w="829" w:type="pct"/>
            <w:tcBorders>
              <w:left w:val="single" w:sz="4" w:space="0" w:color="CDDC29" w:themeColor="text2"/>
            </w:tcBorders>
          </w:tcPr>
          <w:p w14:paraId="57AF426C" w14:textId="2FF22A06" w:rsidR="00B72A8C" w:rsidRDefault="00D6176F" w:rsidP="00B72A8C">
            <w:pPr>
              <w:pStyle w:val="TableTextLeft"/>
            </w:pPr>
            <w:r>
              <w:t>Permanent Protection</w:t>
            </w:r>
          </w:p>
        </w:tc>
        <w:tc>
          <w:tcPr>
            <w:tcW w:w="1651" w:type="pct"/>
          </w:tcPr>
          <w:p w14:paraId="7993FEA6" w14:textId="30E0A46C" w:rsidR="00B72A8C" w:rsidRDefault="00B72A8C" w:rsidP="00B72A8C">
            <w:pPr>
              <w:pStyle w:val="TableTextLeft"/>
            </w:pPr>
            <w:r>
              <w:t>The permanent cessation of land clearing at a location, with ongoing management.</w:t>
            </w:r>
          </w:p>
        </w:tc>
      </w:tr>
      <w:tr w:rsidR="00B72A8C" w:rsidRPr="00050253" w14:paraId="0DEBFD65" w14:textId="77777777" w:rsidTr="00B3142B">
        <w:trPr>
          <w:cantSplit/>
        </w:trPr>
        <w:tc>
          <w:tcPr>
            <w:tcW w:w="636" w:type="pct"/>
          </w:tcPr>
          <w:p w14:paraId="439F855B" w14:textId="32E907E5" w:rsidR="00B72A8C" w:rsidRDefault="00B72A8C" w:rsidP="00B72A8C">
            <w:pPr>
              <w:pStyle w:val="TableTextLeft"/>
            </w:pPr>
          </w:p>
        </w:tc>
        <w:tc>
          <w:tcPr>
            <w:tcW w:w="1884" w:type="pct"/>
            <w:tcBorders>
              <w:right w:val="single" w:sz="4" w:space="0" w:color="CDDC29" w:themeColor="text2"/>
            </w:tcBorders>
          </w:tcPr>
          <w:p w14:paraId="59CBCC79" w14:textId="367475CF" w:rsidR="00B72A8C" w:rsidRPr="00B72A8C" w:rsidRDefault="00B72A8C" w:rsidP="00B72A8C">
            <w:pPr>
              <w:pStyle w:val="TableTextLeft"/>
              <w:rPr>
                <w:i/>
              </w:rPr>
            </w:pPr>
            <w:r w:rsidRPr="00B72A8C">
              <w:rPr>
                <w:i/>
              </w:rPr>
              <w:t xml:space="preserve">The action of Revegetation has no associated threat model. </w:t>
            </w:r>
          </w:p>
        </w:tc>
        <w:tc>
          <w:tcPr>
            <w:tcW w:w="829" w:type="pct"/>
            <w:tcBorders>
              <w:left w:val="single" w:sz="4" w:space="0" w:color="CDDC29" w:themeColor="text2"/>
            </w:tcBorders>
          </w:tcPr>
          <w:p w14:paraId="7A7024AE" w14:textId="77777777" w:rsidR="00B72A8C" w:rsidRDefault="00B72A8C" w:rsidP="00B72A8C">
            <w:pPr>
              <w:pStyle w:val="TableTextLeft"/>
            </w:pPr>
            <w:r>
              <w:t xml:space="preserve">Revegetation </w:t>
            </w:r>
          </w:p>
        </w:tc>
        <w:tc>
          <w:tcPr>
            <w:tcW w:w="1651" w:type="pct"/>
          </w:tcPr>
          <w:p w14:paraId="3B3C288A" w14:textId="0C71393A" w:rsidR="00B72A8C" w:rsidRDefault="00B72A8C" w:rsidP="00B72A8C">
            <w:pPr>
              <w:pStyle w:val="TableTextLeft"/>
            </w:pPr>
            <w:r>
              <w:t>Combination of removal of grazing and tree planting. Cells closer to existing native vegetation</w:t>
            </w:r>
            <w:r w:rsidR="00BE3727">
              <w:t xml:space="preserve"> and streams</w:t>
            </w:r>
            <w:r>
              <w:t xml:space="preserve"> are weighted more heavily as connectivity </w:t>
            </w:r>
            <w:r w:rsidR="00BE3727">
              <w:t>and riparian condition are</w:t>
            </w:r>
            <w:r>
              <w:t xml:space="preserve"> improved. </w:t>
            </w:r>
          </w:p>
        </w:tc>
      </w:tr>
      <w:tr w:rsidR="00B72A8C" w:rsidRPr="00050253" w14:paraId="432A5B10" w14:textId="77777777" w:rsidTr="00B3142B">
        <w:trPr>
          <w:cantSplit/>
        </w:trPr>
        <w:tc>
          <w:tcPr>
            <w:tcW w:w="636" w:type="pct"/>
          </w:tcPr>
          <w:p w14:paraId="495EF636" w14:textId="7F529B7A" w:rsidR="00B72A8C" w:rsidRPr="00BE3727" w:rsidRDefault="00B72A8C" w:rsidP="00B72A8C">
            <w:pPr>
              <w:pStyle w:val="TableTextLeft"/>
              <w:rPr>
                <w:i/>
              </w:rPr>
            </w:pPr>
            <w:r w:rsidRPr="00BE3727">
              <w:rPr>
                <w:i/>
              </w:rPr>
              <w:t xml:space="preserve">Phytophthora </w:t>
            </w:r>
            <w:proofErr w:type="spellStart"/>
            <w:r w:rsidRPr="00BE3727">
              <w:rPr>
                <w:i/>
              </w:rPr>
              <w:t>cinnamomi</w:t>
            </w:r>
            <w:proofErr w:type="spellEnd"/>
            <w:r w:rsidRPr="00BE3727">
              <w:rPr>
                <w:i/>
                <w:iCs/>
              </w:rPr>
              <w:t xml:space="preserve"> </w:t>
            </w:r>
          </w:p>
        </w:tc>
        <w:tc>
          <w:tcPr>
            <w:tcW w:w="1884" w:type="pct"/>
            <w:tcBorders>
              <w:right w:val="single" w:sz="4" w:space="0" w:color="CDDC29" w:themeColor="text2"/>
            </w:tcBorders>
          </w:tcPr>
          <w:p w14:paraId="5B185F0A" w14:textId="77777777" w:rsidR="00B72A8C" w:rsidRDefault="00B72A8C" w:rsidP="00B72A8C">
            <w:pPr>
              <w:pStyle w:val="TableTextLeft"/>
            </w:pPr>
            <w:r>
              <w:t xml:space="preserve">Habitat distribution model created using presence of reported phytophthora-induced woody plant mortality coupled with the relative susceptibility of Victorian plants. </w:t>
            </w:r>
          </w:p>
        </w:tc>
        <w:tc>
          <w:tcPr>
            <w:tcW w:w="829" w:type="pct"/>
            <w:tcBorders>
              <w:left w:val="single" w:sz="4" w:space="0" w:color="CDDC29" w:themeColor="text2"/>
            </w:tcBorders>
          </w:tcPr>
          <w:p w14:paraId="5102F246" w14:textId="77777777" w:rsidR="00B72A8C" w:rsidRDefault="00B72A8C" w:rsidP="00B72A8C">
            <w:pPr>
              <w:pStyle w:val="TableTextLeft"/>
            </w:pPr>
            <w:r w:rsidRPr="001E169C">
              <w:t>Control Phytophthora*</w:t>
            </w:r>
          </w:p>
        </w:tc>
        <w:tc>
          <w:tcPr>
            <w:tcW w:w="1651" w:type="pct"/>
          </w:tcPr>
          <w:p w14:paraId="791559FE" w14:textId="26BB6D08" w:rsidR="00B72A8C" w:rsidRDefault="00B72A8C" w:rsidP="00B72A8C">
            <w:pPr>
              <w:pStyle w:val="TableTextLeft"/>
            </w:pPr>
            <w:r>
              <w:t xml:space="preserve">Phytophthora ‘control’ occurs through the restriction of vehicles and foot traffic from particular areas, as well as the provision of wash-down facilities. This action largely relates to minimising the rate of spread, rather than absolute control. </w:t>
            </w:r>
          </w:p>
        </w:tc>
      </w:tr>
      <w:tr w:rsidR="00B72A8C" w:rsidRPr="00050253" w14:paraId="1B8F3502" w14:textId="77777777" w:rsidTr="00B3142B">
        <w:trPr>
          <w:cantSplit/>
        </w:trPr>
        <w:tc>
          <w:tcPr>
            <w:tcW w:w="636" w:type="pct"/>
          </w:tcPr>
          <w:p w14:paraId="58ABE8B5" w14:textId="5DCC9911" w:rsidR="00B72A8C" w:rsidRPr="001F658F" w:rsidRDefault="00B72A8C" w:rsidP="00B72A8C">
            <w:pPr>
              <w:pStyle w:val="TableTextLeft"/>
            </w:pPr>
            <w:r>
              <w:t>Fuel Reduction Burning &lt; Tolerable Fire Interval</w:t>
            </w:r>
            <w:r w:rsidR="00BE3727">
              <w:t xml:space="preserve"> (TFI)</w:t>
            </w:r>
            <w:r>
              <w:t xml:space="preserve"> </w:t>
            </w:r>
          </w:p>
        </w:tc>
        <w:tc>
          <w:tcPr>
            <w:tcW w:w="1884" w:type="pct"/>
            <w:tcBorders>
              <w:right w:val="single" w:sz="4" w:space="0" w:color="CDDC29" w:themeColor="text2"/>
            </w:tcBorders>
          </w:tcPr>
          <w:p w14:paraId="560B4809" w14:textId="77777777" w:rsidR="00B72A8C" w:rsidRDefault="00B72A8C" w:rsidP="00B72A8C">
            <w:pPr>
              <w:pStyle w:val="TableTextLeft"/>
            </w:pPr>
            <w:r>
              <w:t xml:space="preserve">Modelled by combining fuel management zones with the fire treatability classification of ecological vegetation classes and, where native vegetation exists, a ranking from 1 (greatest risk of planned burning at less than the Tolerable Fire Interval) to 5 (smallest or negligible risk). </w:t>
            </w:r>
          </w:p>
        </w:tc>
        <w:tc>
          <w:tcPr>
            <w:tcW w:w="829" w:type="pct"/>
            <w:tcBorders>
              <w:left w:val="single" w:sz="4" w:space="0" w:color="CDDC29" w:themeColor="text2"/>
            </w:tcBorders>
          </w:tcPr>
          <w:p w14:paraId="09D76AC6" w14:textId="77777777" w:rsidR="00B72A8C" w:rsidRPr="00B72A8C" w:rsidRDefault="00B72A8C" w:rsidP="00B72A8C">
            <w:pPr>
              <w:pStyle w:val="TableTextLeft"/>
            </w:pPr>
            <w:r w:rsidRPr="00B72A8C">
              <w:t>Reduce fire frequency*</w:t>
            </w:r>
          </w:p>
        </w:tc>
        <w:tc>
          <w:tcPr>
            <w:tcW w:w="1651" w:type="pct"/>
          </w:tcPr>
          <w:p w14:paraId="2827D7D1" w14:textId="26D4C539" w:rsidR="00B72A8C" w:rsidRPr="00B72A8C" w:rsidRDefault="00B72A8C" w:rsidP="00B72A8C">
            <w:pPr>
              <w:pStyle w:val="TableTextLeft"/>
            </w:pPr>
            <w:r w:rsidRPr="00B72A8C">
              <w:t xml:space="preserve">Best practice fuel reduction burning is that which is applied - in the context of the probability of future wildfire - at a </w:t>
            </w:r>
            <w:proofErr w:type="spellStart"/>
            <w:r w:rsidRPr="00B72A8C">
              <w:t>spatio</w:t>
            </w:r>
            <w:proofErr w:type="spellEnd"/>
            <w:r w:rsidRPr="00B72A8C">
              <w:t>-temporal scale above the currently formulated tolerable fire interval.</w:t>
            </w:r>
          </w:p>
        </w:tc>
      </w:tr>
      <w:tr w:rsidR="00B72A8C" w:rsidRPr="00050253" w14:paraId="0069F6DA" w14:textId="77777777" w:rsidTr="00B3142B">
        <w:trPr>
          <w:cantSplit/>
        </w:trPr>
        <w:tc>
          <w:tcPr>
            <w:tcW w:w="636" w:type="pct"/>
          </w:tcPr>
          <w:p w14:paraId="47EE4CC8" w14:textId="101140EB" w:rsidR="00B72A8C" w:rsidRPr="001F658F" w:rsidRDefault="00B72A8C" w:rsidP="00B72A8C">
            <w:pPr>
              <w:pStyle w:val="TableTextLeft"/>
            </w:pPr>
            <w:r>
              <w:t xml:space="preserve">Native Forest Harvesting </w:t>
            </w:r>
          </w:p>
        </w:tc>
        <w:tc>
          <w:tcPr>
            <w:tcW w:w="1884" w:type="pct"/>
            <w:tcBorders>
              <w:right w:val="single" w:sz="4" w:space="0" w:color="CDDC29" w:themeColor="text2"/>
            </w:tcBorders>
          </w:tcPr>
          <w:p w14:paraId="1C0460B6" w14:textId="77777777" w:rsidR="00B72A8C" w:rsidRDefault="00B72A8C" w:rsidP="00B72A8C">
            <w:pPr>
              <w:pStyle w:val="TableTextLeft"/>
            </w:pPr>
            <w:r>
              <w:t xml:space="preserve">A binary model of areas that will potentially be subjected to forest harvesting (e.g. merchantable forest types) and those not subject to harvesting (e.g. reserve system, buffer zones etc.) </w:t>
            </w:r>
          </w:p>
        </w:tc>
        <w:tc>
          <w:tcPr>
            <w:tcW w:w="829" w:type="pct"/>
            <w:tcBorders>
              <w:left w:val="single" w:sz="4" w:space="0" w:color="CDDC29" w:themeColor="text2"/>
            </w:tcBorders>
          </w:tcPr>
          <w:p w14:paraId="6EFEE79A" w14:textId="31D26912" w:rsidR="00B72A8C" w:rsidRDefault="00BE3727" w:rsidP="00B72A8C">
            <w:pPr>
              <w:pStyle w:val="TableTextLeft"/>
            </w:pPr>
            <w:r w:rsidRPr="00BE3727">
              <w:t>S</w:t>
            </w:r>
            <w:r w:rsidR="00B72A8C" w:rsidRPr="00BE3727">
              <w:t>top harvesting*</w:t>
            </w:r>
          </w:p>
        </w:tc>
        <w:tc>
          <w:tcPr>
            <w:tcW w:w="1651" w:type="pct"/>
          </w:tcPr>
          <w:p w14:paraId="4407F5B5" w14:textId="626D02E1" w:rsidR="00B72A8C" w:rsidRDefault="00B72A8C" w:rsidP="00B72A8C">
            <w:pPr>
              <w:pStyle w:val="TableTextLeft"/>
            </w:pPr>
            <w:r>
              <w:t>The permanent cessation of native forest harvesting.</w:t>
            </w:r>
          </w:p>
        </w:tc>
      </w:tr>
      <w:bookmarkEnd w:id="2"/>
    </w:tbl>
    <w:p w14:paraId="67D51ABF" w14:textId="77777777" w:rsidR="00C61EE7" w:rsidRDefault="00C61EE7" w:rsidP="00C61EE7">
      <w:pPr>
        <w:pStyle w:val="BodyText"/>
      </w:pPr>
    </w:p>
    <w:p w14:paraId="5EFBFD7D" w14:textId="5D4AE06F" w:rsidR="001367F5" w:rsidRDefault="0040757A" w:rsidP="001367F5">
      <w:pPr>
        <w:pStyle w:val="BodyText"/>
        <w:jc w:val="center"/>
      </w:pPr>
      <w:r>
        <w:rPr>
          <w:noProof/>
          <w:lang w:eastAsia="en-AU"/>
        </w:rPr>
        <w:drawing>
          <wp:inline distT="0" distB="0" distL="0" distR="0" wp14:anchorId="4BEC7827" wp14:editId="75B878B4">
            <wp:extent cx="6345141" cy="3887293"/>
            <wp:effectExtent l="0" t="0" r="0" b="0"/>
            <wp:docPr id="21" name="Picture 21" descr="This is a diagram demonstrating the expert eliciation approach - how expected benefit was estimated." title="Expert elicitation 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13675" cy="3929280"/>
                    </a:xfrm>
                    <a:prstGeom prst="rect">
                      <a:avLst/>
                    </a:prstGeom>
                  </pic:spPr>
                </pic:pic>
              </a:graphicData>
            </a:graphic>
          </wp:inline>
        </w:drawing>
      </w:r>
    </w:p>
    <w:p w14:paraId="6C495746" w14:textId="465C35C4" w:rsidR="00E313BF" w:rsidRDefault="028DF08E" w:rsidP="007002A5">
      <w:pPr>
        <w:pStyle w:val="CaptionImageorFigure"/>
        <w:sectPr w:rsidR="00E313BF" w:rsidSect="00BB551F">
          <w:type w:val="continuous"/>
          <w:pgSz w:w="11907" w:h="16840" w:code="9"/>
          <w:pgMar w:top="2211" w:right="851" w:bottom="1758" w:left="851" w:header="284" w:footer="284" w:gutter="0"/>
          <w:cols w:space="284"/>
          <w:docGrid w:linePitch="360"/>
        </w:sectPr>
      </w:pPr>
      <w:r>
        <w:t>Figure 2: This figure outlines our approach to eliciting information on the effect management actions have on species persistence. The probability that a species will still be present if sustained investment and management is supplied is X. The probability that the species will be present in the long term if threats are not managed is Y. The difference between X and Y indicates the likely increase in the persistence of that species, because of that management action.</w:t>
      </w:r>
    </w:p>
    <w:p w14:paraId="3A66EE40" w14:textId="77777777" w:rsidR="00E313BF" w:rsidRDefault="00E313BF" w:rsidP="00252B85">
      <w:pPr>
        <w:pStyle w:val="BodyText"/>
        <w:spacing w:after="0"/>
      </w:pPr>
    </w:p>
    <w:p w14:paraId="1D2C9A7E" w14:textId="77777777" w:rsidR="00252B85" w:rsidRDefault="00252B85" w:rsidP="00252B85">
      <w:pPr>
        <w:pStyle w:val="BodyText"/>
        <w:spacing w:after="0"/>
      </w:pPr>
      <w:r>
        <w:rPr>
          <w:noProof/>
          <w:lang w:eastAsia="en-AU"/>
        </w:rPr>
        <w:drawing>
          <wp:inline distT="0" distB="0" distL="0" distR="0" wp14:anchorId="657DA4B7" wp14:editId="1D568AE6">
            <wp:extent cx="3052849" cy="2152650"/>
            <wp:effectExtent l="0" t="0" r="0" b="0"/>
            <wp:docPr id="14" name="Picture 14" descr="This is a statewide map showing the modelled amount of expected benefit if rabbits were controlled. It provides an example of one of the benefit of action models in the NaturePrint suite of products." title="Benefit of controlling 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abbit Benefit.jpg"/>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052849" cy="2152650"/>
                    </a:xfrm>
                    <a:prstGeom prst="rect">
                      <a:avLst/>
                    </a:prstGeom>
                    <a:ln>
                      <a:noFill/>
                    </a:ln>
                    <a:effectLst>
                      <a:softEdge rad="12700"/>
                    </a:effectLst>
                    <a:extLst>
                      <a:ext uri="{53640926-AAD7-44D8-BBD7-CCE9431645EC}">
                        <a14:shadowObscured xmlns:a14="http://schemas.microsoft.com/office/drawing/2010/main"/>
                      </a:ext>
                    </a:extLst>
                  </pic:spPr>
                </pic:pic>
              </a:graphicData>
            </a:graphic>
          </wp:inline>
        </w:drawing>
      </w:r>
    </w:p>
    <w:p w14:paraId="532FA299" w14:textId="7B472C84" w:rsidR="00252B85" w:rsidRDefault="00252B85" w:rsidP="007002A5">
      <w:pPr>
        <w:pStyle w:val="CaptionImageorFigure"/>
      </w:pPr>
      <w:r>
        <w:t>Figure 3: Expected benefit of rabbit control to all biodiversity. Darker green areas indicate a higher potential Change in Suitable Habitat and lighter green areas indicate lower.</w:t>
      </w:r>
    </w:p>
    <w:p w14:paraId="3B5AF2CE" w14:textId="77777777" w:rsidR="00E313BF" w:rsidRDefault="00E313BF" w:rsidP="00E313BF">
      <w:pPr>
        <w:pStyle w:val="BodyText"/>
      </w:pPr>
    </w:p>
    <w:p w14:paraId="061B9BBC" w14:textId="6544B413" w:rsidR="001367F5" w:rsidRDefault="028DF08E" w:rsidP="001367F5">
      <w:pPr>
        <w:pStyle w:val="Heading2"/>
      </w:pPr>
      <w:r>
        <w:t>How we estimated management effectiveness</w:t>
      </w:r>
    </w:p>
    <w:p w14:paraId="6C323298" w14:textId="77777777" w:rsidR="001367F5" w:rsidRDefault="028DF08E" w:rsidP="001367F5">
      <w:pPr>
        <w:pStyle w:val="BodyText"/>
      </w:pPr>
      <w:r>
        <w:t>To estimate Change in Suitable Habitat for Victoria’s plants and animals for a range of threats, the NaturePrint team used an expert elicitation approach. Expert elicitation involves asking experts on species’ biology and ecology a series of structured questions about the effectiveness of a management action in certain situations. The process used here followed a formal, structured elicitation method which allowed us to scrutinise the data, account for uncertainty, and minimise biases (which can sometimes lead to poor decisions).</w:t>
      </w:r>
    </w:p>
    <w:p w14:paraId="5CCBE400" w14:textId="77777777" w:rsidR="001367F5" w:rsidRDefault="028DF08E" w:rsidP="001367F5">
      <w:pPr>
        <w:pStyle w:val="BodyText"/>
      </w:pPr>
      <w:r>
        <w:t xml:space="preserve">To obtain information on the benefit of various management actions, we held four face-to-face expert workshops – each one focusing on a different species group (mammals, birds, plants and reptiles). Experts were asked a series of questions on different scenarios for different species. Each scenario included the species name, a map identifying the location of the species, and some contextual information about the habitat for that location. Information about the threats occurring at the location and the alternative management actions that could be undertaken are also given. </w:t>
      </w:r>
    </w:p>
    <w:p w14:paraId="14F6A932" w14:textId="77777777" w:rsidR="001367F5" w:rsidRDefault="028DF08E" w:rsidP="001367F5">
      <w:pPr>
        <w:pStyle w:val="BodyText"/>
      </w:pPr>
      <w:r>
        <w:t xml:space="preserve">Experts were then asked to imagine the consequences of not acting at a location – how likely is the species to persist at the location for 50 years with no management? Responses were obtained by asking experts how many </w:t>
      </w:r>
      <w:proofErr w:type="gramStart"/>
      <w:r>
        <w:t>out</w:t>
      </w:r>
      <w:proofErr w:type="gramEnd"/>
      <w:r>
        <w:t xml:space="preserve"> of 10 identical patches the species were likely to still be present at after 50 years, giving high and low estimates to capture uncertainty. Experts were then asked the same question, but this time considering 50 years of managing the threat at that location. </w:t>
      </w:r>
    </w:p>
    <w:p w14:paraId="55C5AACB" w14:textId="4E4C9C96" w:rsidR="001367F5" w:rsidRDefault="028DF08E" w:rsidP="001367F5">
      <w:pPr>
        <w:pStyle w:val="BodyText"/>
      </w:pPr>
      <w:r>
        <w:t xml:space="preserve">Through this process, thousands of scenarios for mammals, birds, reptiles, plants and amphibians were developed. Most groups had at least one scenario posed for each species. However, because of their diversity, only a subset of vascular plant and species were initially selected for expert elicitation (Table </w:t>
      </w:r>
      <w:r w:rsidR="005D2E6B">
        <w:t>2</w:t>
      </w:r>
      <w:r>
        <w:t xml:space="preserve">). </w:t>
      </w:r>
    </w:p>
    <w:p w14:paraId="1B362077" w14:textId="460C427E" w:rsidR="001367F5" w:rsidRDefault="028DF08E" w:rsidP="001367F5">
      <w:pPr>
        <w:pStyle w:val="BodyText"/>
      </w:pPr>
      <w:r>
        <w:t xml:space="preserve">Given the large number of species (more than 2000) and scenarios covered, expert judgments were collected only for a subset of locations. We then extrapolated responses gained for species and scenarios to other species with similar traits. Using this trait-based modelling approach allowed us to make inferences about the benefits of management actions across all species in different locations. The types of traits used to do this varied between the taxonomic groups and are outlined below (Table </w:t>
      </w:r>
      <w:r w:rsidR="005D2E6B">
        <w:t>3</w:t>
      </w:r>
      <w:r>
        <w:t xml:space="preserve">). The ‘Proportion of Species Answered Directly’ column in Table </w:t>
      </w:r>
      <w:r w:rsidR="00E313BF">
        <w:t>2</w:t>
      </w:r>
      <w:r>
        <w:t xml:space="preserve"> provides an idea of which groups used the trait-based modelling approach more than others (e.g. plants and birds). </w:t>
      </w:r>
    </w:p>
    <w:p w14:paraId="6DEBC601" w14:textId="758B96EB" w:rsidR="001367F5" w:rsidRDefault="028DF08E" w:rsidP="001367F5">
      <w:pPr>
        <w:pStyle w:val="BodyText"/>
      </w:pPr>
      <w:r>
        <w:t xml:space="preserve">After extrapolating the expert elicitation data to many Victorian scenarios and species, the dataset offered a comprehensive view of the prognosis of Victoria’s biodiversity under different management regimes. This approach was used to develop the Change in Suitable Habitat (see Figure 2) measure of management effectiveness. This measure can be used to assess the relative benefits of individual actions and combinations of actions in different places across Victoria. </w:t>
      </w:r>
    </w:p>
    <w:p w14:paraId="23997546" w14:textId="77777777" w:rsidR="00897E8F" w:rsidRDefault="00897E8F" w:rsidP="001367F5">
      <w:pPr>
        <w:pStyle w:val="BodyText"/>
        <w:sectPr w:rsidR="00897E8F" w:rsidSect="00736385">
          <w:type w:val="continuous"/>
          <w:pgSz w:w="11907" w:h="16840" w:code="9"/>
          <w:pgMar w:top="2211" w:right="851" w:bottom="1758" w:left="851" w:header="284" w:footer="284" w:gutter="0"/>
          <w:cols w:num="2" w:space="284"/>
          <w:docGrid w:linePitch="360"/>
        </w:sectPr>
      </w:pPr>
    </w:p>
    <w:p w14:paraId="7D83E3BE" w14:textId="77777777" w:rsidR="00C61EE7" w:rsidRDefault="00C61EE7" w:rsidP="007002A5">
      <w:pPr>
        <w:pStyle w:val="CaptionImageorFigure"/>
      </w:pPr>
    </w:p>
    <w:p w14:paraId="7BA05301" w14:textId="6A71EB43" w:rsidR="001367F5" w:rsidRDefault="028DF08E" w:rsidP="007002A5">
      <w:pPr>
        <w:pStyle w:val="CaptionImageorFigure"/>
      </w:pPr>
      <w:r>
        <w:t xml:space="preserve">Table </w:t>
      </w:r>
      <w:r w:rsidR="005D2E6B">
        <w:t>2</w:t>
      </w:r>
      <w:r>
        <w:t>: The number of species for each taxonomic group used in the expert elicitation process, and the total number of species included in the Strategic Management Prospects analysis.</w:t>
      </w:r>
    </w:p>
    <w:tbl>
      <w:tblPr>
        <w:tblStyle w:val="TableGrid"/>
        <w:tblW w:w="0" w:type="auto"/>
        <w:tblLook w:val="04A0" w:firstRow="1" w:lastRow="0" w:firstColumn="1" w:lastColumn="0" w:noHBand="0" w:noVBand="1"/>
        <w:tblCaption w:val="Species and expert elicitation"/>
        <w:tblDescription w:val="This table provides a brief outline of the number of species in each taxonomic group used in the expert elicitation process, and compares that with the number of species used in SMP."/>
      </w:tblPr>
      <w:tblGrid>
        <w:gridCol w:w="1177"/>
        <w:gridCol w:w="1942"/>
        <w:gridCol w:w="1701"/>
        <w:gridCol w:w="2126"/>
      </w:tblGrid>
      <w:tr w:rsidR="001367F5" w14:paraId="0C97BAA2" w14:textId="77777777" w:rsidTr="0063781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177" w:type="dxa"/>
          </w:tcPr>
          <w:p w14:paraId="509D59C7" w14:textId="77777777" w:rsidR="001367F5" w:rsidRDefault="028DF08E" w:rsidP="00BB551F">
            <w:pPr>
              <w:pStyle w:val="TableHeadingLeft"/>
            </w:pPr>
            <w:r>
              <w:t>Taxonomic group</w:t>
            </w:r>
          </w:p>
        </w:tc>
        <w:tc>
          <w:tcPr>
            <w:tcW w:w="1942" w:type="dxa"/>
          </w:tcPr>
          <w:p w14:paraId="3F8A106B" w14:textId="77777777" w:rsidR="001367F5" w:rsidRDefault="028DF08E" w:rsidP="00BB551F">
            <w:pPr>
              <w:pStyle w:val="TableHeadingLeft"/>
              <w:cnfStyle w:val="100000000000" w:firstRow="1" w:lastRow="0" w:firstColumn="0" w:lastColumn="0" w:oddVBand="0" w:evenVBand="0" w:oddHBand="0" w:evenHBand="0" w:firstRowFirstColumn="0" w:firstRowLastColumn="0" w:lastRowFirstColumn="0" w:lastRowLastColumn="0"/>
            </w:pPr>
            <w:r>
              <w:t>Number of species with answers</w:t>
            </w:r>
          </w:p>
        </w:tc>
        <w:tc>
          <w:tcPr>
            <w:tcW w:w="1701" w:type="dxa"/>
          </w:tcPr>
          <w:p w14:paraId="2EA4ACA4" w14:textId="77777777" w:rsidR="001367F5" w:rsidRDefault="028DF08E" w:rsidP="00BB551F">
            <w:pPr>
              <w:pStyle w:val="TableHeadingLeft"/>
              <w:cnfStyle w:val="100000000000" w:firstRow="1" w:lastRow="0" w:firstColumn="0" w:lastColumn="0" w:oddVBand="0" w:evenVBand="0" w:oddHBand="0" w:evenHBand="0" w:firstRowFirstColumn="0" w:firstRowLastColumn="0" w:lastRowFirstColumn="0" w:lastRowLastColumn="0"/>
            </w:pPr>
            <w:r>
              <w:t>Total number of species in SMP</w:t>
            </w:r>
          </w:p>
        </w:tc>
        <w:tc>
          <w:tcPr>
            <w:tcW w:w="2126" w:type="dxa"/>
          </w:tcPr>
          <w:p w14:paraId="7E7FEC43" w14:textId="77777777" w:rsidR="001367F5" w:rsidRDefault="028DF08E" w:rsidP="00BB551F">
            <w:pPr>
              <w:pStyle w:val="TableHeadingLeft"/>
              <w:cnfStyle w:val="100000000000" w:firstRow="1" w:lastRow="0" w:firstColumn="0" w:lastColumn="0" w:oddVBand="0" w:evenVBand="0" w:oddHBand="0" w:evenHBand="0" w:firstRowFirstColumn="0" w:firstRowLastColumn="0" w:lastRowFirstColumn="0" w:lastRowLastColumn="0"/>
            </w:pPr>
            <w:r>
              <w:t>Proportion of species answered directly</w:t>
            </w:r>
          </w:p>
        </w:tc>
      </w:tr>
      <w:tr w:rsidR="001367F5" w14:paraId="41A34990" w14:textId="77777777" w:rsidTr="0063781B">
        <w:tc>
          <w:tcPr>
            <w:tcW w:w="1177" w:type="dxa"/>
          </w:tcPr>
          <w:p w14:paraId="33DF88BB" w14:textId="77777777" w:rsidR="001367F5" w:rsidRDefault="028DF08E" w:rsidP="00BB551F">
            <w:pPr>
              <w:pStyle w:val="TableTextLeft"/>
            </w:pPr>
            <w:r>
              <w:t>Birds</w:t>
            </w:r>
          </w:p>
        </w:tc>
        <w:tc>
          <w:tcPr>
            <w:tcW w:w="1942" w:type="dxa"/>
          </w:tcPr>
          <w:p w14:paraId="218D4A66" w14:textId="77777777" w:rsidR="001367F5" w:rsidRDefault="028DF08E" w:rsidP="00BB551F">
            <w:pPr>
              <w:pStyle w:val="TableTextCentre"/>
            </w:pPr>
            <w:r>
              <w:t>75</w:t>
            </w:r>
          </w:p>
        </w:tc>
        <w:tc>
          <w:tcPr>
            <w:tcW w:w="1701" w:type="dxa"/>
          </w:tcPr>
          <w:p w14:paraId="446BE413" w14:textId="77777777" w:rsidR="001367F5" w:rsidRDefault="028DF08E" w:rsidP="00BB551F">
            <w:pPr>
              <w:pStyle w:val="TableTextCentre"/>
            </w:pPr>
            <w:r>
              <w:t>348</w:t>
            </w:r>
          </w:p>
        </w:tc>
        <w:tc>
          <w:tcPr>
            <w:tcW w:w="2126" w:type="dxa"/>
          </w:tcPr>
          <w:p w14:paraId="7A198F81" w14:textId="77777777" w:rsidR="001367F5" w:rsidRDefault="028DF08E" w:rsidP="00BB551F">
            <w:pPr>
              <w:pStyle w:val="TableTextCentre"/>
            </w:pPr>
            <w:r>
              <w:t>0.22</w:t>
            </w:r>
          </w:p>
        </w:tc>
      </w:tr>
      <w:tr w:rsidR="001367F5" w14:paraId="059E3A3F" w14:textId="77777777" w:rsidTr="0063781B">
        <w:tc>
          <w:tcPr>
            <w:tcW w:w="1177" w:type="dxa"/>
          </w:tcPr>
          <w:p w14:paraId="304A0356" w14:textId="77777777" w:rsidR="001367F5" w:rsidRDefault="028DF08E" w:rsidP="00BB551F">
            <w:pPr>
              <w:pStyle w:val="TableTextLeft"/>
            </w:pPr>
            <w:r>
              <w:t>Mammals</w:t>
            </w:r>
          </w:p>
        </w:tc>
        <w:tc>
          <w:tcPr>
            <w:tcW w:w="1942" w:type="dxa"/>
          </w:tcPr>
          <w:p w14:paraId="226ED4E8" w14:textId="77777777" w:rsidR="001367F5" w:rsidRDefault="028DF08E" w:rsidP="00BB551F">
            <w:pPr>
              <w:pStyle w:val="TableTextCentre"/>
            </w:pPr>
            <w:r>
              <w:t>65</w:t>
            </w:r>
          </w:p>
        </w:tc>
        <w:tc>
          <w:tcPr>
            <w:tcW w:w="1701" w:type="dxa"/>
          </w:tcPr>
          <w:p w14:paraId="10EA99E2" w14:textId="77777777" w:rsidR="001367F5" w:rsidRDefault="028DF08E" w:rsidP="00BB551F">
            <w:pPr>
              <w:pStyle w:val="TableTextCentre"/>
            </w:pPr>
            <w:r>
              <w:t>66</w:t>
            </w:r>
          </w:p>
        </w:tc>
        <w:tc>
          <w:tcPr>
            <w:tcW w:w="2126" w:type="dxa"/>
          </w:tcPr>
          <w:p w14:paraId="131E1F2A" w14:textId="77777777" w:rsidR="001367F5" w:rsidRDefault="028DF08E" w:rsidP="00BB551F">
            <w:pPr>
              <w:pStyle w:val="TableTextCentre"/>
            </w:pPr>
            <w:r>
              <w:t>0.98</w:t>
            </w:r>
          </w:p>
        </w:tc>
      </w:tr>
      <w:tr w:rsidR="001367F5" w14:paraId="6AFABD68" w14:textId="77777777" w:rsidTr="0063781B">
        <w:tc>
          <w:tcPr>
            <w:tcW w:w="1177" w:type="dxa"/>
          </w:tcPr>
          <w:p w14:paraId="222D27E7" w14:textId="77777777" w:rsidR="001367F5" w:rsidRDefault="028DF08E" w:rsidP="00BB551F">
            <w:pPr>
              <w:pStyle w:val="TableTextLeft"/>
            </w:pPr>
            <w:r>
              <w:t>Frogs</w:t>
            </w:r>
          </w:p>
        </w:tc>
        <w:tc>
          <w:tcPr>
            <w:tcW w:w="1942" w:type="dxa"/>
          </w:tcPr>
          <w:p w14:paraId="3960986B" w14:textId="77777777" w:rsidR="001367F5" w:rsidRDefault="028DF08E" w:rsidP="00BB551F">
            <w:pPr>
              <w:pStyle w:val="TableTextCentre"/>
            </w:pPr>
            <w:r>
              <w:t>25</w:t>
            </w:r>
          </w:p>
        </w:tc>
        <w:tc>
          <w:tcPr>
            <w:tcW w:w="1701" w:type="dxa"/>
          </w:tcPr>
          <w:p w14:paraId="49C40FFF" w14:textId="77777777" w:rsidR="001367F5" w:rsidRDefault="028DF08E" w:rsidP="00BB551F">
            <w:pPr>
              <w:pStyle w:val="TableTextCentre"/>
            </w:pPr>
            <w:r>
              <w:t>32</w:t>
            </w:r>
          </w:p>
        </w:tc>
        <w:tc>
          <w:tcPr>
            <w:tcW w:w="2126" w:type="dxa"/>
          </w:tcPr>
          <w:p w14:paraId="01A67C49" w14:textId="77777777" w:rsidR="001367F5" w:rsidRDefault="028DF08E" w:rsidP="00BB551F">
            <w:pPr>
              <w:pStyle w:val="TableTextCentre"/>
            </w:pPr>
            <w:r>
              <w:t>0.78</w:t>
            </w:r>
          </w:p>
        </w:tc>
      </w:tr>
      <w:tr w:rsidR="001367F5" w14:paraId="7DB77FC2" w14:textId="77777777" w:rsidTr="0063781B">
        <w:tc>
          <w:tcPr>
            <w:tcW w:w="1177" w:type="dxa"/>
          </w:tcPr>
          <w:p w14:paraId="30412429" w14:textId="77777777" w:rsidR="001367F5" w:rsidRDefault="028DF08E" w:rsidP="00BB551F">
            <w:pPr>
              <w:pStyle w:val="TableTextLeft"/>
            </w:pPr>
            <w:r>
              <w:t>Reptiles</w:t>
            </w:r>
          </w:p>
        </w:tc>
        <w:tc>
          <w:tcPr>
            <w:tcW w:w="1942" w:type="dxa"/>
          </w:tcPr>
          <w:p w14:paraId="4E151521" w14:textId="77777777" w:rsidR="001367F5" w:rsidRDefault="028DF08E" w:rsidP="00BB551F">
            <w:pPr>
              <w:pStyle w:val="TableTextCentre"/>
            </w:pPr>
            <w:r>
              <w:t>43</w:t>
            </w:r>
          </w:p>
        </w:tc>
        <w:tc>
          <w:tcPr>
            <w:tcW w:w="1701" w:type="dxa"/>
          </w:tcPr>
          <w:p w14:paraId="19D883D5" w14:textId="77777777" w:rsidR="001367F5" w:rsidRDefault="028DF08E" w:rsidP="00BB551F">
            <w:pPr>
              <w:pStyle w:val="TableTextCentre"/>
            </w:pPr>
            <w:r>
              <w:t>53</w:t>
            </w:r>
          </w:p>
        </w:tc>
        <w:tc>
          <w:tcPr>
            <w:tcW w:w="2126" w:type="dxa"/>
          </w:tcPr>
          <w:p w14:paraId="22464AFD" w14:textId="77777777" w:rsidR="001367F5" w:rsidRDefault="028DF08E" w:rsidP="00BB551F">
            <w:pPr>
              <w:pStyle w:val="TableTextCentre"/>
            </w:pPr>
            <w:r>
              <w:t>0.81</w:t>
            </w:r>
          </w:p>
        </w:tc>
      </w:tr>
      <w:tr w:rsidR="001367F5" w14:paraId="275F3665" w14:textId="77777777" w:rsidTr="0063781B">
        <w:tc>
          <w:tcPr>
            <w:tcW w:w="1177" w:type="dxa"/>
          </w:tcPr>
          <w:p w14:paraId="03AD29FE" w14:textId="77777777" w:rsidR="001367F5" w:rsidRDefault="028DF08E" w:rsidP="00BB551F">
            <w:pPr>
              <w:pStyle w:val="TableTextLeft"/>
            </w:pPr>
            <w:r>
              <w:t>Plants</w:t>
            </w:r>
          </w:p>
        </w:tc>
        <w:tc>
          <w:tcPr>
            <w:tcW w:w="1942" w:type="dxa"/>
          </w:tcPr>
          <w:p w14:paraId="2530BA22" w14:textId="77777777" w:rsidR="001367F5" w:rsidRDefault="028DF08E" w:rsidP="00BB551F">
            <w:pPr>
              <w:pStyle w:val="TableTextCentre"/>
            </w:pPr>
            <w:r>
              <w:t>425</w:t>
            </w:r>
          </w:p>
        </w:tc>
        <w:tc>
          <w:tcPr>
            <w:tcW w:w="1701" w:type="dxa"/>
          </w:tcPr>
          <w:p w14:paraId="5961816B" w14:textId="77777777" w:rsidR="001367F5" w:rsidRDefault="028DF08E" w:rsidP="00BB551F">
            <w:pPr>
              <w:pStyle w:val="TableTextCentre"/>
            </w:pPr>
            <w:r>
              <w:t>1819</w:t>
            </w:r>
          </w:p>
        </w:tc>
        <w:tc>
          <w:tcPr>
            <w:tcW w:w="2126" w:type="dxa"/>
          </w:tcPr>
          <w:p w14:paraId="0CAEC243" w14:textId="77777777" w:rsidR="001367F5" w:rsidRDefault="028DF08E" w:rsidP="00BB551F">
            <w:pPr>
              <w:pStyle w:val="TableTextCentre"/>
            </w:pPr>
            <w:r>
              <w:t>0.23</w:t>
            </w:r>
          </w:p>
        </w:tc>
      </w:tr>
      <w:tr w:rsidR="001367F5" w14:paraId="5EF72645" w14:textId="77777777" w:rsidTr="0063781B">
        <w:tc>
          <w:tcPr>
            <w:tcW w:w="1177" w:type="dxa"/>
          </w:tcPr>
          <w:p w14:paraId="0AB6810F" w14:textId="77777777" w:rsidR="001367F5" w:rsidRDefault="028DF08E" w:rsidP="00BB551F">
            <w:pPr>
              <w:pStyle w:val="TableTextLeft"/>
            </w:pPr>
            <w:r>
              <w:t>All Groups</w:t>
            </w:r>
          </w:p>
        </w:tc>
        <w:tc>
          <w:tcPr>
            <w:tcW w:w="1942" w:type="dxa"/>
          </w:tcPr>
          <w:p w14:paraId="1681D10D" w14:textId="77777777" w:rsidR="001367F5" w:rsidRDefault="028DF08E" w:rsidP="00BB551F">
            <w:pPr>
              <w:pStyle w:val="TableTextCentre"/>
            </w:pPr>
            <w:r>
              <w:t>633</w:t>
            </w:r>
          </w:p>
        </w:tc>
        <w:tc>
          <w:tcPr>
            <w:tcW w:w="1701" w:type="dxa"/>
          </w:tcPr>
          <w:p w14:paraId="0D3DA6D5" w14:textId="77777777" w:rsidR="001367F5" w:rsidRDefault="028DF08E" w:rsidP="00BB551F">
            <w:pPr>
              <w:pStyle w:val="TableTextCentre"/>
            </w:pPr>
            <w:r>
              <w:t>2318</w:t>
            </w:r>
          </w:p>
        </w:tc>
        <w:tc>
          <w:tcPr>
            <w:tcW w:w="2126" w:type="dxa"/>
          </w:tcPr>
          <w:p w14:paraId="1135FB52" w14:textId="77777777" w:rsidR="001367F5" w:rsidRDefault="028DF08E" w:rsidP="00BB551F">
            <w:pPr>
              <w:pStyle w:val="TableTextCentre"/>
            </w:pPr>
            <w:r>
              <w:t>0.27</w:t>
            </w:r>
          </w:p>
        </w:tc>
      </w:tr>
    </w:tbl>
    <w:p w14:paraId="6559BF8C" w14:textId="77777777" w:rsidR="00C61EE7" w:rsidRPr="00C61EE7" w:rsidRDefault="00C61EE7" w:rsidP="00C61EE7">
      <w:pPr>
        <w:pStyle w:val="BodyText"/>
        <w:spacing w:before="0" w:after="0" w:line="240" w:lineRule="auto"/>
        <w:rPr>
          <w:sz w:val="16"/>
          <w:szCs w:val="16"/>
        </w:rPr>
      </w:pPr>
    </w:p>
    <w:p w14:paraId="464F6B03" w14:textId="1A3722CB" w:rsidR="001367F5" w:rsidRDefault="028DF08E" w:rsidP="007002A5">
      <w:pPr>
        <w:pStyle w:val="CaptionImageorFigure"/>
      </w:pPr>
      <w:r>
        <w:t xml:space="preserve">Table </w:t>
      </w:r>
      <w:r w:rsidR="005D2E6B">
        <w:t>3</w:t>
      </w:r>
      <w:r>
        <w:t>: Examples of the types of traits used for each taxonomic group to extrapolate information on the benefit of management actions to other species with similar traits.</w:t>
      </w:r>
    </w:p>
    <w:tbl>
      <w:tblPr>
        <w:tblStyle w:val="TableGrid"/>
        <w:tblW w:w="0" w:type="auto"/>
        <w:tblLook w:val="04A0" w:firstRow="1" w:lastRow="0" w:firstColumn="1" w:lastColumn="0" w:noHBand="0" w:noVBand="1"/>
        <w:tblCaption w:val="Traits used for taxonomic groups to model expected benefit"/>
        <w:tblDescription w:val="This table lists the traits used for each taxonomic group to model the expected benefit of actions."/>
      </w:tblPr>
      <w:tblGrid>
        <w:gridCol w:w="1177"/>
        <w:gridCol w:w="9028"/>
      </w:tblGrid>
      <w:tr w:rsidR="001367F5" w14:paraId="06F4F785" w14:textId="77777777" w:rsidTr="0063781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177" w:type="dxa"/>
          </w:tcPr>
          <w:p w14:paraId="6FC928B4" w14:textId="77777777" w:rsidR="001367F5" w:rsidRDefault="028DF08E" w:rsidP="00BB551F">
            <w:pPr>
              <w:pStyle w:val="TableHeadingLeft"/>
            </w:pPr>
            <w:r>
              <w:t>Taxonomic group</w:t>
            </w:r>
          </w:p>
        </w:tc>
        <w:tc>
          <w:tcPr>
            <w:tcW w:w="9028" w:type="dxa"/>
          </w:tcPr>
          <w:p w14:paraId="132B80B2" w14:textId="6A35CA24" w:rsidR="001367F5" w:rsidRDefault="028DF08E" w:rsidP="00BB551F">
            <w:pPr>
              <w:pStyle w:val="TableHeadingLeft"/>
              <w:cnfStyle w:val="100000000000" w:firstRow="1" w:lastRow="0" w:firstColumn="0" w:lastColumn="0" w:oddVBand="0" w:evenVBand="0" w:oddHBand="0" w:evenHBand="0" w:firstRowFirstColumn="0" w:firstRowLastColumn="0" w:lastRowFirstColumn="0" w:lastRowLastColumn="0"/>
            </w:pPr>
            <w:r>
              <w:t>Traits used to infer management effectiveness across species</w:t>
            </w:r>
          </w:p>
        </w:tc>
      </w:tr>
      <w:tr w:rsidR="001367F5" w14:paraId="3ABF7BA4" w14:textId="77777777" w:rsidTr="0063781B">
        <w:tc>
          <w:tcPr>
            <w:tcW w:w="1177" w:type="dxa"/>
          </w:tcPr>
          <w:p w14:paraId="7EC86E66" w14:textId="77777777" w:rsidR="001367F5" w:rsidRDefault="028DF08E" w:rsidP="00BB551F">
            <w:pPr>
              <w:pStyle w:val="TableTextLeft"/>
            </w:pPr>
            <w:r>
              <w:t>Birds</w:t>
            </w:r>
          </w:p>
        </w:tc>
        <w:tc>
          <w:tcPr>
            <w:tcW w:w="9028" w:type="dxa"/>
          </w:tcPr>
          <w:p w14:paraId="6A402B06" w14:textId="77777777" w:rsidR="001367F5" w:rsidRDefault="028DF08E" w:rsidP="00BB551F">
            <w:pPr>
              <w:pStyle w:val="TableTextLeft"/>
            </w:pPr>
            <w:r>
              <w:t>Life form, body mass, egg mass, egg clutch size, nesting habit, foraging habit, diet, migration habit</w:t>
            </w:r>
          </w:p>
        </w:tc>
      </w:tr>
      <w:tr w:rsidR="001367F5" w14:paraId="7724AC27" w14:textId="77777777" w:rsidTr="0063781B">
        <w:tc>
          <w:tcPr>
            <w:tcW w:w="1177" w:type="dxa"/>
          </w:tcPr>
          <w:p w14:paraId="5EF72316" w14:textId="77777777" w:rsidR="001367F5" w:rsidRDefault="028DF08E" w:rsidP="00BB551F">
            <w:pPr>
              <w:pStyle w:val="TableTextLeft"/>
            </w:pPr>
            <w:r>
              <w:t>Mammals</w:t>
            </w:r>
          </w:p>
        </w:tc>
        <w:tc>
          <w:tcPr>
            <w:tcW w:w="9028" w:type="dxa"/>
          </w:tcPr>
          <w:p w14:paraId="4A09DB08" w14:textId="77777777" w:rsidR="001367F5" w:rsidRDefault="028DF08E" w:rsidP="00BB551F">
            <w:pPr>
              <w:pStyle w:val="TableTextLeft"/>
            </w:pPr>
            <w:r>
              <w:t>Body mass, home range, litter size, longevity, diet, social behaviour</w:t>
            </w:r>
          </w:p>
        </w:tc>
      </w:tr>
      <w:tr w:rsidR="001367F5" w14:paraId="6849FA9B" w14:textId="77777777" w:rsidTr="0063781B">
        <w:tc>
          <w:tcPr>
            <w:tcW w:w="1177" w:type="dxa"/>
          </w:tcPr>
          <w:p w14:paraId="54ED43BC" w14:textId="77777777" w:rsidR="001367F5" w:rsidRDefault="028DF08E" w:rsidP="00BB551F">
            <w:pPr>
              <w:pStyle w:val="TableTextLeft"/>
            </w:pPr>
            <w:r>
              <w:t>Frogs</w:t>
            </w:r>
          </w:p>
        </w:tc>
        <w:tc>
          <w:tcPr>
            <w:tcW w:w="9028" w:type="dxa"/>
          </w:tcPr>
          <w:p w14:paraId="2D4C6EF8" w14:textId="77777777" w:rsidR="001367F5" w:rsidRDefault="028DF08E" w:rsidP="00BB551F">
            <w:pPr>
              <w:pStyle w:val="TableTextLeft"/>
            </w:pPr>
            <w:r>
              <w:t>Body size, body length, colour, egg clutch size, egg size, oviposition, time to hatch, oral disc, days to metamorphosis, feeding habit, life cycle periodisation</w:t>
            </w:r>
          </w:p>
        </w:tc>
      </w:tr>
      <w:tr w:rsidR="001367F5" w14:paraId="7C8DA73D" w14:textId="77777777" w:rsidTr="0063781B">
        <w:tc>
          <w:tcPr>
            <w:tcW w:w="1177" w:type="dxa"/>
          </w:tcPr>
          <w:p w14:paraId="791FF654" w14:textId="77777777" w:rsidR="001367F5" w:rsidRDefault="028DF08E" w:rsidP="00BB551F">
            <w:pPr>
              <w:pStyle w:val="TableTextLeft"/>
            </w:pPr>
            <w:r>
              <w:t>Reptiles</w:t>
            </w:r>
          </w:p>
        </w:tc>
        <w:tc>
          <w:tcPr>
            <w:tcW w:w="9028" w:type="dxa"/>
          </w:tcPr>
          <w:p w14:paraId="5A39F58A" w14:textId="77777777" w:rsidR="001367F5" w:rsidRDefault="028DF08E" w:rsidP="00BB551F">
            <w:pPr>
              <w:pStyle w:val="TableTextLeft"/>
            </w:pPr>
            <w:r>
              <w:t>Home range, dispersal distance, critical habitat elements, body size, longevity, sexual maturity, growth rate, diet</w:t>
            </w:r>
          </w:p>
        </w:tc>
      </w:tr>
      <w:tr w:rsidR="001367F5" w14:paraId="1DA2C220" w14:textId="77777777" w:rsidTr="0063781B">
        <w:tc>
          <w:tcPr>
            <w:tcW w:w="1177" w:type="dxa"/>
          </w:tcPr>
          <w:p w14:paraId="6155D5E1" w14:textId="77777777" w:rsidR="001367F5" w:rsidRDefault="028DF08E" w:rsidP="00BB551F">
            <w:pPr>
              <w:pStyle w:val="TableTextLeft"/>
            </w:pPr>
            <w:r>
              <w:t>Plants</w:t>
            </w:r>
          </w:p>
        </w:tc>
        <w:tc>
          <w:tcPr>
            <w:tcW w:w="9028" w:type="dxa"/>
          </w:tcPr>
          <w:p w14:paraId="34FB095B" w14:textId="77777777" w:rsidR="001367F5" w:rsidRDefault="028DF08E" w:rsidP="00BB551F">
            <w:pPr>
              <w:pStyle w:val="TableTextLeft"/>
            </w:pPr>
            <w:r>
              <w:t>Fire sensitivity, snow tolerance, seed size, seed storage, palatability, pollination method, dispersal method, bark type, flowering month, life form, family, nutrient needs</w:t>
            </w:r>
          </w:p>
        </w:tc>
      </w:tr>
    </w:tbl>
    <w:p w14:paraId="645A9863" w14:textId="40B6A4DF" w:rsidR="002E7E89" w:rsidRDefault="002E7E89" w:rsidP="00BB76B9">
      <w:pPr>
        <w:pStyle w:val="BodyText"/>
        <w:spacing w:before="0" w:after="0" w:line="240" w:lineRule="auto"/>
        <w:rPr>
          <w:lang w:eastAsia="en-AU"/>
        </w:rPr>
        <w:sectPr w:rsidR="002E7E89" w:rsidSect="002E7E89">
          <w:type w:val="continuous"/>
          <w:pgSz w:w="11907" w:h="16840" w:code="9"/>
          <w:pgMar w:top="2211" w:right="851" w:bottom="1758" w:left="851" w:header="284" w:footer="284" w:gutter="0"/>
          <w:cols w:space="284"/>
          <w:docGrid w:linePitch="360"/>
        </w:sectPr>
      </w:pPr>
    </w:p>
    <w:p w14:paraId="6C2D2F18" w14:textId="02A5619A" w:rsidR="00030563" w:rsidRDefault="028DF08E" w:rsidP="00171FFC">
      <w:pPr>
        <w:pStyle w:val="Heading1"/>
        <w:numPr>
          <w:ilvl w:val="0"/>
          <w:numId w:val="0"/>
        </w:numPr>
        <w:spacing w:before="120" w:after="240"/>
      </w:pPr>
      <w:r>
        <w:t>Indicative costs</w:t>
      </w:r>
    </w:p>
    <w:p w14:paraId="12695064" w14:textId="638A1C8C" w:rsidR="00030563" w:rsidRDefault="028DF08E" w:rsidP="00F05D2F">
      <w:pPr>
        <w:pStyle w:val="BodyText"/>
      </w:pPr>
      <w:r>
        <w:t xml:space="preserve">Cost is an important consideration </w:t>
      </w:r>
      <w:r w:rsidR="00F05D2F">
        <w:t>if we</w:t>
      </w:r>
      <w:r>
        <w:t xml:space="preserve"> want to spend our conservation resources and effort wisely</w:t>
      </w:r>
      <w:r w:rsidR="00F05D2F">
        <w:t xml:space="preserve">. Estimating </w:t>
      </w:r>
      <w:r>
        <w:t xml:space="preserve">what will result in the most cost-effective outcomes for biodiversity </w:t>
      </w:r>
      <w:r w:rsidR="00F05D2F">
        <w:t>will</w:t>
      </w:r>
      <w:r>
        <w:t xml:space="preserve"> help us decide which actions to do where.</w:t>
      </w:r>
    </w:p>
    <w:p w14:paraId="6D3DB7DC" w14:textId="2EEF0E1A" w:rsidR="00030563" w:rsidRDefault="028DF08E" w:rsidP="00030563">
      <w:pPr>
        <w:pStyle w:val="BodyText"/>
      </w:pPr>
      <w:r>
        <w:t xml:space="preserve">Strategic Management Prospects </w:t>
      </w:r>
      <w:r w:rsidR="00F05D2F">
        <w:t>integrates</w:t>
      </w:r>
      <w:r>
        <w:t xml:space="preserve"> the indicative cost of specific biodiversity management actions with their expected benefit (measured by Change in Suitable Habitat). This allows for direct comparison of the cost-effectiveness of </w:t>
      </w:r>
      <w:r w:rsidR="00F05D2F">
        <w:t xml:space="preserve">the suite of </w:t>
      </w:r>
      <w:r>
        <w:t xml:space="preserve">actions through a benefit-cost ratio. SMP shows how investment in separate or combined management actions can improve the extent and condition of biodiversity, and where strategic actions could provide the greatest Change in Suitable Habitat per unit cost. </w:t>
      </w:r>
    </w:p>
    <w:p w14:paraId="73C36137" w14:textId="77777777" w:rsidR="00615E60" w:rsidRDefault="028DF08E" w:rsidP="00030563">
      <w:pPr>
        <w:pStyle w:val="Heading2"/>
      </w:pPr>
      <w:r>
        <w:t>Which actions are costed in SMP?</w:t>
      </w:r>
    </w:p>
    <w:p w14:paraId="29756335" w14:textId="43D67BAF" w:rsidR="00030563" w:rsidRDefault="028DF08E" w:rsidP="00030563">
      <w:pPr>
        <w:pStyle w:val="BodyText"/>
      </w:pPr>
      <w:r>
        <w:t xml:space="preserve">The landscape-scale actions costed in the </w:t>
      </w:r>
      <w:r w:rsidR="006A06F4">
        <w:t xml:space="preserve">SMP v1.2 </w:t>
      </w:r>
      <w:r>
        <w:t>analysis are: revegetation, weed control, domestic stock exclusion, fox control,</w:t>
      </w:r>
      <w:bookmarkStart w:id="3" w:name="_GoBack"/>
      <w:bookmarkEnd w:id="3"/>
      <w:r>
        <w:t xml:space="preserve"> </w:t>
      </w:r>
      <w:r w:rsidR="004E5B1E">
        <w:t xml:space="preserve">feral cat control, </w:t>
      </w:r>
      <w:r>
        <w:t>feral goat control, feral deer control, rabbit control, feral pig control and</w:t>
      </w:r>
      <w:r w:rsidR="006A06F4">
        <w:t xml:space="preserve"> </w:t>
      </w:r>
      <w:r w:rsidR="00D6176F">
        <w:t>permanent protection of private</w:t>
      </w:r>
      <w:r w:rsidR="00F26C35">
        <w:t xml:space="preserve"> land</w:t>
      </w:r>
      <w:r>
        <w:t xml:space="preserve">. </w:t>
      </w:r>
      <w:r w:rsidR="00CF5B73">
        <w:t xml:space="preserve">Some actions are modelled as a </w:t>
      </w:r>
      <w:r w:rsidR="00C90051">
        <w:t xml:space="preserve">set of </w:t>
      </w:r>
      <w:r w:rsidR="00CF5B73">
        <w:t>action</w:t>
      </w:r>
      <w:r w:rsidR="00C90051">
        <w:t>s</w:t>
      </w:r>
      <w:r w:rsidR="00CF5B73">
        <w:t xml:space="preserve"> where combination</w:t>
      </w:r>
      <w:r w:rsidR="00C90051">
        <w:t>s</w:t>
      </w:r>
      <w:r w:rsidR="00CF5B73">
        <w:t xml:space="preserve"> </w:t>
      </w:r>
      <w:r w:rsidR="002A6993">
        <w:t>have been deemed</w:t>
      </w:r>
      <w:r w:rsidR="00CF5B73">
        <w:t xml:space="preserve"> to be more beneficial </w:t>
      </w:r>
      <w:r w:rsidR="00395187">
        <w:t xml:space="preserve">and cost-effective </w:t>
      </w:r>
      <w:r w:rsidR="00CF5B73">
        <w:t xml:space="preserve">than undertaking a single action only. These include: fox and cat control, domestic stock and weed control, and control of </w:t>
      </w:r>
      <w:r w:rsidR="00C90051">
        <w:t>all</w:t>
      </w:r>
      <w:r w:rsidR="00566D85">
        <w:t xml:space="preserve"> three </w:t>
      </w:r>
      <w:r w:rsidR="00CF5B73">
        <w:t>large invasive herbivores (deer, goats and pigs).</w:t>
      </w:r>
    </w:p>
    <w:p w14:paraId="1F45B4EE" w14:textId="02DD6E72" w:rsidR="00BB76B9" w:rsidRDefault="028DF08E" w:rsidP="00BB76B9">
      <w:pPr>
        <w:pStyle w:val="BodyText"/>
      </w:pPr>
      <w:r>
        <w:t xml:space="preserve">Some actions are difficult to cost </w:t>
      </w:r>
      <w:r w:rsidR="006A06F4">
        <w:t>or have social and legal ramifications t</w:t>
      </w:r>
      <w:r w:rsidR="007C4BC0">
        <w:t xml:space="preserve">hat are beyond the scope of SMP </w:t>
      </w:r>
      <w:r w:rsidR="006A06F4">
        <w:t>(such as not doing control burning or timber harvesting</w:t>
      </w:r>
      <w:r w:rsidR="00E02F03">
        <w:t>;</w:t>
      </w:r>
      <w:r w:rsidR="006A06F4">
        <w:t xml:space="preserve"> </w:t>
      </w:r>
      <w:r w:rsidR="006A06F4" w:rsidRPr="00CF5B73">
        <w:t xml:space="preserve">preventing the spread of </w:t>
      </w:r>
      <w:r w:rsidR="006A06F4" w:rsidRPr="00B40C4E">
        <w:rPr>
          <w:i/>
        </w:rPr>
        <w:t>Phytophthora</w:t>
      </w:r>
      <w:r w:rsidR="00E02F03">
        <w:t>;</w:t>
      </w:r>
      <w:r w:rsidR="006A06F4">
        <w:t xml:space="preserve"> </w:t>
      </w:r>
      <w:r w:rsidR="00FF3AE3">
        <w:t xml:space="preserve">or </w:t>
      </w:r>
      <w:r w:rsidR="006A06F4">
        <w:t>controlling horses)</w:t>
      </w:r>
      <w:r>
        <w:t xml:space="preserve">. For example, the cost of not doing the action could be considered from an operational perspective as a cost saving, but the hidden and unknowable cost of not doing the action could be significant to the community (for example, loss of earnings from development, or the cost of a wildfire that was not avoided). These actions are currently not </w:t>
      </w:r>
      <w:r w:rsidR="006C0FCA">
        <w:t xml:space="preserve">used </w:t>
      </w:r>
      <w:r>
        <w:t>in the analysis</w:t>
      </w:r>
      <w:r w:rsidR="004654EA">
        <w:t>, but we are able to run scenarios to illustrate how</w:t>
      </w:r>
      <w:r w:rsidR="00C90051">
        <w:t>,</w:t>
      </w:r>
      <w:r w:rsidR="004654EA">
        <w:t xml:space="preserve"> </w:t>
      </w:r>
      <w:r w:rsidR="00C90051">
        <w:t xml:space="preserve">at a certain price point, </w:t>
      </w:r>
      <w:r w:rsidR="004654EA">
        <w:t xml:space="preserve">considering </w:t>
      </w:r>
      <w:r w:rsidR="00C90051">
        <w:t xml:space="preserve">such </w:t>
      </w:r>
      <w:r w:rsidR="004654EA">
        <w:t xml:space="preserve">threats and actions </w:t>
      </w:r>
      <w:r w:rsidR="00C90051">
        <w:t xml:space="preserve">will produce additional biodiversity benefit </w:t>
      </w:r>
      <w:r w:rsidR="004654EA">
        <w:t>across the state</w:t>
      </w:r>
      <w:r>
        <w:t>.</w:t>
      </w:r>
    </w:p>
    <w:p w14:paraId="1A137AA3" w14:textId="4848788E" w:rsidR="00B5421F" w:rsidRDefault="028DF08E" w:rsidP="00BB76B9">
      <w:pPr>
        <w:pStyle w:val="Heading2"/>
      </w:pPr>
      <w:r>
        <w:t>Estimating and incorporating costs</w:t>
      </w:r>
    </w:p>
    <w:p w14:paraId="38F4B543" w14:textId="1C2FD1CB" w:rsidR="0074101D" w:rsidRDefault="028DF08E" w:rsidP="0074101D">
      <w:pPr>
        <w:pStyle w:val="BodyText"/>
      </w:pPr>
      <w:r>
        <w:t>Cost in the context of NaturePrint can only be e</w:t>
      </w:r>
      <w:r w:rsidRPr="00CE7883">
        <w:t xml:space="preserve">stimated – real costs can only be discovered within a market context such as through competitive tendering. In SMP </w:t>
      </w:r>
      <w:r w:rsidR="000A1280">
        <w:t xml:space="preserve">the </w:t>
      </w:r>
      <w:r w:rsidRPr="00CE7883">
        <w:t xml:space="preserve">costs of on-ground operations were calculated as dollars per hectare using data collected from scientific and grey literature, as well as interviews with DELWP land managers and partners. </w:t>
      </w:r>
      <w:r w:rsidR="004654EA">
        <w:t xml:space="preserve">In </w:t>
      </w:r>
      <w:r w:rsidR="0074101D" w:rsidRPr="00CE7883">
        <w:t>SMP v1.2</w:t>
      </w:r>
      <w:r w:rsidR="004654EA">
        <w:t>,</w:t>
      </w:r>
      <w:r w:rsidR="0074101D" w:rsidRPr="00CE7883">
        <w:t xml:space="preserve"> cost models are informed by considering temporal (time-related), spatial (place-related), and cost components (site costs; opportunity costs to private landholders; transaction costs; and travel costs)</w:t>
      </w:r>
      <w:r w:rsidR="004654EA">
        <w:t xml:space="preserve"> </w:t>
      </w:r>
      <w:r w:rsidR="00C90051">
        <w:t>using</w:t>
      </w:r>
      <w:r w:rsidR="004654EA">
        <w:t xml:space="preserve"> a </w:t>
      </w:r>
      <w:r w:rsidR="00C90051">
        <w:t xml:space="preserve">consistent and </w:t>
      </w:r>
      <w:r w:rsidR="004654EA">
        <w:t xml:space="preserve">structured </w:t>
      </w:r>
      <w:r w:rsidR="00C90051">
        <w:t>approach.</w:t>
      </w:r>
    </w:p>
    <w:p w14:paraId="63E19B1D" w14:textId="77777777" w:rsidR="0074101D" w:rsidRDefault="0074101D" w:rsidP="0074101D">
      <w:pPr>
        <w:pStyle w:val="Heading3"/>
      </w:pPr>
      <w:r>
        <w:t>Temporal considerations</w:t>
      </w:r>
    </w:p>
    <w:p w14:paraId="61089ED2" w14:textId="03D1E95F" w:rsidR="0074101D" w:rsidRDefault="007C4F6E" w:rsidP="0074101D">
      <w:pPr>
        <w:pStyle w:val="BodyText"/>
      </w:pPr>
      <w:r>
        <w:t>A</w:t>
      </w:r>
      <w:r w:rsidR="0074101D">
        <w:t xml:space="preserve">ll costs associated with the successful implementation of a management action over 50 years </w:t>
      </w:r>
      <w:r>
        <w:t xml:space="preserve">have been </w:t>
      </w:r>
      <w:r w:rsidR="0074101D">
        <w:t>considered</w:t>
      </w:r>
      <w:r>
        <w:t xml:space="preserve"> in the modelling</w:t>
      </w:r>
      <w:r w:rsidR="0074101D">
        <w:t xml:space="preserve">. These include costs associated with sub-tasks that may need to be performed over time including start-up, maintenance, follow-up or </w:t>
      </w:r>
      <w:r w:rsidR="004654EA">
        <w:t>other</w:t>
      </w:r>
      <w:r w:rsidR="007002A5">
        <w:t xml:space="preserve"> </w:t>
      </w:r>
      <w:r w:rsidR="0074101D">
        <w:t xml:space="preserve">tasks undertaken at regular intervals. Costs associated with each sub-task </w:t>
      </w:r>
      <w:r w:rsidR="00C90051">
        <w:t>have</w:t>
      </w:r>
      <w:r w:rsidR="0074101D">
        <w:t xml:space="preserve"> be</w:t>
      </w:r>
      <w:r w:rsidR="00C90051">
        <w:t>en</w:t>
      </w:r>
      <w:r w:rsidR="0074101D">
        <w:t xml:space="preserve"> discounted back </w:t>
      </w:r>
      <w:r w:rsidR="00406785">
        <w:t xml:space="preserve">to </w:t>
      </w:r>
      <w:r w:rsidR="0074101D">
        <w:t xml:space="preserve">the present </w:t>
      </w:r>
      <w:r w:rsidR="00F53730">
        <w:t xml:space="preserve">(at a discount rate of 5%) </w:t>
      </w:r>
      <w:r w:rsidR="0074101D">
        <w:t>so that all costs can be compared in the context of ‘Present Value’. Interest costs (or other opportunity costs) are real costs and therefore - as in any financial analysis - we need to discount. Ideally</w:t>
      </w:r>
      <w:r w:rsidR="00BB76B9">
        <w:t>,</w:t>
      </w:r>
      <w:r w:rsidR="0074101D">
        <w:t xml:space="preserve"> we would discount the </w:t>
      </w:r>
      <w:r>
        <w:t xml:space="preserve">conservation </w:t>
      </w:r>
      <w:r w:rsidR="0074101D">
        <w:t>benefits as well</w:t>
      </w:r>
      <w:r w:rsidR="00C90051">
        <w:t>,</w:t>
      </w:r>
      <w:r w:rsidR="0074101D">
        <w:t xml:space="preserve"> but as all benefits are specifically estimated at 50 years there is no useful discrimination.</w:t>
      </w:r>
    </w:p>
    <w:p w14:paraId="4D3E2E2A" w14:textId="77777777" w:rsidR="0074101D" w:rsidRDefault="0074101D" w:rsidP="0074101D">
      <w:pPr>
        <w:pStyle w:val="Heading3"/>
      </w:pPr>
      <w:r>
        <w:t xml:space="preserve">Spatial considerations </w:t>
      </w:r>
    </w:p>
    <w:p w14:paraId="657DD0FB" w14:textId="35621E70" w:rsidR="0074101D" w:rsidRDefault="00C90051" w:rsidP="0074101D">
      <w:pPr>
        <w:pStyle w:val="BodyText"/>
      </w:pPr>
      <w:r>
        <w:t xml:space="preserve">Costs for all </w:t>
      </w:r>
      <w:r w:rsidR="0074101D">
        <w:t>actions</w:t>
      </w:r>
      <w:r w:rsidR="007D38FD">
        <w:t xml:space="preserve"> have been</w:t>
      </w:r>
      <w:r w:rsidR="00B40C4E">
        <w:t xml:space="preserve"> </w:t>
      </w:r>
      <w:r>
        <w:t xml:space="preserve">modelled </w:t>
      </w:r>
      <w:r w:rsidR="0074101D">
        <w:t>in a spatially explicit manner, so that the local or site</w:t>
      </w:r>
      <w:r w:rsidR="007002A5">
        <w:t>-</w:t>
      </w:r>
      <w:r w:rsidR="0074101D">
        <w:t>specific benefits and their associated costs can be</w:t>
      </w:r>
      <w:r w:rsidR="007C4F6E">
        <w:t xml:space="preserve"> mapped and</w:t>
      </w:r>
      <w:r w:rsidR="0074101D">
        <w:t xml:space="preserve"> calculated. Costs </w:t>
      </w:r>
      <w:r w:rsidR="007C4F6E">
        <w:t>have</w:t>
      </w:r>
      <w:r w:rsidR="0074101D">
        <w:t xml:space="preserve"> be</w:t>
      </w:r>
      <w:r w:rsidR="007C4F6E">
        <w:t>en</w:t>
      </w:r>
      <w:r w:rsidR="0074101D">
        <w:t xml:space="preserve"> estimated on a unit area basis (i.e. $/hectare). Therefore, we need to account for the effect of </w:t>
      </w:r>
      <w:r w:rsidR="004E5B1E">
        <w:t>‘</w:t>
      </w:r>
      <w:r w:rsidR="004169D6">
        <w:t xml:space="preserve">economies </w:t>
      </w:r>
      <w:r w:rsidR="0074101D">
        <w:t xml:space="preserve">of scale’. </w:t>
      </w:r>
      <w:r w:rsidR="007C4F6E">
        <w:t>Th</w:t>
      </w:r>
      <w:r w:rsidR="00E54323">
        <w:t>ere are always cost advantages</w:t>
      </w:r>
      <w:r w:rsidR="007C4F6E">
        <w:t xml:space="preserve"> </w:t>
      </w:r>
      <w:r w:rsidR="00E54323">
        <w:t xml:space="preserve">when any action is undertaken over a large area compared with a smaller area. </w:t>
      </w:r>
      <w:r w:rsidR="0074101D">
        <w:t xml:space="preserve">The efficiencies gained at different scales will depend on the action. </w:t>
      </w:r>
      <w:r>
        <w:t>I</w:t>
      </w:r>
      <w:r w:rsidR="007C4F6E">
        <w:t>n practice, many actions are</w:t>
      </w:r>
      <w:r>
        <w:t xml:space="preserve"> undertaken at different spatial scales. Fox baiting is typically implemented over </w:t>
      </w:r>
      <w:r w:rsidR="004169D6">
        <w:t xml:space="preserve">many thousands of hectares </w:t>
      </w:r>
      <w:r>
        <w:t xml:space="preserve">whereas </w:t>
      </w:r>
      <w:r w:rsidR="004169D6">
        <w:t xml:space="preserve">revegetation projects are often less than 10 hectares in size. To compare the cost benefit of these disparate actions equitably, cost must be estimated </w:t>
      </w:r>
      <w:r w:rsidR="009263C1">
        <w:t xml:space="preserve">for all actions </w:t>
      </w:r>
      <w:r w:rsidR="004169D6">
        <w:t xml:space="preserve">at a standard scale to prevent </w:t>
      </w:r>
      <w:r w:rsidR="009263C1">
        <w:t xml:space="preserve">cost </w:t>
      </w:r>
      <w:r w:rsidR="004169D6">
        <w:t xml:space="preserve">distortions related to scale. We have chosen to estimate the cost of undertaking all actions over 1000 hectares. </w:t>
      </w:r>
    </w:p>
    <w:p w14:paraId="26C71137" w14:textId="77777777" w:rsidR="0074101D" w:rsidRDefault="0074101D" w:rsidP="0074101D">
      <w:pPr>
        <w:pStyle w:val="Heading3"/>
      </w:pPr>
      <w:r>
        <w:t>Cost components</w:t>
      </w:r>
    </w:p>
    <w:p w14:paraId="6A2A7A8D" w14:textId="4B36D326" w:rsidR="00CE7883" w:rsidRDefault="0074101D" w:rsidP="00F024C9">
      <w:pPr>
        <w:pStyle w:val="BodyText"/>
      </w:pPr>
      <w:r>
        <w:t>Estimating all costs can be a complex problem. We conceive costs to include four components: site costs; opportunity costs to private landholders; transaction costs; and travel costs (see Figure 4).</w:t>
      </w:r>
    </w:p>
    <w:p w14:paraId="7049422E" w14:textId="77777777" w:rsidR="00F024C9" w:rsidRDefault="00F024C9" w:rsidP="0074101D">
      <w:pPr>
        <w:pStyle w:val="BodyText"/>
        <w:sectPr w:rsidR="00F024C9" w:rsidSect="00736385">
          <w:type w:val="continuous"/>
          <w:pgSz w:w="11907" w:h="16840" w:code="9"/>
          <w:pgMar w:top="2211" w:right="851" w:bottom="1758" w:left="851" w:header="284" w:footer="284" w:gutter="0"/>
          <w:cols w:num="2" w:space="284"/>
          <w:docGrid w:linePitch="360"/>
        </w:sectPr>
      </w:pPr>
    </w:p>
    <w:p w14:paraId="292ABFB7" w14:textId="77777777" w:rsidR="0074101D" w:rsidRDefault="0074101D" w:rsidP="007C1022">
      <w:pPr>
        <w:pStyle w:val="BodyText"/>
        <w:spacing w:before="0" w:after="0" w:line="240" w:lineRule="auto"/>
        <w:jc w:val="center"/>
      </w:pPr>
      <w:r>
        <w:rPr>
          <w:noProof/>
          <w:lang w:eastAsia="en-AU"/>
        </w:rPr>
        <w:drawing>
          <wp:inline distT="0" distB="0" distL="0" distR="0" wp14:anchorId="584B7055" wp14:editId="7011973F">
            <wp:extent cx="5882173" cy="3465632"/>
            <wp:effectExtent l="19050" t="19050" r="23495" b="20955"/>
            <wp:docPr id="15" name="Picture 15" descr="This is a diagram demonstrating the different components used in cost modelling." title="Components of cost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jpg"/>
                    <pic:cNvPicPr/>
                  </pic:nvPicPr>
                  <pic:blipFill rotWithShape="1">
                    <a:blip r:embed="rId22">
                      <a:extLst>
                        <a:ext uri="{28A0092B-C50C-407E-A947-70E740481C1C}">
                          <a14:useLocalDpi xmlns:a14="http://schemas.microsoft.com/office/drawing/2010/main" val="0"/>
                        </a:ext>
                      </a:extLst>
                    </a:blip>
                    <a:srcRect l="2480" t="1435" r="4620" b="1249"/>
                    <a:stretch/>
                  </pic:blipFill>
                  <pic:spPr bwMode="auto">
                    <a:xfrm>
                      <a:off x="0" y="0"/>
                      <a:ext cx="5969139" cy="351687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52E6911" w14:textId="41EE6DD1" w:rsidR="007002A5" w:rsidRDefault="0074101D" w:rsidP="007002A5">
      <w:pPr>
        <w:pStyle w:val="CaptionImageorFigure"/>
      </w:pPr>
      <w:r>
        <w:t xml:space="preserve">Figure 4. </w:t>
      </w:r>
      <w:r w:rsidRPr="00F024C9">
        <w:t>Co</w:t>
      </w:r>
      <w:r w:rsidR="00F0152B">
        <w:t>mponents of cost</w:t>
      </w:r>
      <w:r>
        <w:t xml:space="preserve"> model</w:t>
      </w:r>
      <w:r w:rsidR="00F0152B">
        <w:t>s</w:t>
      </w:r>
    </w:p>
    <w:p w14:paraId="265D8E48" w14:textId="77777777" w:rsidR="007C1022" w:rsidRDefault="007C1022" w:rsidP="007C1022">
      <w:pPr>
        <w:pStyle w:val="BodyText"/>
        <w:spacing w:before="0" w:after="0" w:line="240" w:lineRule="auto"/>
        <w:jc w:val="center"/>
      </w:pPr>
      <w:r>
        <w:rPr>
          <w:noProof/>
          <w:lang w:eastAsia="en-AU"/>
        </w:rPr>
        <w:drawing>
          <wp:inline distT="0" distB="0" distL="0" distR="0" wp14:anchorId="1662D30A" wp14:editId="10D170E0">
            <wp:extent cx="5893798" cy="2846657"/>
            <wp:effectExtent l="19050" t="19050" r="12065" b="11430"/>
            <wp:docPr id="18" name="Picture 18" descr="This is a diagram showing the different variable and fixed costs that are considered in cost models." title="Sit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esentation1.jpg"/>
                    <pic:cNvPicPr/>
                  </pic:nvPicPr>
                  <pic:blipFill rotWithShape="1">
                    <a:blip r:embed="rId23">
                      <a:extLst>
                        <a:ext uri="{28A0092B-C50C-407E-A947-70E740481C1C}">
                          <a14:useLocalDpi xmlns:a14="http://schemas.microsoft.com/office/drawing/2010/main" val="0"/>
                        </a:ext>
                      </a:extLst>
                    </a:blip>
                    <a:srcRect t="12111" r="2437" b="4112"/>
                    <a:stretch/>
                  </pic:blipFill>
                  <pic:spPr bwMode="auto">
                    <a:xfrm>
                      <a:off x="0" y="0"/>
                      <a:ext cx="5908147" cy="285358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3F1276C" w14:textId="1EA62420" w:rsidR="007C1022" w:rsidRDefault="007C1022" w:rsidP="007C1022">
      <w:pPr>
        <w:pStyle w:val="CaptionImageorFigure"/>
      </w:pPr>
      <w:r w:rsidRPr="00F024C9">
        <w:t>Figure</w:t>
      </w:r>
      <w:r>
        <w:t xml:space="preserve"> 5. Site Costs for </w:t>
      </w:r>
      <w:r w:rsidR="00F0152B">
        <w:t>an</w:t>
      </w:r>
      <w:r>
        <w:t xml:space="preserve"> action at each time step (relative to action)</w:t>
      </w:r>
    </w:p>
    <w:p w14:paraId="0A6BD69D" w14:textId="75517722" w:rsidR="007002A5" w:rsidRDefault="007002A5" w:rsidP="007002A5">
      <w:pPr>
        <w:pStyle w:val="CaptionImageorFigure"/>
      </w:pPr>
    </w:p>
    <w:p w14:paraId="51543A87" w14:textId="77777777" w:rsidR="007002A5" w:rsidRDefault="007002A5" w:rsidP="007002A5">
      <w:pPr>
        <w:pStyle w:val="BodyText"/>
        <w:sectPr w:rsidR="007002A5" w:rsidSect="00B11CF9">
          <w:type w:val="continuous"/>
          <w:pgSz w:w="11907" w:h="16840" w:code="9"/>
          <w:pgMar w:top="2211" w:right="851" w:bottom="1758" w:left="851" w:header="284" w:footer="284" w:gutter="0"/>
          <w:cols w:space="284"/>
          <w:docGrid w:linePitch="360"/>
        </w:sectPr>
      </w:pPr>
    </w:p>
    <w:p w14:paraId="452BCAA3" w14:textId="77777777" w:rsidR="007002A5" w:rsidRDefault="007002A5" w:rsidP="007002A5">
      <w:pPr>
        <w:pStyle w:val="Heading4"/>
      </w:pPr>
      <w:r>
        <w:t>Site costs</w:t>
      </w:r>
    </w:p>
    <w:p w14:paraId="3C09AC20" w14:textId="4412318F" w:rsidR="007002A5" w:rsidRDefault="007002A5" w:rsidP="007002A5">
      <w:pPr>
        <w:pStyle w:val="BodyText"/>
      </w:pPr>
      <w:r>
        <w:t>Site costs are those cost</w:t>
      </w:r>
      <w:r w:rsidR="00F0152B">
        <w:t>s</w:t>
      </w:r>
      <w:r>
        <w:t xml:space="preserve"> incurred (at a given spatial scale) to undertake the action in ideal conditions. Sub-costs to be itemised should include: planning costs, plant costs (machinery hire, etc.), labour costs (including all labour on-costs such as training, insurance and rent) and the cost of materials used/consumed. These costs </w:t>
      </w:r>
      <w:r w:rsidR="009263C1">
        <w:t>have been</w:t>
      </w:r>
      <w:r>
        <w:t xml:space="preserve"> estimated in the same way a quantity surveyor might undertake the task – checking suppliers, asking practitioners, etc. These costs will be modified (particularly labour and plant costs) by the nature of the site. Concerns about cost variations between sites </w:t>
      </w:r>
      <w:r w:rsidR="009263C1">
        <w:t xml:space="preserve">have </w:t>
      </w:r>
      <w:r>
        <w:t>be</w:t>
      </w:r>
      <w:r w:rsidR="009263C1">
        <w:t>en</w:t>
      </w:r>
      <w:r>
        <w:t xml:space="preserve"> incorporated into cost estimation through the use and development of spatially explicit overlays relating to climate, terrain, the density of vegetation and where relevant</w:t>
      </w:r>
      <w:r w:rsidR="00F26C35">
        <w:t>,</w:t>
      </w:r>
      <w:r>
        <w:t xml:space="preserve"> the intensity of the threat (i.e. degree of weed infestation). See also Figure 5.</w:t>
      </w:r>
    </w:p>
    <w:p w14:paraId="4E8F5344" w14:textId="77777777" w:rsidR="007002A5" w:rsidRDefault="007002A5" w:rsidP="007002A5">
      <w:pPr>
        <w:pStyle w:val="Heading4"/>
      </w:pPr>
      <w:r>
        <w:t>Opportunity costs</w:t>
      </w:r>
    </w:p>
    <w:p w14:paraId="6B7A41CD" w14:textId="1866D75E" w:rsidR="007002A5" w:rsidRDefault="007002A5" w:rsidP="007002A5">
      <w:pPr>
        <w:pStyle w:val="BodyText"/>
      </w:pPr>
      <w:r>
        <w:t xml:space="preserve">These are the forgone revenues lost to landholders – that we assume may need to be at least matched by project outlays – as a consequence of undertaking </w:t>
      </w:r>
      <w:r w:rsidR="009263C1">
        <w:t xml:space="preserve">those </w:t>
      </w:r>
      <w:r>
        <w:t>conservation action</w:t>
      </w:r>
      <w:r w:rsidR="009263C1">
        <w:t>s that require productive uses (such as cropping or grazing) to cease</w:t>
      </w:r>
      <w:r>
        <w:t xml:space="preserve">. </w:t>
      </w:r>
      <w:r w:rsidR="000A1280">
        <w:t>W</w:t>
      </w:r>
      <w:r>
        <w:t>e estimate opportunity cost to be roughly equivalent to an annual rent</w:t>
      </w:r>
      <w:r w:rsidR="009263C1">
        <w:t xml:space="preserve"> per unit area</w:t>
      </w:r>
      <w:r>
        <w:t xml:space="preserve"> </w:t>
      </w:r>
      <w:r w:rsidR="000A1280">
        <w:t xml:space="preserve">relevant to the </w:t>
      </w:r>
      <w:r>
        <w:t xml:space="preserve">permitted and current land uses and the inherent productivity (in relation to those permitted uses) of the land. </w:t>
      </w:r>
      <w:r w:rsidR="009263C1">
        <w:t>These ‘land rent’ cost have been estimated using land-cover models, planning schemes and land valu</w:t>
      </w:r>
      <w:r w:rsidR="00704697">
        <w:t>ations by local</w:t>
      </w:r>
      <w:r w:rsidR="009263C1">
        <w:t xml:space="preserve"> government area. </w:t>
      </w:r>
    </w:p>
    <w:p w14:paraId="4C3B371B" w14:textId="77777777" w:rsidR="007002A5" w:rsidRDefault="007002A5" w:rsidP="007002A5">
      <w:pPr>
        <w:pStyle w:val="Heading4"/>
      </w:pPr>
      <w:r>
        <w:t>Transaction costs</w:t>
      </w:r>
    </w:p>
    <w:p w14:paraId="16BDD45D" w14:textId="2C1ECF62" w:rsidR="007002A5" w:rsidRDefault="007002A5" w:rsidP="007002A5">
      <w:pPr>
        <w:pStyle w:val="BodyText"/>
      </w:pPr>
      <w:r>
        <w:t>These are the necessary costs associated with stakeholder interaction</w:t>
      </w:r>
      <w:r w:rsidR="00F53730">
        <w:t xml:space="preserve"> and consultation throughout the course of implementing the action</w:t>
      </w:r>
      <w:r>
        <w:t xml:space="preserve">. Stakeholders might be neighbours, landholders, land managers, traditional owners and government </w:t>
      </w:r>
      <w:r w:rsidR="00F53730">
        <w:t>agencies</w:t>
      </w:r>
      <w:r>
        <w:t>, etc. For some actions, such as shooting</w:t>
      </w:r>
      <w:r w:rsidR="00F26C35">
        <w:t xml:space="preserve"> and baiting</w:t>
      </w:r>
      <w:r>
        <w:t xml:space="preserve">, these costs </w:t>
      </w:r>
      <w:r w:rsidR="00F53730">
        <w:t>may</w:t>
      </w:r>
      <w:r>
        <w:t xml:space="preserve"> be considerable.</w:t>
      </w:r>
    </w:p>
    <w:p w14:paraId="0B88A731" w14:textId="77777777" w:rsidR="007002A5" w:rsidRDefault="007002A5" w:rsidP="007002A5">
      <w:pPr>
        <w:pStyle w:val="Heading4"/>
      </w:pPr>
      <w:r>
        <w:t>Travel costs</w:t>
      </w:r>
    </w:p>
    <w:p w14:paraId="6F4FD189" w14:textId="46F697F0" w:rsidR="00DD74DA" w:rsidRDefault="007002A5" w:rsidP="007002A5">
      <w:pPr>
        <w:pStyle w:val="BodyText"/>
      </w:pPr>
      <w:r>
        <w:t xml:space="preserve">Travel costs are those costs (labour, vehicular, etc) associated with travelling from a notional depot to the site where the action will be undertaken. These costs </w:t>
      </w:r>
      <w:r w:rsidR="00F26C35">
        <w:t>have</w:t>
      </w:r>
      <w:r>
        <w:t xml:space="preserve"> be</w:t>
      </w:r>
      <w:r w:rsidR="00F26C35">
        <w:t>en</w:t>
      </w:r>
      <w:r>
        <w:t xml:space="preserve"> mediated by the arrangement of potential suppliers of services (towns, depots, offices), the speed at which the network of roads and tracks can facilitate travel, and finally the nature of the terrain and vegetation if the final movements must be undertaken by other means (</w:t>
      </w:r>
      <w:r w:rsidR="003B0271">
        <w:t>such as on foot or by boat</w:t>
      </w:r>
      <w:r>
        <w:t>).</w:t>
      </w:r>
    </w:p>
    <w:p w14:paraId="50CA5AAD" w14:textId="77777777" w:rsidR="0090107E" w:rsidRPr="0090107E" w:rsidRDefault="0090107E" w:rsidP="0090107E">
      <w:pPr>
        <w:pStyle w:val="Heading2"/>
      </w:pPr>
      <w:r w:rsidRPr="0090107E">
        <w:t>Bringing local knowledge to SMP</w:t>
      </w:r>
    </w:p>
    <w:p w14:paraId="7E05838C" w14:textId="77777777" w:rsidR="0090107E" w:rsidRDefault="0090107E" w:rsidP="0090107E">
      <w:pPr>
        <w:pStyle w:val="BodyText"/>
      </w:pPr>
      <w:r>
        <w:t xml:space="preserve">SMP is a decision-support tool, but it can’t make the decisions for you. If you are a project manager developing a project informed by the cost-effective actions that SMP has identified for the location and species you are managing, you will need to check your own costs and make your decisions using SMP information as well as your own context. </w:t>
      </w:r>
    </w:p>
    <w:p w14:paraId="349496DC" w14:textId="663A0930" w:rsidR="0090107E" w:rsidRDefault="0090107E" w:rsidP="0090107E">
      <w:pPr>
        <w:pStyle w:val="BodyText"/>
      </w:pPr>
      <w:r>
        <w:t xml:space="preserve">For example, the current SMP analysis assumes that contractors or staff are conducting the actions. Projects which involve volunteers may be able to deliver similar outcomes at a reduced cost. </w:t>
      </w:r>
    </w:p>
    <w:p w14:paraId="3FB647D3" w14:textId="77777777" w:rsidR="0090107E" w:rsidRDefault="0090107E" w:rsidP="0090107E">
      <w:pPr>
        <w:pStyle w:val="BodyText"/>
      </w:pPr>
      <w:r>
        <w:t>Before you can decide on the feasibility of your proposed project based on actual costs, you will need to check:</w:t>
      </w:r>
    </w:p>
    <w:p w14:paraId="4EEE5254" w14:textId="77777777" w:rsidR="0090107E" w:rsidRDefault="0090107E" w:rsidP="0090107E">
      <w:pPr>
        <w:pStyle w:val="ListBullet"/>
      </w:pPr>
      <w:r>
        <w:t>if the action/project is actually feasible in your location (for example you may not be able to shoot deer or bait foxes near houses)</w:t>
      </w:r>
    </w:p>
    <w:p w14:paraId="27D930D7" w14:textId="77777777" w:rsidR="0090107E" w:rsidRDefault="0090107E" w:rsidP="0090107E">
      <w:pPr>
        <w:pStyle w:val="ListBullet"/>
      </w:pPr>
      <w:r>
        <w:t>if the action needs to be modified compared to the defined action used in SMP</w:t>
      </w:r>
    </w:p>
    <w:p w14:paraId="52337727" w14:textId="77777777" w:rsidR="0090107E" w:rsidRDefault="0090107E" w:rsidP="0090107E">
      <w:pPr>
        <w:pStyle w:val="ListBullet"/>
      </w:pPr>
      <w:r>
        <w:t>if the costs for that action will be relatively high or low for your situation</w:t>
      </w:r>
    </w:p>
    <w:p w14:paraId="1B6F0536" w14:textId="77777777" w:rsidR="0090107E" w:rsidRDefault="0090107E" w:rsidP="0090107E">
      <w:pPr>
        <w:pStyle w:val="ListBullet"/>
      </w:pPr>
      <w:r>
        <w:t>if you have the people with the appropriate skills available in the area to carry out the project.</w:t>
      </w:r>
    </w:p>
    <w:p w14:paraId="0D27ADA1" w14:textId="302F5652" w:rsidR="0090107E" w:rsidRDefault="0090107E" w:rsidP="0090107E">
      <w:pPr>
        <w:pStyle w:val="ListBullet"/>
        <w:numPr>
          <w:ilvl w:val="0"/>
          <w:numId w:val="0"/>
        </w:numPr>
      </w:pPr>
      <w:r>
        <w:t>See the NaturePrint and NatureKit websites for more information about using SMP, interpreting the SMP outputs and using SMP to plan projects.</w:t>
      </w:r>
    </w:p>
    <w:p w14:paraId="09E2F4DD" w14:textId="38236715" w:rsidR="0090107E" w:rsidRDefault="00AE672E" w:rsidP="0090107E">
      <w:pPr>
        <w:pStyle w:val="Heading2"/>
        <w:numPr>
          <w:ilvl w:val="1"/>
          <w:numId w:val="0"/>
        </w:numPr>
      </w:pPr>
      <w:r>
        <w:t>Continuous improvement</w:t>
      </w:r>
    </w:p>
    <w:p w14:paraId="62D885A5" w14:textId="77777777" w:rsidR="0090107E" w:rsidRDefault="0090107E" w:rsidP="0090107E">
      <w:pPr>
        <w:pStyle w:val="BodyText"/>
      </w:pPr>
      <w:r w:rsidRPr="00ED4D4A">
        <w:t xml:space="preserve">We are committed to a continuous improvement approach, which enables the NaturePrint products and tools to be updated and refined as further data, computational power, research and modelling methods become available. NaturePrint products have a version number to help identify the currency of each product. </w:t>
      </w:r>
    </w:p>
    <w:p w14:paraId="3E86AACD" w14:textId="77777777" w:rsidR="0090107E" w:rsidRDefault="0090107E" w:rsidP="0090107E">
      <w:pPr>
        <w:pStyle w:val="BodyText"/>
      </w:pPr>
      <w:r>
        <w:t xml:space="preserve">Everyone can contribute to the improvement of the NaturePrint tools. For example, by submitting species records to the Victorian Biodiversity Atlas which is a key source of information for NaturePrint. Visit the </w:t>
      </w:r>
      <w:hyperlink r:id="rId24">
        <w:r w:rsidRPr="028DF08E">
          <w:rPr>
            <w:rStyle w:val="Hyperlink"/>
          </w:rPr>
          <w:t>Victorian Biodiversity Atlas</w:t>
        </w:r>
      </w:hyperlink>
      <w:r>
        <w:t xml:space="preserve"> web page for more information.</w:t>
      </w:r>
    </w:p>
    <w:p w14:paraId="1448E145" w14:textId="77F079F9" w:rsidR="00921E1C" w:rsidRDefault="0090107E" w:rsidP="00121103">
      <w:pPr>
        <w:pStyle w:val="BodyText"/>
        <w:spacing w:after="0"/>
      </w:pPr>
      <w:r>
        <w:t>Opportunities for feedback on other data layers will be developed</w:t>
      </w:r>
      <w:bookmarkEnd w:id="1"/>
      <w:r>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2DEAB3A3" w14:textId="77777777" w:rsidTr="028DF08E">
        <w:trPr>
          <w:trHeight w:val="2608"/>
        </w:trPr>
        <w:tc>
          <w:tcPr>
            <w:tcW w:w="5216" w:type="dxa"/>
            <w:shd w:val="clear" w:color="auto" w:fill="auto"/>
          </w:tcPr>
          <w:p w14:paraId="2698F0D9" w14:textId="529816B4" w:rsidR="00254A01" w:rsidRDefault="00254A01" w:rsidP="00BB551F">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52A47">
              <w:rPr>
                <w:noProof/>
              </w:rPr>
              <w:t>2018</w:t>
            </w:r>
            <w:r>
              <w:fldChar w:fldCharType="end"/>
            </w:r>
          </w:p>
          <w:p w14:paraId="545C8C59" w14:textId="77777777" w:rsidR="00254A01" w:rsidRDefault="00254A01" w:rsidP="00BB551F">
            <w:pPr>
              <w:pStyle w:val="SmallBodyText"/>
            </w:pPr>
            <w:r>
              <w:rPr>
                <w:noProof/>
              </w:rPr>
              <w:drawing>
                <wp:anchor distT="0" distB="0" distL="114300" distR="36195" simplePos="0" relativeHeight="251663872" behindDoc="0" locked="1" layoutInCell="1" allowOverlap="1" wp14:anchorId="77D7BC74" wp14:editId="6343423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67D819B" w14:textId="56AA9A48" w:rsidR="00D509E9" w:rsidRDefault="00D509E9" w:rsidP="00BB551F">
            <w:pPr>
              <w:pStyle w:val="SmallHeading"/>
              <w:rPr>
                <w:b w:val="0"/>
                <w:spacing w:val="2"/>
              </w:rPr>
            </w:pPr>
            <w:r w:rsidRPr="0014324C">
              <w:rPr>
                <w:b w:val="0"/>
                <w:spacing w:val="2"/>
              </w:rPr>
              <w:t>ISBN 978-1-76047-</w:t>
            </w:r>
            <w:r w:rsidR="0014324C" w:rsidRPr="0014324C">
              <w:rPr>
                <w:b w:val="0"/>
                <w:spacing w:val="2"/>
              </w:rPr>
              <w:t>951</w:t>
            </w:r>
            <w:r w:rsidRPr="0014324C">
              <w:rPr>
                <w:b w:val="0"/>
                <w:spacing w:val="2"/>
              </w:rPr>
              <w:t>-</w:t>
            </w:r>
            <w:r w:rsidR="0014324C" w:rsidRPr="0014324C">
              <w:rPr>
                <w:b w:val="0"/>
                <w:spacing w:val="2"/>
              </w:rPr>
              <w:t>0</w:t>
            </w:r>
            <w:r w:rsidRPr="00D509E9">
              <w:rPr>
                <w:b w:val="0"/>
                <w:spacing w:val="2"/>
              </w:rPr>
              <w:t xml:space="preserve"> (pdf/online)</w:t>
            </w:r>
          </w:p>
          <w:p w14:paraId="5BA2BB4F" w14:textId="2E921D5F" w:rsidR="00254A01" w:rsidRPr="008F559C" w:rsidRDefault="028DF08E" w:rsidP="00BB551F">
            <w:pPr>
              <w:pStyle w:val="SmallHeading"/>
            </w:pPr>
            <w:r>
              <w:t>Disclaimer</w:t>
            </w:r>
          </w:p>
          <w:p w14:paraId="0CF8AED4" w14:textId="77777777" w:rsidR="00254A01" w:rsidRDefault="028DF08E" w:rsidP="00BB551F">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3B57A86C" w14:textId="77777777" w:rsidR="00254A01" w:rsidRPr="00E97294" w:rsidRDefault="00254A01" w:rsidP="00BB551F">
            <w:pPr>
              <w:pStyle w:val="xAccessibilityHeading"/>
            </w:pPr>
            <w:bookmarkStart w:id="5" w:name="_Accessibility"/>
            <w:bookmarkEnd w:id="5"/>
            <w:r w:rsidRPr="00E97294">
              <w:t>Accessibility</w:t>
            </w:r>
          </w:p>
          <w:p w14:paraId="6B3A12A8" w14:textId="7A707AE8" w:rsidR="00254A01" w:rsidRDefault="028DF08E" w:rsidP="000D3145">
            <w:pPr>
              <w:pStyle w:val="xAccessibilityText"/>
            </w:pPr>
            <w:r>
              <w:t>If you would like to receive this publication in an alternative format, please telephone the DELWP Customer Service Centre on 136186, email </w:t>
            </w:r>
            <w:hyperlink r:id="rId26">
              <w:r>
                <w:t>customer.service@delwp.vic.gov.au</w:t>
              </w:r>
            </w:hyperlink>
            <w:r>
              <w:t xml:space="preserve">, or via the National Relay Service on 133 677 </w:t>
            </w:r>
            <w:hyperlink r:id="rId27">
              <w:r>
                <w:t>www.relayservice.com.au</w:t>
              </w:r>
            </w:hyperlink>
            <w:r>
              <w:t xml:space="preserve">. This document is also available on the internet at </w:t>
            </w:r>
            <w:hyperlink r:id="rId28">
              <w:r>
                <w:t>www.delwp.vic.gov.au</w:t>
              </w:r>
            </w:hyperlink>
            <w:r>
              <w:t xml:space="preserve">. </w:t>
            </w:r>
          </w:p>
        </w:tc>
      </w:tr>
    </w:tbl>
    <w:p w14:paraId="1FFA50C1" w14:textId="77777777" w:rsidR="00254A01" w:rsidRDefault="00254A01" w:rsidP="00921E1C">
      <w:pPr>
        <w:pStyle w:val="SmallBodyText"/>
      </w:pPr>
    </w:p>
    <w:sectPr w:rsidR="00254A01" w:rsidSect="007002A5">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EB0BC" w14:textId="77777777" w:rsidR="00BB551F" w:rsidRDefault="00BB551F">
      <w:r>
        <w:separator/>
      </w:r>
    </w:p>
    <w:p w14:paraId="31EECF53" w14:textId="77777777" w:rsidR="00BB551F" w:rsidRDefault="00BB551F"/>
    <w:p w14:paraId="31947161" w14:textId="77777777" w:rsidR="00BB551F" w:rsidRDefault="00BB551F"/>
  </w:endnote>
  <w:endnote w:type="continuationSeparator" w:id="0">
    <w:p w14:paraId="56921940" w14:textId="77777777" w:rsidR="00BB551F" w:rsidRDefault="00BB551F">
      <w:r>
        <w:continuationSeparator/>
      </w:r>
    </w:p>
    <w:p w14:paraId="3DDF8D22" w14:textId="77777777" w:rsidR="00BB551F" w:rsidRDefault="00BB551F"/>
    <w:p w14:paraId="443625DF" w14:textId="77777777" w:rsidR="00BB551F" w:rsidRDefault="00BB551F"/>
  </w:endnote>
  <w:endnote w:type="continuationNotice" w:id="1">
    <w:p w14:paraId="548C37FB" w14:textId="77777777" w:rsidR="00DF701E" w:rsidRDefault="00DF70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00000003" w:usb1="08080000" w:usb2="00000010"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9215" w14:textId="77777777" w:rsidR="00BB551F" w:rsidRDefault="00BB551F" w:rsidP="00213C82">
    <w:pPr>
      <w:pStyle w:val="Footer"/>
    </w:pPr>
    <w:r w:rsidRPr="00D55628">
      <w:rPr>
        <w:noProof/>
      </w:rPr>
      <mc:AlternateContent>
        <mc:Choice Requires="wps">
          <w:drawing>
            <wp:anchor distT="0" distB="0" distL="114300" distR="114300" simplePos="0" relativeHeight="251658242" behindDoc="1" locked="1" layoutInCell="1" allowOverlap="1" wp14:anchorId="5ED22D03" wp14:editId="13D6C54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59EE" w14:textId="70146886" w:rsidR="00BB551F" w:rsidRPr="0001226A" w:rsidRDefault="00BB551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j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D4Uopj0AIAAN8FAAAOAAAAAAAAAAAAAAAAAC4CAABkcnMvZTJvRG9jLnht&#10;bFBLAQItABQABgAIAAAAIQA0xUTO2wAAAAYBAAAPAAAAAAAAAAAAAAAAACoFAABkcnMvZG93bnJl&#10;di54bWxQSwUGAAAAAAQABADzAAAAMgYAAAAA&#10;" filled="f" stroked="f">
              <v:textbox>
                <w:txbxContent>
                  <w:p w14:paraId="7D1559EE" w14:textId="70146886" w:rsidR="00BB551F" w:rsidRPr="0001226A" w:rsidRDefault="00BB551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DDD3" w14:textId="77777777" w:rsidR="00BB551F" w:rsidRDefault="00BB551F" w:rsidP="00BF3066">
    <w:pPr>
      <w:pStyle w:val="Footer"/>
      <w:spacing w:before="1600"/>
    </w:pPr>
    <w:r>
      <w:rPr>
        <w:noProof/>
      </w:rPr>
      <w:drawing>
        <wp:anchor distT="0" distB="0" distL="114300" distR="114300" simplePos="0" relativeHeight="251658252" behindDoc="1" locked="1" layoutInCell="1" allowOverlap="1" wp14:anchorId="2E7968C8" wp14:editId="67406DA6">
          <wp:simplePos x="0" y="0"/>
          <wp:positionH relativeFrom="page">
            <wp:align>right</wp:align>
          </wp:positionH>
          <wp:positionV relativeFrom="page">
            <wp:align>bottom</wp:align>
          </wp:positionV>
          <wp:extent cx="2408753" cy="1085850"/>
          <wp:effectExtent l="0" t="0" r="0" b="0"/>
          <wp:wrapNone/>
          <wp:docPr id="1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3" behindDoc="0" locked="1" layoutInCell="1" allowOverlap="1" wp14:anchorId="144A6D6E" wp14:editId="2DBB73B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99CBB" w14:textId="77777777" w:rsidR="00BB551F" w:rsidRPr="009F69FA" w:rsidRDefault="00BB551F"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7" type="#_x0000_t202" style="position:absolute;margin-left:0;margin-top:0;width:303pt;height:56.7pt;z-index:25165825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TEgg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" filled="f" stroked="f" strokeweight=".5pt">
              <v:textbox inset="15mm">
                <w:txbxContent>
                  <w:p w14:paraId="12699CBB" w14:textId="77777777" w:rsidR="00BB551F" w:rsidRPr="009F69FA" w:rsidRDefault="00BB551F"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0" behindDoc="1" locked="1" layoutInCell="1" allowOverlap="1" wp14:anchorId="00C4DDE5" wp14:editId="0B53EBDC">
          <wp:simplePos x="0" y="0"/>
          <wp:positionH relativeFrom="page">
            <wp:align>right</wp:align>
          </wp:positionH>
          <wp:positionV relativeFrom="page">
            <wp:align>bottom</wp:align>
          </wp:positionV>
          <wp:extent cx="2422800" cy="1083600"/>
          <wp:effectExtent l="0" t="0" r="0" b="0"/>
          <wp:wrapNone/>
          <wp:docPr id="2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7FFC" w14:textId="77777777" w:rsidR="00BB551F" w:rsidRPr="008F5280" w:rsidRDefault="00BB551F" w:rsidP="008F5280">
      <w:pPr>
        <w:pStyle w:val="FootnoteSeparator"/>
      </w:pPr>
    </w:p>
    <w:p w14:paraId="1617BA9F" w14:textId="77777777" w:rsidR="00BB551F" w:rsidRDefault="00BB551F"/>
  </w:footnote>
  <w:footnote w:type="continuationSeparator" w:id="0">
    <w:p w14:paraId="0532D807" w14:textId="77777777" w:rsidR="00BB551F" w:rsidRDefault="00BB551F" w:rsidP="008F5280">
      <w:pPr>
        <w:pStyle w:val="FootnoteSeparator"/>
      </w:pPr>
    </w:p>
    <w:p w14:paraId="0A9635ED" w14:textId="77777777" w:rsidR="00BB551F" w:rsidRDefault="00BB551F"/>
    <w:p w14:paraId="3F9F6D1C" w14:textId="77777777" w:rsidR="00BB551F" w:rsidRDefault="00BB551F"/>
  </w:footnote>
  <w:footnote w:type="continuationNotice" w:id="1">
    <w:p w14:paraId="72A67604" w14:textId="77777777" w:rsidR="00BB551F" w:rsidRDefault="00BB551F" w:rsidP="00D55628"/>
    <w:p w14:paraId="770A7F72" w14:textId="77777777" w:rsidR="00BB551F" w:rsidRDefault="00BB551F"/>
    <w:p w14:paraId="68C82C53" w14:textId="77777777" w:rsidR="00BB551F" w:rsidRDefault="00BB5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551F" w:rsidRPr="00975ED3" w14:paraId="5846F80F" w14:textId="77777777" w:rsidTr="00BB551F">
      <w:trPr>
        <w:trHeight w:hRule="exact" w:val="1418"/>
      </w:trPr>
      <w:tc>
        <w:tcPr>
          <w:tcW w:w="7761" w:type="dxa"/>
          <w:vAlign w:val="center"/>
        </w:tcPr>
        <w:p w14:paraId="6F7E8D0E" w14:textId="70FC2884" w:rsidR="00BB551F" w:rsidRPr="00975ED3" w:rsidRDefault="007C4BC0" w:rsidP="00BB551F">
          <w:pPr>
            <w:pStyle w:val="Header"/>
          </w:pPr>
          <w:fldSimple w:instr=" STYLEREF  Title  \* MERGEFORMAT ">
            <w:r w:rsidR="00B52A47">
              <w:rPr>
                <w:noProof/>
              </w:rPr>
              <w:t>NaturePrint</w:t>
            </w:r>
          </w:fldSimple>
        </w:p>
      </w:tc>
    </w:tr>
  </w:tbl>
  <w:p w14:paraId="35A74B70" w14:textId="77777777" w:rsidR="00BB551F" w:rsidRDefault="00BB551F" w:rsidP="00254A01">
    <w:pPr>
      <w:pStyle w:val="Header"/>
    </w:pPr>
    <w:r w:rsidRPr="00806AB6">
      <w:rPr>
        <w:noProof/>
      </w:rPr>
      <mc:AlternateContent>
        <mc:Choice Requires="wps">
          <w:drawing>
            <wp:anchor distT="0" distB="0" distL="114300" distR="114300" simplePos="0" relativeHeight="251655680" behindDoc="1" locked="0" layoutInCell="1" allowOverlap="1" wp14:anchorId="100C73C4" wp14:editId="1DCA2D5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A94D5"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5388CEB0" wp14:editId="703AC76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60A25"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14010FBA" wp14:editId="1A01E33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39BCE"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E05E86B" w14:textId="77777777" w:rsidR="00BB551F" w:rsidRPr="00254A01" w:rsidRDefault="00BB551F"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551F" w:rsidRPr="00975ED3" w14:paraId="14CDF8D4" w14:textId="77777777" w:rsidTr="00BB551F">
      <w:trPr>
        <w:trHeight w:hRule="exact" w:val="1418"/>
      </w:trPr>
      <w:tc>
        <w:tcPr>
          <w:tcW w:w="7761" w:type="dxa"/>
          <w:vAlign w:val="center"/>
        </w:tcPr>
        <w:p w14:paraId="17FA58F7" w14:textId="152FBB20" w:rsidR="00BB551F" w:rsidRPr="00975ED3" w:rsidRDefault="007C4BC0" w:rsidP="00BB551F">
          <w:pPr>
            <w:pStyle w:val="Header"/>
          </w:pPr>
          <w:fldSimple w:instr=" STYLEREF  Title  \* MERGEFORMAT ">
            <w:r w:rsidR="00B52A47">
              <w:rPr>
                <w:noProof/>
              </w:rPr>
              <w:t>NaturePrint</w:t>
            </w:r>
          </w:fldSimple>
        </w:p>
      </w:tc>
    </w:tr>
  </w:tbl>
  <w:p w14:paraId="3CCF8B52" w14:textId="77777777" w:rsidR="00BB551F" w:rsidRDefault="00BB551F" w:rsidP="00254A01">
    <w:pPr>
      <w:pStyle w:val="Header"/>
    </w:pPr>
    <w:r w:rsidRPr="00806AB6">
      <w:rPr>
        <w:noProof/>
      </w:rPr>
      <mc:AlternateContent>
        <mc:Choice Requires="wps">
          <w:drawing>
            <wp:anchor distT="0" distB="0" distL="114300" distR="114300" simplePos="0" relativeHeight="251661824" behindDoc="1" locked="0" layoutInCell="1" allowOverlap="1" wp14:anchorId="71C3B56C" wp14:editId="557577A3">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F9EE7"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11BEB8B" wp14:editId="167B81D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D35EC" id="TriangleLeft" o:spid="_x0000_s1026" style="position:absolute;margin-left:22.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4B183A4" wp14:editId="1B30852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13508E" id="Rectangle" o:spid="_x0000_s1026" style="position:absolute;margin-left:22.7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120AC5F" w14:textId="77777777" w:rsidR="00BB551F" w:rsidRDefault="00BB5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9A9C" w14:textId="5E2D8042" w:rsidR="00BB551F" w:rsidRPr="00E97294" w:rsidRDefault="00BB551F" w:rsidP="00E97294">
    <w:pPr>
      <w:pStyle w:val="Header"/>
    </w:pPr>
    <w:r w:rsidRPr="00806AB6">
      <w:rPr>
        <w:noProof/>
      </w:rPr>
      <mc:AlternateContent>
        <mc:Choice Requires="wps">
          <w:drawing>
            <wp:anchor distT="0" distB="0" distL="114300" distR="114300" simplePos="0" relativeHeight="251658246" behindDoc="1" locked="0" layoutInCell="1" allowOverlap="1" wp14:anchorId="1D6840A6" wp14:editId="315A980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F2CB7"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59F12F00" wp14:editId="7B86DB3E">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588C5" id="TriangleBottom" o:spid="_x0000_s1026" style="position:absolute;margin-left:56.7pt;margin-top:93.55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166F4229" wp14:editId="7F95DB2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61B70"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3BFB997A" wp14:editId="330523F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36282B"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8E6529"/>
    <w:multiLevelType w:val="hybridMultilevel"/>
    <w:tmpl w:val="35F8E284"/>
    <w:lvl w:ilvl="0" w:tplc="C650A5C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7458EA1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1"/>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348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EA3F2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97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563"/>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D9"/>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5F51"/>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60A"/>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300"/>
    <w:rsid w:val="00093051"/>
    <w:rsid w:val="000931D3"/>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0EFB"/>
    <w:rsid w:val="000A1280"/>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A91"/>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145"/>
    <w:rsid w:val="000D3282"/>
    <w:rsid w:val="000D38A0"/>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A0D"/>
    <w:rsid w:val="000E1BEC"/>
    <w:rsid w:val="000E1F1D"/>
    <w:rsid w:val="000E21E5"/>
    <w:rsid w:val="000E2207"/>
    <w:rsid w:val="000E24E1"/>
    <w:rsid w:val="000E2520"/>
    <w:rsid w:val="000E25A9"/>
    <w:rsid w:val="000E27B6"/>
    <w:rsid w:val="000E2CE7"/>
    <w:rsid w:val="000E33C8"/>
    <w:rsid w:val="000E35C7"/>
    <w:rsid w:val="000E3AF5"/>
    <w:rsid w:val="000E3B96"/>
    <w:rsid w:val="000E424E"/>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13D"/>
    <w:rsid w:val="0010632A"/>
    <w:rsid w:val="0010632E"/>
    <w:rsid w:val="00106A7E"/>
    <w:rsid w:val="00106A81"/>
    <w:rsid w:val="00106B89"/>
    <w:rsid w:val="00106CA2"/>
    <w:rsid w:val="00107923"/>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5FD"/>
    <w:rsid w:val="001177A2"/>
    <w:rsid w:val="00117819"/>
    <w:rsid w:val="001179D3"/>
    <w:rsid w:val="00117CFE"/>
    <w:rsid w:val="00117DD6"/>
    <w:rsid w:val="00117F77"/>
    <w:rsid w:val="001202B1"/>
    <w:rsid w:val="001203C0"/>
    <w:rsid w:val="001204D7"/>
    <w:rsid w:val="0012093F"/>
    <w:rsid w:val="001210F1"/>
    <w:rsid w:val="00121103"/>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7F5"/>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24C"/>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1FFC"/>
    <w:rsid w:val="00172031"/>
    <w:rsid w:val="00172DA4"/>
    <w:rsid w:val="00172DD7"/>
    <w:rsid w:val="00173F6E"/>
    <w:rsid w:val="001748A0"/>
    <w:rsid w:val="00175419"/>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7C7"/>
    <w:rsid w:val="00177AC3"/>
    <w:rsid w:val="00177B82"/>
    <w:rsid w:val="001800DC"/>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C7"/>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AA3"/>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69C"/>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E7960"/>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6F9A"/>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3BF"/>
    <w:rsid w:val="00251AF9"/>
    <w:rsid w:val="00251BF4"/>
    <w:rsid w:val="00252146"/>
    <w:rsid w:val="002525B9"/>
    <w:rsid w:val="00252B3D"/>
    <w:rsid w:val="00252B85"/>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7D"/>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208"/>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993"/>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2EE3"/>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582"/>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59"/>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5E45"/>
    <w:rsid w:val="002E6B7A"/>
    <w:rsid w:val="002E6DC0"/>
    <w:rsid w:val="002E7001"/>
    <w:rsid w:val="002E7991"/>
    <w:rsid w:val="002E7A32"/>
    <w:rsid w:val="002E7E89"/>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61D"/>
    <w:rsid w:val="00314EA8"/>
    <w:rsid w:val="00315133"/>
    <w:rsid w:val="0031528F"/>
    <w:rsid w:val="0031535C"/>
    <w:rsid w:val="00315585"/>
    <w:rsid w:val="00315622"/>
    <w:rsid w:val="00315855"/>
    <w:rsid w:val="00315CFC"/>
    <w:rsid w:val="00315F65"/>
    <w:rsid w:val="00316EDB"/>
    <w:rsid w:val="00316EE5"/>
    <w:rsid w:val="003177C7"/>
    <w:rsid w:val="00317B03"/>
    <w:rsid w:val="00317B60"/>
    <w:rsid w:val="00320D1D"/>
    <w:rsid w:val="00320E0A"/>
    <w:rsid w:val="00321131"/>
    <w:rsid w:val="00321137"/>
    <w:rsid w:val="00321539"/>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75C"/>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5187"/>
    <w:rsid w:val="003954D8"/>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271"/>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590"/>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744"/>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249"/>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01E"/>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51C"/>
    <w:rsid w:val="0040281F"/>
    <w:rsid w:val="00402AAA"/>
    <w:rsid w:val="00402F90"/>
    <w:rsid w:val="00403185"/>
    <w:rsid w:val="00404A81"/>
    <w:rsid w:val="00404F28"/>
    <w:rsid w:val="00405163"/>
    <w:rsid w:val="004053B7"/>
    <w:rsid w:val="00405498"/>
    <w:rsid w:val="0040572F"/>
    <w:rsid w:val="00405BA7"/>
    <w:rsid w:val="00405BAA"/>
    <w:rsid w:val="004062FF"/>
    <w:rsid w:val="0040631B"/>
    <w:rsid w:val="00406554"/>
    <w:rsid w:val="00406619"/>
    <w:rsid w:val="004066D2"/>
    <w:rsid w:val="00406785"/>
    <w:rsid w:val="004068A4"/>
    <w:rsid w:val="00406C2B"/>
    <w:rsid w:val="00406E30"/>
    <w:rsid w:val="004070DD"/>
    <w:rsid w:val="004072DB"/>
    <w:rsid w:val="0040753A"/>
    <w:rsid w:val="0040757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53C"/>
    <w:rsid w:val="0041469A"/>
    <w:rsid w:val="0041497A"/>
    <w:rsid w:val="00415C01"/>
    <w:rsid w:val="00415FBA"/>
    <w:rsid w:val="004162D7"/>
    <w:rsid w:val="004166A0"/>
    <w:rsid w:val="0041692C"/>
    <w:rsid w:val="004169D6"/>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320"/>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4EA"/>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510"/>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B99"/>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297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B1E"/>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D67"/>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D57"/>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D24"/>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B5A"/>
    <w:rsid w:val="00564CE1"/>
    <w:rsid w:val="00565127"/>
    <w:rsid w:val="00566671"/>
    <w:rsid w:val="00566D85"/>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814"/>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12"/>
    <w:rsid w:val="005C0642"/>
    <w:rsid w:val="005C07A1"/>
    <w:rsid w:val="005C0FC8"/>
    <w:rsid w:val="005C104B"/>
    <w:rsid w:val="005C23E4"/>
    <w:rsid w:val="005C246E"/>
    <w:rsid w:val="005C2571"/>
    <w:rsid w:val="005C2763"/>
    <w:rsid w:val="005C28E9"/>
    <w:rsid w:val="005C2AAF"/>
    <w:rsid w:val="005C2C1D"/>
    <w:rsid w:val="005C34FA"/>
    <w:rsid w:val="005C382F"/>
    <w:rsid w:val="005C3B77"/>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2E6B"/>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0E5"/>
    <w:rsid w:val="005E3167"/>
    <w:rsid w:val="005E36CC"/>
    <w:rsid w:val="005E3CB4"/>
    <w:rsid w:val="005E3E05"/>
    <w:rsid w:val="005E43AE"/>
    <w:rsid w:val="005E4443"/>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DCC"/>
    <w:rsid w:val="00601ECC"/>
    <w:rsid w:val="006023D9"/>
    <w:rsid w:val="0060269A"/>
    <w:rsid w:val="00602739"/>
    <w:rsid w:val="00602916"/>
    <w:rsid w:val="00602979"/>
    <w:rsid w:val="00603085"/>
    <w:rsid w:val="00603203"/>
    <w:rsid w:val="00603830"/>
    <w:rsid w:val="006040D0"/>
    <w:rsid w:val="00604691"/>
    <w:rsid w:val="00604976"/>
    <w:rsid w:val="00604A64"/>
    <w:rsid w:val="00604CC8"/>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60"/>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6E7F"/>
    <w:rsid w:val="00627067"/>
    <w:rsid w:val="006302E0"/>
    <w:rsid w:val="00630767"/>
    <w:rsid w:val="006307CD"/>
    <w:rsid w:val="00630E39"/>
    <w:rsid w:val="0063103F"/>
    <w:rsid w:val="0063133D"/>
    <w:rsid w:val="00631925"/>
    <w:rsid w:val="00631D9A"/>
    <w:rsid w:val="006326EA"/>
    <w:rsid w:val="006330C8"/>
    <w:rsid w:val="006331BD"/>
    <w:rsid w:val="00633361"/>
    <w:rsid w:val="00633A4B"/>
    <w:rsid w:val="00633D4A"/>
    <w:rsid w:val="00634481"/>
    <w:rsid w:val="00634813"/>
    <w:rsid w:val="00634E22"/>
    <w:rsid w:val="006357F6"/>
    <w:rsid w:val="00635893"/>
    <w:rsid w:val="00635A9E"/>
    <w:rsid w:val="00635C17"/>
    <w:rsid w:val="00635FEF"/>
    <w:rsid w:val="00636354"/>
    <w:rsid w:val="00636447"/>
    <w:rsid w:val="00636A17"/>
    <w:rsid w:val="0063703B"/>
    <w:rsid w:val="006372A2"/>
    <w:rsid w:val="0063781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3BA"/>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6F4"/>
    <w:rsid w:val="006A0FAB"/>
    <w:rsid w:val="006A14B6"/>
    <w:rsid w:val="006A1A20"/>
    <w:rsid w:val="006A2763"/>
    <w:rsid w:val="006A2DEE"/>
    <w:rsid w:val="006A3398"/>
    <w:rsid w:val="006A396B"/>
    <w:rsid w:val="006A3A4C"/>
    <w:rsid w:val="006A3A96"/>
    <w:rsid w:val="006A4025"/>
    <w:rsid w:val="006A40D7"/>
    <w:rsid w:val="006A4700"/>
    <w:rsid w:val="006A4AF8"/>
    <w:rsid w:val="006A4C45"/>
    <w:rsid w:val="006A4D08"/>
    <w:rsid w:val="006A4D41"/>
    <w:rsid w:val="006A62A4"/>
    <w:rsid w:val="006A66B0"/>
    <w:rsid w:val="006A6A19"/>
    <w:rsid w:val="006A73C4"/>
    <w:rsid w:val="006A7BC9"/>
    <w:rsid w:val="006B00A9"/>
    <w:rsid w:val="006B0264"/>
    <w:rsid w:val="006B04EB"/>
    <w:rsid w:val="006B05D3"/>
    <w:rsid w:val="006B0F29"/>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0FCA"/>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9EF"/>
    <w:rsid w:val="006D1A1A"/>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2A5"/>
    <w:rsid w:val="00700C18"/>
    <w:rsid w:val="007010C5"/>
    <w:rsid w:val="007011AB"/>
    <w:rsid w:val="00701595"/>
    <w:rsid w:val="00701BC0"/>
    <w:rsid w:val="00701F5E"/>
    <w:rsid w:val="007023F5"/>
    <w:rsid w:val="00702B73"/>
    <w:rsid w:val="00702D28"/>
    <w:rsid w:val="00703986"/>
    <w:rsid w:val="00703AF1"/>
    <w:rsid w:val="00703BC5"/>
    <w:rsid w:val="00704255"/>
    <w:rsid w:val="00704697"/>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3FF"/>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A05"/>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385"/>
    <w:rsid w:val="00736637"/>
    <w:rsid w:val="00737041"/>
    <w:rsid w:val="00737046"/>
    <w:rsid w:val="007370B4"/>
    <w:rsid w:val="0073737D"/>
    <w:rsid w:val="00737D06"/>
    <w:rsid w:val="007402EF"/>
    <w:rsid w:val="007408FA"/>
    <w:rsid w:val="007408FC"/>
    <w:rsid w:val="0074101D"/>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97C"/>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A7B"/>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405"/>
    <w:rsid w:val="007B6535"/>
    <w:rsid w:val="007B6701"/>
    <w:rsid w:val="007B6996"/>
    <w:rsid w:val="007B6D2E"/>
    <w:rsid w:val="007B6D7A"/>
    <w:rsid w:val="007B6D8F"/>
    <w:rsid w:val="007B74C4"/>
    <w:rsid w:val="007B7559"/>
    <w:rsid w:val="007B76C3"/>
    <w:rsid w:val="007B76F2"/>
    <w:rsid w:val="007B7A2B"/>
    <w:rsid w:val="007C07A1"/>
    <w:rsid w:val="007C0961"/>
    <w:rsid w:val="007C1022"/>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0"/>
    <w:rsid w:val="007C4BCE"/>
    <w:rsid w:val="007C4EA8"/>
    <w:rsid w:val="007C4F6E"/>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8F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4B1"/>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2AE"/>
    <w:rsid w:val="007F6530"/>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04C"/>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302"/>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79A"/>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57B1E"/>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1A1"/>
    <w:rsid w:val="0086636C"/>
    <w:rsid w:val="00866511"/>
    <w:rsid w:val="008666A0"/>
    <w:rsid w:val="00866B22"/>
    <w:rsid w:val="00867115"/>
    <w:rsid w:val="008671AA"/>
    <w:rsid w:val="00867573"/>
    <w:rsid w:val="00867831"/>
    <w:rsid w:val="00867877"/>
    <w:rsid w:val="008678D0"/>
    <w:rsid w:val="00867B1E"/>
    <w:rsid w:val="00867C64"/>
    <w:rsid w:val="008704DF"/>
    <w:rsid w:val="00870765"/>
    <w:rsid w:val="00870F09"/>
    <w:rsid w:val="00870F1D"/>
    <w:rsid w:val="00871423"/>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D70"/>
    <w:rsid w:val="00895015"/>
    <w:rsid w:val="00895432"/>
    <w:rsid w:val="0089550A"/>
    <w:rsid w:val="00895DD3"/>
    <w:rsid w:val="00896414"/>
    <w:rsid w:val="008978A8"/>
    <w:rsid w:val="00897A8F"/>
    <w:rsid w:val="00897E3F"/>
    <w:rsid w:val="00897E8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A2A"/>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221"/>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3C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07E"/>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245"/>
    <w:rsid w:val="009263C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116"/>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A8"/>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3E75"/>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117"/>
    <w:rsid w:val="009C64FA"/>
    <w:rsid w:val="009C657A"/>
    <w:rsid w:val="009C6C1D"/>
    <w:rsid w:val="009C6EDB"/>
    <w:rsid w:val="009C76E4"/>
    <w:rsid w:val="009C7BA4"/>
    <w:rsid w:val="009C7CE6"/>
    <w:rsid w:val="009D046D"/>
    <w:rsid w:val="009D0AFD"/>
    <w:rsid w:val="009D0E38"/>
    <w:rsid w:val="009D0E99"/>
    <w:rsid w:val="009D0F7A"/>
    <w:rsid w:val="009D1640"/>
    <w:rsid w:val="009D1A2B"/>
    <w:rsid w:val="009D23D8"/>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2D7"/>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A07"/>
    <w:rsid w:val="00A0310E"/>
    <w:rsid w:val="00A0424C"/>
    <w:rsid w:val="00A049CA"/>
    <w:rsid w:val="00A04A55"/>
    <w:rsid w:val="00A05269"/>
    <w:rsid w:val="00A053CC"/>
    <w:rsid w:val="00A0540D"/>
    <w:rsid w:val="00A05DC0"/>
    <w:rsid w:val="00A05F57"/>
    <w:rsid w:val="00A06A21"/>
    <w:rsid w:val="00A06AB1"/>
    <w:rsid w:val="00A07034"/>
    <w:rsid w:val="00A07207"/>
    <w:rsid w:val="00A07EC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3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1C4"/>
    <w:rsid w:val="00A32357"/>
    <w:rsid w:val="00A324D5"/>
    <w:rsid w:val="00A3254C"/>
    <w:rsid w:val="00A32595"/>
    <w:rsid w:val="00A3277A"/>
    <w:rsid w:val="00A33AF9"/>
    <w:rsid w:val="00A33B2D"/>
    <w:rsid w:val="00A33BC4"/>
    <w:rsid w:val="00A33F26"/>
    <w:rsid w:val="00A3438C"/>
    <w:rsid w:val="00A343D6"/>
    <w:rsid w:val="00A34864"/>
    <w:rsid w:val="00A348E4"/>
    <w:rsid w:val="00A357B2"/>
    <w:rsid w:val="00A357C3"/>
    <w:rsid w:val="00A359E3"/>
    <w:rsid w:val="00A35B40"/>
    <w:rsid w:val="00A35B83"/>
    <w:rsid w:val="00A35CF8"/>
    <w:rsid w:val="00A35EDB"/>
    <w:rsid w:val="00A3673A"/>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8ED"/>
    <w:rsid w:val="00A50BC8"/>
    <w:rsid w:val="00A51361"/>
    <w:rsid w:val="00A51872"/>
    <w:rsid w:val="00A51A9F"/>
    <w:rsid w:val="00A52470"/>
    <w:rsid w:val="00A5290F"/>
    <w:rsid w:val="00A52E7D"/>
    <w:rsid w:val="00A53095"/>
    <w:rsid w:val="00A5321D"/>
    <w:rsid w:val="00A53CEB"/>
    <w:rsid w:val="00A53E52"/>
    <w:rsid w:val="00A53EAB"/>
    <w:rsid w:val="00A54147"/>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8C0"/>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B9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923"/>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58A"/>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381"/>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445"/>
    <w:rsid w:val="00AE6583"/>
    <w:rsid w:val="00AE6630"/>
    <w:rsid w:val="00AE6724"/>
    <w:rsid w:val="00AE672E"/>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0E4"/>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58"/>
    <w:rsid w:val="00B07B63"/>
    <w:rsid w:val="00B07DA6"/>
    <w:rsid w:val="00B10795"/>
    <w:rsid w:val="00B10956"/>
    <w:rsid w:val="00B10E0B"/>
    <w:rsid w:val="00B11876"/>
    <w:rsid w:val="00B11CF9"/>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7B3"/>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2B"/>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4E"/>
    <w:rsid w:val="00B40CAF"/>
    <w:rsid w:val="00B40D2F"/>
    <w:rsid w:val="00B4139F"/>
    <w:rsid w:val="00B429BA"/>
    <w:rsid w:val="00B42D85"/>
    <w:rsid w:val="00B42E79"/>
    <w:rsid w:val="00B433DE"/>
    <w:rsid w:val="00B4369C"/>
    <w:rsid w:val="00B437BB"/>
    <w:rsid w:val="00B44444"/>
    <w:rsid w:val="00B44A2B"/>
    <w:rsid w:val="00B44B27"/>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47"/>
    <w:rsid w:val="00B52D73"/>
    <w:rsid w:val="00B53063"/>
    <w:rsid w:val="00B533C7"/>
    <w:rsid w:val="00B5361C"/>
    <w:rsid w:val="00B53682"/>
    <w:rsid w:val="00B538B9"/>
    <w:rsid w:val="00B53EE2"/>
    <w:rsid w:val="00B5421F"/>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A8C"/>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51F"/>
    <w:rsid w:val="00BB5913"/>
    <w:rsid w:val="00BB5B40"/>
    <w:rsid w:val="00BB5B68"/>
    <w:rsid w:val="00BB5B8A"/>
    <w:rsid w:val="00BB6023"/>
    <w:rsid w:val="00BB6DCE"/>
    <w:rsid w:val="00BB766C"/>
    <w:rsid w:val="00BB76B9"/>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38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727"/>
    <w:rsid w:val="00BE3813"/>
    <w:rsid w:val="00BE393E"/>
    <w:rsid w:val="00BE3C93"/>
    <w:rsid w:val="00BE3CD3"/>
    <w:rsid w:val="00BE426A"/>
    <w:rsid w:val="00BE4301"/>
    <w:rsid w:val="00BE520A"/>
    <w:rsid w:val="00BE5406"/>
    <w:rsid w:val="00BE5BF2"/>
    <w:rsid w:val="00BE622D"/>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535"/>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00"/>
    <w:rsid w:val="00C31439"/>
    <w:rsid w:val="00C31C12"/>
    <w:rsid w:val="00C31E6E"/>
    <w:rsid w:val="00C31F4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CD9"/>
    <w:rsid w:val="00C52067"/>
    <w:rsid w:val="00C52634"/>
    <w:rsid w:val="00C52B31"/>
    <w:rsid w:val="00C5304D"/>
    <w:rsid w:val="00C532A1"/>
    <w:rsid w:val="00C537ED"/>
    <w:rsid w:val="00C53AA8"/>
    <w:rsid w:val="00C5431F"/>
    <w:rsid w:val="00C5456C"/>
    <w:rsid w:val="00C54994"/>
    <w:rsid w:val="00C54A9A"/>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1EE7"/>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3CD"/>
    <w:rsid w:val="00C74A5B"/>
    <w:rsid w:val="00C74D6F"/>
    <w:rsid w:val="00C74F1F"/>
    <w:rsid w:val="00C75A98"/>
    <w:rsid w:val="00C75E0F"/>
    <w:rsid w:val="00C76228"/>
    <w:rsid w:val="00C762BE"/>
    <w:rsid w:val="00C763B6"/>
    <w:rsid w:val="00C765D7"/>
    <w:rsid w:val="00C766E2"/>
    <w:rsid w:val="00C77B9A"/>
    <w:rsid w:val="00C80C33"/>
    <w:rsid w:val="00C80E92"/>
    <w:rsid w:val="00C80F2F"/>
    <w:rsid w:val="00C83B22"/>
    <w:rsid w:val="00C845B7"/>
    <w:rsid w:val="00C858A1"/>
    <w:rsid w:val="00C8600E"/>
    <w:rsid w:val="00C86505"/>
    <w:rsid w:val="00C86F92"/>
    <w:rsid w:val="00C8742E"/>
    <w:rsid w:val="00C87484"/>
    <w:rsid w:val="00C874D1"/>
    <w:rsid w:val="00C876B5"/>
    <w:rsid w:val="00C90051"/>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18"/>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447"/>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883"/>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73"/>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B8B"/>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3F8"/>
    <w:rsid w:val="00D14D48"/>
    <w:rsid w:val="00D14E24"/>
    <w:rsid w:val="00D14EE7"/>
    <w:rsid w:val="00D14F29"/>
    <w:rsid w:val="00D14F40"/>
    <w:rsid w:val="00D15210"/>
    <w:rsid w:val="00D15362"/>
    <w:rsid w:val="00D153D6"/>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5D16"/>
    <w:rsid w:val="00D26FC2"/>
    <w:rsid w:val="00D270B3"/>
    <w:rsid w:val="00D27135"/>
    <w:rsid w:val="00D2725B"/>
    <w:rsid w:val="00D30DFC"/>
    <w:rsid w:val="00D31517"/>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9E9"/>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76F"/>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1B1D"/>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A18"/>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12B"/>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273"/>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5E"/>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462"/>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4DA"/>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71B"/>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01E"/>
    <w:rsid w:val="00DF7419"/>
    <w:rsid w:val="00DF7628"/>
    <w:rsid w:val="00DF7FED"/>
    <w:rsid w:val="00E00725"/>
    <w:rsid w:val="00E008B2"/>
    <w:rsid w:val="00E00B08"/>
    <w:rsid w:val="00E00D33"/>
    <w:rsid w:val="00E011D4"/>
    <w:rsid w:val="00E01D75"/>
    <w:rsid w:val="00E02965"/>
    <w:rsid w:val="00E02F03"/>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DEF"/>
    <w:rsid w:val="00E1547E"/>
    <w:rsid w:val="00E15996"/>
    <w:rsid w:val="00E15B7C"/>
    <w:rsid w:val="00E15CE9"/>
    <w:rsid w:val="00E16016"/>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3BF"/>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323"/>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0F1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4F2A"/>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0D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0C2"/>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2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0B06"/>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8C6"/>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D4A"/>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640"/>
    <w:rsid w:val="00EE6A67"/>
    <w:rsid w:val="00EE6E5F"/>
    <w:rsid w:val="00EE6EF4"/>
    <w:rsid w:val="00EE782E"/>
    <w:rsid w:val="00EE78DF"/>
    <w:rsid w:val="00EE7946"/>
    <w:rsid w:val="00EE7A24"/>
    <w:rsid w:val="00EE7CAB"/>
    <w:rsid w:val="00EF00BE"/>
    <w:rsid w:val="00EF0C8E"/>
    <w:rsid w:val="00EF0D1B"/>
    <w:rsid w:val="00EF0D5E"/>
    <w:rsid w:val="00EF0F35"/>
    <w:rsid w:val="00EF110A"/>
    <w:rsid w:val="00EF123C"/>
    <w:rsid w:val="00EF14F8"/>
    <w:rsid w:val="00EF1BF6"/>
    <w:rsid w:val="00EF202A"/>
    <w:rsid w:val="00EF32B2"/>
    <w:rsid w:val="00EF3458"/>
    <w:rsid w:val="00EF373E"/>
    <w:rsid w:val="00EF3D3F"/>
    <w:rsid w:val="00EF3F56"/>
    <w:rsid w:val="00EF430B"/>
    <w:rsid w:val="00EF460B"/>
    <w:rsid w:val="00EF563F"/>
    <w:rsid w:val="00EF5823"/>
    <w:rsid w:val="00EF6341"/>
    <w:rsid w:val="00EF6562"/>
    <w:rsid w:val="00EF682B"/>
    <w:rsid w:val="00EF692B"/>
    <w:rsid w:val="00EF7A41"/>
    <w:rsid w:val="00EF7A5F"/>
    <w:rsid w:val="00F004EB"/>
    <w:rsid w:val="00F00518"/>
    <w:rsid w:val="00F0072E"/>
    <w:rsid w:val="00F009B0"/>
    <w:rsid w:val="00F01211"/>
    <w:rsid w:val="00F0152B"/>
    <w:rsid w:val="00F018EC"/>
    <w:rsid w:val="00F01E57"/>
    <w:rsid w:val="00F01F96"/>
    <w:rsid w:val="00F024C9"/>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D2F"/>
    <w:rsid w:val="00F05EE8"/>
    <w:rsid w:val="00F06508"/>
    <w:rsid w:val="00F0669A"/>
    <w:rsid w:val="00F067D7"/>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C35"/>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730"/>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670"/>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C2E"/>
    <w:rsid w:val="00FC5DF3"/>
    <w:rsid w:val="00FC5F6D"/>
    <w:rsid w:val="00FC6457"/>
    <w:rsid w:val="00FC66C1"/>
    <w:rsid w:val="00FC6703"/>
    <w:rsid w:val="00FC6BA8"/>
    <w:rsid w:val="00FC7248"/>
    <w:rsid w:val="00FC7A70"/>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3C4"/>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AE3"/>
    <w:rsid w:val="00FF3D9F"/>
    <w:rsid w:val="00FF4055"/>
    <w:rsid w:val="00FF4786"/>
    <w:rsid w:val="00FF4BA5"/>
    <w:rsid w:val="00FF4D59"/>
    <w:rsid w:val="00FF511A"/>
    <w:rsid w:val="00FF5169"/>
    <w:rsid w:val="00FF5328"/>
    <w:rsid w:val="00FF5399"/>
    <w:rsid w:val="00FF58A7"/>
    <w:rsid w:val="00FF6263"/>
    <w:rsid w:val="00FF6A50"/>
    <w:rsid w:val="00FF6D0F"/>
    <w:rsid w:val="00FF74EF"/>
    <w:rsid w:val="00FF75FD"/>
    <w:rsid w:val="00FF786F"/>
    <w:rsid w:val="028DF08E"/>
    <w:rsid w:val="146AFB83"/>
    <w:rsid w:val="397C8CAD"/>
    <w:rsid w:val="398CB4D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stroke="f">
      <v:stroke on="f"/>
      <o:colormru v:ext="edit" colors="white"/>
    </o:shapedefaults>
    <o:shapelayout v:ext="edit">
      <o:idmap v:ext="edit" data="1"/>
    </o:shapelayout>
  </w:shapeDefaults>
  <w:decimalSymbol w:val="."/>
  <w:listSeparator w:val=","/>
  <w14:docId w14:val="3273ED5E"/>
  <w15:docId w15:val="{D9ABC721-8393-4840-B0D5-3D502B90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3F2E"/>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7002A5"/>
    <w:pPr>
      <w:keepNext w:val="0"/>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C0053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728462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vironment.vic.gov.au/biodiversity/victorian-biodiversity-atla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jpg"/><Relationship Id="rId28" Type="http://schemas.openxmlformats.org/officeDocument/2006/relationships/hyperlink" Target="http://www.delwp.vic.gov.au" TargetMode="Externa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6.jpg"/><Relationship Id="rId27" Type="http://schemas.openxmlformats.org/officeDocument/2006/relationships/hyperlink" Target="http://www.relayservice.com.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21\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440DD3-4348-4EF7-8CF8-9AA03718575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C83ECE0D787FC74B91A9476E3D3E1ADA" ma:contentTypeVersion="17" ma:contentTypeDescription="" ma:contentTypeScope="" ma:versionID="52f1b720df5678400b346b40477b617f">
  <xsd:schema xmlns:xsd="http://www.w3.org/2001/XMLSchema" xmlns:xs="http://www.w3.org/2001/XMLSchema" xmlns:p="http://schemas.microsoft.com/office/2006/metadata/properties" xmlns:ns1="a5f32de4-e402-4188-b034-e71ca7d22e54" xmlns:ns2="http://schemas.microsoft.com/sharepoint/v3" xmlns:ns3="a41a3cd0-2045-4063-9820-9ebad6e9cf57" targetNamespace="http://schemas.microsoft.com/office/2006/metadata/properties" ma:root="true" ma:fieldsID="31fb3da032795308672a28981170e151" ns1:_="" ns2:_="" ns3:_="">
    <xsd:import namespace="a5f32de4-e402-4188-b034-e71ca7d22e54"/>
    <xsd:import namespace="http://schemas.microsoft.com/sharepoint/v3"/>
    <xsd:import namespace="a41a3cd0-2045-4063-9820-9ebad6e9cf57"/>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1:mfe9accc5a0b4653a7b513b67ffd122d" minOccurs="0"/>
                <xsd:element ref="ns1:k1bd994a94c2413797db3bab8f123f6f" minOccurs="0"/>
                <xsd:element ref="ns1:a25c4e3633654d669cbaa09ae6b70789" minOccurs="0"/>
                <xsd:element ref="ns1:TaxCatchAll" minOccurs="0"/>
                <xsd:element ref="ns1:fb3179c379644f499d7166d0c985669b" minOccurs="0"/>
                <xsd:element ref="ns1:_dlc_DocIdPersistId" minOccurs="0"/>
                <xsd:element ref="ns1:pd01c257034b4e86b1f58279a3bd54c6" minOccurs="0"/>
                <xsd:element ref="ns1:n771d69a070c4babbf278c67c8a2b859" minOccurs="0"/>
                <xsd:element ref="ns1:TaxCatchAllLabel" minOccurs="0"/>
                <xsd:element ref="ns1:ece32f50ba964e1fbf627a9d83fe6c01" minOccurs="0"/>
                <xsd:element ref="ns1:ic50d0a05a8e4d9791dac67f8a1e716c" minOccurs="0"/>
                <xsd:element ref="ns3:o625803ee3d646698133034a99544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mfe9accc5a0b4653a7b513b67ffd122d" ma:index="16" ma:taxonomy="true" ma:internalName="mfe9accc5a0b4653a7b513b67ffd122d" ma:taxonomyFieldName="Branch" ma:displayName="Branch" ma:readOnly="false" ma:default="7;#Knowledge and Decision Systems|b4e6fa65-71ac-4707-b13f-b1fda20207e7"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19"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0"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70141db-fff5-4964-a9e7-35f069f9c93e}" ma:internalName="TaxCatchAll" ma:showField="CatchAllData"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3" ma:taxonomy="true" ma:internalName="fb3179c379644f499d7166d0c985669b" ma:taxonomyFieldName="Dissemination_x0020_Limiting_x0020_Marker" ma:displayName="Dissemination Limiting Marker" ma:readOnly="false" ma:default="2;#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pd01c257034b4e86b1f58279a3bd54c6" ma:index="25" ma:taxonomy="true" ma:internalName="pd01c257034b4e86b1f58279a3bd54c6" ma:taxonomyFieldName="Security_x0020_Classification" ma:displayName="Security Classification" ma:readOnly="false" ma:default="3;#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26" ma:taxonomy="true" ma:internalName="n771d69a070c4babbf278c67c8a2b859" ma:taxonomyFieldName="Division" ma:displayName="Division" ma:readOnly="false" ma:default="6;#Biodiversity|a369ff78-9705-4b66-a29c-499bde0c7988"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f70141db-fff5-4964-a9e7-35f069f9c93e}" ma:internalName="TaxCatchAllLabel" ma:readOnly="true" ma:showField="CatchAllDataLabel"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9" ma:taxonomy="true" ma:internalName="ece32f50ba964e1fbf627a9d83fe6c01" ma:taxonomyFieldName="Agency" ma:displayName="Agency" ma:readOnly="false" ma:default="1;#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readOnly="false" ma:default="5;#Energy, Environment and Climate Change|94bee464-a01d-4057-aeaf-10b10373b617"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41a3cd0-2045-4063-9820-9ebad6e9cf57" elementFormDefault="qualified">
    <xsd:import namespace="http://schemas.microsoft.com/office/2006/documentManagement/types"/>
    <xsd:import namespace="http://schemas.microsoft.com/office/infopath/2007/PartnerControls"/>
    <xsd:element name="o625803ee3d646698133034a99544ba1" ma:index="34" nillable="true" ma:taxonomy="true" ma:internalName="o625803ee3d646698133034a99544ba1" ma:taxonomyFieldName="KDS_x0020_Projects_x0020_and_x0020_Activities1" ma:displayName="KDS Projects and Activities" ma:default="" ma:fieldId="{8625803e-e3d6-4669-8133-034a99544ba1}" ma:sspId="3452d580-73c1-4b2b-acb3-3600a17877a9" ma:termSetId="85358996-68b3-43f8-9810-7f0412f48d1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eview_x0020_Date xmlns="a5f32de4-e402-4188-b034-e71ca7d22e54" xsi:nil="true"/>
    <TaxCatchAll xmlns="a5f32de4-e402-4188-b034-e71ca7d22e54">
      <Value>36</Value>
      <Value>7</Value>
      <Value>6</Value>
      <Value>5</Value>
      <Value>3</Value>
      <Value>2</Value>
      <Value>1</Value>
    </TaxCatchAll>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URL xmlns="http://schemas.microsoft.com/sharepoint/v3">
      <Url xsi:nil="true"/>
      <Description xsi:nil="true"/>
    </URL>
    <o625803ee3d646698133034a99544ba1 xmlns="a41a3cd0-2045-4063-9820-9ebad6e9cf57">
      <Terms xmlns="http://schemas.microsoft.com/office/infopath/2007/PartnerControls">
        <TermInfo xmlns="http://schemas.microsoft.com/office/infopath/2007/PartnerControls">
          <TermName xmlns="http://schemas.microsoft.com/office/infopath/2007/PartnerControls">NaturePrint</TermName>
          <TermId xmlns="http://schemas.microsoft.com/office/infopath/2007/PartnerControls">170e8f7a-2eec-43cd-9e09-d35ac5519f56</TermId>
        </TermInfo>
      </Terms>
    </o625803ee3d646698133034a99544ba1>
    <RoutingRuleDescription xmlns="http://schemas.microsoft.com/sharepoint/v3">NaturePrint SMP</RoutingRuleDescription>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k1bd994a94c2413797db3bab8f123f6f xmlns="a5f32de4-e402-4188-b034-e71ca7d22e54">
      <Terms xmlns="http://schemas.microsoft.com/office/infopath/2007/PartnerControls"/>
    </k1bd994a94c2413797db3bab8f123f6f>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a25c4e3633654d669cbaa09ae6b70789 xmlns="a5f32de4-e402-4188-b034-e71ca7d22e54">
      <Terms xmlns="http://schemas.microsoft.com/office/infopath/2007/PartnerControls"/>
    </a25c4e3633654d669cbaa09ae6b70789>
    <_dlc_DocId xmlns="a5f32de4-e402-4188-b034-e71ca7d22e54">DOCID107-6-596</_dlc_DocId>
    <_dlc_DocIdUrl xmlns="a5f32de4-e402-4188-b034-e71ca7d22e54">
      <Url>https://ecm.delwp.vic.gov.au/sites/ecm_107/_layouts/15/DocIdRedir.aspx?ID=DOCID107-6-596</Url>
      <Description>DOCID107-6-596</Description>
    </_dlc_DocIdUrl>
  </documentManagement>
</p:properties>
</file>

<file path=customXml/item4.xml><?xml version="1.0" encoding="utf-8"?>
<?mso-contentType ?>
<customXsn xmlns="http://schemas.microsoft.com/office/2006/metadata/customXsn">
  <xsnLocation/>
  <cached>True</cached>
  <openByDefault>True</openByDefault>
  <xsnScope>/</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52d580-73c1-4b2b-acb3-3600a17877a9" ContentTypeId="0x0101002517F445A0F35E449C98AAD631F2B038440B"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1FA9-E58B-4BE5-B4EB-B700A66FD441}">
  <ds:schemaRefs>
    <ds:schemaRef ds:uri="http://schemas.microsoft.com/sharepoint/events"/>
  </ds:schemaRefs>
</ds:datastoreItem>
</file>

<file path=customXml/itemProps2.xml><?xml version="1.0" encoding="utf-8"?>
<ds:datastoreItem xmlns:ds="http://schemas.openxmlformats.org/officeDocument/2006/customXml" ds:itemID="{12418135-4972-42F9-88A7-30C62750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a41a3cd0-2045-4063-9820-9ebad6e9c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ACF3E-FF2A-4E37-8C3A-0D1A15D07ED6}">
  <ds:schemaRefs>
    <ds:schemaRef ds:uri="http://purl.org/dc/elements/1.1/"/>
    <ds:schemaRef ds:uri="a5f32de4-e402-4188-b034-e71ca7d22e54"/>
    <ds:schemaRef ds:uri="http://schemas.microsoft.com/sharepoint/v3"/>
    <ds:schemaRef ds:uri="http://purl.org/dc/dcmitype/"/>
    <ds:schemaRef ds:uri="http://purl.org/dc/terms/"/>
    <ds:schemaRef ds:uri="http://schemas.microsoft.com/office/2006/documentManagement/types"/>
    <ds:schemaRef ds:uri="http://www.w3.org/XML/1998/namespace"/>
    <ds:schemaRef ds:uri="a41a3cd0-2045-4063-9820-9ebad6e9cf5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8C05178-10C6-4953-87C4-10941F15206C}">
  <ds:schemaRefs>
    <ds:schemaRef ds:uri="http://schemas.microsoft.com/office/2006/metadata/customXsn"/>
  </ds:schemaRefs>
</ds:datastoreItem>
</file>

<file path=customXml/itemProps5.xml><?xml version="1.0" encoding="utf-8"?>
<ds:datastoreItem xmlns:ds="http://schemas.openxmlformats.org/officeDocument/2006/customXml" ds:itemID="{373E857A-22A0-478E-A3B4-D5461C2E11D8}">
  <ds:schemaRefs>
    <ds:schemaRef ds:uri="http://schemas.microsoft.com/sharepoint/v3/contenttype/forms"/>
  </ds:schemaRefs>
</ds:datastoreItem>
</file>

<file path=customXml/itemProps6.xml><?xml version="1.0" encoding="utf-8"?>
<ds:datastoreItem xmlns:ds="http://schemas.openxmlformats.org/officeDocument/2006/customXml" ds:itemID="{ECF6339C-092D-4C91-843F-BB90DACBD524}">
  <ds:schemaRefs>
    <ds:schemaRef ds:uri="Microsoft.SharePoint.Taxonomy.ContentTypeSync"/>
  </ds:schemaRefs>
</ds:datastoreItem>
</file>

<file path=customXml/itemProps7.xml><?xml version="1.0" encoding="utf-8"?>
<ds:datastoreItem xmlns:ds="http://schemas.openxmlformats.org/officeDocument/2006/customXml" ds:itemID="{064E066F-CBE6-48FE-A65A-D0364CB1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48</TotalTime>
  <Pages>9</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Strategic Management Prospects inputs</vt:lpstr>
    </vt:vector>
  </TitlesOfParts>
  <Company/>
  <LinksUpToDate>false</LinksUpToDate>
  <CharactersWithSpaces>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Management Prospects inputs</dc:title>
  <dc:creator>Christie Boyle</dc:creator>
  <cp:lastModifiedBy>Christie A Boyle (DELWP)</cp:lastModifiedBy>
  <cp:revision>15</cp:revision>
  <cp:lastPrinted>2018-02-22T02:13:00Z</cp:lastPrinted>
  <dcterms:created xsi:type="dcterms:W3CDTF">2018-01-23T23:21:00Z</dcterms:created>
  <dcterms:modified xsi:type="dcterms:W3CDTF">2018-02-22T02:14:00Z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0x0101002517F445A0F35E449C98AAD631F2B038440B00C83ECE0D787FC74B91A9476E3D3E1ADA</vt:lpwstr>
  </property>
  <property fmtid="{D5CDD505-2E9C-101B-9397-08002B2CF9AE}" pid="19" name="_dlc_DocIdItemGuid">
    <vt:lpwstr>76c43601-f84b-44d3-a67b-190294a50cff</vt:lpwstr>
  </property>
  <property fmtid="{D5CDD505-2E9C-101B-9397-08002B2CF9AE}" pid="20" name="Section">
    <vt:lpwstr/>
  </property>
  <property fmtid="{D5CDD505-2E9C-101B-9397-08002B2CF9AE}" pid="21" name="KDS Projects and Activities1">
    <vt:lpwstr>36;#NaturePrint|170e8f7a-2eec-43cd-9e09-d35ac5519f56</vt:lpwstr>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7;#Knowledge and Decision Systems|b4e6fa65-71ac-4707-b13f-b1fda20207e7</vt:lpwstr>
  </property>
  <property fmtid="{D5CDD505-2E9C-101B-9397-08002B2CF9AE}" pid="25" name="Reference Type">
    <vt:lpwstr/>
  </property>
  <property fmtid="{D5CDD505-2E9C-101B-9397-08002B2CF9AE}" pid="26" name="Division">
    <vt:lpwstr>6;#Biodiversity|a369ff78-9705-4b66-a29c-499bde0c7988</vt:lpwstr>
  </property>
  <property fmtid="{D5CDD505-2E9C-101B-9397-08002B2CF9AE}" pid="27" name="Group1">
    <vt:lpwstr>5;#Energy, Environment and Climate Change|94bee464-a01d-4057-aeaf-10b10373b617</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ld508a88e6264ce89693af80a72862cb">
    <vt:lpwstr/>
  </property>
</Properties>
</file>