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49CCAD48" w14:textId="77777777" w:rsidTr="449AA4B3">
        <w:trPr>
          <w:trHeight w:hRule="exact" w:val="1418"/>
        </w:trPr>
        <w:tc>
          <w:tcPr>
            <w:tcW w:w="7761" w:type="dxa"/>
            <w:vAlign w:val="center"/>
          </w:tcPr>
          <w:p w14:paraId="030DF716" w14:textId="77777777" w:rsidR="009B1003" w:rsidRPr="009B1003" w:rsidRDefault="449AA4B3" w:rsidP="00EA3F2E">
            <w:pPr>
              <w:pStyle w:val="Title"/>
            </w:pPr>
            <w:r>
              <w:t>NaturePrint</w:t>
            </w:r>
          </w:p>
        </w:tc>
      </w:tr>
      <w:tr w:rsidR="00975ED3" w14:paraId="145CD758" w14:textId="77777777" w:rsidTr="449AA4B3">
        <w:trPr>
          <w:trHeight w:val="1247"/>
        </w:trPr>
        <w:tc>
          <w:tcPr>
            <w:tcW w:w="7761" w:type="dxa"/>
            <w:vAlign w:val="center"/>
          </w:tcPr>
          <w:p w14:paraId="4C207607" w14:textId="5FE71BEA" w:rsidR="009B1003" w:rsidRPr="009B1003" w:rsidRDefault="449AA4B3" w:rsidP="449AA4B3">
            <w:pPr>
              <w:pStyle w:val="Subtitle"/>
            </w:pPr>
            <w:r>
              <w:t xml:space="preserve"> Strategic Management Prospects overview and approach</w:t>
            </w:r>
          </w:p>
        </w:tc>
      </w:tr>
    </w:tbl>
    <w:p w14:paraId="48BDF48E" w14:textId="77777777" w:rsidR="00806AB6" w:rsidRPr="00F05AF0" w:rsidRDefault="00806AB6" w:rsidP="00F05AF0">
      <w:pPr>
        <w:spacing w:line="240" w:lineRule="auto"/>
        <w:rPr>
          <w:sz w:val="16"/>
          <w:szCs w:val="16"/>
        </w:rPr>
      </w:pPr>
    </w:p>
    <w:p w14:paraId="653E19F2" w14:textId="77777777" w:rsidR="00806AB6" w:rsidRPr="00F05AF0" w:rsidRDefault="00806AB6" w:rsidP="00F05AF0">
      <w:pPr>
        <w:pStyle w:val="BodyText"/>
        <w:spacing w:line="240" w:lineRule="auto"/>
        <w:rPr>
          <w:sz w:val="16"/>
          <w:szCs w:val="16"/>
        </w:rPr>
        <w:sectPr w:rsidR="00806AB6" w:rsidRPr="00F05AF0"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610C6746" w14:textId="77777777" w:rsidR="005E45F6" w:rsidRDefault="005E45F6" w:rsidP="005E45F6">
      <w:pPr>
        <w:pStyle w:val="IntroFeatureText"/>
      </w:pPr>
      <w:bookmarkStart w:id="0" w:name="Here"/>
      <w:bookmarkEnd w:id="0"/>
      <w:r w:rsidRPr="00615E60">
        <w:t>Evidence-based decision making is critical to improving outcomes for biodiversity. Strategic Management Prospects (SMP) is a decision support tool that helps biodiversity managers identify and prioritise management options in a transparent, objective and repeatable way. SMP uses a new spatially-explicit, landscape-scale approach to identify the most effective and efficient management actions to benefit biodiversity across Victoria.</w:t>
      </w:r>
    </w:p>
    <w:p w14:paraId="33E2E197" w14:textId="77777777" w:rsidR="005E45F6" w:rsidRDefault="449AA4B3" w:rsidP="005E45F6">
      <w:pPr>
        <w:pStyle w:val="Heading1"/>
      </w:pPr>
      <w:r>
        <w:t>Strategic Management Prospects</w:t>
      </w:r>
    </w:p>
    <w:p w14:paraId="21F52CAF" w14:textId="77777777" w:rsidR="005E45F6" w:rsidRDefault="449AA4B3" w:rsidP="005E45F6">
      <w:pPr>
        <w:pStyle w:val="Heading2"/>
      </w:pPr>
      <w:r>
        <w:t>Context</w:t>
      </w:r>
    </w:p>
    <w:p w14:paraId="55BFEC59" w14:textId="5666E926" w:rsidR="005E45F6" w:rsidRDefault="449AA4B3" w:rsidP="005E45F6">
      <w:pPr>
        <w:pStyle w:val="BodyText"/>
      </w:pPr>
      <w:r>
        <w:t xml:space="preserve">The aim of the Victorian Government’s Biodiversity Plan </w:t>
      </w:r>
      <w:r w:rsidRPr="449AA4B3">
        <w:rPr>
          <w:i/>
          <w:iCs/>
        </w:rPr>
        <w:t>Biodiversity 2037 – Protecting Victoria’s Environment</w:t>
      </w:r>
      <w:r>
        <w:t xml:space="preserve"> is to “see an overall improvement, where the majority of habitats and threatened species will be improved, and habitat gains will outweigh losses”.</w:t>
      </w:r>
      <w:bookmarkStart w:id="1" w:name="_GoBack"/>
      <w:bookmarkEnd w:id="1"/>
    </w:p>
    <w:p w14:paraId="3EDAE3B4" w14:textId="218BA08D" w:rsidR="005E45F6" w:rsidRDefault="449AA4B3" w:rsidP="005E45F6">
      <w:pPr>
        <w:pStyle w:val="BodyText"/>
      </w:pPr>
      <w:r>
        <w:t xml:space="preserve">To have the best chance to achieve the greatest outcomes for biodiversity in Victoria we need to compare information about thousands of biodiversity values. </w:t>
      </w:r>
      <w:r w:rsidR="00A104CA">
        <w:t>There are a</w:t>
      </w:r>
      <w:r>
        <w:t xml:space="preserve"> range of </w:t>
      </w:r>
      <w:r w:rsidR="00A104CA">
        <w:t xml:space="preserve">best-practice </w:t>
      </w:r>
      <w:r>
        <w:t xml:space="preserve">methods </w:t>
      </w:r>
      <w:r w:rsidR="00A104CA">
        <w:t>now available for use</w:t>
      </w:r>
      <w:r>
        <w:t xml:space="preserve">. </w:t>
      </w:r>
    </w:p>
    <w:p w14:paraId="6E5E5444" w14:textId="799F6A94" w:rsidR="005E45F6" w:rsidRDefault="449AA4B3" w:rsidP="005E45F6">
      <w:pPr>
        <w:pStyle w:val="BodyText"/>
      </w:pPr>
      <w:r>
        <w:t xml:space="preserve">NaturePrint’s Strategic Management Prospects (SMP) was developed to give Victoria a long-term, strategic approach to identifying cost-effective management actions that deliver an improved outlook for as many species as possible. </w:t>
      </w:r>
    </w:p>
    <w:p w14:paraId="73C8AD1E" w14:textId="61E508D8" w:rsidR="003A0E05" w:rsidRDefault="003A0E05" w:rsidP="00BD272C">
      <w:pPr>
        <w:pStyle w:val="BodyText"/>
        <w:spacing w:before="120"/>
      </w:pPr>
      <w:r>
        <w:t xml:space="preserve">SMP is a key element in the Victorian Government’s modernised conservation planning and investment approach. Conservation management is shifting away from planning for threatened species one at a time, instead considering synergies, benefits and potential negative outcomes across multiple species. </w:t>
      </w:r>
    </w:p>
    <w:p w14:paraId="2A9130CB" w14:textId="77777777" w:rsidR="00852C89" w:rsidRDefault="00852C89" w:rsidP="00BD272C">
      <w:pPr>
        <w:pStyle w:val="BodyText"/>
        <w:spacing w:before="120"/>
      </w:pPr>
    </w:p>
    <w:tbl>
      <w:tblPr>
        <w:tblStyle w:val="HighlightTable"/>
        <w:tblW w:w="5000" w:type="pct"/>
        <w:tblLook w:val="0600" w:firstRow="0" w:lastRow="0" w:firstColumn="0" w:lastColumn="0" w:noHBand="1" w:noVBand="1"/>
        <w:tblCaption w:val="Hightlight Text"/>
      </w:tblPr>
      <w:tblGrid>
        <w:gridCol w:w="4960"/>
      </w:tblGrid>
      <w:tr w:rsidR="005E45F6" w14:paraId="1A1C8471" w14:textId="77777777" w:rsidTr="449AA4B3">
        <w:tc>
          <w:tcPr>
            <w:tcW w:w="5000" w:type="pct"/>
          </w:tcPr>
          <w:p w14:paraId="5C8AD18C" w14:textId="4D267ADC" w:rsidR="005E45F6" w:rsidRPr="00920148" w:rsidRDefault="449AA4B3" w:rsidP="00920148">
            <w:pPr>
              <w:pStyle w:val="HighlightBoxHeading"/>
            </w:pPr>
            <w:r>
              <w:t>NaturePrint</w:t>
            </w:r>
          </w:p>
          <w:p w14:paraId="5495C1EC" w14:textId="3736F1AF" w:rsidR="005E45F6" w:rsidRDefault="449AA4B3" w:rsidP="00E12E47">
            <w:pPr>
              <w:pStyle w:val="HighlightBoxText"/>
            </w:pPr>
            <w:r>
              <w:t>NaturePrint is a suite of decision-support products and tools designed to help us make choices about what actions to take, and in which places, to protect Victoria’s environment and plan for the future. The tools currently include:</w:t>
            </w:r>
          </w:p>
          <w:p w14:paraId="103D6150" w14:textId="0BE9A6D2" w:rsidR="005E45F6" w:rsidRDefault="449AA4B3" w:rsidP="00E12E47">
            <w:pPr>
              <w:pStyle w:val="HighlightBoxBullet"/>
            </w:pPr>
            <w:r>
              <w:t xml:space="preserve">Habitat </w:t>
            </w:r>
            <w:r w:rsidR="000C456D">
              <w:t>D</w:t>
            </w:r>
            <w:r>
              <w:t xml:space="preserve">istribution and </w:t>
            </w:r>
            <w:r w:rsidR="000C456D">
              <w:t>I</w:t>
            </w:r>
            <w:r>
              <w:t xml:space="preserve">mportance </w:t>
            </w:r>
            <w:r w:rsidR="000C456D">
              <w:t>M</w:t>
            </w:r>
            <w:r>
              <w:t>odels</w:t>
            </w:r>
          </w:p>
          <w:p w14:paraId="33FF810F" w14:textId="1B69256E" w:rsidR="005E45F6" w:rsidRDefault="449AA4B3" w:rsidP="00E12E47">
            <w:pPr>
              <w:pStyle w:val="HighlightBoxBullet"/>
            </w:pPr>
            <w:r>
              <w:t xml:space="preserve">Threat and </w:t>
            </w:r>
            <w:r w:rsidR="000C456D">
              <w:t>B</w:t>
            </w:r>
            <w:r>
              <w:t xml:space="preserve">enefit of </w:t>
            </w:r>
            <w:r w:rsidR="000C456D">
              <w:t>A</w:t>
            </w:r>
            <w:r>
              <w:t xml:space="preserve">ction </w:t>
            </w:r>
            <w:r w:rsidR="000C456D">
              <w:t>M</w:t>
            </w:r>
            <w:r>
              <w:t>odels</w:t>
            </w:r>
            <w:r w:rsidR="00A104CA">
              <w:t>*</w:t>
            </w:r>
          </w:p>
          <w:p w14:paraId="1DCB0717" w14:textId="77777777" w:rsidR="005E45F6" w:rsidRDefault="449AA4B3" w:rsidP="00E12E47">
            <w:pPr>
              <w:pStyle w:val="HighlightBoxBullet"/>
            </w:pPr>
            <w:r>
              <w:t>Strategic Biodiversity Values</w:t>
            </w:r>
          </w:p>
          <w:p w14:paraId="10DBCCB5" w14:textId="286D24CB" w:rsidR="005E45F6" w:rsidRDefault="449AA4B3" w:rsidP="00A104CA">
            <w:pPr>
              <w:pStyle w:val="HighlightBoxBullet"/>
              <w:spacing w:after="0"/>
            </w:pPr>
            <w:r>
              <w:t>Strategic Management Prospects</w:t>
            </w:r>
            <w:r w:rsidR="00A104CA">
              <w:t>*</w:t>
            </w:r>
          </w:p>
          <w:p w14:paraId="045FD866" w14:textId="7C3B75B2" w:rsidR="00A104CA" w:rsidRPr="00A104CA" w:rsidRDefault="00A104CA" w:rsidP="00A104CA">
            <w:pPr>
              <w:pStyle w:val="HighlightBoxText"/>
              <w:spacing w:before="0"/>
              <w:ind w:left="454"/>
              <w:rPr>
                <w:sz w:val="20"/>
              </w:rPr>
            </w:pPr>
            <w:r>
              <w:rPr>
                <w:sz w:val="20"/>
              </w:rPr>
              <w:t>*</w:t>
            </w:r>
            <w:r w:rsidRPr="00A104CA">
              <w:rPr>
                <w:sz w:val="20"/>
              </w:rPr>
              <w:t xml:space="preserve">currently focused on </w:t>
            </w:r>
            <w:r>
              <w:rPr>
                <w:sz w:val="20"/>
              </w:rPr>
              <w:t>terrestrial environment</w:t>
            </w:r>
          </w:p>
          <w:p w14:paraId="7116233E" w14:textId="67F3C23E" w:rsidR="005E45F6" w:rsidRDefault="449AA4B3" w:rsidP="00E12E47">
            <w:pPr>
              <w:pStyle w:val="HighlightBoxText"/>
            </w:pPr>
            <w:r>
              <w:t xml:space="preserve">Further information about NaturePrint, including information sheets, is available </w:t>
            </w:r>
            <w:r w:rsidR="00113FDD">
              <w:t>at</w:t>
            </w:r>
            <w:r w:rsidR="002146AC">
              <w:t xml:space="preserve"> </w:t>
            </w:r>
            <w:hyperlink r:id="rId20" w:history="1">
              <w:r w:rsidR="002146AC" w:rsidRPr="00706FB7">
                <w:rPr>
                  <w:rStyle w:val="Hyperlink"/>
                </w:rPr>
                <w:t>https://www.environment.vic.gov.au/</w:t>
              </w:r>
              <w:r w:rsidR="002146AC" w:rsidRPr="002146AC">
                <w:rPr>
                  <w:rStyle w:val="Hyperlink"/>
                </w:rPr>
                <w:t>‌</w:t>
              </w:r>
              <w:r w:rsidR="002146AC" w:rsidRPr="00706FB7">
                <w:rPr>
                  <w:rStyle w:val="Hyperlink"/>
                </w:rPr>
                <w:t>biodiversity/natureprint</w:t>
              </w:r>
            </w:hyperlink>
            <w:hyperlink r:id="rId21"/>
            <w:r>
              <w:t>.</w:t>
            </w:r>
          </w:p>
          <w:p w14:paraId="5B48FCF1" w14:textId="64550799" w:rsidR="00A7739A" w:rsidRDefault="449AA4B3" w:rsidP="00E12E47">
            <w:pPr>
              <w:pStyle w:val="HighlightBoxText"/>
            </w:pPr>
            <w:r>
              <w:t xml:space="preserve">NaturePrint products can be viewed using </w:t>
            </w:r>
            <w:hyperlink r:id="rId22">
              <w:r>
                <w:t>NatureKit</w:t>
              </w:r>
            </w:hyperlink>
            <w:r>
              <w:t xml:space="preserve"> – the department's online biodiversity mapping and reporting tool: </w:t>
            </w:r>
            <w:hyperlink r:id="rId23" w:history="1">
              <w:r w:rsidR="002146AC" w:rsidRPr="00706FB7">
                <w:rPr>
                  <w:rStyle w:val="Hyperlink"/>
                </w:rPr>
                <w:t>https://naturekit.biodiversity.vic.gov.au</w:t>
              </w:r>
            </w:hyperlink>
            <w:r>
              <w:t>.</w:t>
            </w:r>
          </w:p>
        </w:tc>
      </w:tr>
    </w:tbl>
    <w:p w14:paraId="581B8004" w14:textId="77777777" w:rsidR="00852C89" w:rsidRDefault="00852C89">
      <w:pPr>
        <w:pStyle w:val="Heading2"/>
      </w:pPr>
    </w:p>
    <w:p w14:paraId="6C6030AB" w14:textId="77777777" w:rsidR="00852C89" w:rsidRDefault="00852C89" w:rsidP="00852C89">
      <w:pPr>
        <w:pStyle w:val="BodyText"/>
        <w:rPr>
          <w:color w:val="00B2A9" w:themeColor="accent1"/>
          <w:kern w:val="20"/>
          <w:sz w:val="22"/>
          <w:szCs w:val="28"/>
        </w:rPr>
      </w:pPr>
      <w:r>
        <w:br w:type="page"/>
      </w:r>
    </w:p>
    <w:p w14:paraId="137C676B" w14:textId="320B08DF" w:rsidR="001B2E3D" w:rsidRPr="001B2E3D" w:rsidRDefault="449AA4B3">
      <w:pPr>
        <w:pStyle w:val="Heading2"/>
      </w:pPr>
      <w:r>
        <w:lastRenderedPageBreak/>
        <w:t>How can SMP be used?</w:t>
      </w:r>
    </w:p>
    <w:p w14:paraId="21CEB146" w14:textId="77777777" w:rsidR="005E45F6" w:rsidRDefault="449AA4B3" w:rsidP="005E45F6">
      <w:pPr>
        <w:pStyle w:val="BodyText"/>
      </w:pPr>
      <w:r>
        <w:t xml:space="preserve">Government and non-government conservation or land managers can use SMP to make informed decisions about how and where we can act to protect and manage biodiversity in Victoria. SMP can be used in a variety of ways, including to: </w:t>
      </w:r>
    </w:p>
    <w:p w14:paraId="11739F2D" w14:textId="77777777" w:rsidR="005E45F6" w:rsidRPr="00565213" w:rsidRDefault="449AA4B3" w:rsidP="00565213">
      <w:pPr>
        <w:pStyle w:val="ListBullet"/>
      </w:pPr>
      <w:r>
        <w:t xml:space="preserve">provide guidance on how to maximise biodiversity outcomes (by informing on-ground projects and investment decisions) </w:t>
      </w:r>
    </w:p>
    <w:p w14:paraId="1BAE4589" w14:textId="77777777" w:rsidR="005E45F6" w:rsidRPr="00565213" w:rsidRDefault="449AA4B3" w:rsidP="00565213">
      <w:pPr>
        <w:pStyle w:val="ListBullet"/>
      </w:pPr>
      <w:r>
        <w:t xml:space="preserve">facilitate objective comparisons (e.g. between regions, species, threats and management actions) </w:t>
      </w:r>
    </w:p>
    <w:p w14:paraId="07AE577D" w14:textId="77777777" w:rsidR="005E45F6" w:rsidRPr="00565213" w:rsidRDefault="449AA4B3" w:rsidP="00565213">
      <w:pPr>
        <w:pStyle w:val="ListBullet"/>
      </w:pPr>
      <w:r>
        <w:t xml:space="preserve">provide scope and focus for partnership discussions </w:t>
      </w:r>
    </w:p>
    <w:p w14:paraId="465F0B29" w14:textId="77777777" w:rsidR="005E45F6" w:rsidRPr="00565213" w:rsidRDefault="449AA4B3" w:rsidP="00565213">
      <w:pPr>
        <w:pStyle w:val="ListBullet"/>
      </w:pPr>
      <w:r>
        <w:t xml:space="preserve">inform and improve the Biodiversity Plan Targets </w:t>
      </w:r>
    </w:p>
    <w:p w14:paraId="473BF8F0" w14:textId="77777777" w:rsidR="005E45F6" w:rsidRPr="00565213" w:rsidRDefault="449AA4B3" w:rsidP="00565213">
      <w:pPr>
        <w:pStyle w:val="ListBullet"/>
      </w:pPr>
      <w:r>
        <w:t>inform reporting on progress towards Biodiversity Plan Targets.</w:t>
      </w:r>
    </w:p>
    <w:p w14:paraId="2310C57F" w14:textId="77777777" w:rsidR="005E45F6" w:rsidRDefault="449AA4B3" w:rsidP="005E45F6">
      <w:pPr>
        <w:pStyle w:val="Heading2"/>
      </w:pPr>
      <w:r>
        <w:t>The SMP Approach</w:t>
      </w:r>
    </w:p>
    <w:p w14:paraId="53FC217F" w14:textId="2351DA69" w:rsidR="001B2E3D" w:rsidRDefault="449AA4B3" w:rsidP="005E45F6">
      <w:pPr>
        <w:pStyle w:val="BodyText"/>
      </w:pPr>
      <w:r>
        <w:t xml:space="preserve">SMP integrates and simultaneously compares information on biodiversity values, threats, effectiveness of management actions and indicative costs of management actions for biodiversity across Victoria (Figure 1). </w:t>
      </w:r>
    </w:p>
    <w:p w14:paraId="106D902F" w14:textId="77777777" w:rsidR="005E45F6" w:rsidRDefault="449AA4B3" w:rsidP="005E45F6">
      <w:pPr>
        <w:pStyle w:val="Heading3"/>
      </w:pPr>
      <w:r>
        <w:t>SMP Inputs</w:t>
      </w:r>
    </w:p>
    <w:p w14:paraId="605A1DBB" w14:textId="7D8BE50C" w:rsidR="00BE305C" w:rsidRDefault="449AA4B3" w:rsidP="00920148">
      <w:pPr>
        <w:pStyle w:val="BodyText"/>
      </w:pPr>
      <w:r>
        <w:t xml:space="preserve">The inputs to the SMP analysis (Table 1) are fine-scale, state-wide spatial models based on extrapolation from different primary datasets. The SMP </w:t>
      </w:r>
      <w:r w:rsidR="00BD272C">
        <w:t>v</w:t>
      </w:r>
      <w:r w:rsidR="00BE305C">
        <w:t>1</w:t>
      </w:r>
      <w:r w:rsidR="00BD272C">
        <w:t>.2</w:t>
      </w:r>
      <w:r w:rsidR="00BE305C">
        <w:t xml:space="preserve"> </w:t>
      </w:r>
      <w:r>
        <w:t>inputs include</w:t>
      </w:r>
      <w:r w:rsidR="008A4E96">
        <w:t xml:space="preserve"> </w:t>
      </w:r>
      <w:r>
        <w:t>habitat distribution models, threat models, expert elicited response mod</w:t>
      </w:r>
      <w:r w:rsidR="008A4E96">
        <w:t xml:space="preserve">els for thousands of species to </w:t>
      </w:r>
      <w:r>
        <w:t>different management actions, and cost estimates for management action</w:t>
      </w:r>
      <w:r w:rsidR="008A4E96">
        <w:t>s</w:t>
      </w:r>
      <w:r>
        <w:t>.</w:t>
      </w:r>
    </w:p>
    <w:p w14:paraId="5BE648F6" w14:textId="77777777" w:rsidR="00852C89" w:rsidRDefault="00852C89" w:rsidP="00852C89">
      <w:pPr>
        <w:pStyle w:val="BodyText"/>
      </w:pPr>
      <w:r>
        <w:t xml:space="preserve">Currently, SMP focuses only on terrestrial species and threats that occur at the landscape-scale. Coverage into other environments (e.g. freshwater) and new threats is expected to increase over time. </w:t>
      </w:r>
    </w:p>
    <w:p w14:paraId="0A5F8170" w14:textId="77777777" w:rsidR="00852C89" w:rsidRDefault="00852C89" w:rsidP="00852C89">
      <w:pPr>
        <w:pStyle w:val="BodyText"/>
      </w:pPr>
      <w:r>
        <w:t xml:space="preserve">To consider the likely future prognosis of biodiversity values under different management regimes, we use a time horizon of 50 years. Using an expert elicitation method, we estimate the potential of various types of action (including ‘no action’) to benefit species. Our analysis focuses on the threats for which we can currently generate credible state-wide spatial models, and we will expand this range as opportunities allow. Consequently, the development of the SMP approach is an iterative process and uses a continuous improvement approach. </w:t>
      </w:r>
    </w:p>
    <w:p w14:paraId="2D2803B1" w14:textId="77777777" w:rsidR="00F345D3" w:rsidRDefault="00F345D3" w:rsidP="00F345D3">
      <w:pPr>
        <w:pStyle w:val="CaptionImageorFigure"/>
      </w:pPr>
      <w:r>
        <w:t>Table 1: SMP inputs</w:t>
      </w:r>
    </w:p>
    <w:tbl>
      <w:tblPr>
        <w:tblStyle w:val="TableGrid"/>
        <w:tblW w:w="0" w:type="auto"/>
        <w:tblLook w:val="04A0" w:firstRow="1" w:lastRow="0" w:firstColumn="1" w:lastColumn="0" w:noHBand="0" w:noVBand="1"/>
        <w:tblCaption w:val="Strategic Management Prospects inputs"/>
        <w:tblDescription w:val="This table lists and briefly describes the inputs into the SMP analysis."/>
      </w:tblPr>
      <w:tblGrid>
        <w:gridCol w:w="1418"/>
        <w:gridCol w:w="3542"/>
      </w:tblGrid>
      <w:tr w:rsidR="00F345D3" w14:paraId="576F4253" w14:textId="77777777" w:rsidTr="00852C89">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418" w:type="dxa"/>
          </w:tcPr>
          <w:p w14:paraId="73227710" w14:textId="77777777" w:rsidR="00F345D3" w:rsidRPr="00F8676C" w:rsidRDefault="00F345D3" w:rsidP="00852C89">
            <w:pPr>
              <w:pStyle w:val="TableHeadingLeft"/>
              <w:ind w:right="2"/>
            </w:pPr>
            <w:r>
              <w:t>Inputs to SMP</w:t>
            </w:r>
          </w:p>
        </w:tc>
        <w:tc>
          <w:tcPr>
            <w:tcW w:w="3542" w:type="dxa"/>
          </w:tcPr>
          <w:p w14:paraId="0C3E91E2" w14:textId="77777777" w:rsidR="00F345D3" w:rsidRDefault="00F345D3" w:rsidP="00EE20F4">
            <w:pPr>
              <w:pStyle w:val="TableHeadingLeft"/>
              <w:cnfStyle w:val="100000000000" w:firstRow="1" w:lastRow="0" w:firstColumn="0" w:lastColumn="0" w:oddVBand="0" w:evenVBand="0" w:oddHBand="0" w:evenHBand="0" w:firstRowFirstColumn="0" w:firstRowLastColumn="0" w:lastRowFirstColumn="0" w:lastRowLastColumn="0"/>
            </w:pPr>
            <w:r>
              <w:t>Relationships modelled</w:t>
            </w:r>
          </w:p>
        </w:tc>
      </w:tr>
      <w:tr w:rsidR="00F345D3" w14:paraId="1D20BEA2" w14:textId="77777777" w:rsidTr="00852C89">
        <w:tc>
          <w:tcPr>
            <w:tcW w:w="1418" w:type="dxa"/>
          </w:tcPr>
          <w:p w14:paraId="62503EF8" w14:textId="77777777" w:rsidR="00F345D3" w:rsidRPr="00BA1E89" w:rsidRDefault="00F345D3" w:rsidP="00EE20F4">
            <w:pPr>
              <w:pStyle w:val="TableTextLeft"/>
            </w:pPr>
            <w:r>
              <w:t>Habitat Distribution Models</w:t>
            </w:r>
          </w:p>
        </w:tc>
        <w:tc>
          <w:tcPr>
            <w:tcW w:w="3542" w:type="dxa"/>
          </w:tcPr>
          <w:p w14:paraId="3B8CA19C" w14:textId="77777777" w:rsidR="00F345D3" w:rsidRPr="00BA1E89" w:rsidRDefault="00F345D3" w:rsidP="00EE20F4">
            <w:pPr>
              <w:pStyle w:val="TableTextLeft"/>
            </w:pPr>
            <w:r>
              <w:t>Known observations of species and characteristics of the environment (e.g. terrain, climate).</w:t>
            </w:r>
          </w:p>
        </w:tc>
      </w:tr>
      <w:tr w:rsidR="00F345D3" w14:paraId="1579EC6D" w14:textId="77777777" w:rsidTr="00852C89">
        <w:tc>
          <w:tcPr>
            <w:tcW w:w="1418" w:type="dxa"/>
          </w:tcPr>
          <w:p w14:paraId="0C3E01FB" w14:textId="77777777" w:rsidR="00F345D3" w:rsidRPr="00BA1E89" w:rsidRDefault="00F345D3" w:rsidP="00EE20F4">
            <w:pPr>
              <w:pStyle w:val="TableTextLeft"/>
            </w:pPr>
            <w:r>
              <w:t>Threat Models</w:t>
            </w:r>
          </w:p>
        </w:tc>
        <w:tc>
          <w:tcPr>
            <w:tcW w:w="3542" w:type="dxa"/>
          </w:tcPr>
          <w:p w14:paraId="41DEA558" w14:textId="77777777" w:rsidR="00F345D3" w:rsidRPr="00BA1E89" w:rsidRDefault="00F345D3" w:rsidP="00EE20F4">
            <w:pPr>
              <w:pStyle w:val="TableTextLeft"/>
            </w:pPr>
            <w:r>
              <w:t>Known occurrences of threats (e.g. deer or rabbits) and characteristics of the environment (e.g. terrain, climate)</w:t>
            </w:r>
          </w:p>
        </w:tc>
      </w:tr>
      <w:tr w:rsidR="00F345D3" w14:paraId="00E1B2B8" w14:textId="77777777" w:rsidTr="00852C89">
        <w:tc>
          <w:tcPr>
            <w:tcW w:w="1418" w:type="dxa"/>
          </w:tcPr>
          <w:p w14:paraId="016FC1B5" w14:textId="77777777" w:rsidR="00F345D3" w:rsidRPr="00BA1E89" w:rsidRDefault="00F345D3" w:rsidP="00EE20F4">
            <w:pPr>
              <w:pStyle w:val="TableTextLeft"/>
            </w:pPr>
            <w:r>
              <w:t>Benefit of Action Models</w:t>
            </w:r>
          </w:p>
        </w:tc>
        <w:tc>
          <w:tcPr>
            <w:tcW w:w="3542" w:type="dxa"/>
          </w:tcPr>
          <w:p w14:paraId="3766E165" w14:textId="77777777" w:rsidR="00F345D3" w:rsidRPr="00BA1E89" w:rsidRDefault="00F345D3" w:rsidP="00EE20F4">
            <w:pPr>
              <w:pStyle w:val="TableTextLeft"/>
            </w:pPr>
            <w:r>
              <w:t>Expert opinion of site-specific and situation-specific settings assessed by multiple experts with a standardised method called expert elicitation. These opinions were extrapolated from sites to landscape.</w:t>
            </w:r>
          </w:p>
        </w:tc>
      </w:tr>
      <w:tr w:rsidR="00F345D3" w14:paraId="3A94EDB1" w14:textId="77777777" w:rsidTr="00852C89">
        <w:tc>
          <w:tcPr>
            <w:tcW w:w="1418" w:type="dxa"/>
          </w:tcPr>
          <w:p w14:paraId="6D91DF4F" w14:textId="77777777" w:rsidR="00F345D3" w:rsidRPr="00BA1E89" w:rsidRDefault="00F345D3" w:rsidP="00EE20F4">
            <w:pPr>
              <w:pStyle w:val="TableTextLeft"/>
            </w:pPr>
            <w:r>
              <w:t>Costs of Actions</w:t>
            </w:r>
          </w:p>
        </w:tc>
        <w:tc>
          <w:tcPr>
            <w:tcW w:w="3542" w:type="dxa"/>
          </w:tcPr>
          <w:p w14:paraId="1030C8D3" w14:textId="37E86892" w:rsidR="00852C89" w:rsidRDefault="00852C89" w:rsidP="00852C89">
            <w:pPr>
              <w:pStyle w:val="TableTextLeft"/>
            </w:pPr>
            <w:r>
              <w:t>C</w:t>
            </w:r>
            <w:r w:rsidRPr="00852C89">
              <w:t>osts of on-ground operations calculated as dollars per hectare</w:t>
            </w:r>
            <w:r>
              <w:t xml:space="preserve">, </w:t>
            </w:r>
            <w:r w:rsidRPr="00852C89">
              <w:t>informed by considering temporal (time-related), spatial (place-related), and cost components (site costs; opportunity costs to private landholders; transaction costs; and travel costs</w:t>
            </w:r>
            <w:r>
              <w:t>)</w:t>
            </w:r>
            <w:r w:rsidRPr="00852C89">
              <w:t>.</w:t>
            </w:r>
          </w:p>
        </w:tc>
      </w:tr>
    </w:tbl>
    <w:p w14:paraId="5F3E8C4D" w14:textId="77777777" w:rsidR="00852C89" w:rsidRDefault="00852C89" w:rsidP="00852C89">
      <w:pPr>
        <w:pStyle w:val="BodyText"/>
        <w:spacing w:before="0" w:after="0" w:line="240" w:lineRule="auto"/>
      </w:pPr>
    </w:p>
    <w:p w14:paraId="1D184EEA" w14:textId="26DF4A9F" w:rsidR="00852C89" w:rsidRPr="00F345D3" w:rsidRDefault="00852C89" w:rsidP="00852C89">
      <w:pPr>
        <w:pStyle w:val="BodyText"/>
      </w:pPr>
      <w:r>
        <w:t>Further detail about the inputs and expert elicitation approach used in SMP is in the</w:t>
      </w:r>
      <w:r w:rsidRPr="449AA4B3">
        <w:rPr>
          <w:i/>
          <w:iCs/>
        </w:rPr>
        <w:t xml:space="preserve"> Strategic Management Prospects Inputs</w:t>
      </w:r>
      <w:r>
        <w:t xml:space="preserve"> information sheet. </w:t>
      </w:r>
    </w:p>
    <w:p w14:paraId="43DF0914" w14:textId="489830E3" w:rsidR="00920148" w:rsidRDefault="00852C89" w:rsidP="00852C89">
      <w:pPr>
        <w:pStyle w:val="Heading3"/>
      </w:pPr>
      <w:r>
        <w:t xml:space="preserve"> </w:t>
      </w:r>
      <w:r w:rsidR="449AA4B3">
        <w:t>Why use models?</w:t>
      </w:r>
    </w:p>
    <w:p w14:paraId="5E6C0C58" w14:textId="40678A48" w:rsidR="00920148" w:rsidRDefault="0091132B" w:rsidP="00920148">
      <w:pPr>
        <w:pStyle w:val="BodyText"/>
      </w:pPr>
      <w:r>
        <w:t xml:space="preserve">Mapping of natural resource information always requires some form of extrapolation from available primary data. Usually this is done by mathematical modelling where the logic and method is transparent and repeatable, and </w:t>
      </w:r>
      <w:r w:rsidR="007E293B">
        <w:t xml:space="preserve">any </w:t>
      </w:r>
      <w:r>
        <w:t xml:space="preserve">comparisons across attributes (e.g. species habitats) </w:t>
      </w:r>
      <w:r w:rsidR="007E293B">
        <w:t>can</w:t>
      </w:r>
      <w:r>
        <w:t xml:space="preserve"> be consistently made. Good modelling practice allows insights into the limitations of inputs and outputs which </w:t>
      </w:r>
      <w:r w:rsidR="007E293B">
        <w:t>enables users to be aware of the reliability of the mapping and provides direction for how to drive improvements.</w:t>
      </w:r>
      <w:r>
        <w:t xml:space="preserve"> </w:t>
      </w:r>
    </w:p>
    <w:p w14:paraId="72228221" w14:textId="2CE7EE9F" w:rsidR="00920148" w:rsidRDefault="007E293B" w:rsidP="00920148">
      <w:pPr>
        <w:pStyle w:val="BodyText"/>
      </w:pPr>
      <w:r>
        <w:t>M</w:t>
      </w:r>
      <w:r w:rsidR="449AA4B3">
        <w:t>ost importantly</w:t>
      </w:r>
      <w:r>
        <w:t xml:space="preserve"> for SMP</w:t>
      </w:r>
      <w:r w:rsidR="449AA4B3">
        <w:t xml:space="preserve">, the use of models and spatial analyses enables </w:t>
      </w:r>
      <w:r>
        <w:t xml:space="preserve">for the first time </w:t>
      </w:r>
      <w:r w:rsidR="449AA4B3">
        <w:t>the relative benefit-cost of many value-threat-action-location combinations to be compared simultaneously</w:t>
      </w:r>
      <w:r>
        <w:t xml:space="preserve"> across Victoria</w:t>
      </w:r>
      <w:r w:rsidR="449AA4B3">
        <w:t xml:space="preserve">. </w:t>
      </w:r>
    </w:p>
    <w:p w14:paraId="30E716FD" w14:textId="77777777" w:rsidR="00920148" w:rsidRDefault="449AA4B3" w:rsidP="00920148">
      <w:pPr>
        <w:pStyle w:val="Heading3"/>
      </w:pPr>
      <w:r>
        <w:t>Which actions, where?</w:t>
      </w:r>
    </w:p>
    <w:p w14:paraId="78436A4D" w14:textId="77BE818C" w:rsidR="00920148" w:rsidRDefault="449AA4B3" w:rsidP="00920148">
      <w:pPr>
        <w:pStyle w:val="BodyText"/>
      </w:pPr>
      <w:r>
        <w:t>The focus of the SMP analysis is to rank management actions across Victoria. This ranking occurs in two steps: identifying the most cost-effective action at each location; then ranking these across Victoria based on their relative contributions to net conservation outcomes across all species.</w:t>
      </w:r>
    </w:p>
    <w:p w14:paraId="6E9343DD" w14:textId="77777777" w:rsidR="0039329A" w:rsidRDefault="0039329A" w:rsidP="0039329A">
      <w:pPr>
        <w:pStyle w:val="BodyText"/>
        <w:sectPr w:rsidR="0039329A" w:rsidSect="00736385">
          <w:type w:val="continuous"/>
          <w:pgSz w:w="11907" w:h="16840" w:code="9"/>
          <w:pgMar w:top="2211" w:right="851" w:bottom="1758" w:left="851" w:header="284" w:footer="284" w:gutter="0"/>
          <w:cols w:num="2" w:space="284"/>
          <w:docGrid w:linePitch="360"/>
        </w:sectPr>
      </w:pPr>
    </w:p>
    <w:p w14:paraId="55BC6429" w14:textId="6E3CD9BD" w:rsidR="0039329A" w:rsidRDefault="00875575" w:rsidP="009A470C">
      <w:pPr>
        <w:pStyle w:val="BodyText"/>
        <w:ind w:left="142"/>
        <w:jc w:val="center"/>
      </w:pPr>
      <w:r>
        <w:rPr>
          <w:noProof/>
          <w:lang w:eastAsia="en-AU"/>
        </w:rPr>
        <w:drawing>
          <wp:inline distT="0" distB="0" distL="0" distR="0" wp14:anchorId="2F7A20E5" wp14:editId="760328D1">
            <wp:extent cx="5885188" cy="7872176"/>
            <wp:effectExtent l="0" t="0" r="1270" b="0"/>
            <wp:docPr id="15" name="Picture 15" descr="This is a diagram that illustrates the inputs to Strategic Management Prospects, the analysis (or ranking), and some example map outputs." title="Strategic Management Prosp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bwMode="auto">
                    <a:xfrm>
                      <a:off x="0" y="0"/>
                      <a:ext cx="5885188" cy="7872176"/>
                    </a:xfrm>
                    <a:prstGeom prst="rect">
                      <a:avLst/>
                    </a:prstGeom>
                    <a:ln>
                      <a:noFill/>
                    </a:ln>
                    <a:extLst>
                      <a:ext uri="{53640926-AAD7-44D8-BBD7-CCE9431645EC}">
                        <a14:shadowObscured xmlns:a14="http://schemas.microsoft.com/office/drawing/2010/main"/>
                      </a:ext>
                    </a:extLst>
                  </pic:spPr>
                </pic:pic>
              </a:graphicData>
            </a:graphic>
          </wp:inline>
        </w:drawing>
      </w:r>
    </w:p>
    <w:p w14:paraId="46595E45" w14:textId="0C802916" w:rsidR="0039329A" w:rsidRDefault="449AA4B3" w:rsidP="00113FDD">
      <w:pPr>
        <w:pStyle w:val="CaptionImageorFigure"/>
        <w:keepNext w:val="0"/>
      </w:pPr>
      <w:r>
        <w:t>Figure 1: SMP – inputs to the analysis, spatial ranking process, and example outputs</w:t>
      </w:r>
    </w:p>
    <w:p w14:paraId="6D825448" w14:textId="77777777" w:rsidR="0039329A" w:rsidRDefault="0039329A" w:rsidP="0039329A">
      <w:pPr>
        <w:pStyle w:val="BodyText"/>
        <w:sectPr w:rsidR="0039329A" w:rsidSect="00A37CD1">
          <w:type w:val="continuous"/>
          <w:pgSz w:w="11907" w:h="16840" w:code="9"/>
          <w:pgMar w:top="2211" w:right="851" w:bottom="1758" w:left="851" w:header="284" w:footer="284" w:gutter="0"/>
          <w:cols w:space="284"/>
          <w:docGrid w:linePitch="360"/>
        </w:sectPr>
      </w:pPr>
    </w:p>
    <w:p w14:paraId="69FD40EC" w14:textId="35639469" w:rsidR="006928C5" w:rsidRDefault="449AA4B3" w:rsidP="006928C5">
      <w:pPr>
        <w:pStyle w:val="Heading4"/>
      </w:pPr>
      <w:r>
        <w:t>Step 1: Finding the cost-effective actions at a location</w:t>
      </w:r>
    </w:p>
    <w:p w14:paraId="338F44D0" w14:textId="5C9E4C33" w:rsidR="00F37B39" w:rsidRPr="00920148" w:rsidRDefault="449AA4B3" w:rsidP="00920148">
      <w:pPr>
        <w:pStyle w:val="BodyText"/>
      </w:pPr>
      <w:r>
        <w:t>In the first step of the ranking analysis, spatial models of benefits of management actions for each species are compared to determine the relative cost-effectiveness of options at each location (225 metre x 225 metre grid cell). The result is to identify the most cost-effective action, or set of actions, at each location.</w:t>
      </w:r>
    </w:p>
    <w:p w14:paraId="33B09565" w14:textId="7EE76564" w:rsidR="006928C5" w:rsidRPr="00920148" w:rsidRDefault="449AA4B3" w:rsidP="00920148">
      <w:pPr>
        <w:pStyle w:val="BodyText"/>
      </w:pPr>
      <w:r>
        <w:t>Actions that benefit species most in need or species that are unlikely to benefit from actions elsewhere are weighted more heavily in this part of the analysis (see Dealing with Rarity and Depletion box). This places an emphasis on those local benefits that represent a large proportion of the maximum potential benefit for a species across the state.</w:t>
      </w:r>
    </w:p>
    <w:p w14:paraId="1447D455" w14:textId="314A0450" w:rsidR="006928C5" w:rsidRPr="00920148" w:rsidRDefault="449AA4B3" w:rsidP="00920148">
      <w:pPr>
        <w:pStyle w:val="BodyText"/>
      </w:pPr>
      <w:r>
        <w:t>For practicality, the local benefit and cost values are ‘smoothed’ by averaging benefit values over what is called a ‘neighbourhood.’ The size of the neighbourhood is determined by the minimum area required to undertake an action. This ensures that the calculation of local benefits accounts for large-scale actions (e.g. fox control), preventing fragmented and unrealistic allocations of actions.</w:t>
      </w:r>
    </w:p>
    <w:p w14:paraId="028AC440" w14:textId="13387AAD" w:rsidR="00920148" w:rsidRDefault="449AA4B3" w:rsidP="00920148">
      <w:pPr>
        <w:pStyle w:val="Heading4"/>
      </w:pPr>
      <w:r>
        <w:t>Step 2: Ranking cost-effective actions between locations</w:t>
      </w:r>
    </w:p>
    <w:p w14:paraId="20977CC8" w14:textId="77777777" w:rsidR="00920148" w:rsidRPr="00920148" w:rsidRDefault="449AA4B3" w:rsidP="00920148">
      <w:pPr>
        <w:pStyle w:val="BodyText"/>
      </w:pPr>
      <w:r>
        <w:t xml:space="preserve">The second step is a ranking analysis, using conservation planning software called Zonation. </w:t>
      </w:r>
      <w:proofErr w:type="gramStart"/>
      <w:r>
        <w:t>This ranks locations</w:t>
      </w:r>
      <w:proofErr w:type="gramEnd"/>
      <w:r>
        <w:t xml:space="preserve"> based on the potential contribution of the most cost-effective actions at that place to overall species persistence in Victoria. </w:t>
      </w:r>
    </w:p>
    <w:p w14:paraId="6E9ABA9B" w14:textId="6CF26EA2" w:rsidR="00920148" w:rsidRDefault="449AA4B3" w:rsidP="00920148">
      <w:pPr>
        <w:pStyle w:val="BodyText"/>
      </w:pPr>
      <w:r>
        <w:t>There are many factors in this analysis, but it essentially seeks to maintain (or create) as much high quality, connected habitat for as many species as possible for a given level of investment. The result is a ranking indicating the relative cost-effectiveness of location-specific actions.</w:t>
      </w:r>
    </w:p>
    <w:p w14:paraId="2B8B242E" w14:textId="6D54D658" w:rsidR="00E72884" w:rsidRPr="00920148" w:rsidRDefault="00E72884" w:rsidP="00920148">
      <w:pPr>
        <w:pStyle w:val="BodyText"/>
      </w:pPr>
      <w:r>
        <w:t>Only two management options are considered at each location; the most cost-effective action (or set of actions), or no action at all. This reduces the complexity of the analysis, allowing the software to produce a hierarchical ranking of spatial priorities for action. It does this by iteratively removing best actions in an order that minimises the marginal loss of return on investment for each iteration. The order of removal provides a ranking of actions in the landscape, with those actions removed last offering the highest conservation return on investment for the state.</w:t>
      </w:r>
    </w:p>
    <w:tbl>
      <w:tblPr>
        <w:tblStyle w:val="HighlightTable"/>
        <w:tblW w:w="5000" w:type="pct"/>
        <w:tblLook w:val="0600" w:firstRow="0" w:lastRow="0" w:firstColumn="0" w:lastColumn="0" w:noHBand="1" w:noVBand="1"/>
        <w:tblCaption w:val="Hightlight Text"/>
      </w:tblPr>
      <w:tblGrid>
        <w:gridCol w:w="4960"/>
      </w:tblGrid>
      <w:tr w:rsidR="00F37B39" w14:paraId="10BF8656" w14:textId="77777777" w:rsidTr="449AA4B3">
        <w:tc>
          <w:tcPr>
            <w:tcW w:w="5000" w:type="pct"/>
          </w:tcPr>
          <w:p w14:paraId="5004BE75" w14:textId="77777777" w:rsidR="00F37B39" w:rsidRPr="00920148" w:rsidRDefault="449AA4B3" w:rsidP="00920148">
            <w:pPr>
              <w:pStyle w:val="HighlightBoxHeading"/>
            </w:pPr>
            <w:r>
              <w:t>Dealing with rarity and depletion</w:t>
            </w:r>
          </w:p>
          <w:p w14:paraId="610B7CCC" w14:textId="77777777" w:rsidR="00F37B39" w:rsidRPr="00920148" w:rsidRDefault="449AA4B3" w:rsidP="00920148">
            <w:pPr>
              <w:pStyle w:val="HighlightBoxText"/>
            </w:pPr>
            <w:r>
              <w:t>The prioritisation of management actions in SMP is based on the estimated return on investment of different actions in different locations (e.g. ROI = Total Benefit / Cost). The Total Benefit for a given action (or set of actions) in a particular location is a weighted sum of the estimated benefits of that action to all species. Greater weight is given to actions that improve or maintain important habitat areas for spatially restricted species, including naturally rare species and species that have suffered from past habitat loss. Additional weight is given to actions that benefit species considered most at risk of extinction in the next 50 years (typically species whose distributions have been much reduced since European settlement, or species expected to lose substantial amounts of habitat in the future in the absence of management actions).</w:t>
            </w:r>
          </w:p>
        </w:tc>
      </w:tr>
    </w:tbl>
    <w:p w14:paraId="5BFAF770" w14:textId="77777777" w:rsidR="00E72884" w:rsidRDefault="00E72884" w:rsidP="00920148">
      <w:pPr>
        <w:pStyle w:val="BodyText"/>
      </w:pPr>
    </w:p>
    <w:p w14:paraId="6D780450" w14:textId="1E5AB918" w:rsidR="0039329A" w:rsidRPr="00920148" w:rsidRDefault="449AA4B3" w:rsidP="00920148">
      <w:pPr>
        <w:pStyle w:val="BodyText"/>
      </w:pPr>
      <w:r>
        <w:t>The outputs from this analysis can be represented spatially (Figure 1). The Cost-effective Actions map</w:t>
      </w:r>
      <w:r w:rsidR="007166C1">
        <w:t xml:space="preserve"> shows the most cost-effe</w:t>
      </w:r>
      <w:r>
        <w:t>ct</w:t>
      </w:r>
      <w:r w:rsidR="007166C1">
        <w:t>ive</w:t>
      </w:r>
      <w:r>
        <w:t xml:space="preserve"> action(s) at any location. </w:t>
      </w:r>
      <w:r w:rsidR="008B636A">
        <w:t>T</w:t>
      </w:r>
      <w:r w:rsidR="00351FBC">
        <w:t>his</w:t>
      </w:r>
      <w:r w:rsidR="008B636A">
        <w:t xml:space="preserve"> map has </w:t>
      </w:r>
      <w:r w:rsidR="00351FBC">
        <w:t xml:space="preserve">also </w:t>
      </w:r>
      <w:r w:rsidR="008B636A">
        <w:t xml:space="preserve">been divided into </w:t>
      </w:r>
      <w:r w:rsidR="000E19AD">
        <w:t xml:space="preserve">five </w:t>
      </w:r>
      <w:r w:rsidR="008B636A">
        <w:t>parts based on the state</w:t>
      </w:r>
      <w:r w:rsidR="00F05AF0">
        <w:t>-</w:t>
      </w:r>
      <w:r w:rsidR="008B636A">
        <w:t>wide ranking</w:t>
      </w:r>
      <w:r w:rsidR="00FD08E3">
        <w:t xml:space="preserve"> of the actions, resulting in five maps showing the most highly ranked (top 20%) through to the lower ranked (top 80%) </w:t>
      </w:r>
      <w:r w:rsidR="00FD08E3" w:rsidRPr="00E126E0">
        <w:t xml:space="preserve">and all </w:t>
      </w:r>
      <w:r w:rsidR="00BE305C" w:rsidRPr="00E126E0">
        <w:t>(100%)</w:t>
      </w:r>
      <w:r w:rsidR="00BE305C">
        <w:t xml:space="preserve"> </w:t>
      </w:r>
      <w:r w:rsidR="00FD08E3">
        <w:t>cost-effective actions</w:t>
      </w:r>
      <w:r w:rsidR="008B636A">
        <w:t xml:space="preserve">. </w:t>
      </w:r>
      <w:r w:rsidR="00691E5A">
        <w:t>These maps are a simple way to</w:t>
      </w:r>
      <w:r w:rsidR="008B636A">
        <w:t xml:space="preserve"> </w:t>
      </w:r>
      <w:r>
        <w:t>show the relative ranking of actions in terms of cost-effectiveness across the state, given an overall objective of maintaining wild populations of all native species across the state.</w:t>
      </w:r>
    </w:p>
    <w:p w14:paraId="31DBD29C" w14:textId="57B8770E" w:rsidR="005E45F6" w:rsidRDefault="00E73FFB" w:rsidP="005E45F6">
      <w:pPr>
        <w:pStyle w:val="Heading2"/>
      </w:pPr>
      <w:r>
        <w:t>Additional m</w:t>
      </w:r>
      <w:r w:rsidR="449AA4B3">
        <w:t xml:space="preserve">anagement </w:t>
      </w:r>
      <w:r>
        <w:t>considerations</w:t>
      </w:r>
    </w:p>
    <w:p w14:paraId="592B7261" w14:textId="77777777" w:rsidR="005E45F6" w:rsidRDefault="449AA4B3" w:rsidP="00B648F7">
      <w:pPr>
        <w:pStyle w:val="BodyText"/>
        <w:spacing w:after="0" w:line="60" w:lineRule="atLeast"/>
      </w:pPr>
      <w:r>
        <w:t>Decision-support tools like Strategic Management Prospects provide valuable information for decision-making, but are not intended to make decisions. For land or project managers, there are a range of other practicalities that influence decision-making. These include:</w:t>
      </w:r>
    </w:p>
    <w:p w14:paraId="72CFC68E" w14:textId="4E164579" w:rsidR="005E45F6" w:rsidRPr="00920148" w:rsidRDefault="449AA4B3" w:rsidP="00B648F7">
      <w:pPr>
        <w:pStyle w:val="ListBullet"/>
        <w:spacing w:after="0" w:line="60" w:lineRule="atLeast"/>
      </w:pPr>
      <w:r>
        <w:t>the capability and capacity of managers to undertake an action</w:t>
      </w:r>
    </w:p>
    <w:p w14:paraId="28013531" w14:textId="1747911B" w:rsidR="005E45F6" w:rsidRPr="00920148" w:rsidRDefault="449AA4B3" w:rsidP="00B648F7">
      <w:pPr>
        <w:pStyle w:val="ListBullet"/>
        <w:spacing w:after="0" w:line="60" w:lineRule="atLeast"/>
      </w:pPr>
      <w:r>
        <w:t>the feasibility of the action in the specific terrain or for that particular situation</w:t>
      </w:r>
    </w:p>
    <w:p w14:paraId="5162592A" w14:textId="49C58242" w:rsidR="005E45F6" w:rsidRPr="00920148" w:rsidRDefault="449AA4B3" w:rsidP="00B648F7">
      <w:pPr>
        <w:pStyle w:val="ListBullet"/>
        <w:spacing w:after="0" w:line="60" w:lineRule="atLeast"/>
      </w:pPr>
      <w:r>
        <w:t>relative community support for different projects</w:t>
      </w:r>
    </w:p>
    <w:p w14:paraId="45037B39" w14:textId="7E7D8BDC" w:rsidR="005E45F6" w:rsidRPr="00920148" w:rsidRDefault="449AA4B3" w:rsidP="00920148">
      <w:pPr>
        <w:pStyle w:val="ListBullet"/>
      </w:pPr>
      <w:r>
        <w:t xml:space="preserve">any restrictions associated with funding programs or particular actions. </w:t>
      </w:r>
    </w:p>
    <w:p w14:paraId="5C3A7AFA" w14:textId="3FC7041D" w:rsidR="00E73FFB" w:rsidRPr="00E72884" w:rsidRDefault="007C3AB5" w:rsidP="00E72884">
      <w:pPr>
        <w:pStyle w:val="BodyText"/>
      </w:pPr>
      <w:r w:rsidRPr="00E72884">
        <w:t>Depending on</w:t>
      </w:r>
      <w:r w:rsidR="00E73FFB" w:rsidRPr="00E72884">
        <w:t xml:space="preserve"> </w:t>
      </w:r>
      <w:r w:rsidR="00B648F7" w:rsidRPr="00E72884">
        <w:t xml:space="preserve">these </w:t>
      </w:r>
      <w:r w:rsidR="00E73FFB" w:rsidRPr="00E72884">
        <w:t>circumstances</w:t>
      </w:r>
      <w:r w:rsidRPr="00E72884">
        <w:t>,</w:t>
      </w:r>
      <w:r w:rsidR="00E73FFB" w:rsidRPr="00E72884">
        <w:t xml:space="preserve"> SMP information could be </w:t>
      </w:r>
      <w:r w:rsidRPr="00E72884">
        <w:t>used</w:t>
      </w:r>
      <w:r w:rsidR="00E73FFB" w:rsidRPr="00E72884">
        <w:t xml:space="preserve"> in </w:t>
      </w:r>
      <w:r w:rsidRPr="00E72884">
        <w:t>various</w:t>
      </w:r>
      <w:r w:rsidR="00E73FFB" w:rsidRPr="00E72884">
        <w:t xml:space="preserve"> ways, for example:</w:t>
      </w:r>
    </w:p>
    <w:p w14:paraId="3EE2E733" w14:textId="6D0DFFF0" w:rsidR="007C3AB5" w:rsidRDefault="00B648F7" w:rsidP="00E72884">
      <w:pPr>
        <w:pStyle w:val="ListBullet"/>
      </w:pPr>
      <w:r>
        <w:t>in a specific area, projects could be chosen from a range of options within a similar ranking</w:t>
      </w:r>
    </w:p>
    <w:p w14:paraId="4D208064" w14:textId="6DB34D80" w:rsidR="00B648F7" w:rsidRDefault="00B648F7" w:rsidP="00E72884">
      <w:pPr>
        <w:pStyle w:val="ListBullet"/>
      </w:pPr>
      <w:r>
        <w:t>for a particular species, projects could be chosen just from directly related options but taking account of the overall ranking</w:t>
      </w:r>
    </w:p>
    <w:p w14:paraId="5D748AA7" w14:textId="533BF039" w:rsidR="00B648F7" w:rsidRDefault="00B648F7" w:rsidP="00E72884">
      <w:pPr>
        <w:pStyle w:val="ListBullet"/>
      </w:pPr>
      <w:r>
        <w:t xml:space="preserve">at a location, </w:t>
      </w:r>
      <w:r w:rsidR="00AB07AD">
        <w:t>if the most cost-effective action is not possible, then the next most cost-effective actions may be desirable, but only if close in terms of cost-effectiveness</w:t>
      </w:r>
    </w:p>
    <w:p w14:paraId="3D7B9419" w14:textId="2D80E338" w:rsidR="00AB07AD" w:rsidRDefault="00AB07AD" w:rsidP="00E72884">
      <w:pPr>
        <w:pStyle w:val="ListBullet"/>
      </w:pPr>
      <w:r>
        <w:t xml:space="preserve">where options of similar cost-effectiveness are being compared, if the cost of one option was lower than the indicative cost used in SMP (e.g. due to </w:t>
      </w:r>
      <w:r w:rsidR="721B7F2F">
        <w:t>availability of volunteers</w:t>
      </w:r>
      <w:r>
        <w:t>), it would be preferred.</w:t>
      </w:r>
    </w:p>
    <w:p w14:paraId="774FE8DA" w14:textId="77777777" w:rsidR="005E45F6" w:rsidRDefault="449AA4B3" w:rsidP="005E45F6">
      <w:pPr>
        <w:pStyle w:val="Heading2"/>
      </w:pPr>
      <w:r>
        <w:t>How does SMP compare to other methods?</w:t>
      </w:r>
    </w:p>
    <w:p w14:paraId="54086744" w14:textId="0574C6B1" w:rsidR="008424D1" w:rsidRDefault="449AA4B3" w:rsidP="00920148">
      <w:pPr>
        <w:pStyle w:val="BodyText"/>
      </w:pPr>
      <w:r>
        <w:t>Conservation scientists have recommended that governments around the world should improve prioritisation of conservation and threatened species management. Assessing the cost-effectiveness of conservation actions is a complex problem, however there is a common set of information that is useful:</w:t>
      </w:r>
    </w:p>
    <w:p w14:paraId="616E7EFB" w14:textId="77777777" w:rsidR="008424D1" w:rsidRPr="007874F4" w:rsidRDefault="449AA4B3" w:rsidP="00920148">
      <w:pPr>
        <w:pStyle w:val="ListBullet"/>
      </w:pPr>
      <w:r>
        <w:t>the</w:t>
      </w:r>
      <w:r w:rsidRPr="449AA4B3">
        <w:rPr>
          <w:rFonts w:eastAsiaTheme="minorEastAsia"/>
        </w:rPr>
        <w:t xml:space="preserve"> </w:t>
      </w:r>
      <w:r>
        <w:t>species</w:t>
      </w:r>
      <w:r w:rsidRPr="449AA4B3">
        <w:rPr>
          <w:rFonts w:eastAsiaTheme="minorEastAsia"/>
        </w:rPr>
        <w:t xml:space="preserve"> </w:t>
      </w:r>
      <w:r>
        <w:t xml:space="preserve">that </w:t>
      </w:r>
      <w:r w:rsidRPr="449AA4B3">
        <w:rPr>
          <w:rFonts w:eastAsiaTheme="minorEastAsia"/>
        </w:rPr>
        <w:t>occur</w:t>
      </w:r>
      <w:r>
        <w:t xml:space="preserve"> </w:t>
      </w:r>
      <w:r w:rsidRPr="449AA4B3">
        <w:rPr>
          <w:rFonts w:eastAsiaTheme="minorEastAsia"/>
        </w:rPr>
        <w:t>at different places</w:t>
      </w:r>
      <w:r>
        <w:t xml:space="preserve"> (now or in the future)</w:t>
      </w:r>
    </w:p>
    <w:p w14:paraId="670A56DF" w14:textId="77777777" w:rsidR="008424D1" w:rsidRPr="007874F4" w:rsidRDefault="449AA4B3" w:rsidP="00920148">
      <w:pPr>
        <w:pStyle w:val="ListBullet"/>
      </w:pPr>
      <w:r>
        <w:t>the</w:t>
      </w:r>
      <w:r w:rsidRPr="449AA4B3">
        <w:rPr>
          <w:rFonts w:eastAsiaTheme="minorEastAsia"/>
        </w:rPr>
        <w:t xml:space="preserve"> threats </w:t>
      </w:r>
      <w:r>
        <w:t xml:space="preserve">that </w:t>
      </w:r>
      <w:r w:rsidRPr="449AA4B3">
        <w:rPr>
          <w:rFonts w:eastAsiaTheme="minorEastAsia"/>
        </w:rPr>
        <w:t xml:space="preserve">occur at these places, and how sensitive species </w:t>
      </w:r>
      <w:r>
        <w:t xml:space="preserve">are </w:t>
      </w:r>
      <w:r w:rsidRPr="449AA4B3">
        <w:rPr>
          <w:rFonts w:eastAsiaTheme="minorEastAsia"/>
        </w:rPr>
        <w:t>to them</w:t>
      </w:r>
    </w:p>
    <w:p w14:paraId="12B3943D" w14:textId="77777777" w:rsidR="008424D1" w:rsidRPr="007874F4" w:rsidRDefault="449AA4B3" w:rsidP="00920148">
      <w:pPr>
        <w:pStyle w:val="ListBullet"/>
      </w:pPr>
      <w:r>
        <w:t>the</w:t>
      </w:r>
      <w:r w:rsidRPr="449AA4B3">
        <w:rPr>
          <w:rFonts w:eastAsiaTheme="minorEastAsia"/>
        </w:rPr>
        <w:t xml:space="preserve"> actions </w:t>
      </w:r>
      <w:r>
        <w:t xml:space="preserve">that </w:t>
      </w:r>
      <w:r w:rsidRPr="449AA4B3">
        <w:rPr>
          <w:rFonts w:eastAsiaTheme="minorEastAsia"/>
        </w:rPr>
        <w:t>are required to address the threats</w:t>
      </w:r>
    </w:p>
    <w:p w14:paraId="0E4A98DE" w14:textId="77777777" w:rsidR="008424D1" w:rsidRPr="007874F4" w:rsidRDefault="449AA4B3" w:rsidP="00920148">
      <w:pPr>
        <w:pStyle w:val="ListBullet"/>
      </w:pPr>
      <w:r>
        <w:t>the cost of actions</w:t>
      </w:r>
    </w:p>
    <w:p w14:paraId="5ED732AC" w14:textId="77777777" w:rsidR="008424D1" w:rsidRPr="007874F4" w:rsidRDefault="449AA4B3" w:rsidP="00920148">
      <w:pPr>
        <w:pStyle w:val="ListBullet"/>
      </w:pPr>
      <w:r>
        <w:t>the amount of</w:t>
      </w:r>
      <w:r w:rsidRPr="449AA4B3">
        <w:rPr>
          <w:rFonts w:eastAsiaTheme="minorEastAsia"/>
        </w:rPr>
        <w:t xml:space="preserve"> improvement (benefit) achieved by actions</w:t>
      </w:r>
    </w:p>
    <w:p w14:paraId="00BFC8E7" w14:textId="77777777" w:rsidR="008424D1" w:rsidRPr="007874F4" w:rsidRDefault="449AA4B3" w:rsidP="00920148">
      <w:pPr>
        <w:pStyle w:val="ListBullet"/>
      </w:pPr>
      <w:r w:rsidRPr="449AA4B3">
        <w:rPr>
          <w:rFonts w:eastAsiaTheme="minorEastAsia"/>
        </w:rPr>
        <w:t>the broader context that could influence success at different places</w:t>
      </w:r>
      <w:r>
        <w:t xml:space="preserve"> (positive or negative, ecological or operational)</w:t>
      </w:r>
    </w:p>
    <w:p w14:paraId="588B0648" w14:textId="77777777" w:rsidR="008424D1" w:rsidRPr="007874F4" w:rsidRDefault="449AA4B3" w:rsidP="00920148">
      <w:pPr>
        <w:pStyle w:val="ListBullet"/>
      </w:pPr>
      <w:r>
        <w:t>a benefit/cost metric to compare and select across management options.</w:t>
      </w:r>
    </w:p>
    <w:p w14:paraId="687CD31E" w14:textId="34883F01" w:rsidR="008424D1" w:rsidRPr="00920148" w:rsidRDefault="449AA4B3" w:rsidP="00920148">
      <w:pPr>
        <w:pStyle w:val="BodyText"/>
      </w:pPr>
      <w:r>
        <w:t>A number of approaches have been used: some are narrowly focused (e.g. one species or a few high-profile projects at a time) and some are more comprehensive in coverage; some only consider species, threats/actions and places; if benefit is considered, some score it only qualitatively (e.g. high/medium/low) and some score it quantitatively based on estimated outcomes. SMP differs from other common approaches by aiming to consider all the types of inputs in a more comprehensive and more rigorous way.</w:t>
      </w:r>
    </w:p>
    <w:p w14:paraId="072895A6" w14:textId="63C09402" w:rsidR="005E45F6" w:rsidRPr="00920148" w:rsidRDefault="449AA4B3" w:rsidP="00920148">
      <w:pPr>
        <w:pStyle w:val="BodyText"/>
      </w:pPr>
      <w:r>
        <w:t xml:space="preserve">SMP uses an integrated approach combining techniques in statistical modelling, mathematical optimisation, cost benefit analysis and expert elicitation, in consultation with ecologists, agency managers, policy makers, researchers and stakeholders. We have included up-to-date and available information, methods and expertise in the approach. </w:t>
      </w:r>
    </w:p>
    <w:p w14:paraId="3B01B78E" w14:textId="77777777" w:rsidR="005E45F6" w:rsidRPr="00920148" w:rsidRDefault="449AA4B3" w:rsidP="00920148">
      <w:pPr>
        <w:pStyle w:val="BodyText"/>
      </w:pPr>
      <w:r>
        <w:t xml:space="preserve">SMP uses quantitative spatial modelling to provide a continuous ranking of specific actions in specific places in terms of their capacity to contribute to biodiversity conservation in Victoria. </w:t>
      </w:r>
    </w:p>
    <w:p w14:paraId="4BEB898B" w14:textId="20C5EDCB" w:rsidR="005E45F6" w:rsidRPr="00920148" w:rsidRDefault="449AA4B3" w:rsidP="00920148">
      <w:pPr>
        <w:pStyle w:val="BodyText"/>
      </w:pPr>
      <w:r>
        <w:t xml:space="preserve">SMP follows a transparent decision logic and considers the interplay and spatial arrangement of all the biodiversity assets, threats and management actions across Victoria. Rather than simply focusing on places where multiple things occur, or making choices between multiple projects, SMP identifies landscape-scale synergies (e.g. connectivity, efficient arrangements of management actions), and representation of all species is also considered in the overall ranking. This is a significant improvement on other prioritisation methods. </w:t>
      </w:r>
    </w:p>
    <w:p w14:paraId="16525F55" w14:textId="77777777" w:rsidR="00615E60" w:rsidRDefault="449AA4B3" w:rsidP="00615E60">
      <w:pPr>
        <w:pStyle w:val="Heading2"/>
      </w:pPr>
      <w:r>
        <w:t>Continuous Improvement</w:t>
      </w:r>
    </w:p>
    <w:p w14:paraId="47200FC6" w14:textId="13DF0BBA" w:rsidR="00B77905" w:rsidRPr="00B77905" w:rsidRDefault="449AA4B3" w:rsidP="00B77905">
      <w:pPr>
        <w:pStyle w:val="BodyText"/>
      </w:pPr>
      <w:r>
        <w:t xml:space="preserve">We are committed to a continuous improvement approach, which enables the NaturePrint products and tools to be updated and refined as further data, computational power, research and modelling methods become available. NaturePrint products have a version number to help identify the currency of each product. </w:t>
      </w:r>
    </w:p>
    <w:p w14:paraId="1569E0C1" w14:textId="1D96EDE6" w:rsidR="00966182" w:rsidRDefault="449AA4B3" w:rsidP="00B77905">
      <w:pPr>
        <w:pStyle w:val="BodyText"/>
      </w:pPr>
      <w:r>
        <w:t xml:space="preserve">Everyone can contribute to the improvement of the NaturePrint tools. For example, by submitting species records to the Victorian Biodiversity Atlas which is a key source of information for NaturePrint. Visit the </w:t>
      </w:r>
      <w:hyperlink r:id="rId25">
        <w:r w:rsidRPr="449AA4B3">
          <w:rPr>
            <w:rStyle w:val="Hyperlink"/>
          </w:rPr>
          <w:t>Victorian Biodiversity Atlas</w:t>
        </w:r>
      </w:hyperlink>
      <w:r>
        <w:t xml:space="preserve"> web page for more information.</w:t>
      </w:r>
    </w:p>
    <w:p w14:paraId="6B27499B" w14:textId="12EFC686" w:rsidR="00B10BF7" w:rsidRDefault="449AA4B3" w:rsidP="00B77905">
      <w:pPr>
        <w:pStyle w:val="BodyText"/>
      </w:pPr>
      <w:r>
        <w:t>Opportunities for feedback on other data layers will be developed</w:t>
      </w:r>
      <w:r w:rsidR="00E73FFB">
        <w:t>.</w:t>
      </w:r>
    </w:p>
    <w:p w14:paraId="139FAF44" w14:textId="77777777" w:rsidR="00B10BF7" w:rsidRDefault="00B10BF7">
      <w:pPr>
        <w:rPr>
          <w:rFonts w:cs="Times New Roman"/>
          <w:lang w:eastAsia="en-US"/>
        </w:rPr>
      </w:pPr>
      <w:r>
        <w:br w:type="page"/>
      </w:r>
    </w:p>
    <w:p w14:paraId="6735B864" w14:textId="77777777" w:rsidR="00E73FFB" w:rsidRDefault="00E73FFB" w:rsidP="00B77905">
      <w:pPr>
        <w:pStyle w:val="BodyText"/>
      </w:pPr>
    </w:p>
    <w:p w14:paraId="19C5DDD0" w14:textId="77777777" w:rsidR="005E45F6" w:rsidRDefault="449AA4B3" w:rsidP="005E45F6">
      <w:pPr>
        <w:pStyle w:val="Heading2"/>
      </w:pPr>
      <w:r>
        <w:t>Further reading on the science behind SMP</w:t>
      </w:r>
    </w:p>
    <w:p w14:paraId="56DB378C" w14:textId="77777777" w:rsidR="005E45F6" w:rsidRDefault="449AA4B3" w:rsidP="005E45F6">
      <w:pPr>
        <w:pStyle w:val="BodyText"/>
      </w:pPr>
      <w:proofErr w:type="spellStart"/>
      <w:r>
        <w:t>Carwardine</w:t>
      </w:r>
      <w:proofErr w:type="spellEnd"/>
      <w:r>
        <w:t xml:space="preserve">, J., O’Connor, T., </w:t>
      </w:r>
      <w:proofErr w:type="spellStart"/>
      <w:r>
        <w:t>Legge</w:t>
      </w:r>
      <w:proofErr w:type="spellEnd"/>
      <w:r>
        <w:t xml:space="preserve">, S., Mackey, B., </w:t>
      </w:r>
      <w:proofErr w:type="spellStart"/>
      <w:r>
        <w:t>Possingham</w:t>
      </w:r>
      <w:proofErr w:type="spellEnd"/>
      <w:r>
        <w:t xml:space="preserve">, H.P. and Martin, T.G. (2012) Prioritizing threat management for biodiversity conservation. </w:t>
      </w:r>
      <w:r w:rsidRPr="449AA4B3">
        <w:rPr>
          <w:i/>
          <w:iCs/>
        </w:rPr>
        <w:t>Conservation Letters</w:t>
      </w:r>
      <w:r>
        <w:t>, 5(3): 196-204.</w:t>
      </w:r>
    </w:p>
    <w:p w14:paraId="32EEDE89" w14:textId="08361688" w:rsidR="005E45F6" w:rsidRDefault="449AA4B3" w:rsidP="005E45F6">
      <w:pPr>
        <w:pStyle w:val="BodyText"/>
      </w:pPr>
      <w:r>
        <w:t xml:space="preserve">Joseph, L.N., Maloney, R.F., and </w:t>
      </w:r>
      <w:proofErr w:type="spellStart"/>
      <w:r>
        <w:t>Possingham</w:t>
      </w:r>
      <w:proofErr w:type="spellEnd"/>
      <w:r>
        <w:t xml:space="preserve">, H.P. (2009) Optimal allocation of resources among threatened species: a project prioritization protocol. </w:t>
      </w:r>
      <w:r w:rsidRPr="449AA4B3">
        <w:rPr>
          <w:i/>
          <w:iCs/>
        </w:rPr>
        <w:t>Conservation Biology,</w:t>
      </w:r>
      <w:r>
        <w:t xml:space="preserve"> 23(2): 328-338.</w:t>
      </w:r>
    </w:p>
    <w:p w14:paraId="10DBFE19" w14:textId="77777777" w:rsidR="005E45F6" w:rsidRDefault="449AA4B3" w:rsidP="449AA4B3">
      <w:pPr>
        <w:pStyle w:val="BodyText"/>
        <w:rPr>
          <w:lang w:val="en-US"/>
        </w:rPr>
      </w:pPr>
      <w:r>
        <w:t xml:space="preserve">Liu, C., White, M., Newell, G., </w:t>
      </w:r>
      <w:proofErr w:type="spellStart"/>
      <w:r>
        <w:t>Griffioen</w:t>
      </w:r>
      <w:proofErr w:type="spellEnd"/>
      <w:r>
        <w:t xml:space="preserve">, P. (2013) Species distribution modelling for conservation planning in Victoria, Australia. </w:t>
      </w:r>
      <w:r w:rsidRPr="449AA4B3">
        <w:rPr>
          <w:i/>
          <w:iCs/>
        </w:rPr>
        <w:t>Ecological Modelling</w:t>
      </w:r>
      <w:r>
        <w:t>, 249(2013): 68-74.</w:t>
      </w:r>
    </w:p>
    <w:p w14:paraId="62AFADC4" w14:textId="77777777" w:rsidR="005E45F6" w:rsidRDefault="449AA4B3" w:rsidP="005E45F6">
      <w:pPr>
        <w:pStyle w:val="BodyText"/>
      </w:pPr>
      <w:proofErr w:type="spellStart"/>
      <w:r>
        <w:t>Moilanen</w:t>
      </w:r>
      <w:proofErr w:type="spellEnd"/>
      <w:r>
        <w:t xml:space="preserve">, A., </w:t>
      </w:r>
      <w:proofErr w:type="spellStart"/>
      <w:r>
        <w:t>Leathwick</w:t>
      </w:r>
      <w:proofErr w:type="spellEnd"/>
      <w:r>
        <w:t xml:space="preserve">, J. R. and Quinn, J. M. (2011) Spatial prioritization of conservation management. </w:t>
      </w:r>
      <w:r w:rsidRPr="449AA4B3">
        <w:rPr>
          <w:i/>
          <w:iCs/>
        </w:rPr>
        <w:t>Conservation Letters</w:t>
      </w:r>
      <w:r>
        <w:t>, 4: 383-393.</w:t>
      </w:r>
    </w:p>
    <w:p w14:paraId="02BB7133" w14:textId="7FB407DE" w:rsidR="005E45F6" w:rsidRDefault="449AA4B3" w:rsidP="005E45F6">
      <w:pPr>
        <w:pStyle w:val="BodyText"/>
      </w:pPr>
      <w:proofErr w:type="spellStart"/>
      <w:r>
        <w:t>Possingham</w:t>
      </w:r>
      <w:proofErr w:type="spellEnd"/>
      <w:r>
        <w:t xml:space="preserve">, H. (2013) Five objections to using decision science in conservation and why they’re wrong. </w:t>
      </w:r>
      <w:r w:rsidRPr="449AA4B3">
        <w:rPr>
          <w:i/>
          <w:iCs/>
        </w:rPr>
        <w:t>Decision Point</w:t>
      </w:r>
      <w:r>
        <w:t>, 74: 14-15.</w:t>
      </w:r>
    </w:p>
    <w:p w14:paraId="52FE02B8" w14:textId="77777777" w:rsidR="00EA3F2E" w:rsidRDefault="00EA3F2E" w:rsidP="00254A01">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125CDB6B" w14:textId="77777777" w:rsidTr="449AA4B3">
        <w:trPr>
          <w:trHeight w:val="2608"/>
        </w:trPr>
        <w:tc>
          <w:tcPr>
            <w:tcW w:w="5216" w:type="dxa"/>
            <w:shd w:val="clear" w:color="auto" w:fill="auto"/>
          </w:tcPr>
          <w:p w14:paraId="75BB354A" w14:textId="36C874C5" w:rsidR="00254A01" w:rsidRDefault="00254A01" w:rsidP="00AC028D">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2146AC">
              <w:rPr>
                <w:noProof/>
              </w:rPr>
              <w:t>2018</w:t>
            </w:r>
            <w:r>
              <w:fldChar w:fldCharType="end"/>
            </w:r>
          </w:p>
          <w:p w14:paraId="29F86007" w14:textId="1E123295" w:rsidR="00254A01" w:rsidRDefault="00254A01" w:rsidP="00AC028D">
            <w:pPr>
              <w:pStyle w:val="SmallBodyText"/>
            </w:pPr>
            <w:r>
              <w:rPr>
                <w:noProof/>
              </w:rPr>
              <w:drawing>
                <wp:anchor distT="0" distB="0" distL="114300" distR="36195" simplePos="0" relativeHeight="251657216" behindDoc="0" locked="1" layoutInCell="1" allowOverlap="1" wp14:anchorId="77D7BC74" wp14:editId="2A65A760">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6">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6CA64C4C" w14:textId="40096338" w:rsidR="00253924" w:rsidRDefault="0068055C" w:rsidP="00EE6B1B">
            <w:pPr>
              <w:pStyle w:val="SmallBodyText"/>
            </w:pPr>
            <w:r w:rsidRPr="0068055C">
              <w:t>ISBN 978-1-76047-950-3 (pdf/online)</w:t>
            </w:r>
          </w:p>
          <w:p w14:paraId="726EAC6D" w14:textId="77777777" w:rsidR="00254A01" w:rsidRPr="008F559C" w:rsidRDefault="449AA4B3" w:rsidP="00AC028D">
            <w:pPr>
              <w:pStyle w:val="SmallHeading"/>
            </w:pPr>
            <w:r>
              <w:t>Disclaimer</w:t>
            </w:r>
          </w:p>
          <w:p w14:paraId="1AD9C36B" w14:textId="77777777" w:rsidR="00254A01" w:rsidRDefault="449AA4B3" w:rsidP="00AC028D">
            <w:pPr>
              <w:pStyle w:val="SmallBodyText"/>
            </w:pPr>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shd w:val="clear" w:color="auto" w:fill="auto"/>
          </w:tcPr>
          <w:p w14:paraId="2F2A900D" w14:textId="77777777" w:rsidR="00254A01" w:rsidRPr="00E97294" w:rsidRDefault="00254A01" w:rsidP="00AC028D">
            <w:pPr>
              <w:pStyle w:val="xAccessibilityHeading"/>
            </w:pPr>
            <w:bookmarkStart w:id="3" w:name="_Accessibility"/>
            <w:bookmarkEnd w:id="3"/>
            <w:r w:rsidRPr="00E97294">
              <w:t>Accessibility</w:t>
            </w:r>
          </w:p>
          <w:p w14:paraId="0EE514B3" w14:textId="77777777" w:rsidR="00254A01" w:rsidRDefault="449AA4B3" w:rsidP="00AC028D">
            <w:pPr>
              <w:pStyle w:val="xAccessibilityText"/>
            </w:pPr>
            <w:r>
              <w:t>If you would like to receive this publication in an alternative format, please telephone the DELWP Customer Service Centre on 136186, email </w:t>
            </w:r>
            <w:hyperlink r:id="rId27">
              <w:r>
                <w:t>customer.service@delwp.vic.gov.au</w:t>
              </w:r>
            </w:hyperlink>
            <w:r>
              <w:t xml:space="preserve">, or via the National Relay Service on 133 677 </w:t>
            </w:r>
            <w:hyperlink r:id="rId28">
              <w:r>
                <w:t>www.relayservice.com.au</w:t>
              </w:r>
            </w:hyperlink>
            <w:r>
              <w:t xml:space="preserve">. This document is also available on the internet at </w:t>
            </w:r>
            <w:hyperlink r:id="rId29">
              <w:r>
                <w:t>www.delwp.vic.gov.au</w:t>
              </w:r>
            </w:hyperlink>
            <w:r>
              <w:t xml:space="preserve">. </w:t>
            </w:r>
          </w:p>
          <w:p w14:paraId="0557BF91" w14:textId="77777777" w:rsidR="00254A01" w:rsidRDefault="00254A01" w:rsidP="00AC028D">
            <w:pPr>
              <w:pStyle w:val="SmallBodyText"/>
            </w:pPr>
          </w:p>
        </w:tc>
      </w:tr>
    </w:tbl>
    <w:p w14:paraId="19E63A85" w14:textId="77777777" w:rsidR="006E1C8D" w:rsidRDefault="006E1C8D" w:rsidP="008424D1">
      <w:pPr>
        <w:pStyle w:val="SmallBodyText"/>
      </w:pPr>
    </w:p>
    <w:sectPr w:rsidR="006E1C8D" w:rsidSect="001B1B02">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BF65A" w14:textId="77777777" w:rsidR="00EA3F2E" w:rsidRDefault="00EA3F2E">
      <w:r>
        <w:separator/>
      </w:r>
    </w:p>
    <w:p w14:paraId="3AE6D581" w14:textId="77777777" w:rsidR="00EA3F2E" w:rsidRDefault="00EA3F2E"/>
    <w:p w14:paraId="4499849D" w14:textId="77777777" w:rsidR="00EA3F2E" w:rsidRDefault="00EA3F2E"/>
  </w:endnote>
  <w:endnote w:type="continuationSeparator" w:id="0">
    <w:p w14:paraId="50815134" w14:textId="77777777" w:rsidR="00EA3F2E" w:rsidRDefault="00EA3F2E">
      <w:r>
        <w:continuationSeparator/>
      </w:r>
    </w:p>
    <w:p w14:paraId="0C150D63" w14:textId="77777777" w:rsidR="00EA3F2E" w:rsidRDefault="00EA3F2E"/>
    <w:p w14:paraId="1EAF4C1C" w14:textId="77777777" w:rsidR="00EA3F2E" w:rsidRDefault="00EA3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00000003" w:usb1="08080000" w:usb2="00000010"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42BE0" w14:textId="77777777" w:rsidR="00E962AA" w:rsidRPr="00B5221E" w:rsidRDefault="00E962AA" w:rsidP="00E97294">
    <w:pPr>
      <w:pStyle w:val="FooterEven"/>
    </w:pPr>
    <w:r w:rsidRPr="00D55628">
      <w:rPr>
        <w:noProof/>
      </w:rPr>
      <mc:AlternateContent>
        <mc:Choice Requires="wps">
          <w:drawing>
            <wp:anchor distT="0" distB="0" distL="114300" distR="114300" simplePos="0" relativeHeight="251650560" behindDoc="1" locked="1" layoutInCell="1" allowOverlap="1" wp14:anchorId="121BB204" wp14:editId="43C6CF8F">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55D04" w14:textId="4DD62D28"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BB204"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659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4D255D04" w14:textId="4DD62D28"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9D8D8" w14:textId="77777777" w:rsidR="00E962AA" w:rsidRDefault="00E962AA" w:rsidP="00213C82">
    <w:pPr>
      <w:pStyle w:val="Footer"/>
    </w:pPr>
    <w:r w:rsidRPr="00D55628">
      <w:rPr>
        <w:noProof/>
      </w:rPr>
      <mc:AlternateContent>
        <mc:Choice Requires="wps">
          <w:drawing>
            <wp:anchor distT="0" distB="0" distL="114300" distR="114300" simplePos="0" relativeHeight="251651584" behindDoc="1" locked="1" layoutInCell="1" allowOverlap="1" wp14:anchorId="5ED22D03" wp14:editId="3D15861A">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60AB4" w14:textId="0DDB8A60"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22D03"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648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32860AB4" w14:textId="0DDB8A60"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BBD62" w14:textId="77777777" w:rsidR="00E962AA" w:rsidRDefault="00E962AA" w:rsidP="00BF3066">
    <w:pPr>
      <w:pStyle w:val="Footer"/>
      <w:spacing w:before="1600"/>
    </w:pPr>
    <w:r>
      <w:rPr>
        <w:noProof/>
      </w:rPr>
      <w:drawing>
        <wp:anchor distT="0" distB="0" distL="114300" distR="114300" simplePos="0" relativeHeight="251662848" behindDoc="1" locked="1" layoutInCell="1" allowOverlap="1" wp14:anchorId="2E7968C8" wp14:editId="24087109">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4896" behindDoc="0" locked="1" layoutInCell="1" allowOverlap="1" wp14:anchorId="144A6D6E" wp14:editId="72E53D09">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A0A747"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A6D6E" id="_x0000_t202" coordsize="21600,21600" o:spt="202" path="m,l,21600r21600,l21600,xe">
              <v:stroke joinstyle="miter"/>
              <v:path gradientshapeok="t" o:connecttype="rect"/>
            </v:shapetype>
            <v:shape id="WebAddress" o:spid="_x0000_s1028" type="#_x0000_t202" style="position:absolute;margin-left:0;margin-top:0;width:303pt;height:56.7pt;z-index:25166489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23A0A747"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0800" behindDoc="1" locked="1" layoutInCell="1" allowOverlap="1" wp14:anchorId="00C4DDE5" wp14:editId="5F636925">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FB524" w14:textId="77777777" w:rsidR="00EA3F2E" w:rsidRPr="008F5280" w:rsidRDefault="00EA3F2E" w:rsidP="008F5280">
      <w:pPr>
        <w:pStyle w:val="FootnoteSeparator"/>
      </w:pPr>
    </w:p>
    <w:p w14:paraId="62B50217" w14:textId="77777777" w:rsidR="00EA3F2E" w:rsidRDefault="00EA3F2E"/>
  </w:footnote>
  <w:footnote w:type="continuationSeparator" w:id="0">
    <w:p w14:paraId="551E084B" w14:textId="77777777" w:rsidR="00EA3F2E" w:rsidRDefault="00EA3F2E" w:rsidP="008F5280">
      <w:pPr>
        <w:pStyle w:val="FootnoteSeparator"/>
      </w:pPr>
    </w:p>
    <w:p w14:paraId="7C30FA36" w14:textId="77777777" w:rsidR="00EA3F2E" w:rsidRDefault="00EA3F2E"/>
    <w:p w14:paraId="7DFBE911" w14:textId="77777777" w:rsidR="00EA3F2E" w:rsidRDefault="00EA3F2E"/>
  </w:footnote>
  <w:footnote w:type="continuationNotice" w:id="1">
    <w:p w14:paraId="7829046F" w14:textId="77777777" w:rsidR="00EA3F2E" w:rsidRDefault="00EA3F2E" w:rsidP="00D55628"/>
    <w:p w14:paraId="589C018C" w14:textId="77777777" w:rsidR="00EA3F2E" w:rsidRDefault="00EA3F2E"/>
    <w:p w14:paraId="73F42F00" w14:textId="77777777" w:rsidR="00EA3F2E" w:rsidRDefault="00EA3F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4121DB10" w14:textId="77777777" w:rsidTr="00AC028D">
      <w:trPr>
        <w:trHeight w:hRule="exact" w:val="1418"/>
      </w:trPr>
      <w:tc>
        <w:tcPr>
          <w:tcW w:w="7761" w:type="dxa"/>
          <w:vAlign w:val="center"/>
        </w:tcPr>
        <w:p w14:paraId="6C9AE4D0" w14:textId="1D843C17" w:rsidR="00254A01" w:rsidRPr="00975ED3" w:rsidRDefault="00DB08BB" w:rsidP="00AC028D">
          <w:pPr>
            <w:pStyle w:val="Header"/>
          </w:pPr>
          <w:r>
            <w:fldChar w:fldCharType="begin"/>
          </w:r>
          <w:r>
            <w:instrText xml:space="preserve"> STYLEREF  Title  \* MERGEFORMAT </w:instrText>
          </w:r>
          <w:r>
            <w:fldChar w:fldCharType="separate"/>
          </w:r>
          <w:r>
            <w:rPr>
              <w:noProof/>
            </w:rPr>
            <w:t>NaturePrint</w:t>
          </w:r>
          <w:r>
            <w:rPr>
              <w:noProof/>
            </w:rPr>
            <w:fldChar w:fldCharType="end"/>
          </w:r>
        </w:p>
      </w:tc>
    </w:tr>
  </w:tbl>
  <w:p w14:paraId="4ADDBCE5" w14:textId="77777777" w:rsidR="00254A01" w:rsidRDefault="00254A01" w:rsidP="00254A01">
    <w:pPr>
      <w:pStyle w:val="Header"/>
    </w:pPr>
    <w:r w:rsidRPr="00806AB6">
      <w:rPr>
        <w:noProof/>
      </w:rPr>
      <mc:AlternateContent>
        <mc:Choice Requires="wps">
          <w:drawing>
            <wp:anchor distT="0" distB="0" distL="114300" distR="114300" simplePos="0" relativeHeight="251657216" behindDoc="1" locked="0" layoutInCell="1" allowOverlap="1" wp14:anchorId="100C73C4" wp14:editId="0F12EF9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C60923" id="TriangleRight" o:spid="_x0000_s1026" style="position:absolute;margin-left:56.7pt;margin-top:22.7pt;width:68.05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3120" behindDoc="1" locked="0" layoutInCell="1" allowOverlap="1" wp14:anchorId="5388CEB0" wp14:editId="647DF44E">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73BB0" id="TriangleLeft" o:spid="_x0000_s1026" style="position:absolute;margin-left:22.7pt;margin-top:22.7pt;width:68.0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9024" behindDoc="1" locked="0" layoutInCell="1" allowOverlap="1" wp14:anchorId="14010FBA" wp14:editId="4F12319F">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529452" id="Rectangle" o:spid="_x0000_s1026" style="position:absolute;margin-left:22.7pt;margin-top:22.7pt;width:552.75pt;height:70.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37A46CFE"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31F101F3" w14:textId="77777777" w:rsidTr="00AC028D">
      <w:trPr>
        <w:trHeight w:hRule="exact" w:val="1418"/>
      </w:trPr>
      <w:tc>
        <w:tcPr>
          <w:tcW w:w="7761" w:type="dxa"/>
          <w:vAlign w:val="center"/>
        </w:tcPr>
        <w:p w14:paraId="2FF37CCF" w14:textId="18D20186" w:rsidR="00254A01" w:rsidRPr="00975ED3" w:rsidRDefault="00DB08BB" w:rsidP="00AC028D">
          <w:pPr>
            <w:pStyle w:val="Header"/>
          </w:pPr>
          <w:r>
            <w:fldChar w:fldCharType="begin"/>
          </w:r>
          <w:r>
            <w:instrText xml:space="preserve"> STYLEREF  Title  \* MERGEFORMAT </w:instrText>
          </w:r>
          <w:r>
            <w:fldChar w:fldCharType="separate"/>
          </w:r>
          <w:r>
            <w:rPr>
              <w:noProof/>
            </w:rPr>
            <w:t>NaturePrint</w:t>
          </w:r>
          <w:r>
            <w:rPr>
              <w:noProof/>
            </w:rPr>
            <w:fldChar w:fldCharType="end"/>
          </w:r>
        </w:p>
      </w:tc>
    </w:tr>
  </w:tbl>
  <w:p w14:paraId="05E49355" w14:textId="77777777" w:rsidR="00254A01" w:rsidRDefault="00254A01" w:rsidP="00254A01">
    <w:pPr>
      <w:pStyle w:val="Header"/>
    </w:pPr>
    <w:r w:rsidRPr="00806AB6">
      <w:rPr>
        <w:noProof/>
      </w:rPr>
      <mc:AlternateContent>
        <mc:Choice Requires="wps">
          <w:drawing>
            <wp:anchor distT="0" distB="0" distL="114300" distR="114300" simplePos="0" relativeHeight="251669504" behindDoc="1" locked="0" layoutInCell="1" allowOverlap="1" wp14:anchorId="71C3B56C" wp14:editId="08068013">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550F43" id="TriangleRight" o:spid="_x0000_s1026" style="position:absolute;margin-left:56.7pt;margin-top:22.7pt;width:68.05pt;height:70.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5408" behindDoc="1" locked="0" layoutInCell="1" allowOverlap="1" wp14:anchorId="211BEB8B" wp14:editId="7C6C0E2C">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7F6879" id="TriangleLeft" o:spid="_x0000_s1026" style="position:absolute;margin-left:22.7pt;margin-top:22.7pt;width:68.05pt;height:70.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1312" behindDoc="1" locked="0" layoutInCell="1" allowOverlap="1" wp14:anchorId="64B183A4" wp14:editId="5868B3CE">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8EBFDD" id="Rectangle" o:spid="_x0000_s1026" style="position:absolute;margin-left:22.7pt;margin-top:22.7pt;width:552.7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2CF4E55E" w14:textId="77777777"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32E3E" w14:textId="443275D9" w:rsidR="00E962AA" w:rsidRPr="00E97294" w:rsidRDefault="00E962AA" w:rsidP="00E97294">
    <w:pPr>
      <w:pStyle w:val="Header"/>
    </w:pPr>
    <w:r w:rsidRPr="00806AB6">
      <w:rPr>
        <w:noProof/>
      </w:rPr>
      <mc:AlternateContent>
        <mc:Choice Requires="wps">
          <w:drawing>
            <wp:anchor distT="0" distB="0" distL="114300" distR="114300" simplePos="0" relativeHeight="251656704" behindDoc="1" locked="0" layoutInCell="1" allowOverlap="1" wp14:anchorId="1D6840A6" wp14:editId="7DC67586">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259FB9" id="TriangleRight" o:spid="_x0000_s1026" style="position:absolute;margin-left:56.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752" behindDoc="1" locked="0" layoutInCell="1" allowOverlap="1" wp14:anchorId="59F12F00" wp14:editId="41978CF7">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D7BCD8" id="TriangleBottom" o:spid="_x0000_s1026" style="position:absolute;margin-left:56.7pt;margin-top:93.55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4656" behindDoc="1" locked="0" layoutInCell="1" allowOverlap="1" wp14:anchorId="166F4229" wp14:editId="6E07C029">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3E4E5B" id="TriangleLeft" o:spid="_x0000_s1026" style="position:absolute;margin-left:22.7pt;margin-top:22.7pt;width:68.0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2608" behindDoc="1" locked="0" layoutInCell="1" allowOverlap="1" wp14:anchorId="3BFB997A" wp14:editId="3A63DC55">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800EE7" id="Rectangle" o:spid="_x0000_s1026" style="position:absolute;margin-left:22.7pt;margin-top:22.7pt;width:552.75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1569EF"/>
    <w:multiLevelType w:val="hybridMultilevel"/>
    <w:tmpl w:val="93349D5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4D545EC4"/>
    <w:multiLevelType w:val="multilevel"/>
    <w:tmpl w:val="7458EA1A"/>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BEE78C7"/>
    <w:multiLevelType w:val="hybridMultilevel"/>
    <w:tmpl w:val="5A0CE3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C60765F"/>
    <w:multiLevelType w:val="hybridMultilevel"/>
    <w:tmpl w:val="C4162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30"/>
  </w:num>
  <w:num w:numId="3">
    <w:abstractNumId w:val="26"/>
  </w:num>
  <w:num w:numId="4">
    <w:abstractNumId w:val="34"/>
  </w:num>
  <w:num w:numId="5">
    <w:abstractNumId w:val="15"/>
  </w:num>
  <w:num w:numId="6">
    <w:abstractNumId w:val="12"/>
  </w:num>
  <w:num w:numId="7">
    <w:abstractNumId w:val="11"/>
  </w:num>
  <w:num w:numId="8">
    <w:abstractNumId w:val="10"/>
  </w:num>
  <w:num w:numId="9">
    <w:abstractNumId w:val="31"/>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3"/>
    <w:lvlOverride w:ilvl="0">
      <w:startOverride w:val="1"/>
    </w:lvlOverride>
  </w:num>
  <w:num w:numId="29">
    <w:abstractNumId w:val="19"/>
  </w:num>
  <w:num w:numId="30">
    <w:abstractNumId w:val="32"/>
  </w:num>
  <w:num w:numId="31">
    <w:abstractNumId w:val="8"/>
  </w:num>
  <w:num w:numId="32">
    <w:abstractNumId w:val="28"/>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29"/>
  </w:num>
  <w:num w:numId="44">
    <w:abstractNumId w:val="25"/>
  </w:num>
  <w:num w:numId="45">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0" w:nlCheck="1" w:checkStyle="1"/>
  <w:activeWritingStyle w:appName="MSWord" w:lang="en-AU" w:vendorID="64" w:dllVersion="0" w:nlCheck="1" w:checkStyle="1"/>
  <w:activeWritingStyle w:appName="MSWord" w:lang="en-GB" w:vendorID="64" w:dllVersion="0" w:nlCheck="1" w:checkStyle="0"/>
  <w:activeWritingStyle w:appName="MSWord" w:lang="en-AU" w:vendorID="64" w:dllVersion="6"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710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 w:name="WebAddress" w:val="True"/>
  </w:docVars>
  <w:rsids>
    <w:rsidRoot w:val="00EA3F2E"/>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6327"/>
    <w:rsid w:val="0008745F"/>
    <w:rsid w:val="000908D6"/>
    <w:rsid w:val="0009125C"/>
    <w:rsid w:val="000913AD"/>
    <w:rsid w:val="00091F49"/>
    <w:rsid w:val="0009214D"/>
    <w:rsid w:val="00093051"/>
    <w:rsid w:val="000935F8"/>
    <w:rsid w:val="000938C5"/>
    <w:rsid w:val="00093F02"/>
    <w:rsid w:val="0009422C"/>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2F4D"/>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6E21"/>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56D"/>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699"/>
    <w:rsid w:val="000D2813"/>
    <w:rsid w:val="000D3282"/>
    <w:rsid w:val="000D3AE8"/>
    <w:rsid w:val="000D3B59"/>
    <w:rsid w:val="000D3D33"/>
    <w:rsid w:val="000D3E39"/>
    <w:rsid w:val="000D3F7B"/>
    <w:rsid w:val="000D42D6"/>
    <w:rsid w:val="000D464F"/>
    <w:rsid w:val="000D4EC1"/>
    <w:rsid w:val="000D6DC7"/>
    <w:rsid w:val="000D6FA1"/>
    <w:rsid w:val="000D703A"/>
    <w:rsid w:val="000D7202"/>
    <w:rsid w:val="000D7482"/>
    <w:rsid w:val="000D76D9"/>
    <w:rsid w:val="000D7891"/>
    <w:rsid w:val="000D7E1F"/>
    <w:rsid w:val="000E01C1"/>
    <w:rsid w:val="000E01D0"/>
    <w:rsid w:val="000E1779"/>
    <w:rsid w:val="000E19AD"/>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3FDD"/>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16E"/>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6D1"/>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5CE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B02"/>
    <w:rsid w:val="001B1C97"/>
    <w:rsid w:val="001B1F30"/>
    <w:rsid w:val="001B2BCC"/>
    <w:rsid w:val="001B2E3D"/>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B75"/>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6AC"/>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924"/>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5D6"/>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9B6"/>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3B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1FBC"/>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09B"/>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1EF"/>
    <w:rsid w:val="0038125D"/>
    <w:rsid w:val="00381327"/>
    <w:rsid w:val="00381337"/>
    <w:rsid w:val="00381D36"/>
    <w:rsid w:val="00382150"/>
    <w:rsid w:val="00382225"/>
    <w:rsid w:val="003823DC"/>
    <w:rsid w:val="0038300B"/>
    <w:rsid w:val="003832A8"/>
    <w:rsid w:val="003833EC"/>
    <w:rsid w:val="00383499"/>
    <w:rsid w:val="00383508"/>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29A"/>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E05"/>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8D1"/>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85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777"/>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1F95"/>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B39"/>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5213"/>
    <w:rsid w:val="00566671"/>
    <w:rsid w:val="00566DAC"/>
    <w:rsid w:val="00566FEA"/>
    <w:rsid w:val="005676F5"/>
    <w:rsid w:val="00567C79"/>
    <w:rsid w:val="00570012"/>
    <w:rsid w:val="00570018"/>
    <w:rsid w:val="005701E9"/>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BA9"/>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6DD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4996"/>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5F6"/>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2FE2"/>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203"/>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5E60"/>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6E7F"/>
    <w:rsid w:val="00627067"/>
    <w:rsid w:val="006302E0"/>
    <w:rsid w:val="00630767"/>
    <w:rsid w:val="006307CD"/>
    <w:rsid w:val="00630E39"/>
    <w:rsid w:val="0063103F"/>
    <w:rsid w:val="0063133D"/>
    <w:rsid w:val="00631925"/>
    <w:rsid w:val="00631D9A"/>
    <w:rsid w:val="006326EA"/>
    <w:rsid w:val="006330C8"/>
    <w:rsid w:val="006331BD"/>
    <w:rsid w:val="00633361"/>
    <w:rsid w:val="00633A4B"/>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4D6"/>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CD7"/>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55C"/>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1E5A"/>
    <w:rsid w:val="0069210E"/>
    <w:rsid w:val="00692502"/>
    <w:rsid w:val="00692877"/>
    <w:rsid w:val="006928C5"/>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6C1"/>
    <w:rsid w:val="00716791"/>
    <w:rsid w:val="00716795"/>
    <w:rsid w:val="007169A1"/>
    <w:rsid w:val="00716CA0"/>
    <w:rsid w:val="007172B7"/>
    <w:rsid w:val="007178CC"/>
    <w:rsid w:val="00717B97"/>
    <w:rsid w:val="0072013C"/>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385"/>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2C"/>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ABB"/>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1C16"/>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3AB5"/>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3B"/>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888"/>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17DA6"/>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1A2"/>
    <w:rsid w:val="00842269"/>
    <w:rsid w:val="008423CE"/>
    <w:rsid w:val="008424D1"/>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9"/>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575"/>
    <w:rsid w:val="008759AC"/>
    <w:rsid w:val="00875CD3"/>
    <w:rsid w:val="00876BC7"/>
    <w:rsid w:val="00876EAC"/>
    <w:rsid w:val="0087738D"/>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4E96"/>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36A"/>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32B"/>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148"/>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EAE"/>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182"/>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1A"/>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70C"/>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2A07"/>
    <w:rsid w:val="00A0310E"/>
    <w:rsid w:val="00A0424C"/>
    <w:rsid w:val="00A049CA"/>
    <w:rsid w:val="00A04A55"/>
    <w:rsid w:val="00A05269"/>
    <w:rsid w:val="00A053CC"/>
    <w:rsid w:val="00A0540D"/>
    <w:rsid w:val="00A05723"/>
    <w:rsid w:val="00A05DC0"/>
    <w:rsid w:val="00A05F57"/>
    <w:rsid w:val="00A06A21"/>
    <w:rsid w:val="00A06AB1"/>
    <w:rsid w:val="00A07034"/>
    <w:rsid w:val="00A07207"/>
    <w:rsid w:val="00A07F76"/>
    <w:rsid w:val="00A10084"/>
    <w:rsid w:val="00A104CA"/>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12B"/>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506"/>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37CD1"/>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1B3"/>
    <w:rsid w:val="00A7645D"/>
    <w:rsid w:val="00A7655A"/>
    <w:rsid w:val="00A76EC8"/>
    <w:rsid w:val="00A7739A"/>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58A"/>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07AD"/>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37E9"/>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BF7"/>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460"/>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21F"/>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C4B"/>
    <w:rsid w:val="00B57E69"/>
    <w:rsid w:val="00B601AA"/>
    <w:rsid w:val="00B60C53"/>
    <w:rsid w:val="00B60DC1"/>
    <w:rsid w:val="00B60F9D"/>
    <w:rsid w:val="00B61B16"/>
    <w:rsid w:val="00B62003"/>
    <w:rsid w:val="00B62110"/>
    <w:rsid w:val="00B62425"/>
    <w:rsid w:val="00B62BAF"/>
    <w:rsid w:val="00B63B96"/>
    <w:rsid w:val="00B63F44"/>
    <w:rsid w:val="00B6404F"/>
    <w:rsid w:val="00B648F7"/>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905"/>
    <w:rsid w:val="00B77C75"/>
    <w:rsid w:val="00B77F09"/>
    <w:rsid w:val="00B80042"/>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72C"/>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0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2EF"/>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1F1A"/>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1CD9"/>
    <w:rsid w:val="00C52067"/>
    <w:rsid w:val="00C52634"/>
    <w:rsid w:val="00C52B31"/>
    <w:rsid w:val="00C5304D"/>
    <w:rsid w:val="00C532A1"/>
    <w:rsid w:val="00C537ED"/>
    <w:rsid w:val="00C53AA8"/>
    <w:rsid w:val="00C5431F"/>
    <w:rsid w:val="00C5456C"/>
    <w:rsid w:val="00C545E3"/>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1CD"/>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043"/>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3F8"/>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C72"/>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3CB2"/>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8BB"/>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3B31"/>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6E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1AFF"/>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0F"/>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884"/>
    <w:rsid w:val="00E72FBA"/>
    <w:rsid w:val="00E73199"/>
    <w:rsid w:val="00E73266"/>
    <w:rsid w:val="00E7362F"/>
    <w:rsid w:val="00E739B0"/>
    <w:rsid w:val="00E73FFB"/>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2E"/>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170"/>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6EE8"/>
    <w:rsid w:val="00ED744E"/>
    <w:rsid w:val="00ED750B"/>
    <w:rsid w:val="00ED7CF4"/>
    <w:rsid w:val="00ED7D94"/>
    <w:rsid w:val="00EE081C"/>
    <w:rsid w:val="00EE0BDC"/>
    <w:rsid w:val="00EE0CC9"/>
    <w:rsid w:val="00EE10E5"/>
    <w:rsid w:val="00EE1603"/>
    <w:rsid w:val="00EE1A55"/>
    <w:rsid w:val="00EE1FFA"/>
    <w:rsid w:val="00EE2153"/>
    <w:rsid w:val="00EE2531"/>
    <w:rsid w:val="00EE36B2"/>
    <w:rsid w:val="00EE3A69"/>
    <w:rsid w:val="00EE3D13"/>
    <w:rsid w:val="00EE3D35"/>
    <w:rsid w:val="00EE3EBB"/>
    <w:rsid w:val="00EE4997"/>
    <w:rsid w:val="00EE4AFC"/>
    <w:rsid w:val="00EE61AD"/>
    <w:rsid w:val="00EE6A67"/>
    <w:rsid w:val="00EE6B1B"/>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AF0"/>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243"/>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6E8"/>
    <w:rsid w:val="00F33D77"/>
    <w:rsid w:val="00F33DEA"/>
    <w:rsid w:val="00F33E93"/>
    <w:rsid w:val="00F345D3"/>
    <w:rsid w:val="00F3465B"/>
    <w:rsid w:val="00F34A54"/>
    <w:rsid w:val="00F34EAC"/>
    <w:rsid w:val="00F3523F"/>
    <w:rsid w:val="00F35840"/>
    <w:rsid w:val="00F3585E"/>
    <w:rsid w:val="00F35D9B"/>
    <w:rsid w:val="00F35FDF"/>
    <w:rsid w:val="00F368D7"/>
    <w:rsid w:val="00F36C78"/>
    <w:rsid w:val="00F375AE"/>
    <w:rsid w:val="00F37B39"/>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3D90"/>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8E3"/>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 w:val="230A27A3"/>
    <w:rsid w:val="26DC397E"/>
    <w:rsid w:val="449AA4B3"/>
    <w:rsid w:val="721B7F2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style="mso-position-horizontal-relative:page;mso-position-vertical-relative:page" stroke="f">
      <v:stroke on="f"/>
      <o:colormru v:ext="edit" colors="white"/>
    </o:shapedefaults>
    <o:shapelayout v:ext="edit">
      <o:idmap v:ext="edit" data="1"/>
    </o:shapelayout>
  </w:shapeDefaults>
  <w:decimalSymbol w:val="."/>
  <w:listSeparator w:val=","/>
  <w14:docId w14:val="3ABDB518"/>
  <w15:docId w15:val="{C257732E-40D6-4422-9EB7-0496BC6D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EA3F2E"/>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styleId="Revision">
    <w:name w:val="Revision"/>
    <w:hidden/>
    <w:uiPriority w:val="99"/>
    <w:semiHidden/>
    <w:rsid w:val="00A2112B"/>
    <w:pPr>
      <w:spacing w:line="240" w:lineRule="auto"/>
    </w:pPr>
  </w:style>
  <w:style w:type="character" w:styleId="UnresolvedMention">
    <w:name w:val="Unresolved Mention"/>
    <w:basedOn w:val="DefaultParagraphFont"/>
    <w:uiPriority w:val="99"/>
    <w:semiHidden/>
    <w:unhideWhenUsed/>
    <w:rsid w:val="002146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94366">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http://www.environment.vic.gov.au/biodiversity/natureprint"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environment.vic.gov.au/biodiversity/victorian-biodiversity-atla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nvironment.vic.gov.au/biodiversity/natureprint" TargetMode="External"/><Relationship Id="rId29" Type="http://schemas.openxmlformats.org/officeDocument/2006/relationships/hyperlink" Target="http://www.delwp.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JP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naturekit.biodiversity.vic.gov.au" TargetMode="External"/><Relationship Id="rId28" Type="http://schemas.openxmlformats.org/officeDocument/2006/relationships/hyperlink" Target="http://www.relayservice.com.au"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maps.biodiversity.vic.gov.au/viewer/?viewer=NatureKit" TargetMode="External"/><Relationship Id="rId27" Type="http://schemas.openxmlformats.org/officeDocument/2006/relationships/hyperlink" Target="mailto:customer.service@delwp.vic.gov.au"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21\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xsnScope>
</customXsn>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mfe9accc5a0b4653a7b513b67ffd122d xmlns="a5f32de4-e402-4188-b034-e71ca7d22e54">
      <Terms xmlns="http://schemas.microsoft.com/office/infopath/2007/PartnerControls">
        <TermInfo xmlns="http://schemas.microsoft.com/office/infopath/2007/PartnerControls">
          <TermName xmlns="http://schemas.microsoft.com/office/infopath/2007/PartnerControls">Knowledge and Decision Systems</TermName>
          <TermId xmlns="http://schemas.microsoft.com/office/infopath/2007/PartnerControls">b4e6fa65-71ac-4707-b13f-b1fda20207e7</TermId>
        </TermInfo>
      </Terms>
    </mfe9accc5a0b4653a7b513b67ffd122d>
    <fb3179c379644f499d7166d0c985669b xmlns="a5f32de4-e402-4188-b034-e71ca7d22e5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eview_x0020_Date xmlns="a5f32de4-e402-4188-b034-e71ca7d22e54" xsi:nil="true"/>
    <TaxCatchAll xmlns="a5f32de4-e402-4188-b034-e71ca7d22e54">
      <Value>36</Value>
      <Value>7</Value>
      <Value>6</Value>
      <Value>5</Value>
      <Value>3</Value>
      <Value>2</Value>
      <Value>1</Value>
    </TaxCatchAll>
    <ece32f50ba964e1fbf627a9d83fe6c01 xmlns="a5f32de4-e402-4188-b034-e71ca7d22e5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URL xmlns="http://schemas.microsoft.com/sharepoint/v3">
      <Url xsi:nil="true"/>
      <Description xsi:nil="true"/>
    </URL>
    <o625803ee3d646698133034a99544ba1 xmlns="a41a3cd0-2045-4063-9820-9ebad6e9cf57">
      <Terms xmlns="http://schemas.microsoft.com/office/infopath/2007/PartnerControls">
        <TermInfo xmlns="http://schemas.microsoft.com/office/infopath/2007/PartnerControls">
          <TermName xmlns="http://schemas.microsoft.com/office/infopath/2007/PartnerControls">NaturePrint</TermName>
          <TermId xmlns="http://schemas.microsoft.com/office/infopath/2007/PartnerControls">170e8f7a-2eec-43cd-9e09-d35ac5519f56</TermId>
        </TermInfo>
      </Terms>
    </o625803ee3d646698133034a99544ba1>
    <RoutingRuleDescription xmlns="http://schemas.microsoft.com/sharepoint/v3">NaturePrint SMP</RoutingRuleDescription>
    <n771d69a070c4babbf278c67c8a2b859 xmlns="a5f32de4-e402-4188-b034-e71ca7d22e5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k1bd994a94c2413797db3bab8f123f6f xmlns="a5f32de4-e402-4188-b034-e71ca7d22e54">
      <Terms xmlns="http://schemas.microsoft.com/office/infopath/2007/PartnerControls"/>
    </k1bd994a94c2413797db3bab8f123f6f>
    <pd01c257034b4e86b1f58279a3bd54c6 xmlns="a5f32de4-e402-4188-b034-e71ca7d22e5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ic50d0a05a8e4d9791dac67f8a1e716c xmlns="a5f32de4-e402-4188-b034-e71ca7d22e54">
      <Terms xmlns="http://schemas.microsoft.com/office/infopath/2007/PartnerControls">
        <TermInfo xmlns="http://schemas.microsoft.com/office/infopath/2007/PartnerControls">
          <TermName xmlns="http://schemas.microsoft.com/office/infopath/2007/PartnerControls">Energy, Environment and Climate Change</TermName>
          <TermId xmlns="http://schemas.microsoft.com/office/infopath/2007/PartnerControls">94bee464-a01d-4057-aeaf-10b10373b617</TermId>
        </TermInfo>
      </Terms>
    </ic50d0a05a8e4d9791dac67f8a1e716c>
    <a25c4e3633654d669cbaa09ae6b70789 xmlns="a5f32de4-e402-4188-b034-e71ca7d22e54">
      <Terms xmlns="http://schemas.microsoft.com/office/infopath/2007/PartnerControls"/>
    </a25c4e3633654d669cbaa09ae6b70789>
    <_dlc_DocId xmlns="a5f32de4-e402-4188-b034-e71ca7d22e54">DOCID107-6-595</_dlc_DocId>
    <_dlc_DocIdUrl xmlns="a5f32de4-e402-4188-b034-e71ca7d22e54">
      <Url>https://ecm.delwp.vic.gov.au/sites/ecm_107/_layouts/15/DocIdRedir.aspx?ID=DOCID107-6-595</Url>
      <Description>DOCID107-6-595</Description>
    </_dlc_DocIdUrl>
  </documentManagement>
</p:properties>
</file>

<file path=customXml/item3.xml><?xml version="1.0" encoding="utf-8"?>
<?mso-contentType ?>
<SharedContentType xmlns="Microsoft.SharePoint.Taxonomy.ContentTypeSync" SourceId="3452d580-73c1-4b2b-acb3-3600a17877a9" ContentTypeId="0x0101002517F445A0F35E449C98AAD631F2B038440B"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Fact Sheet" ma:contentTypeID="0x0101002517F445A0F35E449C98AAD631F2B038440B00C83ECE0D787FC74B91A9476E3D3E1ADA" ma:contentTypeVersion="17" ma:contentTypeDescription="" ma:contentTypeScope="" ma:versionID="52f1b720df5678400b346b40477b617f">
  <xsd:schema xmlns:xsd="http://www.w3.org/2001/XMLSchema" xmlns:xs="http://www.w3.org/2001/XMLSchema" xmlns:p="http://schemas.microsoft.com/office/2006/metadata/properties" xmlns:ns1="a5f32de4-e402-4188-b034-e71ca7d22e54" xmlns:ns2="http://schemas.microsoft.com/sharepoint/v3" xmlns:ns3="a41a3cd0-2045-4063-9820-9ebad6e9cf57" targetNamespace="http://schemas.microsoft.com/office/2006/metadata/properties" ma:root="true" ma:fieldsID="31fb3da032795308672a28981170e151" ns1:_="" ns2:_="" ns3:_="">
    <xsd:import namespace="a5f32de4-e402-4188-b034-e71ca7d22e54"/>
    <xsd:import namespace="http://schemas.microsoft.com/sharepoint/v3"/>
    <xsd:import namespace="a41a3cd0-2045-4063-9820-9ebad6e9cf57"/>
    <xsd:element name="properties">
      <xsd:complexType>
        <xsd:sequence>
          <xsd:element name="documentManagement">
            <xsd:complexType>
              <xsd:all>
                <xsd:element ref="ns1:_dlc_DocIdUrl" minOccurs="0"/>
                <xsd:element ref="ns1:_dlc_DocId" minOccurs="0"/>
                <xsd:element ref="ns2:RoutingRuleDescription" minOccurs="0"/>
                <xsd:element ref="ns1:Review_x0020_Date" minOccurs="0"/>
                <xsd:element ref="ns2:URL" minOccurs="0"/>
                <xsd:element ref="ns2:Language"/>
                <xsd:element ref="ns1:mfe9accc5a0b4653a7b513b67ffd122d" minOccurs="0"/>
                <xsd:element ref="ns1:k1bd994a94c2413797db3bab8f123f6f" minOccurs="0"/>
                <xsd:element ref="ns1:a25c4e3633654d669cbaa09ae6b70789" minOccurs="0"/>
                <xsd:element ref="ns1:TaxCatchAll" minOccurs="0"/>
                <xsd:element ref="ns1:fb3179c379644f499d7166d0c985669b" minOccurs="0"/>
                <xsd:element ref="ns1:_dlc_DocIdPersistId" minOccurs="0"/>
                <xsd:element ref="ns1:pd01c257034b4e86b1f58279a3bd54c6" minOccurs="0"/>
                <xsd:element ref="ns1:n771d69a070c4babbf278c67c8a2b859" minOccurs="0"/>
                <xsd:element ref="ns1:TaxCatchAllLabel" minOccurs="0"/>
                <xsd:element ref="ns1:ece32f50ba964e1fbf627a9d83fe6c01" minOccurs="0"/>
                <xsd:element ref="ns1:ic50d0a05a8e4d9791dac67f8a1e716c" minOccurs="0"/>
                <xsd:element ref="ns3:o625803ee3d646698133034a99544b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Review_x0020_Date" ma:index="5" nillable="true" ma:displayName="Review Date" ma:description="This is the date that you will be alerted to review your object." ma:format="DateOnly" ma:internalName="Review_x0020_Date">
      <xsd:simpleType>
        <xsd:restriction base="dms:DateTime"/>
      </xsd:simpleType>
    </xsd:element>
    <xsd:element name="mfe9accc5a0b4653a7b513b67ffd122d" ma:index="16" ma:taxonomy="true" ma:internalName="mfe9accc5a0b4653a7b513b67ffd122d" ma:taxonomyFieldName="Branch" ma:displayName="Branch" ma:readOnly="false" ma:default="7;#Knowledge and Decision Systems|b4e6fa65-71ac-4707-b13f-b1fda20207e7" ma:fieldId="{6fe9accc-5a0b-4653-a7b5-13b67ffd122d}" ma:sspId="3452d580-73c1-4b2b-acb3-3600a17877a9" ma:termSetId="2966b9b6-b7ea-4bfd-a4f9-f27ab5012f44" ma:anchorId="00000000-0000-0000-0000-000000000000" ma:open="false" ma:isKeyword="false">
      <xsd:complexType>
        <xsd:sequence>
          <xsd:element ref="pc:Terms" minOccurs="0" maxOccurs="1"/>
        </xsd:sequence>
      </xsd:complexType>
    </xsd:element>
    <xsd:element name="k1bd994a94c2413797db3bab8f123f6f" ma:index="19" nillable="true" ma:taxonomy="true" ma:internalName="k1bd994a94c2413797db3bab8f123f6f" ma:taxonomyFieldName="Section" ma:displayName="Section" ma:readOnly="false" ma:default="" ma:fieldId="{41bd994a-94c2-4137-97db-3bab8f123f6f}" ma:sspId="3452d580-73c1-4b2b-acb3-3600a17877a9"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20" nillable="true" ma:taxonomy="true" ma:internalName="a25c4e3633654d669cbaa09ae6b70789" ma:taxonomyFieldName="Sub_x002d_Section" ma:displayName="Sub-Section" ma:readOnly="false" ma:default="" ma:fieldId="{a25c4e36-3365-4d66-9cba-a09ae6b70789}" ma:sspId="3452d580-73c1-4b2b-acb3-3600a17877a9" ma:termSetId="52866136-d969-4b31-8d96-2f1d875187a1"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70141db-fff5-4964-a9e7-35f069f9c93e}" ma:internalName="TaxCatchAll" ma:showField="CatchAllData" ma:web="a41a3cd0-2045-4063-9820-9ebad6e9cf57">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23" ma:taxonomy="true" ma:internalName="fb3179c379644f499d7166d0c985669b" ma:taxonomyFieldName="Dissemination_x0020_Limiting_x0020_Marker" ma:displayName="Dissemination Limiting Marker" ma:readOnly="false" ma:default="2;#FOUO|955eb6fc-b35a-4808-8aa5-31e514fa3f26" ma:fieldId="{fb3179c3-7964-4f49-9d71-66d0c985669b}" ma:sspId="3452d580-73c1-4b2b-acb3-3600a17877a9" ma:termSetId="f41b4dff-1c0e-42ed-b4e6-3638cbec140f" ma:anchorId="00000000-0000-0000-0000-000000000000" ma:open="false" ma:isKeyword="false">
      <xsd:complexType>
        <xsd:sequence>
          <xsd:element ref="pc:Terms" minOccurs="0" maxOccurs="1"/>
        </xsd:sequence>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pd01c257034b4e86b1f58279a3bd54c6" ma:index="25" ma:taxonomy="true" ma:internalName="pd01c257034b4e86b1f58279a3bd54c6" ma:taxonomyFieldName="Security_x0020_Classification" ma:displayName="Security Classification" ma:readOnly="false" ma:default="3;#Unclassified|7fa379f4-4aba-4692-ab80-7d39d3a23cf4" ma:fieldId="{9d01c257-034b-4e86-b1f5-8279a3bd54c6}" ma:sspId="3452d580-73c1-4b2b-acb3-3600a17877a9" ma:termSetId="6da6c671-4dae-4188-8808-548c864e9f8b" ma:anchorId="00000000-0000-0000-0000-000000000000" ma:open="false" ma:isKeyword="false">
      <xsd:complexType>
        <xsd:sequence>
          <xsd:element ref="pc:Terms" minOccurs="0" maxOccurs="1"/>
        </xsd:sequence>
      </xsd:complexType>
    </xsd:element>
    <xsd:element name="n771d69a070c4babbf278c67c8a2b859" ma:index="26" ma:taxonomy="true" ma:internalName="n771d69a070c4babbf278c67c8a2b859" ma:taxonomyFieldName="Division" ma:displayName="Division" ma:readOnly="false" ma:default="6;#Biodiversity|a369ff78-9705-4b66-a29c-499bde0c7988" ma:fieldId="{7771d69a-070c-4bab-bf27-8c67c8a2b859}" ma:sspId="3452d580-73c1-4b2b-acb3-3600a17877a9" ma:termSetId="0b563327-3fd1-4e33-bf14-c9e227ef5a35" ma:anchorId="00000000-0000-0000-0000-000000000000" ma:open="false" ma:isKeyword="false">
      <xsd:complexType>
        <xsd:sequence>
          <xsd:element ref="pc:Terms" minOccurs="0" maxOccurs="1"/>
        </xsd:sequence>
      </xsd:complexType>
    </xsd:element>
    <xsd:element name="TaxCatchAllLabel" ma:index="28" nillable="true" ma:displayName="Taxonomy Catch All Column1" ma:hidden="true" ma:list="{f70141db-fff5-4964-a9e7-35f069f9c93e}" ma:internalName="TaxCatchAllLabel" ma:readOnly="true" ma:showField="CatchAllDataLabel" ma:web="a41a3cd0-2045-4063-9820-9ebad6e9cf57">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9" ma:taxonomy="true" ma:internalName="ece32f50ba964e1fbf627a9d83fe6c01" ma:taxonomyFieldName="Agency" ma:displayName="Agency" ma:readOnly="false" ma:default="1;#Department of Environment, Land, Water and Planning|607a3f87-1228-4cd9-82a5-076aa8776274" ma:fieldId="{ece32f50-ba96-4e1f-bf62-7a9d83fe6c01}" ma:sspId="3452d580-73c1-4b2b-acb3-3600a17877a9"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31" ma:taxonomy="true" ma:internalName="ic50d0a05a8e4d9791dac67f8a1e716c" ma:taxonomyFieldName="Group1" ma:displayName="Group" ma:readOnly="false" ma:default="5;#Energy, Environment and Climate Change|94bee464-a01d-4057-aeaf-10b10373b617" ma:fieldId="{2c50d0a0-5a8e-4d97-91da-c67f8a1e716c}" ma:sspId="3452d580-73c1-4b2b-acb3-3600a17877a9" ma:termSetId="4ea60e42-aaf2-4d08-ba07-c252f1e94b4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URL" ma:index="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Language" ma:index="15"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41a3cd0-2045-4063-9820-9ebad6e9cf57" elementFormDefault="qualified">
    <xsd:import namespace="http://schemas.microsoft.com/office/2006/documentManagement/types"/>
    <xsd:import namespace="http://schemas.microsoft.com/office/infopath/2007/PartnerControls"/>
    <xsd:element name="o625803ee3d646698133034a99544ba1" ma:index="34" nillable="true" ma:taxonomy="true" ma:internalName="o625803ee3d646698133034a99544ba1" ma:taxonomyFieldName="KDS_x0020_Projects_x0020_and_x0020_Activities1" ma:displayName="KDS Projects and Activities" ma:default="" ma:fieldId="{8625803e-e3d6-4669-8133-034a99544ba1}" ma:sspId="3452d580-73c1-4b2b-acb3-3600a17877a9" ma:termSetId="85358996-68b3-43f8-9810-7f0412f48d10"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FFB05-44A1-495E-AD54-38D6CACAA518}">
  <ds:schemaRefs>
    <ds:schemaRef ds:uri="http://schemas.microsoft.com/office/2006/metadata/customXsn"/>
  </ds:schemaRefs>
</ds:datastoreItem>
</file>

<file path=customXml/itemProps2.xml><?xml version="1.0" encoding="utf-8"?>
<ds:datastoreItem xmlns:ds="http://schemas.openxmlformats.org/officeDocument/2006/customXml" ds:itemID="{148B1591-CE49-426F-A8EA-918C480C6928}">
  <ds:schemaRefs>
    <ds:schemaRef ds:uri="http://schemas.openxmlformats.org/package/2006/metadata/core-properties"/>
    <ds:schemaRef ds:uri="http://purl.org/dc/dcmitype/"/>
    <ds:schemaRef ds:uri="a5f32de4-e402-4188-b034-e71ca7d22e54"/>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a41a3cd0-2045-4063-9820-9ebad6e9cf57"/>
    <ds:schemaRef ds:uri="http://schemas.microsoft.com/sharepoint/v3"/>
  </ds:schemaRefs>
</ds:datastoreItem>
</file>

<file path=customXml/itemProps3.xml><?xml version="1.0" encoding="utf-8"?>
<ds:datastoreItem xmlns:ds="http://schemas.openxmlformats.org/officeDocument/2006/customXml" ds:itemID="{20237F90-8FAB-4598-9FC0-D20F65F18388}">
  <ds:schemaRefs>
    <ds:schemaRef ds:uri="Microsoft.SharePoint.Taxonomy.ContentTypeSync"/>
  </ds:schemaRefs>
</ds:datastoreItem>
</file>

<file path=customXml/itemProps4.xml><?xml version="1.0" encoding="utf-8"?>
<ds:datastoreItem xmlns:ds="http://schemas.openxmlformats.org/officeDocument/2006/customXml" ds:itemID="{8B953A96-0E1B-4476-B4F6-69E89372CB77}">
  <ds:schemaRefs>
    <ds:schemaRef ds:uri="http://schemas.microsoft.com/sharepoint/v3/contenttype/forms"/>
  </ds:schemaRefs>
</ds:datastoreItem>
</file>

<file path=customXml/itemProps5.xml><?xml version="1.0" encoding="utf-8"?>
<ds:datastoreItem xmlns:ds="http://schemas.openxmlformats.org/officeDocument/2006/customXml" ds:itemID="{F2EA631F-6B5F-40D5-A39F-FBBDAB465DDC}">
  <ds:schemaRefs>
    <ds:schemaRef ds:uri="http://schemas.microsoft.com/sharepoint/events"/>
  </ds:schemaRefs>
</ds:datastoreItem>
</file>

<file path=customXml/itemProps6.xml><?xml version="1.0" encoding="utf-8"?>
<ds:datastoreItem xmlns:ds="http://schemas.openxmlformats.org/officeDocument/2006/customXml" ds:itemID="{77EBC8F0-EC4A-4685-9643-5294F4C5E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a41a3cd0-2045-4063-9820-9ebad6e9c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B07DFC4-2F2C-4DB2-AD73-A9A3525A9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170</TotalTime>
  <Pages>6</Pages>
  <Words>2578</Words>
  <Characters>14697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Strategic Management Prospects overview and approach</vt:lpstr>
    </vt:vector>
  </TitlesOfParts>
  <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Management Prospects overview and approach</dc:title>
  <dc:creator>Christie Boyle</dc:creator>
  <cp:lastModifiedBy>Christie A Boyle (DELWP)</cp:lastModifiedBy>
  <cp:revision>77</cp:revision>
  <cp:lastPrinted>2018-01-31T23:32:00Z</cp:lastPrinted>
  <dcterms:created xsi:type="dcterms:W3CDTF">2017-06-30T03:40:00Z</dcterms:created>
  <dcterms:modified xsi:type="dcterms:W3CDTF">2018-02-07T05:38:00Z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0x0101002517F445A0F35E449C98AAD631F2B038440B00C83ECE0D787FC74B91A9476E3D3E1ADA</vt:lpwstr>
  </property>
  <property fmtid="{D5CDD505-2E9C-101B-9397-08002B2CF9AE}" pid="19" name="_dlc_DocIdItemGuid">
    <vt:lpwstr>4b66c81d-766c-4fce-b84d-c55c58ca4195</vt:lpwstr>
  </property>
  <property fmtid="{D5CDD505-2E9C-101B-9397-08002B2CF9AE}" pid="20" name="Section">
    <vt:lpwstr/>
  </property>
  <property fmtid="{D5CDD505-2E9C-101B-9397-08002B2CF9AE}" pid="21" name="KDS Projects and Activities1">
    <vt:lpwstr>36;#NaturePrint|170e8f7a-2eec-43cd-9e09-d35ac5519f56</vt:lpwstr>
  </property>
  <property fmtid="{D5CDD505-2E9C-101B-9397-08002B2CF9AE}" pid="22" name="Agency">
    <vt:lpwstr>1;#Department of Environment, Land, Water and Planning|607a3f87-1228-4cd9-82a5-076aa8776274</vt:lpwstr>
  </property>
  <property fmtid="{D5CDD505-2E9C-101B-9397-08002B2CF9AE}" pid="23" name="Sub-Section">
    <vt:lpwstr/>
  </property>
  <property fmtid="{D5CDD505-2E9C-101B-9397-08002B2CF9AE}" pid="24" name="Branch">
    <vt:lpwstr>7;#Knowledge and Decision Systems|b4e6fa65-71ac-4707-b13f-b1fda20207e7</vt:lpwstr>
  </property>
  <property fmtid="{D5CDD505-2E9C-101B-9397-08002B2CF9AE}" pid="25" name="Reference Type">
    <vt:lpwstr/>
  </property>
  <property fmtid="{D5CDD505-2E9C-101B-9397-08002B2CF9AE}" pid="26" name="Division">
    <vt:lpwstr>6;#Biodiversity|a369ff78-9705-4b66-a29c-499bde0c7988</vt:lpwstr>
  </property>
  <property fmtid="{D5CDD505-2E9C-101B-9397-08002B2CF9AE}" pid="27" name="Group1">
    <vt:lpwstr>5;#Energy, Environment and Climate Change|94bee464-a01d-4057-aeaf-10b10373b617</vt:lpwstr>
  </property>
  <property fmtid="{D5CDD505-2E9C-101B-9397-08002B2CF9AE}" pid="28" name="Dissemination Limiting Marker">
    <vt:lpwstr>2;#FOUO|955eb6fc-b35a-4808-8aa5-31e514fa3f26</vt:lpwstr>
  </property>
  <property fmtid="{D5CDD505-2E9C-101B-9397-08002B2CF9AE}" pid="29" name="Security Classification">
    <vt:lpwstr>3;#Unclassified|7fa379f4-4aba-4692-ab80-7d39d3a23cf4</vt:lpwstr>
  </property>
  <property fmtid="{D5CDD505-2E9C-101B-9397-08002B2CF9AE}" pid="30" name="ld508a88e6264ce89693af80a72862cb">
    <vt:lpwstr/>
  </property>
</Properties>
</file>