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84AF2EC" w14:textId="77777777" w:rsidTr="003F46E9">
        <w:trPr>
          <w:trHeight w:hRule="exact" w:val="1418"/>
        </w:trPr>
        <w:tc>
          <w:tcPr>
            <w:tcW w:w="7761" w:type="dxa"/>
            <w:vAlign w:val="center"/>
          </w:tcPr>
          <w:p w14:paraId="67F5B5C3" w14:textId="69E12DA4" w:rsidR="009B1003" w:rsidRPr="009B1003" w:rsidRDefault="00642A28" w:rsidP="009B1003">
            <w:pPr>
              <w:pStyle w:val="Title"/>
            </w:pPr>
            <w:r>
              <w:t>Natural Environment Climate Change Adaptation Action Plan 2022-2026</w:t>
            </w:r>
          </w:p>
        </w:tc>
      </w:tr>
      <w:tr w:rsidR="00975ED3" w14:paraId="5C60B2E5" w14:textId="77777777" w:rsidTr="003F46E9">
        <w:trPr>
          <w:trHeight w:val="1247"/>
        </w:trPr>
        <w:tc>
          <w:tcPr>
            <w:tcW w:w="7761" w:type="dxa"/>
            <w:vAlign w:val="center"/>
          </w:tcPr>
          <w:p w14:paraId="4E5635F4" w14:textId="067C8B6D" w:rsidR="009B1003" w:rsidRPr="009B1003" w:rsidRDefault="00642A28" w:rsidP="009B1003">
            <w:pPr>
              <w:pStyle w:val="Subtitle"/>
            </w:pPr>
            <w:r>
              <w:t>Supporting document - Stocktake</w:t>
            </w:r>
          </w:p>
        </w:tc>
      </w:tr>
    </w:tbl>
    <w:p w14:paraId="04BBF28E" w14:textId="0CACB35C" w:rsidR="00806AB6" w:rsidRDefault="00806AB6" w:rsidP="00307C36"/>
    <w:p w14:paraId="3954F2A0"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0AECB114" w14:textId="0E8CF71C" w:rsidR="00254A01" w:rsidRPr="00050253" w:rsidRDefault="00642A28" w:rsidP="00254A01">
      <w:pPr>
        <w:pStyle w:val="IntroFeatureText"/>
      </w:pPr>
      <w:r>
        <w:t>Stocktake</w:t>
      </w:r>
    </w:p>
    <w:p w14:paraId="6F11F599" w14:textId="1C3DBC5B" w:rsidR="00642A28" w:rsidRDefault="00642A28" w:rsidP="00642A28">
      <w:pPr>
        <w:pStyle w:val="BodyText"/>
        <w:rPr>
          <w:rFonts w:ascii="Segoe UI" w:hAnsi="Segoe UI" w:cs="Segoe UI"/>
          <w:sz w:val="18"/>
          <w:szCs w:val="18"/>
        </w:rPr>
      </w:pPr>
      <w:r>
        <w:rPr>
          <w:rStyle w:val="normaltextrun"/>
          <w:rFonts w:ascii="Calibri" w:hAnsi="Calibri" w:cs="Calibri"/>
          <w:sz w:val="22"/>
          <w:szCs w:val="22"/>
        </w:rPr>
        <w:t>The Climate Change Strategy sets our adaptation objectives for the next decade and priorities for the next 5 years</w:t>
      </w:r>
      <w:r w:rsidR="00566D51">
        <w:rPr>
          <w:rStyle w:val="normaltextrun"/>
          <w:rFonts w:ascii="Calibri" w:hAnsi="Calibri" w:cs="Calibri"/>
          <w:sz w:val="22"/>
          <w:szCs w:val="22"/>
        </w:rPr>
        <w:t>. This</w:t>
      </w:r>
      <w:r>
        <w:rPr>
          <w:rStyle w:val="normaltextrun"/>
          <w:rFonts w:ascii="Calibri" w:hAnsi="Calibri" w:cs="Calibri"/>
          <w:sz w:val="22"/>
          <w:szCs w:val="22"/>
        </w:rPr>
        <w:t xml:space="preserve"> consist</w:t>
      </w:r>
      <w:r w:rsidR="00566D51">
        <w:rPr>
          <w:rStyle w:val="normaltextrun"/>
          <w:rFonts w:ascii="Calibri" w:hAnsi="Calibri" w:cs="Calibri"/>
          <w:sz w:val="22"/>
          <w:szCs w:val="22"/>
        </w:rPr>
        <w:t>s</w:t>
      </w:r>
      <w:r>
        <w:rPr>
          <w:rStyle w:val="normaltextrun"/>
          <w:rFonts w:ascii="Calibri" w:hAnsi="Calibri" w:cs="Calibri"/>
          <w:sz w:val="22"/>
          <w:szCs w:val="22"/>
        </w:rPr>
        <w:t xml:space="preserve"> of priority focus areas to:</w:t>
      </w:r>
      <w:r>
        <w:rPr>
          <w:rStyle w:val="eop"/>
          <w:rFonts w:ascii="Calibri" w:hAnsi="Calibri" w:cs="Calibri"/>
          <w:sz w:val="22"/>
          <w:szCs w:val="22"/>
        </w:rPr>
        <w:t> </w:t>
      </w:r>
    </w:p>
    <w:p w14:paraId="1F07F023" w14:textId="77777777" w:rsidR="00642A28" w:rsidRDefault="00642A28" w:rsidP="00642A28">
      <w:pPr>
        <w:pStyle w:val="ListBullet"/>
      </w:pPr>
      <w:r>
        <w:rPr>
          <w:rStyle w:val="normaltextrun"/>
          <w:rFonts w:ascii="Calibri" w:hAnsi="Calibri" w:cs="Calibri"/>
          <w:sz w:val="22"/>
          <w:szCs w:val="22"/>
        </w:rPr>
        <w:t>address current climate change impacts</w:t>
      </w:r>
      <w:r>
        <w:rPr>
          <w:rStyle w:val="eop"/>
          <w:rFonts w:ascii="Calibri" w:hAnsi="Calibri" w:cs="Calibri"/>
          <w:sz w:val="22"/>
          <w:szCs w:val="22"/>
        </w:rPr>
        <w:t> </w:t>
      </w:r>
    </w:p>
    <w:p w14:paraId="0E942471" w14:textId="77777777" w:rsidR="00642A28" w:rsidRDefault="00642A28" w:rsidP="00642A28">
      <w:pPr>
        <w:pStyle w:val="ListBullet"/>
      </w:pPr>
      <w:r>
        <w:rPr>
          <w:rStyle w:val="normaltextrun"/>
          <w:rFonts w:ascii="Calibri" w:hAnsi="Calibri" w:cs="Calibri"/>
          <w:sz w:val="22"/>
          <w:szCs w:val="22"/>
        </w:rPr>
        <w:t>reduce barriers to adaptation</w:t>
      </w:r>
      <w:r>
        <w:rPr>
          <w:rStyle w:val="eop"/>
          <w:rFonts w:ascii="Calibri" w:hAnsi="Calibri" w:cs="Calibri"/>
          <w:sz w:val="22"/>
          <w:szCs w:val="22"/>
        </w:rPr>
        <w:t> </w:t>
      </w:r>
    </w:p>
    <w:p w14:paraId="6446BF97" w14:textId="77777777" w:rsidR="00642A28" w:rsidRDefault="00642A28" w:rsidP="00642A28">
      <w:pPr>
        <w:pStyle w:val="ListBullet"/>
      </w:pPr>
      <w:r>
        <w:rPr>
          <w:rStyle w:val="normaltextrun"/>
          <w:rFonts w:ascii="Calibri" w:hAnsi="Calibri" w:cs="Calibri"/>
          <w:sz w:val="22"/>
          <w:szCs w:val="22"/>
        </w:rPr>
        <w:t>lay the foundations for transformational adaptation </w:t>
      </w:r>
      <w:r>
        <w:rPr>
          <w:rStyle w:val="eop"/>
          <w:rFonts w:ascii="Calibri" w:hAnsi="Calibri" w:cs="Calibri"/>
          <w:sz w:val="22"/>
          <w:szCs w:val="22"/>
        </w:rPr>
        <w:t> </w:t>
      </w:r>
    </w:p>
    <w:p w14:paraId="0930FB12" w14:textId="2DEFDD69" w:rsidR="00642A28" w:rsidRDefault="00642A28" w:rsidP="00642A28">
      <w:pPr>
        <w:pStyle w:val="BodyText"/>
        <w:rPr>
          <w:rFonts w:ascii="Segoe UI" w:hAnsi="Segoe UI" w:cs="Segoe UI"/>
          <w:sz w:val="18"/>
          <w:szCs w:val="18"/>
        </w:rPr>
      </w:pPr>
      <w:r>
        <w:rPr>
          <w:rStyle w:val="normaltextrun"/>
          <w:rFonts w:ascii="Calibri" w:hAnsi="Calibri" w:cs="Calibri"/>
          <w:sz w:val="22"/>
          <w:szCs w:val="22"/>
        </w:rPr>
        <w:t>The </w:t>
      </w:r>
      <w:r>
        <w:rPr>
          <w:rStyle w:val="normaltextrun"/>
          <w:rFonts w:ascii="Calibri" w:hAnsi="Calibri" w:cs="Calibri"/>
          <w:i/>
          <w:iCs/>
          <w:sz w:val="22"/>
          <w:szCs w:val="22"/>
        </w:rPr>
        <w:t>Climate Change Act 2017 </w:t>
      </w:r>
      <w:r>
        <w:rPr>
          <w:rStyle w:val="normaltextrun"/>
          <w:rFonts w:ascii="Calibri" w:hAnsi="Calibri" w:cs="Calibri"/>
          <w:sz w:val="22"/>
          <w:szCs w:val="22"/>
        </w:rPr>
        <w:t xml:space="preserve">requires a gap analysis be undertaken to </w:t>
      </w:r>
      <w:r w:rsidR="00854976">
        <w:rPr>
          <w:rStyle w:val="normaltextrun"/>
          <w:rFonts w:ascii="Calibri" w:hAnsi="Calibri" w:cs="Calibri"/>
          <w:sz w:val="22"/>
          <w:szCs w:val="22"/>
        </w:rPr>
        <w:t>assess</w:t>
      </w:r>
      <w:r>
        <w:rPr>
          <w:rStyle w:val="normaltextrun"/>
          <w:rFonts w:ascii="Calibri" w:hAnsi="Calibri" w:cs="Calibri"/>
          <w:sz w:val="22"/>
          <w:szCs w:val="22"/>
        </w:rPr>
        <w:t> the extent to which existing </w:t>
      </w:r>
      <w:r w:rsidR="00854976">
        <w:rPr>
          <w:rStyle w:val="normaltextrun"/>
          <w:rFonts w:ascii="Calibri" w:hAnsi="Calibri" w:cs="Calibri"/>
          <w:sz w:val="22"/>
          <w:szCs w:val="22"/>
        </w:rPr>
        <w:t xml:space="preserve">Victorian Government </w:t>
      </w:r>
      <w:r>
        <w:rPr>
          <w:rStyle w:val="normaltextrun"/>
          <w:rFonts w:ascii="Calibri" w:hAnsi="Calibri" w:cs="Calibri"/>
          <w:sz w:val="22"/>
          <w:szCs w:val="22"/>
        </w:rPr>
        <w:t>policies address the</w:t>
      </w:r>
      <w:r w:rsidR="00854976">
        <w:rPr>
          <w:rStyle w:val="normaltextrun"/>
          <w:rFonts w:ascii="Calibri" w:hAnsi="Calibri" w:cs="Calibri"/>
          <w:sz w:val="22"/>
          <w:szCs w:val="22"/>
        </w:rPr>
        <w:t xml:space="preserve"> priorities of the</w:t>
      </w:r>
      <w:r>
        <w:rPr>
          <w:rStyle w:val="normaltextrun"/>
          <w:rFonts w:ascii="Calibri" w:hAnsi="Calibri" w:cs="Calibri"/>
          <w:sz w:val="22"/>
          <w:szCs w:val="22"/>
        </w:rPr>
        <w:t> Climate Change Strategy. Th</w:t>
      </w:r>
      <w:r w:rsidR="007E06FA">
        <w:rPr>
          <w:rStyle w:val="normaltextrun"/>
          <w:rFonts w:ascii="Calibri" w:hAnsi="Calibri" w:cs="Calibri"/>
          <w:sz w:val="22"/>
          <w:szCs w:val="22"/>
        </w:rPr>
        <w:t>e</w:t>
      </w:r>
      <w:r>
        <w:rPr>
          <w:rStyle w:val="normaltextrun"/>
          <w:rFonts w:ascii="Calibri" w:hAnsi="Calibri" w:cs="Calibri"/>
          <w:sz w:val="22"/>
          <w:szCs w:val="22"/>
        </w:rPr>
        <w:t xml:space="preserve"> gap analysis </w:t>
      </w:r>
      <w:r w:rsidR="00EB649A">
        <w:rPr>
          <w:rStyle w:val="normaltextrun"/>
          <w:rFonts w:ascii="Calibri" w:hAnsi="Calibri" w:cs="Calibri"/>
          <w:sz w:val="22"/>
          <w:szCs w:val="22"/>
        </w:rPr>
        <w:t>is</w:t>
      </w:r>
      <w:r>
        <w:rPr>
          <w:rStyle w:val="normaltextrun"/>
          <w:rFonts w:ascii="Calibri" w:hAnsi="Calibri" w:cs="Calibri"/>
          <w:sz w:val="22"/>
          <w:szCs w:val="22"/>
        </w:rPr>
        <w:t xml:space="preserve"> in the Natural Environment Climate Change Adaptation Action Plan 2022-2026. This</w:t>
      </w:r>
      <w:r w:rsidR="00AD363C">
        <w:rPr>
          <w:rStyle w:val="normaltextrun"/>
          <w:rFonts w:ascii="Calibri" w:hAnsi="Calibri" w:cs="Calibri"/>
          <w:sz w:val="22"/>
          <w:szCs w:val="22"/>
        </w:rPr>
        <w:t xml:space="preserve"> document is a</w:t>
      </w:r>
      <w:r>
        <w:rPr>
          <w:rStyle w:val="normaltextrun"/>
          <w:rFonts w:ascii="Calibri" w:hAnsi="Calibri" w:cs="Calibri"/>
          <w:sz w:val="22"/>
          <w:szCs w:val="22"/>
        </w:rPr>
        <w:t xml:space="preserve"> stocktake</w:t>
      </w:r>
      <w:r w:rsidR="005F7336">
        <w:rPr>
          <w:rStyle w:val="normaltextrun"/>
          <w:rFonts w:ascii="Calibri" w:hAnsi="Calibri" w:cs="Calibri"/>
          <w:sz w:val="22"/>
          <w:szCs w:val="22"/>
        </w:rPr>
        <w:t xml:space="preserve"> that</w:t>
      </w:r>
      <w:r>
        <w:rPr>
          <w:rStyle w:val="normaltextrun"/>
          <w:rFonts w:ascii="Calibri" w:hAnsi="Calibri" w:cs="Calibri"/>
          <w:sz w:val="22"/>
          <w:szCs w:val="22"/>
        </w:rPr>
        <w:t> outlines existing policies and programs being undertaken across the Victorian natural environment sector (including government and non-government)</w:t>
      </w:r>
      <w:r w:rsidR="00FD48B4">
        <w:rPr>
          <w:rStyle w:val="normaltextrun"/>
          <w:rFonts w:ascii="Calibri" w:hAnsi="Calibri" w:cs="Calibri"/>
          <w:sz w:val="22"/>
          <w:szCs w:val="22"/>
        </w:rPr>
        <w:t>. Th</w:t>
      </w:r>
      <w:r w:rsidR="00C930A6">
        <w:rPr>
          <w:rStyle w:val="normaltextrun"/>
          <w:rFonts w:ascii="Calibri" w:hAnsi="Calibri" w:cs="Calibri"/>
          <w:sz w:val="22"/>
          <w:szCs w:val="22"/>
        </w:rPr>
        <w:t>ese</w:t>
      </w:r>
      <w:r w:rsidR="00FD48B4">
        <w:rPr>
          <w:rStyle w:val="normaltextrun"/>
          <w:rFonts w:ascii="Calibri" w:hAnsi="Calibri" w:cs="Calibri"/>
          <w:sz w:val="22"/>
          <w:szCs w:val="22"/>
        </w:rPr>
        <w:t xml:space="preserve"> </w:t>
      </w:r>
      <w:r w:rsidR="00C930A6">
        <w:rPr>
          <w:rStyle w:val="normaltextrun"/>
          <w:rFonts w:ascii="Calibri" w:hAnsi="Calibri" w:cs="Calibri"/>
          <w:sz w:val="22"/>
          <w:szCs w:val="22"/>
        </w:rPr>
        <w:t>policies and programs</w:t>
      </w:r>
      <w:r w:rsidR="00FD48B4">
        <w:rPr>
          <w:rStyle w:val="normaltextrun"/>
          <w:rFonts w:ascii="Calibri" w:hAnsi="Calibri" w:cs="Calibri"/>
          <w:sz w:val="22"/>
          <w:szCs w:val="22"/>
        </w:rPr>
        <w:t xml:space="preserve"> informed </w:t>
      </w:r>
      <w:r>
        <w:rPr>
          <w:rStyle w:val="normaltextrun"/>
          <w:rFonts w:ascii="Calibri" w:hAnsi="Calibri" w:cs="Calibri"/>
          <w:sz w:val="22"/>
          <w:szCs w:val="22"/>
        </w:rPr>
        <w:t>the gap analysis.</w:t>
      </w:r>
      <w:r>
        <w:rPr>
          <w:rStyle w:val="eop"/>
          <w:rFonts w:ascii="Calibri" w:hAnsi="Calibri" w:cs="Calibri"/>
          <w:sz w:val="22"/>
          <w:szCs w:val="22"/>
        </w:rPr>
        <w:t> </w:t>
      </w:r>
    </w:p>
    <w:p w14:paraId="371C94A4" w14:textId="13658DA6" w:rsidR="00642A28" w:rsidRDefault="00642A28" w:rsidP="00642A28">
      <w:pPr>
        <w:pStyle w:val="BodyText"/>
        <w:rPr>
          <w:rStyle w:val="eop"/>
          <w:rFonts w:ascii="Calibri" w:hAnsi="Calibri" w:cs="Calibri"/>
          <w:sz w:val="22"/>
          <w:szCs w:val="22"/>
        </w:rPr>
      </w:pPr>
      <w:r>
        <w:rPr>
          <w:rStyle w:val="normaltextrun"/>
          <w:rFonts w:ascii="Calibri" w:hAnsi="Calibri" w:cs="Calibri"/>
          <w:sz w:val="22"/>
          <w:szCs w:val="22"/>
        </w:rPr>
        <w:t>This stocktake has two parts:</w:t>
      </w:r>
      <w:r>
        <w:rPr>
          <w:rStyle w:val="eop"/>
          <w:rFonts w:ascii="Calibri" w:hAnsi="Calibri" w:cs="Calibri"/>
          <w:sz w:val="22"/>
          <w:szCs w:val="22"/>
        </w:rPr>
        <w:t> </w:t>
      </w:r>
    </w:p>
    <w:p w14:paraId="306B3CB9" w14:textId="77777777" w:rsidR="00642A28" w:rsidRDefault="00642A28" w:rsidP="00642A28">
      <w:pPr>
        <w:pStyle w:val="ListBullet"/>
      </w:pPr>
      <w:r w:rsidRPr="00642A28">
        <w:rPr>
          <w:rStyle w:val="normaltextrun"/>
          <w:rFonts w:ascii="Calibri" w:hAnsi="Calibri" w:cs="Calibri"/>
          <w:b/>
          <w:bCs/>
          <w:sz w:val="22"/>
          <w:szCs w:val="22"/>
          <w:u w:val="single"/>
        </w:rPr>
        <w:t>Part A:</w:t>
      </w:r>
      <w:r>
        <w:rPr>
          <w:rStyle w:val="normaltextrun"/>
          <w:rFonts w:ascii="Calibri" w:hAnsi="Calibri" w:cs="Calibri"/>
          <w:sz w:val="22"/>
          <w:szCs w:val="22"/>
        </w:rPr>
        <w:t> is an overview of relevant policies and strategies that support adaptation in the natural environment </w:t>
      </w:r>
      <w:r>
        <w:rPr>
          <w:rStyle w:val="eop"/>
          <w:rFonts w:ascii="Calibri" w:hAnsi="Calibri" w:cs="Calibri"/>
          <w:sz w:val="22"/>
          <w:szCs w:val="22"/>
        </w:rPr>
        <w:t> </w:t>
      </w:r>
    </w:p>
    <w:p w14:paraId="1D05486C" w14:textId="77777777" w:rsidR="00642A28" w:rsidRDefault="00642A28" w:rsidP="00642A28">
      <w:pPr>
        <w:pStyle w:val="ListBullet"/>
      </w:pPr>
      <w:r w:rsidRPr="00642A28">
        <w:rPr>
          <w:rStyle w:val="normaltextrun"/>
          <w:rFonts w:ascii="Calibri" w:hAnsi="Calibri" w:cs="Calibri"/>
          <w:b/>
          <w:bCs/>
          <w:sz w:val="22"/>
          <w:szCs w:val="22"/>
          <w:u w:val="single"/>
        </w:rPr>
        <w:t>Part B:</w:t>
      </w:r>
      <w:r>
        <w:rPr>
          <w:rStyle w:val="normaltextrun"/>
          <w:rFonts w:ascii="Calibri" w:hAnsi="Calibri" w:cs="Calibri"/>
          <w:i/>
          <w:iCs/>
          <w:sz w:val="22"/>
          <w:szCs w:val="22"/>
        </w:rPr>
        <w:t> </w:t>
      </w:r>
      <w:r>
        <w:rPr>
          <w:rStyle w:val="normaltextrun"/>
          <w:rFonts w:ascii="Calibri" w:hAnsi="Calibri" w:cs="Calibri"/>
          <w:sz w:val="22"/>
          <w:szCs w:val="22"/>
        </w:rPr>
        <w:t>is</w:t>
      </w:r>
      <w:r>
        <w:rPr>
          <w:rStyle w:val="normaltextrun"/>
          <w:rFonts w:ascii="Calibri" w:hAnsi="Calibri" w:cs="Calibri"/>
          <w:i/>
          <w:iCs/>
          <w:sz w:val="22"/>
          <w:szCs w:val="22"/>
        </w:rPr>
        <w:t> </w:t>
      </w:r>
      <w:r>
        <w:rPr>
          <w:rStyle w:val="normaltextrun"/>
          <w:rFonts w:ascii="Calibri" w:hAnsi="Calibri" w:cs="Calibri"/>
          <w:sz w:val="22"/>
          <w:szCs w:val="22"/>
        </w:rPr>
        <w:t>a summary of key projects and programs that relate directly to climate change adaptation that have been, and are being, undertaken.</w:t>
      </w:r>
      <w:r>
        <w:rPr>
          <w:rStyle w:val="eop"/>
          <w:rFonts w:ascii="Calibri" w:hAnsi="Calibri" w:cs="Calibri"/>
          <w:sz w:val="22"/>
          <w:szCs w:val="22"/>
        </w:rPr>
        <w:t> </w:t>
      </w:r>
    </w:p>
    <w:p w14:paraId="218C9951" w14:textId="77777777" w:rsidR="00642A28" w:rsidRPr="00642A28" w:rsidRDefault="00642A28" w:rsidP="00642A28">
      <w:pPr>
        <w:pStyle w:val="Heading2"/>
        <w:rPr>
          <w:rFonts w:ascii="Segoe UI" w:hAnsi="Segoe UI" w:cs="Segoe UI"/>
          <w:sz w:val="18"/>
          <w:szCs w:val="18"/>
        </w:rPr>
      </w:pPr>
      <w:r w:rsidRPr="00642A28">
        <w:t>Part A: Policies and Strategies </w:t>
      </w:r>
    </w:p>
    <w:p w14:paraId="29E2854E" w14:textId="08AC0461" w:rsidR="00642A28" w:rsidRPr="00BE4183" w:rsidRDefault="00642A28" w:rsidP="00642A28">
      <w:pPr>
        <w:pStyle w:val="BodyText"/>
        <w:rPr>
          <w:rStyle w:val="normaltextrun"/>
          <w:rFonts w:ascii="Calibri" w:hAnsi="Calibri" w:cs="Calibri"/>
          <w:sz w:val="22"/>
          <w:szCs w:val="22"/>
        </w:rPr>
      </w:pPr>
      <w:r w:rsidRPr="00BE4183">
        <w:rPr>
          <w:rStyle w:val="normaltextrun"/>
          <w:rFonts w:ascii="Calibri" w:hAnsi="Calibri" w:cs="Calibri"/>
          <w:sz w:val="22"/>
          <w:szCs w:val="22"/>
        </w:rPr>
        <w:t>Polic</w:t>
      </w:r>
      <w:r w:rsidR="000212F9">
        <w:rPr>
          <w:rStyle w:val="normaltextrun"/>
          <w:rFonts w:ascii="Calibri" w:hAnsi="Calibri" w:cs="Calibri"/>
          <w:sz w:val="22"/>
          <w:szCs w:val="22"/>
        </w:rPr>
        <w:t>ies</w:t>
      </w:r>
      <w:r w:rsidRPr="00BE4183">
        <w:rPr>
          <w:rStyle w:val="normaltextrun"/>
          <w:rFonts w:ascii="Calibri" w:hAnsi="Calibri" w:cs="Calibri"/>
          <w:sz w:val="22"/>
          <w:szCs w:val="22"/>
        </w:rPr>
        <w:t xml:space="preserve"> and strategies can help </w:t>
      </w:r>
      <w:r w:rsidR="000212F9">
        <w:rPr>
          <w:rStyle w:val="normaltextrun"/>
          <w:rFonts w:ascii="Calibri" w:hAnsi="Calibri" w:cs="Calibri"/>
          <w:sz w:val="22"/>
          <w:szCs w:val="22"/>
        </w:rPr>
        <w:t>to</w:t>
      </w:r>
      <w:r w:rsidRPr="00BE4183">
        <w:rPr>
          <w:rStyle w:val="normaltextrun"/>
          <w:rFonts w:ascii="Calibri" w:hAnsi="Calibri" w:cs="Calibri"/>
          <w:sz w:val="22"/>
          <w:szCs w:val="22"/>
        </w:rPr>
        <w:t xml:space="preserve"> identify and address climate impacts at different scales</w:t>
      </w:r>
      <w:r w:rsidR="002D4152">
        <w:rPr>
          <w:rStyle w:val="normaltextrun"/>
          <w:rFonts w:ascii="Calibri" w:hAnsi="Calibri" w:cs="Calibri"/>
          <w:sz w:val="22"/>
          <w:szCs w:val="22"/>
        </w:rPr>
        <w:t>. They can</w:t>
      </w:r>
      <w:r w:rsidRPr="00BE4183">
        <w:rPr>
          <w:rStyle w:val="normaltextrun"/>
          <w:rFonts w:ascii="Calibri" w:hAnsi="Calibri" w:cs="Calibri"/>
          <w:sz w:val="22"/>
          <w:szCs w:val="22"/>
        </w:rPr>
        <w:t xml:space="preserve"> lay the foundation for transformational change and reducing barriers to adaptation.  </w:t>
      </w:r>
    </w:p>
    <w:p w14:paraId="550C97BD" w14:textId="507C397A" w:rsidR="00EA2D03" w:rsidRPr="00BE4183" w:rsidRDefault="00642A28" w:rsidP="00642A28">
      <w:pPr>
        <w:pStyle w:val="BodyText"/>
        <w:rPr>
          <w:rStyle w:val="normaltextrun"/>
          <w:rFonts w:ascii="Calibri" w:hAnsi="Calibri" w:cs="Calibri"/>
          <w:sz w:val="22"/>
          <w:szCs w:val="22"/>
        </w:rPr>
      </w:pPr>
      <w:r w:rsidRPr="00BE4183">
        <w:rPr>
          <w:rStyle w:val="normaltextrun"/>
          <w:rFonts w:ascii="Calibri" w:hAnsi="Calibri" w:cs="Calibri"/>
          <w:sz w:val="22"/>
          <w:szCs w:val="22"/>
        </w:rPr>
        <w:t>The following table highlights some of the policy and strategy work that supports adaptation in the natural environment sector. </w:t>
      </w:r>
    </w:p>
    <w:p w14:paraId="39F7E55C" w14:textId="13CC5D5B" w:rsidR="00642A28" w:rsidRPr="00EA2D03" w:rsidRDefault="00642A28" w:rsidP="00EA2D03">
      <w:pPr>
        <w:pStyle w:val="CaptionImageorFigure"/>
        <w:rPr>
          <w:sz w:val="18"/>
          <w:szCs w:val="22"/>
        </w:rPr>
      </w:pPr>
      <w:r w:rsidRPr="00EA2D03">
        <w:rPr>
          <w:rStyle w:val="normaltextrun"/>
          <w:sz w:val="18"/>
          <w:szCs w:val="22"/>
        </w:rPr>
        <w:t>Table 1: Policy and strategy work that supports climate change adaptation in the natural environment sector</w:t>
      </w:r>
      <w:r w:rsidRPr="00EA2D03">
        <w:rPr>
          <w:rStyle w:val="eop"/>
          <w:sz w:val="18"/>
          <w:szCs w:val="22"/>
        </w:rPr>
        <w:t> </w:t>
      </w:r>
    </w:p>
    <w:tbl>
      <w:tblPr>
        <w:tblStyle w:val="TableGrid"/>
        <w:tblW w:w="4792" w:type="pct"/>
        <w:tblLook w:val="00A0" w:firstRow="1" w:lastRow="0" w:firstColumn="1" w:lastColumn="0" w:noHBand="0" w:noVBand="0"/>
      </w:tblPr>
      <w:tblGrid>
        <w:gridCol w:w="2834"/>
        <w:gridCol w:w="6946"/>
      </w:tblGrid>
      <w:tr w:rsidR="00EA2D03" w:rsidRPr="00050253" w14:paraId="5593A9DA" w14:textId="77777777" w:rsidTr="17F89C3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49" w:type="pct"/>
          </w:tcPr>
          <w:p w14:paraId="5164F0F5" w14:textId="43A9C0C9" w:rsidR="00EA2D03" w:rsidRPr="00050253" w:rsidRDefault="00EA2D03" w:rsidP="005C0E84">
            <w:pPr>
              <w:pStyle w:val="TableTextLeftBold"/>
            </w:pPr>
            <w:r>
              <w:t>Policy/Strategy</w:t>
            </w:r>
          </w:p>
        </w:tc>
        <w:tc>
          <w:tcPr>
            <w:cnfStyle w:val="000010000000" w:firstRow="0" w:lastRow="0" w:firstColumn="0" w:lastColumn="0" w:oddVBand="1" w:evenVBand="0" w:oddHBand="0" w:evenHBand="0" w:firstRowFirstColumn="0" w:firstRowLastColumn="0" w:lastRowFirstColumn="0" w:lastRowLastColumn="0"/>
            <w:tcW w:w="3551" w:type="pct"/>
          </w:tcPr>
          <w:p w14:paraId="5335E4B4" w14:textId="2CBBAE55" w:rsidR="00EA2D03" w:rsidRPr="00050253" w:rsidRDefault="00EA2D03" w:rsidP="005C0E84">
            <w:pPr>
              <w:pStyle w:val="TableTextLeftBold"/>
            </w:pPr>
            <w:r>
              <w:t>Description</w:t>
            </w:r>
          </w:p>
        </w:tc>
      </w:tr>
      <w:tr w:rsidR="00EA2D03" w:rsidRPr="00050253" w14:paraId="5B0604C8" w14:textId="77777777" w:rsidTr="17F89C35">
        <w:tc>
          <w:tcPr>
            <w:tcW w:w="1449" w:type="pct"/>
          </w:tcPr>
          <w:p w14:paraId="1CE7EF95" w14:textId="6806BD26" w:rsidR="00EA2D03" w:rsidRPr="005C0E84" w:rsidRDefault="00EA2D03" w:rsidP="005C0E84">
            <w:pPr>
              <w:pStyle w:val="TableTextLeft"/>
            </w:pPr>
            <w:r w:rsidRPr="005C0E84">
              <w:rPr>
                <w:rStyle w:val="normaltextrun"/>
              </w:rPr>
              <w:t>Victoria’s Climate Change Adaptation Plan 2017-2020</w:t>
            </w:r>
            <w:r w:rsidRPr="005C0E84">
              <w:rPr>
                <w:rStyle w:val="eop"/>
              </w:rPr>
              <w:t> </w:t>
            </w:r>
          </w:p>
        </w:tc>
        <w:tc>
          <w:tcPr>
            <w:cnfStyle w:val="000010000000" w:firstRow="0" w:lastRow="0" w:firstColumn="0" w:lastColumn="0" w:oddVBand="1" w:evenVBand="0" w:oddHBand="0" w:evenHBand="0" w:firstRowFirstColumn="0" w:firstRowLastColumn="0" w:lastRowFirstColumn="0" w:lastRowLastColumn="0"/>
            <w:tcW w:w="3551" w:type="pct"/>
          </w:tcPr>
          <w:p w14:paraId="69C58ED9" w14:textId="0D41B406" w:rsidR="00EA2D03" w:rsidRPr="005C0E84" w:rsidRDefault="003B5B11" w:rsidP="00C7581B">
            <w:pPr>
              <w:pStyle w:val="TableTextLeft"/>
            </w:pPr>
            <w:r w:rsidRPr="17F89C35">
              <w:rPr>
                <w:rStyle w:val="normaltextrun"/>
              </w:rPr>
              <w:t>Victoria’s Climate Change Adaptation Plan 2017-2020</w:t>
            </w:r>
            <w:r w:rsidRPr="17F89C35">
              <w:rPr>
                <w:rStyle w:val="eop"/>
              </w:rPr>
              <w:t> </w:t>
            </w:r>
            <w:r w:rsidR="00EA2D03">
              <w:t>was developed to</w:t>
            </w:r>
            <w:r w:rsidR="00C7581B">
              <w:t xml:space="preserve"> </w:t>
            </w:r>
            <w:r w:rsidR="00EA2D03">
              <w:t>consider climate change risks</w:t>
            </w:r>
            <w:r w:rsidR="602AA63F">
              <w:t>,</w:t>
            </w:r>
            <w:r w:rsidR="00C7581B">
              <w:t xml:space="preserve"> </w:t>
            </w:r>
            <w:r w:rsidR="00EA2D03">
              <w:t>help the community understand and manage the risks of climate change and to encourage adaptation action across all policy and sectors</w:t>
            </w:r>
            <w:r w:rsidR="05745EDC">
              <w:t>.</w:t>
            </w:r>
            <w:r w:rsidR="00EA2D03">
              <w:t> This plan has been superseded by the seven system-based adaptation action plans. </w:t>
            </w:r>
          </w:p>
        </w:tc>
      </w:tr>
      <w:tr w:rsidR="00EA2D03" w:rsidRPr="00050253" w14:paraId="72372373" w14:textId="77777777" w:rsidTr="17F89C35">
        <w:tc>
          <w:tcPr>
            <w:tcW w:w="1449" w:type="pct"/>
          </w:tcPr>
          <w:p w14:paraId="10F2405B" w14:textId="054AE1F9" w:rsidR="00EA2D03" w:rsidRPr="005C0E84" w:rsidRDefault="00EA2D03" w:rsidP="005C0E84">
            <w:pPr>
              <w:pStyle w:val="TableTextLeft"/>
            </w:pPr>
            <w:r w:rsidRPr="005C0E84">
              <w:t>Regional Adaptation Strategies 2020-2025 </w:t>
            </w:r>
          </w:p>
        </w:tc>
        <w:tc>
          <w:tcPr>
            <w:cnfStyle w:val="000010000000" w:firstRow="0" w:lastRow="0" w:firstColumn="0" w:lastColumn="0" w:oddVBand="1" w:evenVBand="0" w:oddHBand="0" w:evenHBand="0" w:firstRowFirstColumn="0" w:firstRowLastColumn="0" w:lastRowFirstColumn="0" w:lastRowLastColumn="0"/>
            <w:tcW w:w="3551" w:type="pct"/>
          </w:tcPr>
          <w:p w14:paraId="434CBE8E" w14:textId="316FE210" w:rsidR="00EA2D03" w:rsidRPr="005C0E84" w:rsidRDefault="003B5B11" w:rsidP="005C0E84">
            <w:pPr>
              <w:pStyle w:val="TableTextLeft"/>
            </w:pPr>
            <w:r>
              <w:t>Regional Adaptation</w:t>
            </w:r>
            <w:r w:rsidR="00EA2D03" w:rsidRPr="005C0E84">
              <w:t xml:space="preserve"> </w:t>
            </w:r>
            <w:r>
              <w:t>S</w:t>
            </w:r>
            <w:r w:rsidR="00EA2D03" w:rsidRPr="005C0E84">
              <w:t>trategies have been prepared for six regions across Victoria. They are five-year practical strategies developed by the community to address the unique challenges and opportunities that climate change brings to Victoria’s regions and guide locally relevant practical action.</w:t>
            </w:r>
          </w:p>
        </w:tc>
      </w:tr>
      <w:tr w:rsidR="00EA2D03" w:rsidRPr="00050253" w14:paraId="7B522D04" w14:textId="77777777" w:rsidTr="17F89C35">
        <w:tc>
          <w:tcPr>
            <w:tcW w:w="1449" w:type="pct"/>
          </w:tcPr>
          <w:p w14:paraId="4857F920" w14:textId="0161A676" w:rsidR="00EA2D03" w:rsidRPr="005C0E84" w:rsidRDefault="00EA2D03" w:rsidP="005C0E84">
            <w:pPr>
              <w:pStyle w:val="TableTextLeft"/>
            </w:pPr>
            <w:r w:rsidRPr="005C0E84">
              <w:t>Protecting Victoria’s Environment – Biodiversity 2037 (&amp; associated projects)  </w:t>
            </w:r>
          </w:p>
        </w:tc>
        <w:tc>
          <w:tcPr>
            <w:cnfStyle w:val="000010000000" w:firstRow="0" w:lastRow="0" w:firstColumn="0" w:lastColumn="0" w:oddVBand="1" w:evenVBand="0" w:oddHBand="0" w:evenHBand="0" w:firstRowFirstColumn="0" w:firstRowLastColumn="0" w:lastRowFirstColumn="0" w:lastRowLastColumn="0"/>
            <w:tcW w:w="3551" w:type="pct"/>
          </w:tcPr>
          <w:p w14:paraId="141B6DDB" w14:textId="591D99D1" w:rsidR="00EA2D03" w:rsidRPr="005C0E84" w:rsidRDefault="00EA2D03" w:rsidP="005C0E84">
            <w:pPr>
              <w:pStyle w:val="TableTextLeft"/>
            </w:pPr>
            <w:r w:rsidRPr="005C0E84">
              <w:t>Protecting Victoria’s Environment – Biodiversity 2037 is the Victorian government's 20-year plan to stop the decline of Victoria’s biodiversity and ensure that our natural environment is healthy, valued and actively cared for. A</w:t>
            </w:r>
            <w:r w:rsidR="00711BC2">
              <w:t xml:space="preserve">n </w:t>
            </w:r>
            <w:r w:rsidRPr="005C0E84">
              <w:t xml:space="preserve">evaluation </w:t>
            </w:r>
            <w:r w:rsidR="00711BC2">
              <w:t>of</w:t>
            </w:r>
            <w:r w:rsidRPr="005C0E84">
              <w:t xml:space="preserve"> this plan</w:t>
            </w:r>
            <w:r w:rsidR="00711BC2">
              <w:t xml:space="preserve">’s </w:t>
            </w:r>
            <w:r w:rsidR="00D44CDA">
              <w:t>implementation</w:t>
            </w:r>
            <w:r w:rsidRPr="005C0E84">
              <w:t xml:space="preserve"> is due to be completed in 2022. </w:t>
            </w:r>
          </w:p>
        </w:tc>
      </w:tr>
      <w:tr w:rsidR="00EA2D03" w:rsidRPr="00050253" w14:paraId="4585A47A" w14:textId="77777777" w:rsidTr="17F89C35">
        <w:tc>
          <w:tcPr>
            <w:tcW w:w="1449" w:type="pct"/>
          </w:tcPr>
          <w:p w14:paraId="488B2A54" w14:textId="62AE1867" w:rsidR="00EA2D03" w:rsidRPr="005C0E84" w:rsidRDefault="00EA2D03" w:rsidP="005C0E84">
            <w:pPr>
              <w:pStyle w:val="TableTextLeft"/>
            </w:pPr>
            <w:r w:rsidRPr="005C0E84">
              <w:lastRenderedPageBreak/>
              <w:t>Regional Forest Agreements 2020-2030  </w:t>
            </w:r>
          </w:p>
        </w:tc>
        <w:tc>
          <w:tcPr>
            <w:cnfStyle w:val="000010000000" w:firstRow="0" w:lastRow="0" w:firstColumn="0" w:lastColumn="0" w:oddVBand="1" w:evenVBand="0" w:oddHBand="0" w:evenHBand="0" w:firstRowFirstColumn="0" w:firstRowLastColumn="0" w:lastRowFirstColumn="0" w:lastRowLastColumn="0"/>
            <w:tcW w:w="3551" w:type="pct"/>
          </w:tcPr>
          <w:p w14:paraId="1DE3C191" w14:textId="0462A65C" w:rsidR="00EA2D03" w:rsidRPr="005C0E84" w:rsidRDefault="00EA2D03" w:rsidP="005C0E84">
            <w:pPr>
              <w:pStyle w:val="TableTextLeft"/>
            </w:pPr>
            <w:r w:rsidRPr="005C0E84">
              <w:t xml:space="preserve">The Regional Forest Agreements support </w:t>
            </w:r>
            <w:r w:rsidR="004940CB">
              <w:t xml:space="preserve">the </w:t>
            </w:r>
            <w:r w:rsidRPr="005C0E84">
              <w:t>consideration of biodiversity needs in forest management planning</w:t>
            </w:r>
            <w:r w:rsidR="009539E0">
              <w:t>,</w:t>
            </w:r>
            <w:r w:rsidRPr="005C0E84">
              <w:t xml:space="preserve"> including consideration of climate sensitivities for forest-dependent threatened species. </w:t>
            </w:r>
          </w:p>
        </w:tc>
      </w:tr>
      <w:tr w:rsidR="00EA2D03" w:rsidRPr="00050253" w14:paraId="234C7AEB" w14:textId="77777777" w:rsidTr="17F89C35">
        <w:tc>
          <w:tcPr>
            <w:tcW w:w="1449" w:type="pct"/>
          </w:tcPr>
          <w:p w14:paraId="6031CA50" w14:textId="5EF07E6C" w:rsidR="00EA2D03" w:rsidRPr="005C0E84" w:rsidRDefault="00EA2D03" w:rsidP="005C0E84">
            <w:pPr>
              <w:pStyle w:val="TableTextLeft"/>
            </w:pPr>
            <w:r w:rsidRPr="005C0E84">
              <w:t>Nature Conservation Strategy for Victoria's Parks 2021-2031 </w:t>
            </w:r>
          </w:p>
        </w:tc>
        <w:tc>
          <w:tcPr>
            <w:cnfStyle w:val="000010000000" w:firstRow="0" w:lastRow="0" w:firstColumn="0" w:lastColumn="0" w:oddVBand="1" w:evenVBand="0" w:oddHBand="0" w:evenHBand="0" w:firstRowFirstColumn="0" w:firstRowLastColumn="0" w:lastRowFirstColumn="0" w:lastRowLastColumn="0"/>
            <w:tcW w:w="3551" w:type="pct"/>
          </w:tcPr>
          <w:p w14:paraId="712B403E" w14:textId="13CC36C8" w:rsidR="00EA2D03" w:rsidRPr="005C0E84" w:rsidRDefault="003B5B11" w:rsidP="005C0E84">
            <w:pPr>
              <w:pStyle w:val="TableTextLeft"/>
            </w:pPr>
            <w:r>
              <w:t>The Nature Conservation Strategy for Victoria's Parks 2021-2031</w:t>
            </w:r>
            <w:r w:rsidR="00EA2D03">
              <w:t xml:space="preserve"> outline</w:t>
            </w:r>
            <w:r w:rsidR="0E142919">
              <w:t>s</w:t>
            </w:r>
            <w:r w:rsidR="00EA2D03">
              <w:t xml:space="preserve"> an approach to conserving and protecting nature on Victoria's parks estate for 2021-2031. </w:t>
            </w:r>
          </w:p>
        </w:tc>
      </w:tr>
      <w:tr w:rsidR="00EA2D03" w:rsidRPr="00050253" w14:paraId="6241C527" w14:textId="77777777" w:rsidTr="17F89C35">
        <w:tc>
          <w:tcPr>
            <w:tcW w:w="1449" w:type="pct"/>
          </w:tcPr>
          <w:p w14:paraId="2D6BF0FB" w14:textId="4B6F8660" w:rsidR="00EA2D03" w:rsidRPr="005C0E84" w:rsidRDefault="00EA2D03" w:rsidP="005C0E84">
            <w:pPr>
              <w:pStyle w:val="TableTextLeft"/>
            </w:pPr>
            <w:r w:rsidRPr="005C0E84">
              <w:t>Catchment Management Authorities Climate Change Adaptation Plans </w:t>
            </w:r>
          </w:p>
        </w:tc>
        <w:tc>
          <w:tcPr>
            <w:cnfStyle w:val="000010000000" w:firstRow="0" w:lastRow="0" w:firstColumn="0" w:lastColumn="0" w:oddVBand="1" w:evenVBand="0" w:oddHBand="0" w:evenHBand="0" w:firstRowFirstColumn="0" w:firstRowLastColumn="0" w:lastRowFirstColumn="0" w:lastRowLastColumn="0"/>
            <w:tcW w:w="3551" w:type="pct"/>
          </w:tcPr>
          <w:p w14:paraId="21089B7D" w14:textId="4B5EC726" w:rsidR="00EA2D03" w:rsidRPr="005C0E84" w:rsidRDefault="00EA2D03" w:rsidP="005C0E84">
            <w:pPr>
              <w:pStyle w:val="TableTextLeft"/>
            </w:pPr>
            <w:r w:rsidRPr="005C0E84">
              <w:t>Each of Victoria’s ten Catchment Management Authorities has developed their own Climate Change Adaptation Plan which includes priority areas for carbon sequestration and planting. These have been developed in collaboration with community and a range of stakeholders. </w:t>
            </w:r>
          </w:p>
        </w:tc>
      </w:tr>
      <w:tr w:rsidR="00EA2D03" w:rsidRPr="00050253" w14:paraId="780A6C50" w14:textId="77777777" w:rsidTr="17F89C35">
        <w:tc>
          <w:tcPr>
            <w:tcW w:w="1449" w:type="pct"/>
          </w:tcPr>
          <w:p w14:paraId="0042F42B" w14:textId="6834A52E" w:rsidR="00EA2D03" w:rsidRPr="005C0E84" w:rsidRDefault="00EA2D03" w:rsidP="005C0E84">
            <w:pPr>
              <w:pStyle w:val="TableTextLeft"/>
            </w:pPr>
            <w:r w:rsidRPr="005C0E84">
              <w:t>Marine and Coastal Policy 2020 </w:t>
            </w:r>
          </w:p>
        </w:tc>
        <w:tc>
          <w:tcPr>
            <w:cnfStyle w:val="000010000000" w:firstRow="0" w:lastRow="0" w:firstColumn="0" w:lastColumn="0" w:oddVBand="1" w:evenVBand="0" w:oddHBand="0" w:evenHBand="0" w:firstRowFirstColumn="0" w:firstRowLastColumn="0" w:lastRowFirstColumn="0" w:lastRowLastColumn="0"/>
            <w:tcW w:w="3551" w:type="pct"/>
          </w:tcPr>
          <w:p w14:paraId="239DCE92" w14:textId="366ED0BE" w:rsidR="00EA2D03" w:rsidRPr="005C0E84" w:rsidRDefault="008B25EC" w:rsidP="005C0E84">
            <w:pPr>
              <w:pStyle w:val="TableTextLeft"/>
            </w:pPr>
            <w:r w:rsidRPr="005C0E84">
              <w:t xml:space="preserve">The Marine and Coastal Policy 2020 </w:t>
            </w:r>
            <w:r>
              <w:t>s</w:t>
            </w:r>
            <w:r w:rsidR="00EA2D03" w:rsidRPr="005C0E84">
              <w:t>ets a 15-year vision for, “</w:t>
            </w:r>
            <w:r w:rsidR="003B5B11">
              <w:t>a</w:t>
            </w:r>
            <w:r w:rsidR="00EA2D03" w:rsidRPr="005C0E84">
              <w:t xml:space="preserve"> healthy, dynamic and biodiverse marine and coastal environment that is valued in its own right, and that benefits the Victorian community, now and in the future”</w:t>
            </w:r>
            <w:r w:rsidR="00EB19F1">
              <w:t>.</w:t>
            </w:r>
            <w:r w:rsidR="00EA2D03" w:rsidRPr="005C0E84">
              <w:t xml:space="preserve"> </w:t>
            </w:r>
            <w:r w:rsidR="00EB19F1">
              <w:t>It</w:t>
            </w:r>
            <w:r w:rsidR="00EA2D03" w:rsidRPr="005C0E84">
              <w:t xml:space="preserve"> provides strategic direction and specific considerations for planning, management and decision making in the marine and coastal environment. The </w:t>
            </w:r>
            <w:r w:rsidR="003B5B11" w:rsidRPr="005C0E84">
              <w:t>Marine and Coastal Policy 2020</w:t>
            </w:r>
            <w:r w:rsidR="00EA2D03" w:rsidRPr="005C0E84">
              <w:t xml:space="preserve"> includes a </w:t>
            </w:r>
            <w:r w:rsidR="00EB19F1">
              <w:t>M</w:t>
            </w:r>
            <w:r w:rsidR="00EA2D03" w:rsidRPr="005C0E84">
              <w:t xml:space="preserve">arine </w:t>
            </w:r>
            <w:r w:rsidR="00EB19F1">
              <w:t>S</w:t>
            </w:r>
            <w:r w:rsidR="00EA2D03" w:rsidRPr="005C0E84">
              <w:t xml:space="preserve">patial </w:t>
            </w:r>
            <w:r w:rsidR="00EB19F1">
              <w:t>P</w:t>
            </w:r>
            <w:r w:rsidR="00EA2D03" w:rsidRPr="005C0E84">
              <w:t xml:space="preserve">lanning </w:t>
            </w:r>
            <w:r w:rsidR="00EB19F1">
              <w:t>F</w:t>
            </w:r>
            <w:r w:rsidR="00EA2D03" w:rsidRPr="005C0E84">
              <w:t>ramework.  </w:t>
            </w:r>
          </w:p>
        </w:tc>
      </w:tr>
      <w:tr w:rsidR="00EA2D03" w:rsidRPr="00050253" w14:paraId="53A280C1" w14:textId="77777777" w:rsidTr="17F89C35">
        <w:tc>
          <w:tcPr>
            <w:tcW w:w="1449" w:type="pct"/>
          </w:tcPr>
          <w:p w14:paraId="1A7F79D6" w14:textId="7BFF4453" w:rsidR="00EA2D03" w:rsidRPr="005C0E84" w:rsidRDefault="00EA2D03" w:rsidP="005C0E84">
            <w:pPr>
              <w:pStyle w:val="TableTextLeft"/>
            </w:pPr>
            <w:r w:rsidRPr="005C0E84">
              <w:t>Marine Spatial Planning Framework (part of the Marine and Coastal Policy 2020) </w:t>
            </w:r>
          </w:p>
        </w:tc>
        <w:tc>
          <w:tcPr>
            <w:cnfStyle w:val="000010000000" w:firstRow="0" w:lastRow="0" w:firstColumn="0" w:lastColumn="0" w:oddVBand="1" w:evenVBand="0" w:oddHBand="0" w:evenHBand="0" w:firstRowFirstColumn="0" w:firstRowLastColumn="0" w:lastRowFirstColumn="0" w:lastRowLastColumn="0"/>
            <w:tcW w:w="3551" w:type="pct"/>
          </w:tcPr>
          <w:p w14:paraId="583CC85E" w14:textId="4A7853FF" w:rsidR="00EA2D03" w:rsidRPr="005C0E84" w:rsidRDefault="00EB19F1" w:rsidP="005C0E84">
            <w:pPr>
              <w:pStyle w:val="TableTextLeft"/>
            </w:pPr>
            <w:r>
              <w:t xml:space="preserve">The </w:t>
            </w:r>
            <w:r w:rsidR="00EA2D03" w:rsidRPr="005C0E84">
              <w:t>Marine Spatial Planning Framework</w:t>
            </w:r>
            <w:r>
              <w:t xml:space="preserve"> (included in t</w:t>
            </w:r>
            <w:r w:rsidRPr="005C0E84">
              <w:t>he Marine and Coastal Policy 2020</w:t>
            </w:r>
            <w:r>
              <w:t>)</w:t>
            </w:r>
            <w:r w:rsidRPr="005C0E84">
              <w:t xml:space="preserve"> </w:t>
            </w:r>
            <w:r w:rsidR="00EA2D03" w:rsidRPr="005C0E84">
              <w:t>provides guidance and a process for integrated and coordinated planning, management, and decision-making by marine sectors. </w:t>
            </w:r>
          </w:p>
          <w:p w14:paraId="2771CBC1" w14:textId="4D77F57E" w:rsidR="00EA2D03" w:rsidRPr="005C0E84" w:rsidRDefault="00EA2D03" w:rsidP="005C0E84">
            <w:pPr>
              <w:pStyle w:val="TableTextLeft"/>
            </w:pPr>
            <w:r w:rsidRPr="005C0E84">
              <w:t xml:space="preserve">The </w:t>
            </w:r>
            <w:r w:rsidR="00D6443B" w:rsidRPr="005C0E84">
              <w:t xml:space="preserve">Marine Spatial Planning Framework </w:t>
            </w:r>
            <w:r w:rsidRPr="005C0E84">
              <w:t>consists of two parts that complement the other content of the Policy. Part A provides guidance and policies for marine planning and management, with Part B outlining Victoria’s approach to marine spatial planning. </w:t>
            </w:r>
          </w:p>
        </w:tc>
      </w:tr>
      <w:tr w:rsidR="00EA2D03" w:rsidRPr="00050253" w14:paraId="405BCE0D" w14:textId="77777777" w:rsidTr="17F89C35">
        <w:tc>
          <w:tcPr>
            <w:tcW w:w="1449" w:type="pct"/>
          </w:tcPr>
          <w:p w14:paraId="356ACAF2" w14:textId="5F95A0FF" w:rsidR="00EA2D03" w:rsidRPr="005C0E84" w:rsidRDefault="00EA2D03" w:rsidP="005C0E84">
            <w:pPr>
              <w:pStyle w:val="TableTextLeft"/>
            </w:pPr>
            <w:r w:rsidRPr="005C0E84">
              <w:t>Marine and Coastal Strategy </w:t>
            </w:r>
            <w:r w:rsidRPr="005C0E84">
              <w:rPr>
                <w:i/>
                <w:iCs/>
              </w:rPr>
              <w:t>(under development) </w:t>
            </w:r>
          </w:p>
        </w:tc>
        <w:tc>
          <w:tcPr>
            <w:cnfStyle w:val="000010000000" w:firstRow="0" w:lastRow="0" w:firstColumn="0" w:lastColumn="0" w:oddVBand="1" w:evenVBand="0" w:oddHBand="0" w:evenHBand="0" w:firstRowFirstColumn="0" w:firstRowLastColumn="0" w:lastRowFirstColumn="0" w:lastRowLastColumn="0"/>
            <w:tcW w:w="3551" w:type="pct"/>
          </w:tcPr>
          <w:p w14:paraId="5CF86587" w14:textId="7400E9F2" w:rsidR="00EA2D03" w:rsidRPr="005C0E84" w:rsidRDefault="00EA2D03" w:rsidP="005C0E84">
            <w:pPr>
              <w:pStyle w:val="TableTextLeft"/>
            </w:pPr>
            <w:r w:rsidRPr="005C0E84">
              <w:t>The Marine and Coastal Strategy will identify actions to achieve the vision</w:t>
            </w:r>
            <w:r w:rsidR="0058356A">
              <w:t xml:space="preserve"> of the </w:t>
            </w:r>
            <w:r w:rsidR="0058356A" w:rsidRPr="005C0E84">
              <w:t>Marine and Coastal Policy 2020</w:t>
            </w:r>
            <w:r w:rsidRPr="005C0E84">
              <w:t>. It is the first of three five-year strategies. It outlines priority actions for the next 5 years th</w:t>
            </w:r>
            <w:r w:rsidR="006D1BC1">
              <w:t>at</w:t>
            </w:r>
            <w:r w:rsidRPr="005C0E84">
              <w:t xml:space="preserve"> lay the foundations to achieve the intended outcomes of the Policy over the next 15 years. It also outlines timeframes and responsibilities for delivery.   </w:t>
            </w:r>
          </w:p>
        </w:tc>
      </w:tr>
      <w:tr w:rsidR="00EA2D03" w:rsidRPr="00050253" w14:paraId="11C7C922" w14:textId="77777777" w:rsidTr="17F89C35">
        <w:tc>
          <w:tcPr>
            <w:tcW w:w="1449" w:type="pct"/>
          </w:tcPr>
          <w:p w14:paraId="568ED111" w14:textId="6D0866A5" w:rsidR="00EA2D03" w:rsidRPr="005C0E84" w:rsidRDefault="00EA2D03" w:rsidP="005C0E84">
            <w:pPr>
              <w:pStyle w:val="TableTextLeft"/>
            </w:pPr>
            <w:r w:rsidRPr="005C0E84">
              <w:t>Victoria Waterway Management Strategy </w:t>
            </w:r>
            <w:r w:rsidRPr="005C0E84">
              <w:rPr>
                <w:i/>
                <w:iCs/>
              </w:rPr>
              <w:t>(under development)</w:t>
            </w:r>
            <w:r w:rsidRPr="005C0E84">
              <w:t> </w:t>
            </w:r>
          </w:p>
        </w:tc>
        <w:tc>
          <w:tcPr>
            <w:cnfStyle w:val="000010000000" w:firstRow="0" w:lastRow="0" w:firstColumn="0" w:lastColumn="0" w:oddVBand="1" w:evenVBand="0" w:oddHBand="0" w:evenHBand="0" w:firstRowFirstColumn="0" w:firstRowLastColumn="0" w:lastRowFirstColumn="0" w:lastRowLastColumn="0"/>
            <w:tcW w:w="3551" w:type="pct"/>
          </w:tcPr>
          <w:p w14:paraId="3FF76AC4" w14:textId="70FC24A4" w:rsidR="00EA2D03" w:rsidRPr="005C0E84" w:rsidRDefault="00EA2D03" w:rsidP="005C0E84">
            <w:pPr>
              <w:pStyle w:val="TableTextLeft"/>
            </w:pPr>
            <w:r w:rsidRPr="005C0E84">
              <w:t xml:space="preserve">The Victoria Waterway Management Strategy aims to maintain or improve the environmental condition of waterways, which support environmental, social, </w:t>
            </w:r>
            <w:proofErr w:type="gramStart"/>
            <w:r w:rsidRPr="005C0E84">
              <w:t>cultural</w:t>
            </w:r>
            <w:proofErr w:type="gramEnd"/>
            <w:r w:rsidRPr="005C0E84">
              <w:t xml:space="preserve"> and economic values. </w:t>
            </w:r>
          </w:p>
        </w:tc>
      </w:tr>
      <w:tr w:rsidR="00EA2D03" w:rsidRPr="00050253" w14:paraId="5FA85AA4" w14:textId="77777777" w:rsidTr="17F89C35">
        <w:tc>
          <w:tcPr>
            <w:tcW w:w="1449" w:type="pct"/>
          </w:tcPr>
          <w:p w14:paraId="4516FFE1" w14:textId="700B7108" w:rsidR="00EA2D03" w:rsidRPr="005C0E84" w:rsidRDefault="00EA2D03" w:rsidP="005C0E84">
            <w:pPr>
              <w:pStyle w:val="TableTextLeft"/>
            </w:pPr>
            <w:r w:rsidRPr="005C0E84">
              <w:t>Bushfire Sector Strategy </w:t>
            </w:r>
            <w:r w:rsidRPr="005C0E84">
              <w:rPr>
                <w:i/>
                <w:iCs/>
              </w:rPr>
              <w:t>(under development) </w:t>
            </w:r>
          </w:p>
        </w:tc>
        <w:tc>
          <w:tcPr>
            <w:cnfStyle w:val="000010000000" w:firstRow="0" w:lastRow="0" w:firstColumn="0" w:lastColumn="0" w:oddVBand="1" w:evenVBand="0" w:oddHBand="0" w:evenHBand="0" w:firstRowFirstColumn="0" w:firstRowLastColumn="0" w:lastRowFirstColumn="0" w:lastRowLastColumn="0"/>
            <w:tcW w:w="3551" w:type="pct"/>
          </w:tcPr>
          <w:p w14:paraId="1E6339AD" w14:textId="2AF19CE0" w:rsidR="00EA2D03" w:rsidRPr="005C0E84" w:rsidRDefault="00EA2D03" w:rsidP="005C0E84">
            <w:pPr>
              <w:pStyle w:val="TableTextLeft"/>
            </w:pPr>
            <w:r w:rsidRPr="005C0E84">
              <w:t>The Bushfire</w:t>
            </w:r>
            <w:r w:rsidR="005945D0">
              <w:t xml:space="preserve"> Sector</w:t>
            </w:r>
            <w:r w:rsidRPr="005C0E84">
              <w:t xml:space="preserve"> Strategy will guide all stages of bushfire management for the next 10 years.</w:t>
            </w:r>
          </w:p>
        </w:tc>
      </w:tr>
    </w:tbl>
    <w:p w14:paraId="2840DB49" w14:textId="77777777" w:rsidR="005C0E84" w:rsidRDefault="005C0E84" w:rsidP="005C0E84">
      <w:pPr>
        <w:rPr>
          <w:b/>
          <w:bCs/>
          <w:u w:val="single"/>
        </w:rPr>
      </w:pPr>
    </w:p>
    <w:p w14:paraId="47D8696E" w14:textId="2E3E549D" w:rsidR="005C0E84" w:rsidRPr="005C0E84" w:rsidRDefault="005C0E84" w:rsidP="005C0E84">
      <w:pPr>
        <w:pStyle w:val="Heading2"/>
      </w:pPr>
      <w:r w:rsidRPr="005C0E84">
        <w:t>Part B: Projects and Programs</w:t>
      </w:r>
    </w:p>
    <w:p w14:paraId="5451854A" w14:textId="31DB60E7" w:rsidR="005C0E84" w:rsidRPr="00BE4183" w:rsidRDefault="005C0E84" w:rsidP="005C0E84">
      <w:pPr>
        <w:pStyle w:val="BodyText"/>
        <w:rPr>
          <w:rStyle w:val="normaltextrun"/>
          <w:rFonts w:ascii="Calibri" w:hAnsi="Calibri" w:cs="Calibri"/>
          <w:sz w:val="22"/>
          <w:szCs w:val="22"/>
        </w:rPr>
      </w:pPr>
      <w:r w:rsidRPr="00BE4183">
        <w:rPr>
          <w:rStyle w:val="normaltextrun"/>
          <w:rFonts w:ascii="Calibri" w:hAnsi="Calibri" w:cs="Calibri"/>
          <w:sz w:val="22"/>
          <w:szCs w:val="22"/>
        </w:rPr>
        <w:t xml:space="preserve">Projects and programs operate </w:t>
      </w:r>
      <w:r w:rsidR="006C4E7B">
        <w:rPr>
          <w:rStyle w:val="normaltextrun"/>
          <w:rFonts w:ascii="Calibri" w:hAnsi="Calibri" w:cs="Calibri"/>
          <w:sz w:val="22"/>
          <w:szCs w:val="22"/>
        </w:rPr>
        <w:t>across</w:t>
      </w:r>
      <w:r w:rsidRPr="00BE4183">
        <w:rPr>
          <w:rStyle w:val="normaltextrun"/>
          <w:rFonts w:ascii="Calibri" w:hAnsi="Calibri" w:cs="Calibri"/>
          <w:sz w:val="22"/>
          <w:szCs w:val="22"/>
        </w:rPr>
        <w:t xml:space="preserve"> different scales</w:t>
      </w:r>
      <w:r w:rsidR="006C4E7B">
        <w:rPr>
          <w:rStyle w:val="normaltextrun"/>
          <w:rFonts w:ascii="Calibri" w:hAnsi="Calibri" w:cs="Calibri"/>
          <w:sz w:val="22"/>
          <w:szCs w:val="22"/>
        </w:rPr>
        <w:t xml:space="preserve"> and in different contexts</w:t>
      </w:r>
      <w:r w:rsidRPr="00BE4183">
        <w:rPr>
          <w:rStyle w:val="normaltextrun"/>
          <w:rFonts w:ascii="Calibri" w:hAnsi="Calibri" w:cs="Calibri"/>
          <w:sz w:val="22"/>
          <w:szCs w:val="22"/>
        </w:rPr>
        <w:t xml:space="preserve"> to </w:t>
      </w:r>
      <w:r w:rsidR="002B6CDB">
        <w:rPr>
          <w:rStyle w:val="normaltextrun"/>
          <w:rFonts w:ascii="Calibri" w:hAnsi="Calibri" w:cs="Calibri"/>
          <w:sz w:val="22"/>
          <w:szCs w:val="22"/>
        </w:rPr>
        <w:t>implement</w:t>
      </w:r>
      <w:r w:rsidRPr="00BE4183">
        <w:rPr>
          <w:rStyle w:val="normaltextrun"/>
          <w:rFonts w:ascii="Calibri" w:hAnsi="Calibri" w:cs="Calibri"/>
          <w:sz w:val="22"/>
          <w:szCs w:val="22"/>
        </w:rPr>
        <w:t xml:space="preserve"> adaptation actions</w:t>
      </w:r>
      <w:r w:rsidR="00F501AF">
        <w:rPr>
          <w:rStyle w:val="normaltextrun"/>
          <w:rFonts w:ascii="Calibri" w:hAnsi="Calibri" w:cs="Calibri"/>
          <w:sz w:val="22"/>
          <w:szCs w:val="22"/>
        </w:rPr>
        <w:t>.</w:t>
      </w:r>
      <w:r w:rsidRPr="00BE4183">
        <w:rPr>
          <w:rStyle w:val="normaltextrun"/>
          <w:rFonts w:ascii="Calibri" w:hAnsi="Calibri" w:cs="Calibri"/>
          <w:sz w:val="22"/>
          <w:szCs w:val="22"/>
        </w:rPr>
        <w:t xml:space="preserve"> </w:t>
      </w:r>
      <w:r w:rsidR="00F501AF">
        <w:rPr>
          <w:rStyle w:val="normaltextrun"/>
          <w:rFonts w:ascii="Calibri" w:hAnsi="Calibri" w:cs="Calibri"/>
          <w:sz w:val="22"/>
          <w:szCs w:val="22"/>
        </w:rPr>
        <w:t>T</w:t>
      </w:r>
      <w:r w:rsidRPr="00BE4183">
        <w:rPr>
          <w:rStyle w:val="normaltextrun"/>
          <w:rFonts w:ascii="Calibri" w:hAnsi="Calibri" w:cs="Calibri"/>
          <w:sz w:val="22"/>
          <w:szCs w:val="22"/>
        </w:rPr>
        <w:t>hese</w:t>
      </w:r>
      <w:r w:rsidR="002D1CE4">
        <w:rPr>
          <w:rStyle w:val="normaltextrun"/>
          <w:rFonts w:ascii="Calibri" w:hAnsi="Calibri" w:cs="Calibri"/>
          <w:sz w:val="22"/>
          <w:szCs w:val="22"/>
        </w:rPr>
        <w:t xml:space="preserve"> project and programs</w:t>
      </w:r>
      <w:r w:rsidRPr="00BE4183">
        <w:rPr>
          <w:rStyle w:val="normaltextrun"/>
          <w:rFonts w:ascii="Calibri" w:hAnsi="Calibri" w:cs="Calibri"/>
          <w:sz w:val="22"/>
          <w:szCs w:val="22"/>
        </w:rPr>
        <w:t xml:space="preserve"> may address one or more of the priority focus areas of the Climate Change Strategy. This section is a summary of some of the key projects and programs that have been, and are being, undertaken across Victoria that relate directly to climate change adaptation in the natural environment. </w:t>
      </w:r>
    </w:p>
    <w:p w14:paraId="1871B2CC" w14:textId="5F51E385" w:rsidR="00F9281D" w:rsidRPr="00BE4183" w:rsidRDefault="005C0E84" w:rsidP="005C0E84">
      <w:pPr>
        <w:pStyle w:val="BodyText"/>
        <w:rPr>
          <w:rStyle w:val="normaltextrun"/>
          <w:rFonts w:ascii="Calibri" w:hAnsi="Calibri" w:cs="Calibri"/>
          <w:sz w:val="22"/>
          <w:szCs w:val="22"/>
        </w:rPr>
      </w:pPr>
      <w:r w:rsidRPr="17F89C35">
        <w:rPr>
          <w:rStyle w:val="normaltextrun"/>
          <w:rFonts w:ascii="Calibri" w:hAnsi="Calibri" w:cs="Calibri"/>
          <w:sz w:val="22"/>
          <w:szCs w:val="22"/>
        </w:rPr>
        <w:t xml:space="preserve">The following tables show how key projects and programs in the natural environment sector may fit into each of the Climate Change Strategy’s priority focus areas. Many of the programs will contribute to multiple focus areas even if they are listed under only one. </w:t>
      </w:r>
      <w:r w:rsidR="465277E6" w:rsidRPr="17F89C35">
        <w:rPr>
          <w:rStyle w:val="normaltextrun"/>
          <w:rFonts w:ascii="Calibri" w:hAnsi="Calibri" w:cs="Calibri"/>
          <w:sz w:val="22"/>
          <w:szCs w:val="22"/>
        </w:rPr>
        <w:t xml:space="preserve">There are a </w:t>
      </w:r>
      <w:r w:rsidRPr="17F89C35">
        <w:rPr>
          <w:rStyle w:val="normaltextrun"/>
          <w:rFonts w:ascii="Calibri" w:hAnsi="Calibri" w:cs="Calibri"/>
          <w:sz w:val="22"/>
          <w:szCs w:val="22"/>
        </w:rPr>
        <w:t xml:space="preserve">broad range of organisations and stakeholders </w:t>
      </w:r>
      <w:r w:rsidR="39C7E148" w:rsidRPr="17F89C35">
        <w:rPr>
          <w:rStyle w:val="normaltextrun"/>
          <w:rFonts w:ascii="Calibri" w:hAnsi="Calibri" w:cs="Calibri"/>
          <w:sz w:val="22"/>
          <w:szCs w:val="22"/>
        </w:rPr>
        <w:t xml:space="preserve">that </w:t>
      </w:r>
      <w:r w:rsidRPr="17F89C35">
        <w:rPr>
          <w:rStyle w:val="normaltextrun"/>
          <w:rFonts w:ascii="Calibri" w:hAnsi="Calibri" w:cs="Calibri"/>
          <w:sz w:val="22"/>
          <w:szCs w:val="22"/>
        </w:rPr>
        <w:t>manage the natural environment in Victoria</w:t>
      </w:r>
      <w:r w:rsidR="13D1C63B" w:rsidRPr="17F89C35">
        <w:rPr>
          <w:rStyle w:val="normaltextrun"/>
          <w:rFonts w:ascii="Calibri" w:hAnsi="Calibri" w:cs="Calibri"/>
          <w:sz w:val="22"/>
          <w:szCs w:val="22"/>
        </w:rPr>
        <w:t xml:space="preserve"> and</w:t>
      </w:r>
      <w:r w:rsidRPr="17F89C35">
        <w:rPr>
          <w:rStyle w:val="normaltextrun"/>
          <w:rFonts w:ascii="Calibri" w:hAnsi="Calibri" w:cs="Calibri"/>
          <w:sz w:val="22"/>
          <w:szCs w:val="22"/>
        </w:rPr>
        <w:t xml:space="preserve"> operat</w:t>
      </w:r>
      <w:r w:rsidR="0BC744A6" w:rsidRPr="17F89C35">
        <w:rPr>
          <w:rStyle w:val="normaltextrun"/>
          <w:rFonts w:ascii="Calibri" w:hAnsi="Calibri" w:cs="Calibri"/>
          <w:sz w:val="22"/>
          <w:szCs w:val="22"/>
        </w:rPr>
        <w:t>e</w:t>
      </w:r>
      <w:r w:rsidRPr="17F89C35">
        <w:rPr>
          <w:rStyle w:val="normaltextrun"/>
          <w:rFonts w:ascii="Calibri" w:hAnsi="Calibri" w:cs="Calibri"/>
          <w:sz w:val="22"/>
          <w:szCs w:val="22"/>
        </w:rPr>
        <w:t xml:space="preserve"> in different locations and at different scales</w:t>
      </w:r>
      <w:r w:rsidR="686A35F5" w:rsidRPr="17F89C35">
        <w:rPr>
          <w:rStyle w:val="normaltextrun"/>
          <w:rFonts w:ascii="Calibri" w:hAnsi="Calibri" w:cs="Calibri"/>
          <w:sz w:val="22"/>
          <w:szCs w:val="22"/>
        </w:rPr>
        <w:t>.</w:t>
      </w:r>
      <w:r w:rsidRPr="17F89C35">
        <w:rPr>
          <w:rStyle w:val="normaltextrun"/>
          <w:rFonts w:ascii="Calibri" w:hAnsi="Calibri" w:cs="Calibri"/>
          <w:sz w:val="22"/>
          <w:szCs w:val="22"/>
        </w:rPr>
        <w:t xml:space="preserve"> </w:t>
      </w:r>
      <w:r w:rsidR="342718FE" w:rsidRPr="17F89C35">
        <w:rPr>
          <w:rStyle w:val="normaltextrun"/>
          <w:rFonts w:ascii="Calibri" w:hAnsi="Calibri" w:cs="Calibri"/>
          <w:sz w:val="22"/>
          <w:szCs w:val="22"/>
        </w:rPr>
        <w:t>T</w:t>
      </w:r>
      <w:r w:rsidRPr="17F89C35">
        <w:rPr>
          <w:rStyle w:val="normaltextrun"/>
          <w:rFonts w:ascii="Calibri" w:hAnsi="Calibri" w:cs="Calibri"/>
          <w:sz w:val="22"/>
          <w:szCs w:val="22"/>
        </w:rPr>
        <w:t>he following list is not an exhaustive account of all past and current adaptation p</w:t>
      </w:r>
      <w:r w:rsidR="13A273CA" w:rsidRPr="17F89C35">
        <w:rPr>
          <w:rStyle w:val="normaltextrun"/>
          <w:rFonts w:ascii="Calibri" w:hAnsi="Calibri" w:cs="Calibri"/>
          <w:sz w:val="22"/>
          <w:szCs w:val="22"/>
        </w:rPr>
        <w:t>rojects</w:t>
      </w:r>
      <w:r w:rsidRPr="17F89C35">
        <w:rPr>
          <w:rStyle w:val="normaltextrun"/>
          <w:rFonts w:ascii="Calibri" w:hAnsi="Calibri" w:cs="Calibri"/>
          <w:sz w:val="22"/>
          <w:szCs w:val="22"/>
        </w:rPr>
        <w:t xml:space="preserve"> and programs.</w:t>
      </w:r>
    </w:p>
    <w:p w14:paraId="58B93D48" w14:textId="77777777" w:rsidR="00F9281D" w:rsidRDefault="00F9281D" w:rsidP="005C0E84">
      <w:pPr>
        <w:pStyle w:val="BodyText"/>
      </w:pPr>
    </w:p>
    <w:p w14:paraId="6D401270" w14:textId="6997E383" w:rsidR="005C0E84" w:rsidRPr="005C0E84" w:rsidRDefault="005C0E84" w:rsidP="005C0E84">
      <w:pPr>
        <w:pStyle w:val="CaptionImageorFigure"/>
        <w:rPr>
          <w:rStyle w:val="normaltextrun"/>
        </w:rPr>
      </w:pPr>
      <w:r w:rsidRPr="00EA2D03">
        <w:rPr>
          <w:rStyle w:val="normaltextrun"/>
          <w:sz w:val="18"/>
          <w:szCs w:val="22"/>
        </w:rPr>
        <w:lastRenderedPageBreak/>
        <w:t xml:space="preserve">Table </w:t>
      </w:r>
      <w:r>
        <w:rPr>
          <w:rStyle w:val="normaltextrun"/>
          <w:sz w:val="18"/>
          <w:szCs w:val="22"/>
        </w:rPr>
        <w:t>2</w:t>
      </w:r>
      <w:r w:rsidRPr="00EA2D03">
        <w:rPr>
          <w:rStyle w:val="normaltextrun"/>
          <w:sz w:val="18"/>
          <w:szCs w:val="22"/>
        </w:rPr>
        <w:t xml:space="preserve">: </w:t>
      </w:r>
      <w:r w:rsidRPr="005C0E84">
        <w:rPr>
          <w:rStyle w:val="normaltextrun"/>
          <w:sz w:val="18"/>
          <w:szCs w:val="22"/>
        </w:rPr>
        <w:t xml:space="preserve">Projects and programs that contribute to the Priority Focus Area 1 </w:t>
      </w:r>
      <w:r w:rsidRPr="005C0E84">
        <w:rPr>
          <w:rStyle w:val="normaltextrun"/>
          <w:i/>
          <w:iCs/>
          <w:sz w:val="18"/>
          <w:szCs w:val="22"/>
        </w:rPr>
        <w:t>Address current impacts</w:t>
      </w:r>
    </w:p>
    <w:tbl>
      <w:tblPr>
        <w:tblStyle w:val="TableGrid"/>
        <w:tblW w:w="4792" w:type="pct"/>
        <w:tblLook w:val="00A0" w:firstRow="1" w:lastRow="0" w:firstColumn="1" w:lastColumn="0" w:noHBand="0" w:noVBand="0"/>
      </w:tblPr>
      <w:tblGrid>
        <w:gridCol w:w="2834"/>
        <w:gridCol w:w="6946"/>
      </w:tblGrid>
      <w:tr w:rsidR="005C0E84" w:rsidRPr="00050253" w14:paraId="4540D233" w14:textId="77777777" w:rsidTr="17F89C3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49" w:type="pct"/>
          </w:tcPr>
          <w:p w14:paraId="6E105EA8" w14:textId="44FE78FB" w:rsidR="005C0E84" w:rsidRPr="00050253" w:rsidRDefault="005C0E84" w:rsidP="009A0CA2">
            <w:pPr>
              <w:pStyle w:val="TableTextLeftBold"/>
            </w:pPr>
            <w:r>
              <w:t>Project/Program</w:t>
            </w:r>
          </w:p>
        </w:tc>
        <w:tc>
          <w:tcPr>
            <w:cnfStyle w:val="000010000000" w:firstRow="0" w:lastRow="0" w:firstColumn="0" w:lastColumn="0" w:oddVBand="1" w:evenVBand="0" w:oddHBand="0" w:evenHBand="0" w:firstRowFirstColumn="0" w:firstRowLastColumn="0" w:lastRowFirstColumn="0" w:lastRowLastColumn="0"/>
            <w:tcW w:w="3551" w:type="pct"/>
          </w:tcPr>
          <w:p w14:paraId="050C55B6" w14:textId="77777777" w:rsidR="005C0E84" w:rsidRPr="00050253" w:rsidRDefault="005C0E84" w:rsidP="009A0CA2">
            <w:pPr>
              <w:pStyle w:val="TableTextLeftBold"/>
            </w:pPr>
            <w:r>
              <w:t>Description</w:t>
            </w:r>
          </w:p>
        </w:tc>
      </w:tr>
      <w:tr w:rsidR="00C47C87" w:rsidRPr="00050253" w14:paraId="351D29DC" w14:textId="77777777" w:rsidTr="17F89C35">
        <w:tc>
          <w:tcPr>
            <w:tcW w:w="5000" w:type="pct"/>
            <w:gridSpan w:val="2"/>
          </w:tcPr>
          <w:p w14:paraId="67BC1276" w14:textId="16E69486" w:rsidR="00C47C87" w:rsidRPr="005C0E84" w:rsidRDefault="00C47C87" w:rsidP="00C47C87">
            <w:pPr>
              <w:pStyle w:val="TableHeadingLeft"/>
            </w:pPr>
            <w:r w:rsidRPr="00E05A33">
              <w:t>Government</w:t>
            </w:r>
            <w:r>
              <w:t>-</w:t>
            </w:r>
            <w:r w:rsidRPr="00E05A33">
              <w:t>led biodiversity response and recovery programs</w:t>
            </w:r>
          </w:p>
        </w:tc>
      </w:tr>
      <w:tr w:rsidR="005C0E84" w:rsidRPr="00050253" w14:paraId="78A7CFC9" w14:textId="77777777" w:rsidTr="17F89C35">
        <w:tc>
          <w:tcPr>
            <w:tcW w:w="1449" w:type="pct"/>
          </w:tcPr>
          <w:p w14:paraId="3ADBB377" w14:textId="511290E3" w:rsidR="005C0E84" w:rsidRPr="00816B3F" w:rsidRDefault="00E721E5" w:rsidP="00816B3F">
            <w:pPr>
              <w:pStyle w:val="TableTextLeft"/>
            </w:pPr>
            <w:hyperlink r:id="rId19" w:history="1">
              <w:r w:rsidR="00816B3F" w:rsidRPr="00816B3F">
                <w:rPr>
                  <w:rStyle w:val="Hyperlink"/>
                  <w:color w:val="363534" w:themeColor="text1"/>
                  <w:u w:val="none"/>
                </w:rPr>
                <w:t>Bushfire biodiversity response and recovery</w:t>
              </w:r>
            </w:hyperlink>
            <w:r w:rsidR="00816B3F" w:rsidRPr="00816B3F">
              <w:t xml:space="preserve"> program</w:t>
            </w:r>
          </w:p>
        </w:tc>
        <w:tc>
          <w:tcPr>
            <w:cnfStyle w:val="000010000000" w:firstRow="0" w:lastRow="0" w:firstColumn="0" w:lastColumn="0" w:oddVBand="1" w:evenVBand="0" w:oddHBand="0" w:evenHBand="0" w:firstRowFirstColumn="0" w:firstRowLastColumn="0" w:lastRowFirstColumn="0" w:lastRowLastColumn="0"/>
            <w:tcW w:w="3551" w:type="pct"/>
          </w:tcPr>
          <w:p w14:paraId="0EDFA156" w14:textId="15735312" w:rsidR="00816B3F" w:rsidRDefault="00816B3F" w:rsidP="00C47C87">
            <w:pPr>
              <w:pStyle w:val="TableTextLeft"/>
            </w:pPr>
            <w:r>
              <w:t>Following</w:t>
            </w:r>
            <w:r w:rsidRPr="48B48CA8">
              <w:t xml:space="preserve"> the 2019-2020 bushfires </w:t>
            </w:r>
            <w:r w:rsidR="00FB71ED">
              <w:t>that</w:t>
            </w:r>
            <w:r w:rsidRPr="48B48CA8">
              <w:t xml:space="preserve"> significantly affected biodiversity in parts of Victoria</w:t>
            </w:r>
            <w:r w:rsidR="00474F98">
              <w:t>,</w:t>
            </w:r>
            <w:r>
              <w:t xml:space="preserve"> </w:t>
            </w:r>
            <w:r w:rsidRPr="00405C3B">
              <w:t>DELWP has worked alongside species experts, academics, and land managers to prioritise actions for fire-affected threatened species and habitats. This forms an overarching, multi-year program of initiatives</w:t>
            </w:r>
            <w:r w:rsidRPr="48B48CA8">
              <w:t>. The 2019–20 bushfires demanded and received a swift recovery response. They also provided impetus to look beyond a single fire event and consider long-term strategies for maximising ecosystem resilience throughout Victoria.</w:t>
            </w:r>
          </w:p>
          <w:p w14:paraId="343D19CA" w14:textId="77777777" w:rsidR="00816B3F" w:rsidRDefault="00816B3F" w:rsidP="00C47C87">
            <w:pPr>
              <w:pStyle w:val="TableTextLeft"/>
            </w:pPr>
            <w:r>
              <w:t>The Bushfire Biodiversity Response and Recovery program includes the following focus areas and associated actions:</w:t>
            </w:r>
          </w:p>
          <w:p w14:paraId="2713210B" w14:textId="77777777" w:rsidR="00816B3F" w:rsidRPr="00E14D03" w:rsidRDefault="00816B3F" w:rsidP="00C47C87">
            <w:pPr>
              <w:pStyle w:val="TableTextBullet"/>
            </w:pPr>
            <w:r w:rsidRPr="00E14D03">
              <w:t>Landscape resilience, which includes actions</w:t>
            </w:r>
            <w:r>
              <w:t xml:space="preserve"> relevant to adaptation, such as</w:t>
            </w:r>
            <w:r w:rsidRPr="00E14D03">
              <w:t xml:space="preserve">: </w:t>
            </w:r>
          </w:p>
          <w:p w14:paraId="23E7617D" w14:textId="77777777" w:rsidR="00816B3F" w:rsidRDefault="00816B3F" w:rsidP="00C47C87">
            <w:pPr>
              <w:pStyle w:val="TableTextBullet2"/>
            </w:pPr>
            <w:r>
              <w:t>C</w:t>
            </w:r>
            <w:r w:rsidRPr="004C0B0F">
              <w:t xml:space="preserve">reate and support </w:t>
            </w:r>
            <w:proofErr w:type="gramStart"/>
            <w:r w:rsidRPr="004C0B0F">
              <w:t>a safe haven</w:t>
            </w:r>
            <w:proofErr w:type="gramEnd"/>
            <w:r w:rsidRPr="004C0B0F">
              <w:t xml:space="preserve"> network of ecological refuges across the state</w:t>
            </w:r>
          </w:p>
          <w:p w14:paraId="7E93BE9D" w14:textId="77777777" w:rsidR="00816B3F" w:rsidRDefault="00816B3F" w:rsidP="00C47C87">
            <w:pPr>
              <w:pStyle w:val="TableTextBullet2"/>
            </w:pPr>
            <w:r w:rsidRPr="004C0B0F">
              <w:t>Revegetation and reseeding</w:t>
            </w:r>
          </w:p>
          <w:p w14:paraId="050494CF" w14:textId="4766D86D" w:rsidR="00816B3F" w:rsidRDefault="00816B3F" w:rsidP="00C47C87">
            <w:pPr>
              <w:pStyle w:val="TableTextBullet2"/>
            </w:pPr>
            <w:r w:rsidRPr="004C0B0F">
              <w:t>Spread the risk to a species from population failures through genetic mixing to improve the fitness of populations and manage threats</w:t>
            </w:r>
            <w:r w:rsidR="00C0403D">
              <w:t xml:space="preserve"> </w:t>
            </w:r>
            <w:proofErr w:type="gramStart"/>
            <w:r w:rsidR="00C0403D">
              <w:t>e.g.</w:t>
            </w:r>
            <w:proofErr w:type="gramEnd"/>
            <w:r w:rsidR="00C0403D">
              <w:t xml:space="preserve"> Wilson’s Promontory Sanctuary (Parks Victoria)</w:t>
            </w:r>
            <w:r>
              <w:t>,</w:t>
            </w:r>
            <w:r w:rsidRPr="004C0B0F">
              <w:t xml:space="preserve"> and</w:t>
            </w:r>
            <w:r w:rsidR="00F9281D">
              <w:t xml:space="preserve"> genetic rescue of the Southern Brown Bandicoot (DELWP)</w:t>
            </w:r>
            <w:r w:rsidRPr="004C0B0F">
              <w:t xml:space="preserve"> </w:t>
            </w:r>
          </w:p>
          <w:p w14:paraId="1BCD81C6" w14:textId="77777777" w:rsidR="00816B3F" w:rsidRDefault="00816B3F" w:rsidP="00C47C87">
            <w:pPr>
              <w:pStyle w:val="TableTextBullet2"/>
            </w:pPr>
            <w:r w:rsidRPr="004C0B0F">
              <w:t>Applying a cultural landscape lens to species renewal and resilience– using cultural knowledge and practices</w:t>
            </w:r>
          </w:p>
          <w:p w14:paraId="35F841BA" w14:textId="77777777" w:rsidR="00816B3F" w:rsidRDefault="00816B3F" w:rsidP="00C47C87">
            <w:pPr>
              <w:pStyle w:val="TableTextBullet"/>
            </w:pPr>
            <w:r w:rsidRPr="00992FF9">
              <w:t>Knowledge and preparedness, which includes actions relevant to adaptation, such as:</w:t>
            </w:r>
          </w:p>
          <w:p w14:paraId="29108C84" w14:textId="77777777" w:rsidR="00C47C87" w:rsidRDefault="00816B3F" w:rsidP="00C47C87">
            <w:pPr>
              <w:pStyle w:val="TableTextBullet2"/>
            </w:pPr>
            <w:r w:rsidRPr="003F334D">
              <w:t>Developing strategic guidance to prioritise direct interventions in species populations (</w:t>
            </w:r>
            <w:proofErr w:type="gramStart"/>
            <w:r w:rsidRPr="003F334D">
              <w:t>e.g.</w:t>
            </w:r>
            <w:proofErr w:type="gramEnd"/>
            <w:r w:rsidRPr="003F334D">
              <w:t xml:space="preserve"> to address genetic risk)</w:t>
            </w:r>
          </w:p>
          <w:p w14:paraId="1980AE34" w14:textId="73F8C0FD" w:rsidR="005C0E84" w:rsidRPr="00C47C87" w:rsidRDefault="00816B3F" w:rsidP="00C47C87">
            <w:pPr>
              <w:pStyle w:val="TableTextBullet2"/>
            </w:pPr>
            <w:r w:rsidRPr="00C47C87">
              <w:t>Better targeting of research and monitoring of management effectiveness</w:t>
            </w:r>
          </w:p>
        </w:tc>
      </w:tr>
      <w:tr w:rsidR="005C0E84" w:rsidRPr="00050253" w14:paraId="7EF1DBA5" w14:textId="77777777" w:rsidTr="17F89C35">
        <w:tc>
          <w:tcPr>
            <w:tcW w:w="1449" w:type="pct"/>
          </w:tcPr>
          <w:p w14:paraId="58DB5C7C" w14:textId="6D1A47CF" w:rsidR="005C0E84" w:rsidRPr="00816B3F" w:rsidRDefault="00E721E5" w:rsidP="00816B3F">
            <w:pPr>
              <w:pStyle w:val="TableTextLeft"/>
            </w:pPr>
            <w:hyperlink r:id="rId20">
              <w:r w:rsidR="00816B3F" w:rsidRPr="00816B3F">
                <w:rPr>
                  <w:rStyle w:val="Hyperlink"/>
                  <w:color w:val="363534" w:themeColor="text1"/>
                  <w:u w:val="none"/>
                </w:rPr>
                <w:t>Biodiversity Response Planning</w:t>
              </w:r>
            </w:hyperlink>
            <w:r w:rsidR="00816B3F" w:rsidRPr="00816B3F">
              <w:t xml:space="preserve"> projects</w:t>
            </w:r>
          </w:p>
        </w:tc>
        <w:tc>
          <w:tcPr>
            <w:cnfStyle w:val="000010000000" w:firstRow="0" w:lastRow="0" w:firstColumn="0" w:lastColumn="0" w:oddVBand="1" w:evenVBand="0" w:oddHBand="0" w:evenHBand="0" w:firstRowFirstColumn="0" w:firstRowLastColumn="0" w:lastRowFirstColumn="0" w:lastRowLastColumn="0"/>
            <w:tcW w:w="3551" w:type="pct"/>
          </w:tcPr>
          <w:p w14:paraId="2BF3E165" w14:textId="77777777" w:rsidR="00856244" w:rsidRDefault="00C47C87" w:rsidP="00C47C87">
            <w:pPr>
              <w:pStyle w:val="TableTextLeft"/>
            </w:pPr>
            <w:r w:rsidRPr="002C5253">
              <w:t>Biodiversity Response Planning is a mechanism for the Victorian Government to support on-ground biodiversity action through a range of on-ground initiatives and funding.</w:t>
            </w:r>
            <w:r>
              <w:t xml:space="preserve"> </w:t>
            </w:r>
            <w:r w:rsidRPr="00764FB9">
              <w:t xml:space="preserve">The funding focuses on protecting and managing a range of native plants and animals, threatened species and habitats through collaborative planning, increased </w:t>
            </w:r>
            <w:proofErr w:type="gramStart"/>
            <w:r w:rsidRPr="00764FB9">
              <w:t>engagement</w:t>
            </w:r>
            <w:proofErr w:type="gramEnd"/>
            <w:r w:rsidRPr="00764FB9">
              <w:t xml:space="preserve"> and alignment of natural resources, scientific, educational and community sectors. </w:t>
            </w:r>
          </w:p>
          <w:p w14:paraId="7277F4A9" w14:textId="4460317B" w:rsidR="005C0E84" w:rsidRPr="00C47C87" w:rsidRDefault="00C47C87" w:rsidP="00FE254A">
            <w:pPr>
              <w:pStyle w:val="TableTextBullet"/>
              <w:numPr>
                <w:ilvl w:val="0"/>
                <w:numId w:val="0"/>
              </w:numPr>
              <w:ind w:left="113"/>
            </w:pPr>
            <w:r w:rsidRPr="00764FB9">
              <w:t>Several actions supported through this program have an adaptation focus, such as</w:t>
            </w:r>
            <w:r>
              <w:t xml:space="preserve"> the Parks Victoria</w:t>
            </w:r>
            <w:r w:rsidR="009B604F">
              <w:t xml:space="preserve"> </w:t>
            </w:r>
            <w:r>
              <w:t>initiative</w:t>
            </w:r>
            <w:r w:rsidR="009B604F">
              <w:t xml:space="preserve"> in the marine environment</w:t>
            </w:r>
            <w:r w:rsidR="00FE254A">
              <w:t xml:space="preserve"> where</w:t>
            </w:r>
            <w:r w:rsidR="005945D0">
              <w:t xml:space="preserve"> </w:t>
            </w:r>
            <w:r w:rsidR="005945D0" w:rsidRPr="00457CAE">
              <w:t>Eastern Zone Abalone Drivers Association and Victorian Fisheries Authority led a project to remove Black</w:t>
            </w:r>
            <w:r w:rsidR="003D0359">
              <w:t>-s</w:t>
            </w:r>
            <w:r w:rsidR="005945D0" w:rsidRPr="00457CAE">
              <w:t>pined Urchins over a large area of reef for abalone harvesting in East Gippsland.</w:t>
            </w:r>
            <w:r w:rsidR="00FE254A">
              <w:t xml:space="preserve"> Similarly, </w:t>
            </w:r>
            <w:r w:rsidRPr="00C47C87">
              <w:t>University of Melbourne with Deakin University and Parks Victoria led a project to undertake culling trials of Black-spined Urchins and other overabundant native species at Beware Reef.</w:t>
            </w:r>
          </w:p>
        </w:tc>
      </w:tr>
      <w:tr w:rsidR="00C47C87" w:rsidRPr="00050253" w14:paraId="27D0719C" w14:textId="77777777" w:rsidTr="17F89C35">
        <w:tc>
          <w:tcPr>
            <w:tcW w:w="5000" w:type="pct"/>
            <w:gridSpan w:val="2"/>
          </w:tcPr>
          <w:p w14:paraId="31305F9A" w14:textId="5CC688EC" w:rsidR="00C47C87" w:rsidRPr="005C0E84" w:rsidRDefault="00C47C87" w:rsidP="00C47C87">
            <w:pPr>
              <w:pStyle w:val="TableHeadingLeft"/>
            </w:pPr>
            <w:r w:rsidRPr="00E05A33">
              <w:t>Planning and management projects for future climate</w:t>
            </w:r>
          </w:p>
        </w:tc>
      </w:tr>
      <w:tr w:rsidR="005C0E84" w:rsidRPr="00050253" w14:paraId="7B4EE9C1" w14:textId="77777777" w:rsidTr="17F89C35">
        <w:tc>
          <w:tcPr>
            <w:tcW w:w="1449" w:type="pct"/>
          </w:tcPr>
          <w:p w14:paraId="02A33F46" w14:textId="6BA6119A" w:rsidR="005C0E84" w:rsidRPr="00816B3F" w:rsidRDefault="00816B3F" w:rsidP="00816B3F">
            <w:pPr>
              <w:pStyle w:val="TableTextLeft"/>
            </w:pPr>
            <w:r w:rsidRPr="00816B3F">
              <w:t xml:space="preserve">Exploratory case study into using adaptation pathways in </w:t>
            </w:r>
            <w:r w:rsidR="000C79B5">
              <w:t>a</w:t>
            </w:r>
            <w:r w:rsidRPr="00816B3F">
              <w:t xml:space="preserve"> </w:t>
            </w:r>
            <w:r w:rsidR="000C79B5">
              <w:t>natural resource management</w:t>
            </w:r>
            <w:r w:rsidRPr="00816B3F">
              <w:t xml:space="preserve"> context – The Western District Lakes</w:t>
            </w:r>
          </w:p>
        </w:tc>
        <w:tc>
          <w:tcPr>
            <w:cnfStyle w:val="000010000000" w:firstRow="0" w:lastRow="0" w:firstColumn="0" w:lastColumn="0" w:oddVBand="1" w:evenVBand="0" w:oddHBand="0" w:evenHBand="0" w:firstRowFirstColumn="0" w:firstRowLastColumn="0" w:lastRowFirstColumn="0" w:lastRowLastColumn="0"/>
            <w:tcW w:w="3551" w:type="pct"/>
          </w:tcPr>
          <w:p w14:paraId="4BBF0C7D" w14:textId="1D1BBA4E" w:rsidR="005C0E84" w:rsidRPr="00C47C87" w:rsidRDefault="00C47C87" w:rsidP="00C47C87">
            <w:pPr>
              <w:pStyle w:val="TableTextLeft"/>
            </w:pPr>
            <w:r w:rsidRPr="00C47C87">
              <w:t xml:space="preserve">Corangamite </w:t>
            </w:r>
            <w:r w:rsidR="000C79B5">
              <w:t>Catchment Management Authority</w:t>
            </w:r>
            <w:r w:rsidRPr="00C47C87">
              <w:t xml:space="preserve"> in partnership with academics undertook a project from 2016 to 2018 which aimed to progress climate change adaptation in a </w:t>
            </w:r>
            <w:r w:rsidR="000C79B5">
              <w:t>n</w:t>
            </w:r>
            <w:r w:rsidRPr="00C47C87">
              <w:t xml:space="preserve">atural </w:t>
            </w:r>
            <w:r w:rsidR="000C79B5">
              <w:t>r</w:t>
            </w:r>
            <w:r w:rsidRPr="00C47C87">
              <w:t xml:space="preserve">esource </w:t>
            </w:r>
            <w:r w:rsidR="000C79B5">
              <w:t>m</w:t>
            </w:r>
            <w:r w:rsidRPr="00C47C87">
              <w:t>anagement context. This project considered the future for the Western Lakes District under climate change. By combining significant expertise and experience, this research-policy collaboration has progressed adaptation practice and theory in the sector.</w:t>
            </w:r>
          </w:p>
        </w:tc>
      </w:tr>
      <w:tr w:rsidR="005C0E84" w:rsidRPr="00050253" w14:paraId="379679E1" w14:textId="77777777" w:rsidTr="17F89C35">
        <w:tc>
          <w:tcPr>
            <w:tcW w:w="1449" w:type="pct"/>
          </w:tcPr>
          <w:p w14:paraId="1D6A99DC" w14:textId="7481A6A4" w:rsidR="005C0E84" w:rsidRPr="00816B3F" w:rsidRDefault="00816B3F" w:rsidP="00816B3F">
            <w:pPr>
              <w:pStyle w:val="TableTextLeft"/>
            </w:pPr>
            <w:r w:rsidRPr="00816B3F">
              <w:t xml:space="preserve">Exploratory case study into using adaptation pathways in a </w:t>
            </w:r>
            <w:r w:rsidR="000C79B5">
              <w:lastRenderedPageBreak/>
              <w:t>natural resource management</w:t>
            </w:r>
            <w:r w:rsidRPr="00816B3F">
              <w:t xml:space="preserve"> context - Bogies and Beyond</w:t>
            </w:r>
          </w:p>
        </w:tc>
        <w:tc>
          <w:tcPr>
            <w:cnfStyle w:val="000010000000" w:firstRow="0" w:lastRow="0" w:firstColumn="0" w:lastColumn="0" w:oddVBand="1" w:evenVBand="0" w:oddHBand="0" w:evenHBand="0" w:firstRowFirstColumn="0" w:firstRowLastColumn="0" w:lastRowFirstColumn="0" w:lastRowLastColumn="0"/>
            <w:tcW w:w="3551" w:type="pct"/>
          </w:tcPr>
          <w:p w14:paraId="1D9D536F" w14:textId="35C57E0E" w:rsidR="005C0E84" w:rsidRPr="00C47C87" w:rsidRDefault="00C47C87" w:rsidP="00C47C87">
            <w:pPr>
              <w:pStyle w:val="TableTextLeft"/>
            </w:pPr>
            <w:r w:rsidRPr="00C47C87">
              <w:lastRenderedPageBreak/>
              <w:t xml:space="preserve">Goulburn Broken </w:t>
            </w:r>
            <w:r w:rsidR="000C79B5">
              <w:t>Catchment Management Authority</w:t>
            </w:r>
            <w:r w:rsidRPr="00C47C87">
              <w:t xml:space="preserve"> in partnership with academics undertook a project from 2016 to 2018 which aimed to progress climate change adaptation in a </w:t>
            </w:r>
            <w:r w:rsidR="000C79B5">
              <w:t>n</w:t>
            </w:r>
            <w:r w:rsidRPr="00C47C87">
              <w:t xml:space="preserve">atural </w:t>
            </w:r>
            <w:r w:rsidR="000C79B5">
              <w:t>r</w:t>
            </w:r>
            <w:r w:rsidRPr="00C47C87">
              <w:t xml:space="preserve">esource </w:t>
            </w:r>
            <w:r w:rsidR="000C79B5">
              <w:t>m</w:t>
            </w:r>
            <w:r w:rsidRPr="00C47C87">
              <w:t xml:space="preserve">anagement context. This project considered the future for the Strathbogie Ranges under climate change. By combining significant </w:t>
            </w:r>
            <w:r w:rsidRPr="00C47C87">
              <w:lastRenderedPageBreak/>
              <w:t>expertise and experience, this research-policy collaboration has progressed adaptation practice and theory in the sector.</w:t>
            </w:r>
          </w:p>
        </w:tc>
      </w:tr>
      <w:tr w:rsidR="005C0E84" w:rsidRPr="00050253" w14:paraId="75F49BB1" w14:textId="77777777" w:rsidTr="17F89C35">
        <w:tc>
          <w:tcPr>
            <w:tcW w:w="1449" w:type="pct"/>
          </w:tcPr>
          <w:p w14:paraId="22CE7B31" w14:textId="04F50500" w:rsidR="005C0E84" w:rsidRPr="00816B3F" w:rsidRDefault="00816B3F" w:rsidP="00816B3F">
            <w:pPr>
              <w:pStyle w:val="TableTextLeft"/>
            </w:pPr>
            <w:r w:rsidRPr="00816B3F">
              <w:lastRenderedPageBreak/>
              <w:t xml:space="preserve">Goulburn Broken </w:t>
            </w:r>
            <w:r w:rsidR="003A680D">
              <w:t>Catchment Management Authority</w:t>
            </w:r>
            <w:r w:rsidRPr="00816B3F">
              <w:t xml:space="preserve"> renewal project</w:t>
            </w:r>
          </w:p>
        </w:tc>
        <w:tc>
          <w:tcPr>
            <w:cnfStyle w:val="000010000000" w:firstRow="0" w:lastRow="0" w:firstColumn="0" w:lastColumn="0" w:oddVBand="1" w:evenVBand="0" w:oddHBand="0" w:evenHBand="0" w:firstRowFirstColumn="0" w:firstRowLastColumn="0" w:lastRowFirstColumn="0" w:lastRowLastColumn="0"/>
            <w:tcW w:w="3551" w:type="pct"/>
          </w:tcPr>
          <w:p w14:paraId="6658C118" w14:textId="120AE940" w:rsidR="005C0E84" w:rsidRPr="00C47C87" w:rsidRDefault="00C47C87" w:rsidP="00C47C87">
            <w:pPr>
              <w:pStyle w:val="TableTextLeft"/>
            </w:pPr>
            <w:r w:rsidRPr="00C47C87">
              <w:t xml:space="preserve">The Goulburn Broken </w:t>
            </w:r>
            <w:r w:rsidR="003A680D">
              <w:t>Catchment Management Authority</w:t>
            </w:r>
            <w:r w:rsidRPr="00C47C87">
              <w:t xml:space="preserve"> renewal project aims to help build resilience of the lower Goulburn river by partnering to deliver water in key times to target bank vegetation.</w:t>
            </w:r>
          </w:p>
        </w:tc>
      </w:tr>
      <w:tr w:rsidR="005C0E84" w:rsidRPr="00050253" w14:paraId="25E85539" w14:textId="77777777" w:rsidTr="17F89C35">
        <w:tc>
          <w:tcPr>
            <w:tcW w:w="1449" w:type="pct"/>
          </w:tcPr>
          <w:p w14:paraId="4405DDAC" w14:textId="3322E859" w:rsidR="005C0E84" w:rsidRPr="00816B3F" w:rsidRDefault="00816B3F" w:rsidP="00816B3F">
            <w:pPr>
              <w:pStyle w:val="TableTextLeft"/>
            </w:pPr>
            <w:r w:rsidRPr="00816B3F">
              <w:t xml:space="preserve">West Gippsland </w:t>
            </w:r>
            <w:r w:rsidR="003A680D">
              <w:t>Catchment Management Authority</w:t>
            </w:r>
            <w:r w:rsidRPr="00816B3F">
              <w:t xml:space="preserve"> Climate Change Adaptation Case Study</w:t>
            </w:r>
          </w:p>
        </w:tc>
        <w:tc>
          <w:tcPr>
            <w:cnfStyle w:val="000010000000" w:firstRow="0" w:lastRow="0" w:firstColumn="0" w:lastColumn="0" w:oddVBand="1" w:evenVBand="0" w:oddHBand="0" w:evenHBand="0" w:firstRowFirstColumn="0" w:firstRowLastColumn="0" w:lastRowFirstColumn="0" w:lastRowLastColumn="0"/>
            <w:tcW w:w="3551" w:type="pct"/>
          </w:tcPr>
          <w:p w14:paraId="5143823E" w14:textId="2ED1188E" w:rsidR="005C0E84" w:rsidRPr="00C47C87" w:rsidRDefault="00C47C87" w:rsidP="00C47C87">
            <w:pPr>
              <w:pStyle w:val="TableTextLeft"/>
            </w:pPr>
            <w:r w:rsidRPr="00C47C87">
              <w:t>The W</w:t>
            </w:r>
            <w:r w:rsidR="003A680D">
              <w:t>est Gippsland Catchment Management Authority</w:t>
            </w:r>
            <w:r w:rsidRPr="00C47C87">
              <w:t xml:space="preserve"> </w:t>
            </w:r>
            <w:r w:rsidR="008F1A72">
              <w:t>has</w:t>
            </w:r>
            <w:r w:rsidRPr="00C47C87">
              <w:t xml:space="preserve"> worked with private landholders, and partners such as Greening Australia and Trust for Nature, to protect and restore nearly two thousand hectares of wetlands along the lower Latrobe, Thomson, and Avon rivers. These works have included fencing off areas to exclude stock, removing or infilling infrastructure to return surface hydrology, and native vegetation planting to restore habitat. This will improve species access to suitable habitats in the face of a changing climate.</w:t>
            </w:r>
          </w:p>
        </w:tc>
      </w:tr>
      <w:tr w:rsidR="00C47C87" w:rsidRPr="00050253" w14:paraId="2DB882AE" w14:textId="77777777" w:rsidTr="17F89C35">
        <w:tc>
          <w:tcPr>
            <w:tcW w:w="5000" w:type="pct"/>
            <w:gridSpan w:val="2"/>
          </w:tcPr>
          <w:p w14:paraId="51C5D63B" w14:textId="2FC7B9B6" w:rsidR="00C47C87" w:rsidRPr="005C0E84" w:rsidRDefault="00C47C87" w:rsidP="00C47C87">
            <w:pPr>
              <w:pStyle w:val="TableHeadingLeft"/>
            </w:pPr>
            <w:r w:rsidRPr="00E05A33">
              <w:t xml:space="preserve">Building resilience and establishing </w:t>
            </w:r>
            <w:r>
              <w:t>‘</w:t>
            </w:r>
            <w:r w:rsidRPr="00E05A33">
              <w:t>climate</w:t>
            </w:r>
            <w:r>
              <w:t>-</w:t>
            </w:r>
            <w:r w:rsidRPr="00E05A33">
              <w:t>ready</w:t>
            </w:r>
            <w:r>
              <w:t>’</w:t>
            </w:r>
            <w:r w:rsidRPr="00E05A33">
              <w:t xml:space="preserve"> options</w:t>
            </w:r>
          </w:p>
        </w:tc>
      </w:tr>
      <w:tr w:rsidR="005C0E84" w:rsidRPr="00050253" w14:paraId="269D3C7C" w14:textId="77777777" w:rsidTr="17F89C35">
        <w:tc>
          <w:tcPr>
            <w:tcW w:w="1449" w:type="pct"/>
          </w:tcPr>
          <w:p w14:paraId="333466E0" w14:textId="77777777" w:rsidR="00816B3F" w:rsidRPr="00816B3F" w:rsidRDefault="00816B3F" w:rsidP="00816B3F">
            <w:pPr>
              <w:pStyle w:val="TableTextLeft"/>
            </w:pPr>
            <w:r w:rsidRPr="00816B3F">
              <w:t>Climate Future Plots 2020</w:t>
            </w:r>
          </w:p>
          <w:p w14:paraId="1A7A209C" w14:textId="17FF2A05" w:rsidR="005C0E84" w:rsidRPr="00816B3F" w:rsidRDefault="005C0E84" w:rsidP="00816B3F">
            <w:pPr>
              <w:pStyle w:val="TableTextLeft"/>
            </w:pPr>
          </w:p>
        </w:tc>
        <w:tc>
          <w:tcPr>
            <w:cnfStyle w:val="000010000000" w:firstRow="0" w:lastRow="0" w:firstColumn="0" w:lastColumn="0" w:oddVBand="1" w:evenVBand="0" w:oddHBand="0" w:evenHBand="0" w:firstRowFirstColumn="0" w:firstRowLastColumn="0" w:lastRowFirstColumn="0" w:lastRowLastColumn="0"/>
            <w:tcW w:w="3551" w:type="pct"/>
          </w:tcPr>
          <w:p w14:paraId="5A41BA84" w14:textId="667C9A77" w:rsidR="005C0E84" w:rsidRPr="00C47C87" w:rsidRDefault="00C47C87" w:rsidP="00C47C87">
            <w:pPr>
              <w:pStyle w:val="TableTextLeft"/>
            </w:pPr>
            <w:r w:rsidRPr="00C47C87">
              <w:t>Greening Australia and DELWP released updated revegetation standard</w:t>
            </w:r>
            <w:r w:rsidR="00F557AE">
              <w:t>s</w:t>
            </w:r>
            <w:r w:rsidRPr="00C47C87">
              <w:t xml:space="preserve"> in 2020 to describe the steps necessary to plan, establish and monitor Climate Future Plots, and promote methods and interventions that increase the resilience in restored and revegetated landscapes.</w:t>
            </w:r>
          </w:p>
        </w:tc>
      </w:tr>
      <w:tr w:rsidR="005C0E84" w:rsidRPr="00050253" w14:paraId="1A9B2E2A" w14:textId="77777777" w:rsidTr="17F89C35">
        <w:tc>
          <w:tcPr>
            <w:tcW w:w="1449" w:type="pct"/>
          </w:tcPr>
          <w:p w14:paraId="7926356A" w14:textId="4B87FCEF" w:rsidR="005C0E84" w:rsidRPr="00816B3F" w:rsidRDefault="00E721E5" w:rsidP="00816B3F">
            <w:pPr>
              <w:pStyle w:val="TableTextLeft"/>
            </w:pPr>
            <w:hyperlink r:id="rId21">
              <w:r w:rsidR="00816B3F" w:rsidRPr="00816B3F">
                <w:rPr>
                  <w:rStyle w:val="Hyperlink"/>
                  <w:color w:val="363534" w:themeColor="text1"/>
                  <w:u w:val="none"/>
                </w:rPr>
                <w:t>Nardoo Climate Ready Rev</w:t>
              </w:r>
            </w:hyperlink>
            <w:r w:rsidR="00816B3F" w:rsidRPr="00816B3F">
              <w:rPr>
                <w:rStyle w:val="Hyperlink"/>
                <w:color w:val="363534" w:themeColor="text1"/>
                <w:u w:val="none"/>
              </w:rPr>
              <w:t>egetation</w:t>
            </w:r>
          </w:p>
        </w:tc>
        <w:tc>
          <w:tcPr>
            <w:cnfStyle w:val="000010000000" w:firstRow="0" w:lastRow="0" w:firstColumn="0" w:lastColumn="0" w:oddVBand="1" w:evenVBand="0" w:oddHBand="0" w:evenHBand="0" w:firstRowFirstColumn="0" w:firstRowLastColumn="0" w:lastRowFirstColumn="0" w:lastRowLastColumn="0"/>
            <w:tcW w:w="3551" w:type="pct"/>
          </w:tcPr>
          <w:p w14:paraId="49DC1194" w14:textId="18BB109D" w:rsidR="005C0E84" w:rsidRPr="00C47C87" w:rsidRDefault="00C47C87" w:rsidP="00C47C87">
            <w:pPr>
              <w:pStyle w:val="TableTextLeft"/>
            </w:pPr>
            <w:r w:rsidRPr="00C47C87">
              <w:t xml:space="preserve">Bush Heritage have initiated the Nardoo Climate Ready Revegetation project to provide long-term guidance on viable, climate-ready eucalypt revegetation options for the reserve and this region using a strategy called ‘climate-adjusted </w:t>
            </w:r>
            <w:proofErr w:type="spellStart"/>
            <w:r w:rsidRPr="00C47C87">
              <w:t>provenancing</w:t>
            </w:r>
            <w:proofErr w:type="spellEnd"/>
            <w:r w:rsidRPr="00C47C87">
              <w:t>’. The aim is to develop better climate adaptation options for its reserves.</w:t>
            </w:r>
          </w:p>
        </w:tc>
      </w:tr>
      <w:tr w:rsidR="00816B3F" w:rsidRPr="00050253" w14:paraId="3CE46A19" w14:textId="77777777" w:rsidTr="17F89C35">
        <w:tc>
          <w:tcPr>
            <w:tcW w:w="1449" w:type="pct"/>
          </w:tcPr>
          <w:p w14:paraId="040188FD" w14:textId="5A988E34" w:rsidR="00816B3F" w:rsidRPr="00816B3F" w:rsidRDefault="00816B3F" w:rsidP="00816B3F">
            <w:pPr>
              <w:pStyle w:val="TableTextLeft"/>
            </w:pPr>
            <w:r w:rsidRPr="00816B3F">
              <w:t>Landscape Succession Strategy Melbourne Gardens 2016 – 2036</w:t>
            </w:r>
          </w:p>
        </w:tc>
        <w:tc>
          <w:tcPr>
            <w:cnfStyle w:val="000010000000" w:firstRow="0" w:lastRow="0" w:firstColumn="0" w:lastColumn="0" w:oddVBand="1" w:evenVBand="0" w:oddHBand="0" w:evenHBand="0" w:firstRowFirstColumn="0" w:firstRowLastColumn="0" w:lastRowFirstColumn="0" w:lastRowLastColumn="0"/>
            <w:tcW w:w="3551" w:type="pct"/>
          </w:tcPr>
          <w:p w14:paraId="49F0FB45" w14:textId="6EBBC029" w:rsidR="00816B3F" w:rsidRPr="00C47C87" w:rsidRDefault="00C47C87" w:rsidP="00C47C87">
            <w:pPr>
              <w:pStyle w:val="TableTextLeft"/>
            </w:pPr>
            <w:r w:rsidRPr="00C47C87">
              <w:t>The Royal Botanic Gardens published a succession strategy in 2016 to guide the transition from existing plantings to a composition suited for the projected climate and environmental conditions of 2090. Projections based on IPCC 2013 on a scenario RCP8.5</w:t>
            </w:r>
          </w:p>
        </w:tc>
      </w:tr>
    </w:tbl>
    <w:p w14:paraId="5684BADD" w14:textId="77777777" w:rsidR="00816B3F" w:rsidRDefault="00816B3F" w:rsidP="00816B3F">
      <w:pPr>
        <w:pStyle w:val="CaptionImageorFigure"/>
        <w:rPr>
          <w:rStyle w:val="normaltextrun"/>
          <w:sz w:val="18"/>
          <w:szCs w:val="22"/>
        </w:rPr>
      </w:pPr>
    </w:p>
    <w:p w14:paraId="2787DCD3" w14:textId="5E6BF521" w:rsidR="00816B3F" w:rsidRPr="00816B3F" w:rsidRDefault="00816B3F" w:rsidP="00816B3F">
      <w:pPr>
        <w:pStyle w:val="CaptionImageorFigure"/>
        <w:rPr>
          <w:rStyle w:val="normaltextrun"/>
          <w:sz w:val="18"/>
          <w:szCs w:val="22"/>
        </w:rPr>
      </w:pPr>
      <w:r w:rsidRPr="00EA2D03">
        <w:rPr>
          <w:rStyle w:val="normaltextrun"/>
          <w:sz w:val="18"/>
          <w:szCs w:val="22"/>
        </w:rPr>
        <w:t xml:space="preserve">Table </w:t>
      </w:r>
      <w:r>
        <w:rPr>
          <w:rStyle w:val="normaltextrun"/>
          <w:sz w:val="18"/>
          <w:szCs w:val="22"/>
        </w:rPr>
        <w:t>3</w:t>
      </w:r>
      <w:r w:rsidRPr="00EA2D03">
        <w:rPr>
          <w:rStyle w:val="normaltextrun"/>
          <w:sz w:val="18"/>
          <w:szCs w:val="22"/>
        </w:rPr>
        <w:t xml:space="preserve">: </w:t>
      </w:r>
      <w:r w:rsidRPr="00816B3F">
        <w:rPr>
          <w:rStyle w:val="normaltextrun"/>
          <w:sz w:val="18"/>
          <w:szCs w:val="22"/>
        </w:rPr>
        <w:t xml:space="preserve">Projects and programs that contribute to the Priority Focus Area 2 </w:t>
      </w:r>
      <w:r w:rsidRPr="00816B3F">
        <w:rPr>
          <w:rStyle w:val="normaltextrun"/>
          <w:i/>
          <w:iCs/>
          <w:sz w:val="18"/>
          <w:szCs w:val="22"/>
        </w:rPr>
        <w:t>Reduce barriers to adaptation</w:t>
      </w:r>
    </w:p>
    <w:tbl>
      <w:tblPr>
        <w:tblStyle w:val="TableGrid"/>
        <w:tblW w:w="4792" w:type="pct"/>
        <w:tblLook w:val="00A0" w:firstRow="1" w:lastRow="0" w:firstColumn="1" w:lastColumn="0" w:noHBand="0" w:noVBand="0"/>
      </w:tblPr>
      <w:tblGrid>
        <w:gridCol w:w="2834"/>
        <w:gridCol w:w="6946"/>
      </w:tblGrid>
      <w:tr w:rsidR="005C0E84" w:rsidRPr="00050253" w14:paraId="2CE37120" w14:textId="77777777" w:rsidTr="17F89C3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49" w:type="pct"/>
          </w:tcPr>
          <w:p w14:paraId="6802DA81" w14:textId="10A403A7" w:rsidR="005C0E84" w:rsidRPr="00050253" w:rsidRDefault="00C47C87" w:rsidP="009A0CA2">
            <w:pPr>
              <w:pStyle w:val="TableTextLeftBold"/>
            </w:pPr>
            <w:r>
              <w:t>Project/Program</w:t>
            </w:r>
          </w:p>
        </w:tc>
        <w:tc>
          <w:tcPr>
            <w:cnfStyle w:val="000010000000" w:firstRow="0" w:lastRow="0" w:firstColumn="0" w:lastColumn="0" w:oddVBand="1" w:evenVBand="0" w:oddHBand="0" w:evenHBand="0" w:firstRowFirstColumn="0" w:firstRowLastColumn="0" w:lastRowFirstColumn="0" w:lastRowLastColumn="0"/>
            <w:tcW w:w="3551" w:type="pct"/>
          </w:tcPr>
          <w:p w14:paraId="50858245" w14:textId="2D5D6282" w:rsidR="005C0E84" w:rsidRPr="00050253" w:rsidRDefault="00C47C87" w:rsidP="009A0CA2">
            <w:pPr>
              <w:pStyle w:val="TableTextLeftBold"/>
            </w:pPr>
            <w:r>
              <w:t>Description</w:t>
            </w:r>
          </w:p>
        </w:tc>
      </w:tr>
      <w:tr w:rsidR="00C47C87" w:rsidRPr="00050253" w14:paraId="711992F5" w14:textId="77777777" w:rsidTr="17F89C35">
        <w:tc>
          <w:tcPr>
            <w:tcW w:w="5000" w:type="pct"/>
            <w:gridSpan w:val="2"/>
          </w:tcPr>
          <w:p w14:paraId="063D19F5" w14:textId="53843A70" w:rsidR="00C47C87" w:rsidRPr="005C0E84" w:rsidRDefault="00C47C87" w:rsidP="009A0CA2">
            <w:pPr>
              <w:pStyle w:val="TableTextLeft"/>
            </w:pPr>
            <w:r w:rsidRPr="00E05A33">
              <w:rPr>
                <w:b/>
              </w:rPr>
              <w:t>Developing a better understanding of hazards and risks</w:t>
            </w:r>
          </w:p>
        </w:tc>
      </w:tr>
      <w:tr w:rsidR="005C0E84" w:rsidRPr="00050253" w14:paraId="272D058A" w14:textId="77777777" w:rsidTr="17F89C35">
        <w:tc>
          <w:tcPr>
            <w:tcW w:w="1449" w:type="pct"/>
          </w:tcPr>
          <w:p w14:paraId="7D27C1BA" w14:textId="5F54D009" w:rsidR="005C0E84" w:rsidRPr="00C47C87" w:rsidRDefault="00C47C87" w:rsidP="00C47C87">
            <w:pPr>
              <w:pStyle w:val="TableTextLeft"/>
            </w:pPr>
            <w:r w:rsidRPr="00C47C87">
              <w:t xml:space="preserve">Marine and Coastal Knowledge Framework 2020-2022 </w:t>
            </w:r>
          </w:p>
        </w:tc>
        <w:tc>
          <w:tcPr>
            <w:cnfStyle w:val="000010000000" w:firstRow="0" w:lastRow="0" w:firstColumn="0" w:lastColumn="0" w:oddVBand="1" w:evenVBand="0" w:oddHBand="0" w:evenHBand="0" w:firstRowFirstColumn="0" w:firstRowLastColumn="0" w:lastRowFirstColumn="0" w:lastRowLastColumn="0"/>
            <w:tcW w:w="3551" w:type="pct"/>
          </w:tcPr>
          <w:p w14:paraId="793FFF2B" w14:textId="1A6EC1D3" w:rsidR="005C0E84" w:rsidRPr="00C47C87" w:rsidRDefault="00C47C87" w:rsidP="00C47C87">
            <w:pPr>
              <w:pStyle w:val="TableTextLeft"/>
            </w:pPr>
            <w:r w:rsidRPr="00C47C87">
              <w:t xml:space="preserve">The </w:t>
            </w:r>
            <w:hyperlink r:id="rId22" w:history="1">
              <w:r w:rsidRPr="00DD2962">
                <w:rPr>
                  <w:rStyle w:val="Hyperlink"/>
                  <w:color w:val="363534" w:themeColor="text1"/>
                  <w:u w:val="none"/>
                </w:rPr>
                <w:t>F</w:t>
              </w:r>
            </w:hyperlink>
            <w:r w:rsidR="00DD2962" w:rsidRPr="00DD2962">
              <w:rPr>
                <w:rStyle w:val="Hyperlink"/>
                <w:color w:val="363534" w:themeColor="text1"/>
                <w:u w:val="none"/>
              </w:rPr>
              <w:t>r</w:t>
            </w:r>
            <w:r w:rsidR="00DD2962" w:rsidRPr="00DD2962">
              <w:rPr>
                <w:rStyle w:val="Hyperlink"/>
                <w:u w:val="none"/>
              </w:rPr>
              <w:t>amework</w:t>
            </w:r>
            <w:r w:rsidRPr="00C47C87">
              <w:t xml:space="preserve"> has been developed to inform better choices when protecting our marine and coastal ecosystems. It includes standards for data collection, management, and analysis to feed back into decision making. The </w:t>
            </w:r>
            <w:r w:rsidR="00CC2301">
              <w:t>Framework</w:t>
            </w:r>
            <w:r w:rsidRPr="00C47C87">
              <w:t xml:space="preserve"> is supported by the</w:t>
            </w:r>
            <w:hyperlink r:id="rId23" w:history="1">
              <w:r w:rsidRPr="00C47C87">
                <w:rPr>
                  <w:rStyle w:val="Hyperlink"/>
                  <w:color w:val="363534" w:themeColor="text1"/>
                  <w:u w:val="none"/>
                </w:rPr>
                <w:t xml:space="preserve"> </w:t>
              </w:r>
              <w:proofErr w:type="spellStart"/>
              <w:r w:rsidRPr="00C47C87">
                <w:rPr>
                  <w:rStyle w:val="Hyperlink"/>
                  <w:color w:val="363534" w:themeColor="text1"/>
                  <w:u w:val="none"/>
                </w:rPr>
                <w:t>CoastKit</w:t>
              </w:r>
              <w:proofErr w:type="spellEnd"/>
              <w:r w:rsidRPr="00C47C87">
                <w:rPr>
                  <w:rStyle w:val="Hyperlink"/>
                  <w:color w:val="363534" w:themeColor="text1"/>
                  <w:u w:val="none"/>
                </w:rPr>
                <w:t xml:space="preserve"> Knowledge Management System</w:t>
              </w:r>
            </w:hyperlink>
            <w:r w:rsidRPr="00C47C87">
              <w:t xml:space="preserve"> that provides managers and researchers with access to environmental data, observational records, </w:t>
            </w:r>
            <w:proofErr w:type="gramStart"/>
            <w:r w:rsidRPr="00C47C87">
              <w:t>models</w:t>
            </w:r>
            <w:proofErr w:type="gramEnd"/>
            <w:r w:rsidRPr="00C47C87">
              <w:t xml:space="preserve"> and map information products through knowledge portals. </w:t>
            </w:r>
            <w:proofErr w:type="spellStart"/>
            <w:r w:rsidRPr="00C47C87">
              <w:t>Coastkit</w:t>
            </w:r>
            <w:proofErr w:type="spellEnd"/>
            <w:r w:rsidRPr="00C47C87">
              <w:t xml:space="preserve"> currently delivers outputs from the </w:t>
            </w:r>
            <w:hyperlink r:id="rId24" w:history="1">
              <w:r w:rsidRPr="00C47C87">
                <w:rPr>
                  <w:rStyle w:val="Hyperlink"/>
                  <w:color w:val="363534" w:themeColor="text1"/>
                  <w:u w:val="none"/>
                </w:rPr>
                <w:t>Victorian Coastal Monitoring Program</w:t>
              </w:r>
            </w:hyperlink>
            <w:r w:rsidRPr="00C47C87">
              <w:t xml:space="preserve"> (below), </w:t>
            </w:r>
            <w:proofErr w:type="spellStart"/>
            <w:r w:rsidRPr="00C47C87">
              <w:t>statewide</w:t>
            </w:r>
            <w:proofErr w:type="spellEnd"/>
            <w:r w:rsidRPr="00C47C87">
              <w:t xml:space="preserve"> and local hazard assessments conducted at Port Fairy, Bellarine Peninsula, Western Port and Gippsland Lakes.</w:t>
            </w:r>
          </w:p>
        </w:tc>
      </w:tr>
      <w:tr w:rsidR="005C0E84" w:rsidRPr="00050253" w14:paraId="2DB2FC40" w14:textId="77777777" w:rsidTr="17F89C35">
        <w:tc>
          <w:tcPr>
            <w:tcW w:w="1449" w:type="pct"/>
          </w:tcPr>
          <w:p w14:paraId="6A7FED12" w14:textId="77777777" w:rsidR="00C47C87" w:rsidRDefault="00C47C87" w:rsidP="00C47C87">
            <w:pPr>
              <w:pStyle w:val="TableTextLeft"/>
            </w:pPr>
            <w:r w:rsidRPr="38A7FF14">
              <w:t>Coastal Hazard Assessments</w:t>
            </w:r>
          </w:p>
          <w:p w14:paraId="053A4EC9" w14:textId="0D31F29C" w:rsidR="005C0E84" w:rsidRPr="005C0E84" w:rsidRDefault="005C0E84" w:rsidP="00C47C87">
            <w:pPr>
              <w:pStyle w:val="TableTextLeft"/>
            </w:pPr>
          </w:p>
        </w:tc>
        <w:tc>
          <w:tcPr>
            <w:cnfStyle w:val="000010000000" w:firstRow="0" w:lastRow="0" w:firstColumn="0" w:lastColumn="0" w:oddVBand="1" w:evenVBand="0" w:oddHBand="0" w:evenHBand="0" w:firstRowFirstColumn="0" w:firstRowLastColumn="0" w:lastRowFirstColumn="0" w:lastRowLastColumn="0"/>
            <w:tcW w:w="3551" w:type="pct"/>
          </w:tcPr>
          <w:p w14:paraId="28ED2BB8" w14:textId="7491E1F6" w:rsidR="005C0E84" w:rsidRPr="00C47C87" w:rsidRDefault="00C47C87" w:rsidP="00C47C87">
            <w:pPr>
              <w:pStyle w:val="TableTextLeft"/>
            </w:pPr>
            <w:r w:rsidRPr="00C47C87">
              <w:t xml:space="preserve">DELWP has commissioned coastal hazard assessment projects at </w:t>
            </w:r>
            <w:hyperlink r:id="rId25" w:history="1">
              <w:r w:rsidRPr="00C47C87">
                <w:rPr>
                  <w:rStyle w:val="Hyperlink"/>
                  <w:color w:val="363534" w:themeColor="text1"/>
                  <w:u w:val="none"/>
                </w:rPr>
                <w:t>Port Phillip Bay</w:t>
              </w:r>
            </w:hyperlink>
            <w:r w:rsidRPr="00C47C87">
              <w:t xml:space="preserve"> and Cape Patterson to Cape Liptrap through the </w:t>
            </w:r>
            <w:hyperlink r:id="rId26" w:history="1">
              <w:r w:rsidRPr="00C47C87">
                <w:rPr>
                  <w:rStyle w:val="Hyperlink"/>
                  <w:color w:val="363534" w:themeColor="text1"/>
                  <w:u w:val="none"/>
                </w:rPr>
                <w:t>Cape resilience project</w:t>
              </w:r>
            </w:hyperlink>
            <w:r w:rsidRPr="00C47C87">
              <w:t xml:space="preserve"> (below). Updated </w:t>
            </w:r>
            <w:proofErr w:type="spellStart"/>
            <w:r w:rsidRPr="00C47C87">
              <w:t>statewide</w:t>
            </w:r>
            <w:proofErr w:type="spellEnd"/>
            <w:r w:rsidRPr="00C47C87">
              <w:t xml:space="preserve"> coastal hazard assessment outputs will be finalised by mid-2022 using data and modelling from the </w:t>
            </w:r>
            <w:hyperlink r:id="rId27" w:history="1">
              <w:r w:rsidRPr="00C47C87">
                <w:rPr>
                  <w:rStyle w:val="Hyperlink"/>
                  <w:color w:val="363534" w:themeColor="text1"/>
                  <w:u w:val="none"/>
                </w:rPr>
                <w:t>Victorian Coastal Monitoring Program</w:t>
              </w:r>
            </w:hyperlink>
            <w:r w:rsidRPr="00C47C87">
              <w:t>.</w:t>
            </w:r>
          </w:p>
        </w:tc>
      </w:tr>
      <w:tr w:rsidR="005C0E84" w:rsidRPr="00050253" w14:paraId="49A1A43F" w14:textId="77777777" w:rsidTr="17F89C35">
        <w:tc>
          <w:tcPr>
            <w:tcW w:w="1449" w:type="pct"/>
          </w:tcPr>
          <w:p w14:paraId="4683E4E3" w14:textId="5EFF41A4" w:rsidR="005C0E84" w:rsidRPr="005C0E84" w:rsidRDefault="00C47C87" w:rsidP="00C47C87">
            <w:pPr>
              <w:pStyle w:val="TableTextLeft"/>
            </w:pPr>
            <w:r w:rsidRPr="00D93A70">
              <w:t>Revise the sea level rise planning benchmark</w:t>
            </w:r>
          </w:p>
        </w:tc>
        <w:tc>
          <w:tcPr>
            <w:cnfStyle w:val="000010000000" w:firstRow="0" w:lastRow="0" w:firstColumn="0" w:lastColumn="0" w:oddVBand="1" w:evenVBand="0" w:oddHBand="0" w:evenHBand="0" w:firstRowFirstColumn="0" w:firstRowLastColumn="0" w:lastRowFirstColumn="0" w:lastRowLastColumn="0"/>
            <w:tcW w:w="3551" w:type="pct"/>
          </w:tcPr>
          <w:p w14:paraId="4CF0B6CD" w14:textId="160105B9" w:rsidR="005C0E84" w:rsidRPr="00C47C87" w:rsidRDefault="00C47C87" w:rsidP="00C47C87">
            <w:pPr>
              <w:pStyle w:val="TableTextLeft"/>
            </w:pPr>
            <w:r w:rsidRPr="00C47C87">
              <w:t xml:space="preserve">The sea level rise planning benchmark is being reviewed with consideration of the latest projections and how they relate to the coast of Victoria from the Intergovernmental Panel on Climate Change (IPCC) as outlined in the ‘Special Report on the Ocean and Cryosphere in a Changing Climate’ (SROCC) released in 2019. Revised modelling of the extent of these projections is currently occurring. </w:t>
            </w:r>
            <w:r w:rsidRPr="00C47C87">
              <w:lastRenderedPageBreak/>
              <w:t>Any government approved changes to the benchmark will be reflected in the Marine and Coastal Policy</w:t>
            </w:r>
            <w:r w:rsidR="006A4699">
              <w:t>.</w:t>
            </w:r>
          </w:p>
        </w:tc>
      </w:tr>
      <w:tr w:rsidR="005C0E84" w:rsidRPr="00050253" w14:paraId="1705BC85" w14:textId="77777777" w:rsidTr="17F89C35">
        <w:tc>
          <w:tcPr>
            <w:tcW w:w="1449" w:type="pct"/>
          </w:tcPr>
          <w:p w14:paraId="5926F38E" w14:textId="61454D1C" w:rsidR="005C0E84" w:rsidRPr="00C47C87" w:rsidRDefault="00ED0D1E" w:rsidP="00C47C87">
            <w:pPr>
              <w:pStyle w:val="TableTextLeft"/>
            </w:pPr>
            <w:r>
              <w:lastRenderedPageBreak/>
              <w:t xml:space="preserve">Coastal and marine </w:t>
            </w:r>
            <w:r w:rsidR="00671FE4">
              <w:t xml:space="preserve">modelling </w:t>
            </w:r>
          </w:p>
        </w:tc>
        <w:tc>
          <w:tcPr>
            <w:cnfStyle w:val="000010000000" w:firstRow="0" w:lastRow="0" w:firstColumn="0" w:lastColumn="0" w:oddVBand="1" w:evenVBand="0" w:oddHBand="0" w:evenHBand="0" w:firstRowFirstColumn="0" w:firstRowLastColumn="0" w:lastRowFirstColumn="0" w:lastRowLastColumn="0"/>
            <w:tcW w:w="3551" w:type="pct"/>
          </w:tcPr>
          <w:p w14:paraId="6D742DDD" w14:textId="584546A5" w:rsidR="00C47C87" w:rsidRDefault="00C47C87" w:rsidP="00C47C87">
            <w:pPr>
              <w:pStyle w:val="TableTextLeft"/>
            </w:pPr>
            <w:r w:rsidRPr="00C47C87">
              <w:t xml:space="preserve">Significant advances have been made in observing and modelling </w:t>
            </w:r>
            <w:hyperlink r:id="rId28" w:history="1">
              <w:r w:rsidRPr="00C47C87">
                <w:t>Victoria’s wave climate</w:t>
              </w:r>
            </w:hyperlink>
            <w:r w:rsidRPr="00C47C87">
              <w:t xml:space="preserve">. Wave buoy deployments began across the state in 2018 and there are now 13 buoy locations across the open coast and </w:t>
            </w:r>
            <w:hyperlink r:id="rId29" w:history="1">
              <w:r w:rsidRPr="00C47C87">
                <w:t>Port Phillip Bay</w:t>
              </w:r>
            </w:hyperlink>
            <w:r w:rsidRPr="00C47C87">
              <w:t xml:space="preserve">, with live data available on </w:t>
            </w:r>
            <w:hyperlink r:id="rId30" w:history="1">
              <w:r w:rsidRPr="00C47C87">
                <w:t>vicwaves.com.au</w:t>
              </w:r>
            </w:hyperlink>
            <w:r w:rsidRPr="00C47C87">
              <w:t>. The outputs of these wave models</w:t>
            </w:r>
            <w:r w:rsidRPr="007E3656">
              <w:t xml:space="preserve"> are now being incorporated to decision support tools and are being used to drive models predicting future shoreline change.</w:t>
            </w:r>
          </w:p>
          <w:p w14:paraId="19E79DA1" w14:textId="2134577C" w:rsidR="00C47C87" w:rsidRPr="00C47C87" w:rsidRDefault="3A8DAF62" w:rsidP="00C47C87">
            <w:pPr>
              <w:pStyle w:val="TableTextLeft"/>
            </w:pPr>
            <w:r>
              <w:t xml:space="preserve">A </w:t>
            </w:r>
            <w:hyperlink r:id="rId31">
              <w:r w:rsidRPr="17F89C35">
                <w:rPr>
                  <w:rStyle w:val="Hyperlink"/>
                  <w:color w:val="363534" w:themeColor="text1"/>
                  <w:u w:val="none"/>
                </w:rPr>
                <w:t>hybrid shoreface translation model</w:t>
              </w:r>
            </w:hyperlink>
            <w:r>
              <w:t xml:space="preserve"> is being developed by DELWP at a </w:t>
            </w:r>
            <w:proofErr w:type="spellStart"/>
            <w:r>
              <w:t>statewide</w:t>
            </w:r>
            <w:proofErr w:type="spellEnd"/>
            <w:r>
              <w:t xml:space="preserve"> level, that accounts for uncertainty and for varying substrate composition, to assess future potential shoreline trajectories across Victoria.</w:t>
            </w:r>
          </w:p>
          <w:p w14:paraId="67AAA145" w14:textId="1359A7E5" w:rsidR="00C47C87" w:rsidRDefault="00C47C87" w:rsidP="00C47C87">
            <w:pPr>
              <w:pStyle w:val="TableTextLeft"/>
            </w:pPr>
            <w:r w:rsidRPr="00C47C87">
              <w:t xml:space="preserve">For state-wide, multi-decadal observations, DELWP are working with Geoscience Australia on the </w:t>
            </w:r>
            <w:hyperlink r:id="rId32" w:history="1">
              <w:r w:rsidRPr="00C47C87">
                <w:rPr>
                  <w:rStyle w:val="Hyperlink"/>
                  <w:color w:val="363534" w:themeColor="text1"/>
                  <w:u w:val="none"/>
                </w:rPr>
                <w:t>Digital Earth Australia: Coastlines</w:t>
              </w:r>
            </w:hyperlink>
            <w:r w:rsidRPr="00C47C87">
              <w:t xml:space="preserve"> project and applying the </w:t>
            </w:r>
            <w:hyperlink r:id="rId33" w:history="1">
              <w:proofErr w:type="spellStart"/>
              <w:r w:rsidRPr="00C47C87">
                <w:rPr>
                  <w:rStyle w:val="Hyperlink"/>
                  <w:color w:val="363534" w:themeColor="text1"/>
                  <w:u w:val="none"/>
                </w:rPr>
                <w:t>CoastSat</w:t>
              </w:r>
              <w:proofErr w:type="spellEnd"/>
            </w:hyperlink>
            <w:r w:rsidRPr="00C47C87">
              <w:t xml:space="preserve"> satellite shoreline extraction tool produced by the Water Research Lab at the University of New South Wales. </w:t>
            </w:r>
          </w:p>
          <w:p w14:paraId="465A734A" w14:textId="3AF12D98" w:rsidR="005C0E84" w:rsidRPr="00C47C87" w:rsidRDefault="00C47C87" w:rsidP="00C47C87">
            <w:pPr>
              <w:pStyle w:val="TableTextLeft"/>
            </w:pPr>
            <w:r w:rsidRPr="00C47C87">
              <w:t xml:space="preserve">The </w:t>
            </w:r>
            <w:hyperlink r:id="rId34" w:history="1">
              <w:r w:rsidRPr="00C47C87">
                <w:rPr>
                  <w:rStyle w:val="Hyperlink"/>
                  <w:color w:val="363534" w:themeColor="text1"/>
                  <w:u w:val="none"/>
                </w:rPr>
                <w:t>C-Fast Modelling Tool</w:t>
              </w:r>
            </w:hyperlink>
            <w:r w:rsidRPr="00C47C87">
              <w:t xml:space="preserve"> developed by CSIRO is being trialled in establishing adaptation pathways for coastal and catchment flooding.</w:t>
            </w:r>
          </w:p>
        </w:tc>
      </w:tr>
      <w:tr w:rsidR="005C0E84" w:rsidRPr="00050253" w14:paraId="2D616731" w14:textId="77777777" w:rsidTr="17F89C35">
        <w:tc>
          <w:tcPr>
            <w:tcW w:w="1449" w:type="pct"/>
          </w:tcPr>
          <w:p w14:paraId="521DFD9A" w14:textId="41D5DA3F" w:rsidR="005C0E84" w:rsidRPr="00C47C87" w:rsidRDefault="00C47C87" w:rsidP="00C47C87">
            <w:pPr>
              <w:pStyle w:val="TableTextLeft"/>
            </w:pPr>
            <w:r w:rsidRPr="00C47C87">
              <w:t>Bushfire Behaviour and Management Research Program</w:t>
            </w:r>
          </w:p>
        </w:tc>
        <w:tc>
          <w:tcPr>
            <w:cnfStyle w:val="000010000000" w:firstRow="0" w:lastRow="0" w:firstColumn="0" w:lastColumn="0" w:oddVBand="1" w:evenVBand="0" w:oddHBand="0" w:evenHBand="0" w:firstRowFirstColumn="0" w:firstRowLastColumn="0" w:lastRowFirstColumn="0" w:lastRowLastColumn="0"/>
            <w:tcW w:w="3551" w:type="pct"/>
          </w:tcPr>
          <w:p w14:paraId="6396DB21" w14:textId="243490B7" w:rsidR="005C0E84" w:rsidRPr="00C47C87" w:rsidRDefault="3A8DAF62" w:rsidP="00C47C87">
            <w:pPr>
              <w:pStyle w:val="TableTextLeft"/>
            </w:pPr>
            <w:r>
              <w:t>University of Melbourne are undertaking research to understand and predict fire behaviour and the impact on human and environmental features in the landscape, with the goal of better quantifying fire risk decisions.</w:t>
            </w:r>
          </w:p>
        </w:tc>
      </w:tr>
      <w:tr w:rsidR="00C47C87" w:rsidRPr="00050253" w14:paraId="34F55333" w14:textId="77777777" w:rsidTr="17F89C35">
        <w:tc>
          <w:tcPr>
            <w:tcW w:w="5000" w:type="pct"/>
            <w:gridSpan w:val="2"/>
          </w:tcPr>
          <w:p w14:paraId="52E1A149" w14:textId="4532353B" w:rsidR="00C47C87" w:rsidRPr="005C0E84" w:rsidRDefault="00C47C87" w:rsidP="009A0CA2">
            <w:pPr>
              <w:pStyle w:val="TableTextLeft"/>
            </w:pPr>
            <w:r w:rsidRPr="00E05A33">
              <w:rPr>
                <w:b/>
              </w:rPr>
              <w:t>Improving our understanding of climate impacts and developing long-term approaches to management</w:t>
            </w:r>
          </w:p>
        </w:tc>
      </w:tr>
      <w:tr w:rsidR="005C0E84" w:rsidRPr="00050253" w14:paraId="5D0E811B" w14:textId="77777777" w:rsidTr="17F89C35">
        <w:tc>
          <w:tcPr>
            <w:tcW w:w="1449" w:type="pct"/>
          </w:tcPr>
          <w:p w14:paraId="428591A9" w14:textId="041F6E0E" w:rsidR="005C0E84" w:rsidRPr="00C47C87" w:rsidRDefault="00C47C87" w:rsidP="00C47C87">
            <w:pPr>
              <w:pStyle w:val="TableTextLeft"/>
            </w:pPr>
            <w:r w:rsidRPr="00C47C87">
              <w:t>Alpine Ash research project</w:t>
            </w:r>
          </w:p>
        </w:tc>
        <w:tc>
          <w:tcPr>
            <w:cnfStyle w:val="000010000000" w:firstRow="0" w:lastRow="0" w:firstColumn="0" w:lastColumn="0" w:oddVBand="1" w:evenVBand="0" w:oddHBand="0" w:evenHBand="0" w:firstRowFirstColumn="0" w:firstRowLastColumn="0" w:lastRowFirstColumn="0" w:lastRowLastColumn="0"/>
            <w:tcW w:w="3551" w:type="pct"/>
          </w:tcPr>
          <w:p w14:paraId="28A50070" w14:textId="3841EC2D" w:rsidR="005C0E84" w:rsidRPr="00C47C87" w:rsidRDefault="00C47C87" w:rsidP="00C47C87">
            <w:pPr>
              <w:pStyle w:val="TableTextLeft"/>
            </w:pPr>
            <w:r w:rsidRPr="00C47C87">
              <w:t xml:space="preserve">University of Melbourne and DELWP are undertaking research to gain a better understanding of alpine ash seed ecology and how the population might be demonstrating local genetic adaptation to climate change.  </w:t>
            </w:r>
          </w:p>
        </w:tc>
      </w:tr>
      <w:tr w:rsidR="005C0E84" w:rsidRPr="00050253" w14:paraId="20C125CE" w14:textId="77777777" w:rsidTr="17F89C35">
        <w:tc>
          <w:tcPr>
            <w:tcW w:w="1449" w:type="pct"/>
          </w:tcPr>
          <w:p w14:paraId="107BE066" w14:textId="14CB6203" w:rsidR="005C0E84" w:rsidRPr="00C47C87" w:rsidRDefault="00C47C87" w:rsidP="00C47C87">
            <w:pPr>
              <w:pStyle w:val="TableTextLeft"/>
            </w:pPr>
            <w:r w:rsidRPr="00C47C87">
              <w:t>Victorian Coastal Monitoring Programs 2017-Current</w:t>
            </w:r>
          </w:p>
        </w:tc>
        <w:tc>
          <w:tcPr>
            <w:cnfStyle w:val="000010000000" w:firstRow="0" w:lastRow="0" w:firstColumn="0" w:lastColumn="0" w:oddVBand="1" w:evenVBand="0" w:oddHBand="0" w:evenHBand="0" w:firstRowFirstColumn="0" w:firstRowLastColumn="0" w:lastRowFirstColumn="0" w:lastRowLastColumn="0"/>
            <w:tcW w:w="3551" w:type="pct"/>
          </w:tcPr>
          <w:p w14:paraId="64E96414" w14:textId="3C336A4D" w:rsidR="00C47C87" w:rsidRPr="00C47C87" w:rsidRDefault="00C47C87" w:rsidP="00C47C87">
            <w:pPr>
              <w:pStyle w:val="TableTextLeft"/>
            </w:pPr>
            <w:r w:rsidRPr="00C47C87">
              <w:t xml:space="preserve">DELWP initiated </w:t>
            </w:r>
            <w:hyperlink r:id="rId35" w:history="1">
              <w:r w:rsidRPr="00C47C87">
                <w:rPr>
                  <w:rStyle w:val="Hyperlink"/>
                  <w:color w:val="363534" w:themeColor="text1"/>
                  <w:u w:val="none"/>
                </w:rPr>
                <w:t>coastal monitoring programs</w:t>
              </w:r>
            </w:hyperlink>
            <w:r w:rsidRPr="00C47C87">
              <w:t xml:space="preserve"> in 2017 to explore the interconnectedness that drives shoreline changes in Victoria and develop predictive models of future shoreline behaviour through understanding sediment dynamics. To provide communities with information on changing coastal hazards and the expected longer-term impacts on the coast to support adaptation planning</w:t>
            </w:r>
          </w:p>
          <w:p w14:paraId="7B5C58A2" w14:textId="68B140E2" w:rsidR="005C0E84" w:rsidRPr="005C0E84" w:rsidRDefault="00C47C87" w:rsidP="00C47C87">
            <w:pPr>
              <w:pStyle w:val="TableTextLeft"/>
            </w:pPr>
            <w:r w:rsidRPr="00C47C87">
              <w:t xml:space="preserve">Citizen scientists are collecting imagery using </w:t>
            </w:r>
            <w:hyperlink r:id="rId36" w:history="1">
              <w:r w:rsidRPr="00C47C87">
                <w:rPr>
                  <w:rStyle w:val="Hyperlink"/>
                  <w:color w:val="363534" w:themeColor="text1"/>
                  <w:u w:val="none"/>
                </w:rPr>
                <w:t>drones</w:t>
              </w:r>
            </w:hyperlink>
            <w:r w:rsidRPr="00C47C87">
              <w:t xml:space="preserve"> and fixed cameras using </w:t>
            </w:r>
            <w:hyperlink r:id="rId37" w:history="1">
              <w:proofErr w:type="spellStart"/>
              <w:r w:rsidRPr="00C47C87">
                <w:rPr>
                  <w:rStyle w:val="Hyperlink"/>
                  <w:color w:val="363534" w:themeColor="text1"/>
                  <w:u w:val="none"/>
                </w:rPr>
                <w:t>CoastSnap</w:t>
              </w:r>
              <w:proofErr w:type="spellEnd"/>
            </w:hyperlink>
            <w:r w:rsidRPr="00C47C87">
              <w:t xml:space="preserve"> to monitor shoreline position, and also apply machine learning techniques to track numbers of beach users.</w:t>
            </w:r>
          </w:p>
        </w:tc>
      </w:tr>
      <w:tr w:rsidR="005C0E84" w:rsidRPr="00050253" w14:paraId="18D7A653" w14:textId="77777777" w:rsidTr="17F89C35">
        <w:tc>
          <w:tcPr>
            <w:tcW w:w="1449" w:type="pct"/>
          </w:tcPr>
          <w:p w14:paraId="2CD4197E" w14:textId="360FBBB9" w:rsidR="005C0E84" w:rsidRPr="00C47C87" w:rsidRDefault="00C47C87" w:rsidP="00C47C87">
            <w:pPr>
              <w:pStyle w:val="TableTextLeft"/>
            </w:pPr>
            <w:r w:rsidRPr="00C47C87">
              <w:t>Victoria’s Resilient Coast Adapting for 2100+</w:t>
            </w:r>
          </w:p>
        </w:tc>
        <w:tc>
          <w:tcPr>
            <w:cnfStyle w:val="000010000000" w:firstRow="0" w:lastRow="0" w:firstColumn="0" w:lastColumn="0" w:oddVBand="1" w:evenVBand="0" w:oddHBand="0" w:evenHBand="0" w:firstRowFirstColumn="0" w:firstRowLastColumn="0" w:lastRowFirstColumn="0" w:lastRowLastColumn="0"/>
            <w:tcW w:w="3551" w:type="pct"/>
          </w:tcPr>
          <w:p w14:paraId="745B3576" w14:textId="77777777" w:rsidR="00C47C87" w:rsidRPr="001761DD" w:rsidRDefault="00C47C87" w:rsidP="00C47C87">
            <w:pPr>
              <w:pStyle w:val="TableTextLeft"/>
            </w:pPr>
            <w:r w:rsidRPr="001761DD">
              <w:t>A state-wide approach to long-term coastal hazard resilience and adaptation. That includes the development of a framework, guidelines, and funding program to:</w:t>
            </w:r>
          </w:p>
          <w:p w14:paraId="6A1ED671" w14:textId="77777777" w:rsidR="00C47C87" w:rsidRPr="001761DD" w:rsidRDefault="00C47C87" w:rsidP="00C47C87">
            <w:pPr>
              <w:pStyle w:val="TableTextBullet"/>
            </w:pPr>
            <w:r w:rsidRPr="001761DD">
              <w:t>Support local government, land managers and communities to adapt to the impacts of climate change on the coast.</w:t>
            </w:r>
          </w:p>
          <w:p w14:paraId="3C15A084" w14:textId="77777777" w:rsidR="00C47C87" w:rsidRPr="001761DD" w:rsidRDefault="00C47C87" w:rsidP="00C47C87">
            <w:pPr>
              <w:pStyle w:val="TableTextBullet"/>
            </w:pPr>
            <w:r w:rsidRPr="001761DD">
              <w:t>Enable place-based, leading practice, long-term (2100+) coastal hazard adaptation.</w:t>
            </w:r>
          </w:p>
          <w:p w14:paraId="5FE2BF74" w14:textId="22EF8221" w:rsidR="005C0E84" w:rsidRPr="00C47C87" w:rsidRDefault="00C47C87" w:rsidP="00C47C87">
            <w:pPr>
              <w:pStyle w:val="TableTextBullet"/>
            </w:pPr>
            <w:r w:rsidRPr="001761DD">
              <w:t>Build on the directions in the Marine and Coastal Policy.</w:t>
            </w:r>
          </w:p>
        </w:tc>
      </w:tr>
      <w:tr w:rsidR="005C0E84" w:rsidRPr="00050253" w14:paraId="56AF225F" w14:textId="77777777" w:rsidTr="17F89C35">
        <w:tc>
          <w:tcPr>
            <w:tcW w:w="1449" w:type="pct"/>
          </w:tcPr>
          <w:p w14:paraId="2414882F" w14:textId="36385BEE" w:rsidR="005C0E84" w:rsidRPr="00C47C87" w:rsidRDefault="00C47C87" w:rsidP="00C47C87">
            <w:pPr>
              <w:pStyle w:val="TableTextLeft"/>
            </w:pPr>
            <w:r w:rsidRPr="00C47C87">
              <w:t>Cape to Cape resilience project</w:t>
            </w:r>
          </w:p>
        </w:tc>
        <w:tc>
          <w:tcPr>
            <w:cnfStyle w:val="000010000000" w:firstRow="0" w:lastRow="0" w:firstColumn="0" w:lastColumn="0" w:oddVBand="1" w:evenVBand="0" w:oddHBand="0" w:evenHBand="0" w:firstRowFirstColumn="0" w:firstRowLastColumn="0" w:lastRowFirstColumn="0" w:lastRowLastColumn="0"/>
            <w:tcW w:w="3551" w:type="pct"/>
          </w:tcPr>
          <w:p w14:paraId="42B9383C" w14:textId="07B1F9EE" w:rsidR="005C0E84" w:rsidRPr="005C0E84" w:rsidRDefault="00C47C87" w:rsidP="009A0CA2">
            <w:pPr>
              <w:pStyle w:val="TableTextLeft"/>
            </w:pPr>
            <w:r w:rsidRPr="00C47C87">
              <w:t>The project is a plan for managing future changes to the coastline between Cape Paterson and Cape Liptrap. This project combines the latest science,</w:t>
            </w:r>
            <w:r w:rsidRPr="00747B9F">
              <w:rPr>
                <w:rFonts w:cstheme="minorHAnsi"/>
                <w:spacing w:val="-5"/>
                <w:sz w:val="20"/>
                <w:shd w:val="clear" w:color="auto" w:fill="FFFFFF"/>
              </w:rPr>
              <w:t xml:space="preserve"> </w:t>
            </w:r>
            <w:r w:rsidRPr="00C47C87">
              <w:t xml:space="preserve">technical </w:t>
            </w:r>
            <w:proofErr w:type="gramStart"/>
            <w:r w:rsidRPr="00C47C87">
              <w:t>assessments</w:t>
            </w:r>
            <w:proofErr w:type="gramEnd"/>
            <w:r w:rsidRPr="00C47C87">
              <w:t xml:space="preserve"> and community aspirations to develop a long-term plan to manage important places, assets and other values in the future. The project is be developed through a Regional and Strategic Partnership</w:t>
            </w:r>
            <w:r w:rsidR="00CA50DF">
              <w:t xml:space="preserve">, </w:t>
            </w:r>
            <w:r w:rsidRPr="00C47C87">
              <w:t>the first R</w:t>
            </w:r>
            <w:r w:rsidR="00CA50DF">
              <w:t xml:space="preserve">egional and </w:t>
            </w:r>
            <w:r w:rsidRPr="00C47C87">
              <w:t>S</w:t>
            </w:r>
            <w:r w:rsidR="00CA50DF">
              <w:t xml:space="preserve">trategic </w:t>
            </w:r>
            <w:r w:rsidRPr="00C47C87">
              <w:t>P</w:t>
            </w:r>
            <w:r w:rsidR="00CA50DF">
              <w:t>artnership</w:t>
            </w:r>
            <w:r w:rsidRPr="00C47C87">
              <w:t> established under the Marine and Coastal Act 2018. It brings ten agencies together to respond to key coastal hazard and climate change issues.</w:t>
            </w:r>
          </w:p>
        </w:tc>
      </w:tr>
      <w:tr w:rsidR="00C47C87" w:rsidRPr="00050253" w14:paraId="6D5FD542" w14:textId="77777777" w:rsidTr="17F89C35">
        <w:tc>
          <w:tcPr>
            <w:tcW w:w="1449" w:type="pct"/>
          </w:tcPr>
          <w:p w14:paraId="27816ADC" w14:textId="0BD3FEE0" w:rsidR="00C47C87" w:rsidRPr="00C47C87" w:rsidRDefault="00C47C87" w:rsidP="00C47C87">
            <w:pPr>
              <w:pStyle w:val="TableTextLeft"/>
            </w:pPr>
            <w:r w:rsidRPr="00C47C87">
              <w:t xml:space="preserve">Implementing the </w:t>
            </w:r>
            <w:r w:rsidR="00CA50DF">
              <w:t>M</w:t>
            </w:r>
            <w:r w:rsidRPr="00C47C87">
              <w:t xml:space="preserve">arine </w:t>
            </w:r>
            <w:r w:rsidR="00CA50DF">
              <w:t>S</w:t>
            </w:r>
            <w:r w:rsidRPr="00C47C87">
              <w:t xml:space="preserve">patial </w:t>
            </w:r>
            <w:r w:rsidR="00CA50DF">
              <w:t>P</w:t>
            </w:r>
            <w:r w:rsidRPr="00C47C87">
              <w:t xml:space="preserve">lanning </w:t>
            </w:r>
            <w:r w:rsidR="00CA50DF">
              <w:t>F</w:t>
            </w:r>
            <w:r w:rsidRPr="00C47C87">
              <w:t>ramework</w:t>
            </w:r>
          </w:p>
        </w:tc>
        <w:tc>
          <w:tcPr>
            <w:cnfStyle w:val="000010000000" w:firstRow="0" w:lastRow="0" w:firstColumn="0" w:lastColumn="0" w:oddVBand="1" w:evenVBand="0" w:oddHBand="0" w:evenHBand="0" w:firstRowFirstColumn="0" w:firstRowLastColumn="0" w:lastRowFirstColumn="0" w:lastRowLastColumn="0"/>
            <w:tcW w:w="3551" w:type="pct"/>
          </w:tcPr>
          <w:p w14:paraId="0969F333" w14:textId="0BB2A80D" w:rsidR="00C47C87" w:rsidRPr="00C47C87" w:rsidRDefault="00C47C87" w:rsidP="00C47C87">
            <w:pPr>
              <w:pStyle w:val="TableTextLeft"/>
            </w:pPr>
            <w:r w:rsidRPr="00C47C87">
              <w:t xml:space="preserve">DELWP is leading the implementation of the </w:t>
            </w:r>
            <w:r w:rsidR="00CA50DF">
              <w:t>Marine Spatial Planning</w:t>
            </w:r>
            <w:r w:rsidRPr="00C47C87">
              <w:t xml:space="preserve"> Framework, engaging with Traditional Owners and Aboriginal communities, industries, marine </w:t>
            </w:r>
            <w:proofErr w:type="gramStart"/>
            <w:r w:rsidRPr="00C47C87">
              <w:t>users</w:t>
            </w:r>
            <w:proofErr w:type="gramEnd"/>
            <w:r w:rsidRPr="00C47C87">
              <w:t xml:space="preserve"> and government agencies. To support implementation, a state-wide approach is being used to determine marine planning areas and identify where might benefit from a </w:t>
            </w:r>
            <w:r w:rsidR="00CA50DF">
              <w:t>marine spatial planning</w:t>
            </w:r>
            <w:r w:rsidRPr="00C47C87">
              <w:t xml:space="preserve"> process occurring. The state-wide approach will </w:t>
            </w:r>
            <w:r w:rsidRPr="00C47C87">
              <w:lastRenderedPageBreak/>
              <w:t xml:space="preserve">consider where multiple activities, uses and values overlap and potentially conflict, and where </w:t>
            </w:r>
            <w:r w:rsidR="00CA50DF">
              <w:t>marine spatial planning</w:t>
            </w:r>
            <w:r w:rsidR="00CA50DF" w:rsidRPr="00C47C87">
              <w:t xml:space="preserve"> </w:t>
            </w:r>
            <w:r w:rsidRPr="00C47C87">
              <w:t xml:space="preserve">may be useful. </w:t>
            </w:r>
            <w:r w:rsidR="00CA50DF">
              <w:t>Marine spatial planning</w:t>
            </w:r>
            <w:r w:rsidR="00CA50DF" w:rsidRPr="00C47C87">
              <w:t xml:space="preserve"> </w:t>
            </w:r>
            <w:r w:rsidRPr="00C47C87">
              <w:t>guidelines are also being prepared to provide instructions on how to undertake</w:t>
            </w:r>
            <w:r w:rsidR="00CA50DF">
              <w:t xml:space="preserve"> marine spatial planning</w:t>
            </w:r>
            <w:r w:rsidRPr="00C47C87">
              <w:t xml:space="preserve"> in a planning area. </w:t>
            </w:r>
          </w:p>
          <w:p w14:paraId="2AED5197" w14:textId="77777777" w:rsidR="00C47C87" w:rsidRPr="00C47C87" w:rsidRDefault="00C47C87" w:rsidP="00C47C87">
            <w:pPr>
              <w:pStyle w:val="TableTextLeft"/>
            </w:pPr>
          </w:p>
        </w:tc>
      </w:tr>
    </w:tbl>
    <w:p w14:paraId="61FB66DD" w14:textId="732B0397" w:rsidR="005C0E84" w:rsidRDefault="005C0E84" w:rsidP="005C0E84">
      <w:pPr>
        <w:pStyle w:val="BodyText"/>
        <w:rPr>
          <w:lang w:eastAsia="en-AU"/>
        </w:rPr>
      </w:pPr>
    </w:p>
    <w:p w14:paraId="245F9E25" w14:textId="77777777" w:rsidR="00816B3F" w:rsidRPr="00816B3F" w:rsidRDefault="00816B3F" w:rsidP="00816B3F">
      <w:pPr>
        <w:pStyle w:val="CaptionImageorFigure"/>
        <w:rPr>
          <w:rStyle w:val="normaltextrun"/>
          <w:sz w:val="18"/>
          <w:szCs w:val="22"/>
        </w:rPr>
      </w:pPr>
      <w:r w:rsidRPr="00816B3F">
        <w:rPr>
          <w:rStyle w:val="normaltextrun"/>
          <w:sz w:val="18"/>
          <w:szCs w:val="22"/>
        </w:rPr>
        <w:t xml:space="preserve">Table 4:  Projects and programs that contribute to Priority Focus Area 3 </w:t>
      </w:r>
      <w:r w:rsidRPr="00816B3F">
        <w:rPr>
          <w:rStyle w:val="normaltextrun"/>
          <w:i/>
          <w:iCs/>
          <w:sz w:val="18"/>
          <w:szCs w:val="22"/>
        </w:rPr>
        <w:t>Lay foundations for transformational adaptation</w:t>
      </w:r>
    </w:p>
    <w:tbl>
      <w:tblPr>
        <w:tblStyle w:val="TableGrid"/>
        <w:tblW w:w="4792" w:type="pct"/>
        <w:tblLook w:val="00A0" w:firstRow="1" w:lastRow="0" w:firstColumn="1" w:lastColumn="0" w:noHBand="0" w:noVBand="0"/>
      </w:tblPr>
      <w:tblGrid>
        <w:gridCol w:w="2834"/>
        <w:gridCol w:w="6946"/>
      </w:tblGrid>
      <w:tr w:rsidR="005C0E84" w:rsidRPr="00050253" w14:paraId="5F8F934F" w14:textId="77777777" w:rsidTr="009A0CA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449" w:type="pct"/>
          </w:tcPr>
          <w:p w14:paraId="45D22420" w14:textId="374A73D0" w:rsidR="005C0E84" w:rsidRPr="00C47C87" w:rsidRDefault="00C47C87" w:rsidP="00C47C87">
            <w:pPr>
              <w:pStyle w:val="TableTextLeftBold"/>
            </w:pPr>
            <w:r w:rsidRPr="00C47C87">
              <w:t>Project/Program</w:t>
            </w:r>
          </w:p>
        </w:tc>
        <w:tc>
          <w:tcPr>
            <w:cnfStyle w:val="000010000000" w:firstRow="0" w:lastRow="0" w:firstColumn="0" w:lastColumn="0" w:oddVBand="1" w:evenVBand="0" w:oddHBand="0" w:evenHBand="0" w:firstRowFirstColumn="0" w:firstRowLastColumn="0" w:lastRowFirstColumn="0" w:lastRowLastColumn="0"/>
            <w:tcW w:w="3551" w:type="pct"/>
          </w:tcPr>
          <w:p w14:paraId="29C0ABE7" w14:textId="675155E6" w:rsidR="005C0E84" w:rsidRPr="00C47C87" w:rsidRDefault="00C47C87" w:rsidP="00C47C87">
            <w:pPr>
              <w:pStyle w:val="TableTextLeftBold"/>
            </w:pPr>
            <w:r w:rsidRPr="00C47C87">
              <w:t>Description</w:t>
            </w:r>
          </w:p>
        </w:tc>
      </w:tr>
      <w:tr w:rsidR="001E4CB0" w:rsidRPr="00050253" w14:paraId="23F25410" w14:textId="77777777" w:rsidTr="001E4CB0">
        <w:tc>
          <w:tcPr>
            <w:tcW w:w="5000" w:type="pct"/>
            <w:gridSpan w:val="2"/>
          </w:tcPr>
          <w:p w14:paraId="53F61E39" w14:textId="6B0A0502" w:rsidR="001E4CB0" w:rsidRPr="005C0E84" w:rsidRDefault="001E4CB0" w:rsidP="009A0CA2">
            <w:pPr>
              <w:pStyle w:val="TableTextLeft"/>
            </w:pPr>
            <w:r>
              <w:rPr>
                <w:b/>
              </w:rPr>
              <w:t>Preparing for a range of future management options</w:t>
            </w:r>
          </w:p>
        </w:tc>
      </w:tr>
      <w:tr w:rsidR="005C0E84" w:rsidRPr="00050253" w14:paraId="7865DA15" w14:textId="77777777" w:rsidTr="009A0CA2">
        <w:tc>
          <w:tcPr>
            <w:tcW w:w="1449" w:type="pct"/>
          </w:tcPr>
          <w:p w14:paraId="228FBE1C" w14:textId="7D1832A4" w:rsidR="005C0E84" w:rsidRPr="001E4CB0" w:rsidRDefault="00C47C87" w:rsidP="001E4CB0">
            <w:pPr>
              <w:pStyle w:val="TableTextLeft"/>
            </w:pPr>
            <w:proofErr w:type="spellStart"/>
            <w:r w:rsidRPr="001E4CB0">
              <w:t>Cryodiversity</w:t>
            </w:r>
            <w:proofErr w:type="spellEnd"/>
            <w:r w:rsidRPr="001E4CB0">
              <w:t xml:space="preserve"> banking feasibility assessment</w:t>
            </w:r>
          </w:p>
        </w:tc>
        <w:tc>
          <w:tcPr>
            <w:cnfStyle w:val="000010000000" w:firstRow="0" w:lastRow="0" w:firstColumn="0" w:lastColumn="0" w:oddVBand="1" w:evenVBand="0" w:oddHBand="0" w:evenHBand="0" w:firstRowFirstColumn="0" w:firstRowLastColumn="0" w:lastRowFirstColumn="0" w:lastRowLastColumn="0"/>
            <w:tcW w:w="3551" w:type="pct"/>
          </w:tcPr>
          <w:p w14:paraId="7F7CF8E8" w14:textId="031DD766" w:rsidR="005C0E84" w:rsidRPr="001E4CB0" w:rsidRDefault="00F41C6D" w:rsidP="001E4CB0">
            <w:pPr>
              <w:pStyle w:val="TableTextLeft"/>
            </w:pPr>
            <w:r>
              <w:t>Museums</w:t>
            </w:r>
            <w:r w:rsidR="00C47C87" w:rsidRPr="001E4CB0">
              <w:t xml:space="preserve"> Victoria in partnership with DELWP are undertaking a </w:t>
            </w:r>
            <w:proofErr w:type="spellStart"/>
            <w:r w:rsidR="00C47C87" w:rsidRPr="001E4CB0">
              <w:t>cryodiversity</w:t>
            </w:r>
            <w:proofErr w:type="spellEnd"/>
            <w:r w:rsidR="00C47C87" w:rsidRPr="001E4CB0">
              <w:t xml:space="preserve"> banking feasibility assessment to assess whether Victoria is a good place to develop </w:t>
            </w:r>
            <w:proofErr w:type="spellStart"/>
            <w:r w:rsidR="00C47C87" w:rsidRPr="001E4CB0">
              <w:t>cryodiversity</w:t>
            </w:r>
            <w:proofErr w:type="spellEnd"/>
            <w:r w:rsidR="00C47C87" w:rsidRPr="001E4CB0">
              <w:t xml:space="preserve"> banking.</w:t>
            </w:r>
          </w:p>
        </w:tc>
      </w:tr>
      <w:tr w:rsidR="005C0E84" w:rsidRPr="00050253" w14:paraId="535EAD5E" w14:textId="77777777" w:rsidTr="009A0CA2">
        <w:tc>
          <w:tcPr>
            <w:tcW w:w="1449" w:type="pct"/>
          </w:tcPr>
          <w:p w14:paraId="766C56EE" w14:textId="0A0CBF68" w:rsidR="005C0E84" w:rsidRPr="001E4CB0" w:rsidRDefault="00C47C87" w:rsidP="001E4CB0">
            <w:pPr>
              <w:pStyle w:val="TableTextLeft"/>
            </w:pPr>
            <w:r w:rsidRPr="001E4CB0">
              <w:t>Genetic Risk Index</w:t>
            </w:r>
          </w:p>
        </w:tc>
        <w:tc>
          <w:tcPr>
            <w:cnfStyle w:val="000010000000" w:firstRow="0" w:lastRow="0" w:firstColumn="0" w:lastColumn="0" w:oddVBand="1" w:evenVBand="0" w:oddHBand="0" w:evenHBand="0" w:firstRowFirstColumn="0" w:firstRowLastColumn="0" w:lastRowFirstColumn="0" w:lastRowLastColumn="0"/>
            <w:tcW w:w="3551" w:type="pct"/>
          </w:tcPr>
          <w:p w14:paraId="354FD9AE" w14:textId="1744D948" w:rsidR="005C0E84" w:rsidRPr="001E4CB0" w:rsidRDefault="00C47C87" w:rsidP="001E4CB0">
            <w:pPr>
              <w:pStyle w:val="TableTextLeft"/>
            </w:pPr>
            <w:r w:rsidRPr="001E4CB0">
              <w:t>DELWP has developed a genetic risk index that identifies the genetic risk for species. This can be used to inform decision making.</w:t>
            </w:r>
          </w:p>
        </w:tc>
      </w:tr>
      <w:tr w:rsidR="005C0E84" w:rsidRPr="00050253" w14:paraId="7D11B5F6" w14:textId="77777777" w:rsidTr="009A0CA2">
        <w:tc>
          <w:tcPr>
            <w:tcW w:w="1449" w:type="pct"/>
          </w:tcPr>
          <w:p w14:paraId="722DE216" w14:textId="74FF9DFE" w:rsidR="005C0E84" w:rsidRPr="001E4CB0" w:rsidRDefault="00C47C87" w:rsidP="001E4CB0">
            <w:pPr>
              <w:pStyle w:val="TableTextLeft"/>
            </w:pPr>
            <w:r w:rsidRPr="001E4CB0">
              <w:t>Conserving rare species for future climates</w:t>
            </w:r>
          </w:p>
        </w:tc>
        <w:tc>
          <w:tcPr>
            <w:cnfStyle w:val="000010000000" w:firstRow="0" w:lastRow="0" w:firstColumn="0" w:lastColumn="0" w:oddVBand="1" w:evenVBand="0" w:oddHBand="0" w:evenHBand="0" w:firstRowFirstColumn="0" w:firstRowLastColumn="0" w:lastRowFirstColumn="0" w:lastRowLastColumn="0"/>
            <w:tcW w:w="3551" w:type="pct"/>
          </w:tcPr>
          <w:p w14:paraId="65475842" w14:textId="789282FF" w:rsidR="005C0E84" w:rsidRPr="001E4CB0" w:rsidRDefault="001E4CB0" w:rsidP="001E4CB0">
            <w:pPr>
              <w:pStyle w:val="TableTextLeft"/>
            </w:pPr>
            <w:r w:rsidRPr="001E4CB0">
              <w:rPr>
                <w:rFonts w:eastAsiaTheme="minorHAnsi"/>
              </w:rPr>
              <w:t xml:space="preserve">The Royal Botanic Gardens plays a critical role in the conservation of rare and threatened species, through research and ex situ protection in seed banks and in living collections. This landmark project sought to identify a suite of nationally and globally threatened plant species that are not currently grown in Royal Botanic Gardens </w:t>
            </w:r>
            <w:proofErr w:type="gramStart"/>
            <w:r w:rsidRPr="001E4CB0">
              <w:rPr>
                <w:rFonts w:eastAsiaTheme="minorHAnsi"/>
              </w:rPr>
              <w:t>Victoria, but</w:t>
            </w:r>
            <w:proofErr w:type="gramEnd"/>
            <w:r w:rsidRPr="001E4CB0">
              <w:rPr>
                <w:rFonts w:eastAsiaTheme="minorHAnsi"/>
              </w:rPr>
              <w:t xml:space="preserve"> may be well suited to Melbourne’s future climate.</w:t>
            </w:r>
          </w:p>
        </w:tc>
      </w:tr>
      <w:tr w:rsidR="005C0E84" w:rsidRPr="00050253" w14:paraId="4B6CB116" w14:textId="77777777" w:rsidTr="009A0CA2">
        <w:tc>
          <w:tcPr>
            <w:tcW w:w="1449" w:type="pct"/>
          </w:tcPr>
          <w:p w14:paraId="2B7EA457" w14:textId="760BA01E" w:rsidR="005C0E84" w:rsidRPr="001E4CB0" w:rsidRDefault="001E4CB0" w:rsidP="001E4CB0">
            <w:pPr>
              <w:pStyle w:val="TableTextLeft"/>
            </w:pPr>
            <w:r w:rsidRPr="001E4CB0">
              <w:t>Spore banking</w:t>
            </w:r>
          </w:p>
        </w:tc>
        <w:tc>
          <w:tcPr>
            <w:cnfStyle w:val="000010000000" w:firstRow="0" w:lastRow="0" w:firstColumn="0" w:lastColumn="0" w:oddVBand="1" w:evenVBand="0" w:oddHBand="0" w:evenHBand="0" w:firstRowFirstColumn="0" w:firstRowLastColumn="0" w:lastRowFirstColumn="0" w:lastRowLastColumn="0"/>
            <w:tcW w:w="3551" w:type="pct"/>
          </w:tcPr>
          <w:p w14:paraId="34736EC1" w14:textId="40294A2E" w:rsidR="005C0E84" w:rsidRPr="001E4CB0" w:rsidRDefault="001E4CB0" w:rsidP="001E4CB0">
            <w:pPr>
              <w:pStyle w:val="TableTextLeft"/>
            </w:pPr>
            <w:r w:rsidRPr="001E4CB0">
              <w:t>DELWP is preparing a project aiming to collect and freeze spores from fern species in Victoria.</w:t>
            </w:r>
          </w:p>
        </w:tc>
      </w:tr>
      <w:tr w:rsidR="3D3F7056" w14:paraId="27EDF486" w14:textId="77777777" w:rsidTr="3D3F7056">
        <w:tc>
          <w:tcPr>
            <w:tcW w:w="2834" w:type="dxa"/>
          </w:tcPr>
          <w:p w14:paraId="78AD65D2" w14:textId="21C230C5" w:rsidR="752A5243" w:rsidRDefault="752A5243" w:rsidP="3D3F7056">
            <w:pPr>
              <w:pStyle w:val="TableTextLeft"/>
              <w:rPr>
                <w:szCs w:val="18"/>
              </w:rPr>
            </w:pPr>
            <w:r w:rsidRPr="3D3F7056">
              <w:rPr>
                <w:szCs w:val="18"/>
              </w:rPr>
              <w:t>Improving knowledge on translocations</w:t>
            </w:r>
            <w:r w:rsidR="003A2A17">
              <w:rPr>
                <w:szCs w:val="18"/>
              </w:rPr>
              <w:t xml:space="preserve"> and conservation</w:t>
            </w:r>
          </w:p>
        </w:tc>
        <w:tc>
          <w:tcPr>
            <w:cnfStyle w:val="000010000000" w:firstRow="0" w:lastRow="0" w:firstColumn="0" w:lastColumn="0" w:oddVBand="1" w:evenVBand="0" w:oddHBand="0" w:evenHBand="0" w:firstRowFirstColumn="0" w:firstRowLastColumn="0" w:lastRowFirstColumn="0" w:lastRowLastColumn="0"/>
            <w:tcW w:w="6946" w:type="dxa"/>
          </w:tcPr>
          <w:p w14:paraId="3BCF66CE" w14:textId="6228A1A6" w:rsidR="3D3F7056" w:rsidRDefault="00B52F19" w:rsidP="3D3F7056">
            <w:pPr>
              <w:pStyle w:val="TableTextLeft"/>
            </w:pPr>
            <w:r w:rsidRPr="00B52F19">
              <w:rPr>
                <w:rFonts w:eastAsiaTheme="minorHAnsi"/>
              </w:rPr>
              <w:t>Environmental non-government organisations</w:t>
            </w:r>
            <w:r w:rsidR="752A5243" w:rsidRPr="00B52F19">
              <w:rPr>
                <w:rFonts w:eastAsiaTheme="minorHAnsi"/>
              </w:rPr>
              <w:t>, Zoos Vic</w:t>
            </w:r>
            <w:r w:rsidR="00E30BA4" w:rsidRPr="00B52F19">
              <w:rPr>
                <w:rFonts w:eastAsiaTheme="minorHAnsi"/>
              </w:rPr>
              <w:t>toria</w:t>
            </w:r>
            <w:r w:rsidR="752A5243" w:rsidRPr="00B52F19">
              <w:rPr>
                <w:rFonts w:eastAsiaTheme="minorHAnsi"/>
              </w:rPr>
              <w:t>, DELWP and P</w:t>
            </w:r>
            <w:r w:rsidR="00E30BA4" w:rsidRPr="00B52F19">
              <w:rPr>
                <w:rFonts w:eastAsiaTheme="minorHAnsi"/>
              </w:rPr>
              <w:t xml:space="preserve">arks </w:t>
            </w:r>
            <w:r w:rsidR="752A5243" w:rsidRPr="00B52F19">
              <w:rPr>
                <w:rFonts w:eastAsiaTheme="minorHAnsi"/>
              </w:rPr>
              <w:t>V</w:t>
            </w:r>
            <w:r w:rsidR="00E30BA4" w:rsidRPr="00B52F19">
              <w:rPr>
                <w:rFonts w:eastAsiaTheme="minorHAnsi"/>
              </w:rPr>
              <w:t>ictoria</w:t>
            </w:r>
            <w:r w:rsidR="752A5243" w:rsidRPr="00B52F19">
              <w:rPr>
                <w:rFonts w:eastAsiaTheme="minorHAnsi"/>
              </w:rPr>
              <w:t xml:space="preserve"> </w:t>
            </w:r>
            <w:r w:rsidR="10D30CBD" w:rsidRPr="00B52F19">
              <w:rPr>
                <w:rFonts w:eastAsiaTheme="minorHAnsi"/>
              </w:rPr>
              <w:t>are investing in climate adaptation for wildlife species through translocations, habitat restoration, cryopreservation and captive breeding programs as well as conducting community conservation campaigns and a program to enhance preparedness for future catastrophic and extreme weather to help wildlife affected by events such as the 2020 bushfires.</w:t>
            </w:r>
          </w:p>
        </w:tc>
      </w:tr>
    </w:tbl>
    <w:p w14:paraId="2E153B89" w14:textId="77777777" w:rsidR="005C0E84" w:rsidRPr="005C0E84" w:rsidRDefault="005C0E84" w:rsidP="005C0E84">
      <w:pPr>
        <w:pStyle w:val="BodyText"/>
        <w:rPr>
          <w:lang w:eastAsia="en-AU"/>
        </w:rPr>
      </w:pPr>
    </w:p>
    <w:p w14:paraId="093AD8AA" w14:textId="77777777" w:rsidR="00254A01" w:rsidRDefault="00254A01" w:rsidP="00254A01">
      <w:pPr>
        <w:pStyle w:val="Heading2"/>
      </w:pPr>
    </w:p>
    <w:p w14:paraId="31969965" w14:textId="77777777" w:rsidR="00254A01" w:rsidRDefault="00254A01" w:rsidP="00254A01"/>
    <w:p w14:paraId="798794E6" w14:textId="77777777" w:rsidR="00254A01" w:rsidRDefault="00254A01" w:rsidP="00254A01">
      <w:pPr>
        <w:pStyle w:val="BodyText"/>
      </w:pPr>
    </w:p>
    <w:p w14:paraId="3BC086A6" w14:textId="77777777" w:rsidR="006E1C8D" w:rsidRDefault="006E1C8D" w:rsidP="005D0B1C">
      <w:pPr>
        <w:pStyle w:val="BodyText"/>
      </w:pPr>
    </w:p>
    <w:sectPr w:rsidR="006E1C8D" w:rsidSect="00AA479F">
      <w:headerReference w:type="even" r:id="rId38"/>
      <w:headerReference w:type="default" r:id="rId39"/>
      <w:footerReference w:type="even" r:id="rId40"/>
      <w:footerReference w:type="default" r:id="rId41"/>
      <w:type w:val="continuous"/>
      <w:pgSz w:w="11907" w:h="16840" w:code="9"/>
      <w:pgMar w:top="2211" w:right="851" w:bottom="1758" w:left="851" w:header="283"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A84F2" w14:textId="77777777" w:rsidR="00AF3A91" w:rsidRDefault="00AF3A91">
      <w:r>
        <w:separator/>
      </w:r>
    </w:p>
    <w:p w14:paraId="375AEFE3" w14:textId="77777777" w:rsidR="00AF3A91" w:rsidRDefault="00AF3A91"/>
    <w:p w14:paraId="36B1A53E" w14:textId="77777777" w:rsidR="00AF3A91" w:rsidRDefault="00AF3A91"/>
  </w:endnote>
  <w:endnote w:type="continuationSeparator" w:id="0">
    <w:p w14:paraId="6C28C0B8" w14:textId="77777777" w:rsidR="00AF3A91" w:rsidRDefault="00AF3A91">
      <w:r>
        <w:continuationSeparator/>
      </w:r>
    </w:p>
    <w:p w14:paraId="7276317A" w14:textId="77777777" w:rsidR="00AF3A91" w:rsidRDefault="00AF3A91"/>
    <w:p w14:paraId="3B54FF0B" w14:textId="77777777" w:rsidR="00AF3A91" w:rsidRDefault="00AF3A91"/>
  </w:endnote>
  <w:endnote w:type="continuationNotice" w:id="1">
    <w:p w14:paraId="2EFF29C2" w14:textId="77777777" w:rsidR="00AF3A91" w:rsidRDefault="00AF3A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0B77" w14:textId="107062CB" w:rsidR="00B40C2E" w:rsidRPr="00B5221E" w:rsidRDefault="001E4CB0" w:rsidP="00E97294">
    <w:pPr>
      <w:pStyle w:val="FooterEven"/>
    </w:pPr>
    <w:r>
      <w:rPr>
        <w:noProof/>
      </w:rPr>
      <mc:AlternateContent>
        <mc:Choice Requires="wps">
          <w:drawing>
            <wp:anchor distT="0" distB="0" distL="114300" distR="114300" simplePos="1" relativeHeight="251658262" behindDoc="0" locked="0" layoutInCell="0" allowOverlap="1" wp14:anchorId="428ACD4E" wp14:editId="37D45AAA">
              <wp:simplePos x="0" y="10229453"/>
              <wp:positionH relativeFrom="page">
                <wp:posOffset>0</wp:posOffset>
              </wp:positionH>
              <wp:positionV relativeFrom="page">
                <wp:posOffset>10229215</wp:posOffset>
              </wp:positionV>
              <wp:extent cx="7560945" cy="273050"/>
              <wp:effectExtent l="0" t="0" r="0" b="12700"/>
              <wp:wrapNone/>
              <wp:docPr id="27" name="MSIPCM260c45d6942e4e89edf17984"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2FD79" w14:textId="4156B8EA"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8ACD4E" id="_x0000_t202" coordsize="21600,21600" o:spt="202" path="m,l,21600r21600,l21600,xe">
              <v:stroke joinstyle="miter"/>
              <v:path gradientshapeok="t" o:connecttype="rect"/>
            </v:shapetype>
            <v:shape id="MSIPCM260c45d6942e4e89edf17984"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OrbMiCzAgAASwUA&#10;AA4AAAAAAAAAAAAAAAAALgIAAGRycy9lMm9Eb2MueG1sUEsBAi0AFAAGAAgAAAAhABFyp37fAAAA&#10;CwEAAA8AAAAAAAAAAAAAAAAADQUAAGRycy9kb3ducmV2LnhtbFBLBQYAAAAABAAEAPMAAAAZBgAA&#10;AAA=&#10;" o:allowincell="f" filled="f" stroked="f" strokeweight=".5pt">
              <v:textbox inset=",0,,0">
                <w:txbxContent>
                  <w:p w14:paraId="7062FD79" w14:textId="4156B8EA"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340C6A1" wp14:editId="4533C4A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5245D" w14:textId="3354CC5E"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0C6A1"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5935245D" w14:textId="3354CC5E"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E6A5" w14:textId="78BF46A3" w:rsidR="00B40C2E" w:rsidRDefault="001E4CB0" w:rsidP="00213C82">
    <w:pPr>
      <w:pStyle w:val="Footer"/>
    </w:pPr>
    <w:r>
      <w:rPr>
        <w:noProof/>
      </w:rPr>
      <mc:AlternateContent>
        <mc:Choice Requires="wps">
          <w:drawing>
            <wp:anchor distT="0" distB="0" distL="114300" distR="114300" simplePos="1" relativeHeight="251658260" behindDoc="0" locked="0" layoutInCell="0" allowOverlap="1" wp14:anchorId="5D05E694" wp14:editId="6A4E1E65">
              <wp:simplePos x="0" y="10229453"/>
              <wp:positionH relativeFrom="page">
                <wp:posOffset>0</wp:posOffset>
              </wp:positionH>
              <wp:positionV relativeFrom="page">
                <wp:posOffset>10229215</wp:posOffset>
              </wp:positionV>
              <wp:extent cx="7560945" cy="273050"/>
              <wp:effectExtent l="0" t="0" r="0" b="12700"/>
              <wp:wrapNone/>
              <wp:docPr id="24" name="MSIPCM98124c258ff52bfef124128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DEEEC" w14:textId="71B7910E"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5E694" id="_x0000_t202" coordsize="21600,21600" o:spt="202" path="m,l,21600r21600,l21600,xe">
              <v:stroke joinstyle="miter"/>
              <v:path gradientshapeok="t" o:connecttype="rect"/>
            </v:shapetype>
            <v:shape id="MSIPCM98124c258ff52bfef1241283"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745hfsQIAAE8FAAAO&#10;AAAAAAAAAAAAAAAAAC4CAABkcnMvZTJvRG9jLnhtbFBLAQItABQABgAIAAAAIQARcqd+3wAAAAsB&#10;AAAPAAAAAAAAAAAAAAAAAAsFAABkcnMvZG93bnJldi54bWxQSwUGAAAAAAQABADzAAAAFwYAAAAA&#10;" o:allowincell="f" filled="f" stroked="f" strokeweight=".5pt">
              <v:textbox inset=",0,,0">
                <w:txbxContent>
                  <w:p w14:paraId="1B9DEEEC" w14:textId="71B7910E" w:rsidR="001E4CB0" w:rsidRPr="001E4CB0" w:rsidRDefault="001E4CB0" w:rsidP="001E4CB0">
                    <w:pPr>
                      <w:jc w:val="center"/>
                      <w:rPr>
                        <w:rFonts w:ascii="Calibri" w:hAnsi="Calibri" w:cs="Calibri"/>
                        <w:color w:val="000000"/>
                        <w:sz w:val="24"/>
                      </w:rPr>
                    </w:pPr>
                    <w:r w:rsidRPr="001E4CB0">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4FCD2341" wp14:editId="6DA8E3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DAC0" w14:textId="0E1ECC2C"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2341"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0F7EDAC0" w14:textId="0E1ECC2C"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2E2A" w14:textId="00491150" w:rsidR="00B40C2E" w:rsidRDefault="001E4CB0" w:rsidP="00BF3066">
    <w:pPr>
      <w:pStyle w:val="Footer"/>
      <w:spacing w:before="1600"/>
    </w:pPr>
    <w:r>
      <w:rPr>
        <w:noProof/>
      </w:rPr>
      <mc:AlternateContent>
        <mc:Choice Requires="wps">
          <w:drawing>
            <wp:anchor distT="0" distB="0" distL="114300" distR="114300" simplePos="0" relativeHeight="251658261" behindDoc="0" locked="0" layoutInCell="0" allowOverlap="1" wp14:anchorId="0E29E256" wp14:editId="58DE0759">
              <wp:simplePos x="0" y="0"/>
              <wp:positionH relativeFrom="page">
                <wp:posOffset>0</wp:posOffset>
              </wp:positionH>
              <wp:positionV relativeFrom="page">
                <wp:posOffset>10229215</wp:posOffset>
              </wp:positionV>
              <wp:extent cx="7560945" cy="273050"/>
              <wp:effectExtent l="0" t="0" r="0" b="12700"/>
              <wp:wrapNone/>
              <wp:docPr id="26" name="MSIPCMa2a842c4be6c2cf69f183cd4"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BB0F22" w14:textId="2FB65994" w:rsidR="001E4CB0" w:rsidRPr="001E4CB0" w:rsidRDefault="001E4CB0" w:rsidP="001E4CB0">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29E256" id="_x0000_t202" coordsize="21600,21600" o:spt="202" path="m,l,21600r21600,l21600,xe">
              <v:stroke joinstyle="miter"/>
              <v:path gradientshapeok="t" o:connecttype="rect"/>
            </v:shapetype>
            <v:shape id="MSIPCMa2a842c4be6c2cf69f183cd4"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6lb4GzAgAAUQUA&#10;AA4AAAAAAAAAAAAAAAAALgIAAGRycy9lMm9Eb2MueG1sUEsBAi0AFAAGAAgAAAAhABFyp37fAAAA&#10;CwEAAA8AAAAAAAAAAAAAAAAADQUAAGRycy9kb3ducmV2LnhtbFBLBQYAAAAABAAEAPMAAAAZBgAA&#10;AAA=&#10;" o:allowincell="f" filled="f" stroked="f" strokeweight=".5pt">
              <v:textbox inset=",0,,0">
                <w:txbxContent>
                  <w:p w14:paraId="66BB0F22" w14:textId="2FB65994" w:rsidR="001E4CB0" w:rsidRPr="001E4CB0" w:rsidRDefault="001E4CB0" w:rsidP="001E4CB0">
                    <w:pPr>
                      <w:jc w:val="center"/>
                      <w:rPr>
                        <w:rFonts w:ascii="Calibri" w:hAnsi="Calibri" w:cs="Calibri"/>
                        <w:color w:val="000000"/>
                        <w:sz w:val="24"/>
                      </w:rPr>
                    </w:pP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561EEFCF" wp14:editId="5212B042">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11BF1D0C" wp14:editId="03C900A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417CA302" wp14:editId="3EAAC3B8">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0266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A302"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1840266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ECBD4D4" wp14:editId="2B256437">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22F9" w14:textId="0ACD77AF" w:rsidR="00816B3F" w:rsidRPr="00B5221E" w:rsidRDefault="00816B3F" w:rsidP="00E97294">
    <w:pPr>
      <w:pStyle w:val="FooterEven"/>
    </w:pPr>
    <w:r>
      <w:rPr>
        <w:noProof/>
      </w:rPr>
      <mc:AlternateContent>
        <mc:Choice Requires="wpg">
          <w:drawing>
            <wp:anchor distT="0" distB="0" distL="114300" distR="114300" simplePos="0" relativeHeight="251658258" behindDoc="0" locked="0" layoutInCell="1" allowOverlap="1" wp14:anchorId="0775322B" wp14:editId="36125AF0">
              <wp:simplePos x="0" y="0"/>
              <wp:positionH relativeFrom="page">
                <wp:align>right</wp:align>
              </wp:positionH>
              <wp:positionV relativeFrom="bottomMargin">
                <wp:align>center</wp:align>
              </wp:positionV>
              <wp:extent cx="617220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617220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8A4D8A" w14:textId="73ECC00C" w:rsidR="00816B3F" w:rsidRDefault="00E721E5">
                            <w:pPr>
                              <w:pStyle w:val="Footer"/>
                              <w:jc w:val="right"/>
                            </w:pPr>
                            <w:sdt>
                              <w:sdtPr>
                                <w:rPr>
                                  <w:caps/>
                                  <w:color w:val="00B2A9"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16B3F">
                                  <w:rPr>
                                    <w:caps/>
                                    <w:color w:val="00B2A9" w:themeColor="accent1"/>
                                    <w:sz w:val="20"/>
                                  </w:rPr>
                                  <w:t>Natural environment climate change adaptation action plan 2022-2026 Supporting document - Stocktake</w:t>
                                </w:r>
                              </w:sdtContent>
                            </w:sdt>
                            <w:r w:rsidR="00816B3F">
                              <w:rPr>
                                <w:caps/>
                                <w:color w:val="808080" w:themeColor="background1" w:themeShade="80"/>
                                <w:sz w:val="20"/>
                              </w:rPr>
                              <w:t> | </w:t>
                            </w:r>
                            <w:sdt>
                              <w:sdtPr>
                                <w:rPr>
                                  <w:color w:val="808080" w:themeColor="background1" w:themeShade="80"/>
                                  <w:sz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16B3F">
                                  <w:rPr>
                                    <w:color w:val="808080" w:themeColor="background1" w:themeShade="80"/>
                                    <w:sz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775322B" id="Group 164" o:spid="_x0000_s1032" style="position:absolute;margin-left:434.8pt;margin-top:0;width:486pt;height:31.45pt;z-index:251658258;mso-position-horizontal:right;mso-position-horizontal-relative:page;mso-position-vertical:center;mso-position-vertical-relative:bottom-margin-area"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">
              <v:rect id="Rectangle 165" o:spid="_x0000_s1033"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4" type="#_x0000_t202" style="position:absolute;top:95;width:594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E8A4D8A" w14:textId="73ECC00C" w:rsidR="00816B3F" w:rsidRDefault="00E721E5">
                      <w:pPr>
                        <w:pStyle w:val="Footer"/>
                        <w:jc w:val="right"/>
                      </w:pPr>
                      <w:sdt>
                        <w:sdtPr>
                          <w:rPr>
                            <w:caps/>
                            <w:color w:val="00B2A9" w:themeColor="accent1"/>
                            <w:sz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16B3F">
                            <w:rPr>
                              <w:caps/>
                              <w:color w:val="00B2A9" w:themeColor="accent1"/>
                              <w:sz w:val="20"/>
                            </w:rPr>
                            <w:t>Natural environment climate change adaptation action plan 2022-2026 Supporting document - Stocktake</w:t>
                          </w:r>
                        </w:sdtContent>
                      </w:sdt>
                      <w:r w:rsidR="00816B3F">
                        <w:rPr>
                          <w:caps/>
                          <w:color w:val="808080" w:themeColor="background1" w:themeShade="80"/>
                          <w:sz w:val="20"/>
                        </w:rPr>
                        <w:t> | </w:t>
                      </w:r>
                      <w:sdt>
                        <w:sdtPr>
                          <w:rPr>
                            <w:color w:val="808080" w:themeColor="background1" w:themeShade="80"/>
                            <w:sz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16B3F">
                            <w:rPr>
                              <w:color w:val="808080" w:themeColor="background1" w:themeShade="80"/>
                              <w:sz w:val="20"/>
                            </w:rPr>
                            <w:t xml:space="preserve">     </w:t>
                          </w:r>
                        </w:sdtContent>
                      </w:sdt>
                    </w:p>
                  </w:txbxContent>
                </v:textbox>
              </v:shape>
              <w10:wrap anchorx="page" anchory="margin"/>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E4B42" w14:textId="008160BA" w:rsidR="00816B3F" w:rsidRDefault="00F9281D" w:rsidP="00816B3F">
    <w:pPr>
      <w:pStyle w:val="Footer"/>
      <w:jc w:val="right"/>
    </w:pPr>
    <w:r>
      <w:rPr>
        <w:caps/>
        <w:noProof/>
        <w:color w:val="00B2A9" w:themeColor="accent1"/>
        <w:sz w:val="20"/>
      </w:rPr>
      <mc:AlternateContent>
        <mc:Choice Requires="wps">
          <w:drawing>
            <wp:anchor distT="0" distB="0" distL="114300" distR="114300" simplePos="0" relativeHeight="251658263" behindDoc="0" locked="0" layoutInCell="0" allowOverlap="1" wp14:anchorId="41173F70" wp14:editId="4A37C60C">
              <wp:simplePos x="0" y="0"/>
              <wp:positionH relativeFrom="page">
                <wp:posOffset>0</wp:posOffset>
              </wp:positionH>
              <wp:positionV relativeFrom="page">
                <wp:posOffset>10229215</wp:posOffset>
              </wp:positionV>
              <wp:extent cx="7560945" cy="273050"/>
              <wp:effectExtent l="0" t="0" r="0" b="12700"/>
              <wp:wrapNone/>
              <wp:docPr id="14" name="MSIPCM7f2f46ee8c59f9496b2f8faf"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315D8" w14:textId="01975EEE" w:rsidR="00F9281D" w:rsidRPr="00F9281D" w:rsidRDefault="00F9281D" w:rsidP="00F9281D">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173F70" id="_x0000_t202" coordsize="21600,21600" o:spt="202" path="m,l,21600r21600,l21600,xe">
              <v:stroke joinstyle="miter"/>
              <v:path gradientshapeok="t" o:connecttype="rect"/>
            </v:shapetype>
            <v:shape id="MSIPCM7f2f46ee8c59f9496b2f8faf" o:spid="_x0000_s1035"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axtfezAgAATwUA&#10;AA4AAAAAAAAAAAAAAAAALgIAAGRycy9lMm9Eb2MueG1sUEsBAi0AFAAGAAgAAAAhABFyp37fAAAA&#10;CwEAAA8AAAAAAAAAAAAAAAAADQUAAGRycy9kb3ducmV2LnhtbFBLBQYAAAAABAAEAPMAAAAZBgAA&#10;AAA=&#10;" o:allowincell="f" filled="f" stroked="f" strokeweight=".5pt">
              <v:textbox inset=",0,,0">
                <w:txbxContent>
                  <w:p w14:paraId="132315D8" w14:textId="01975EEE" w:rsidR="00F9281D" w:rsidRPr="00F9281D" w:rsidRDefault="00F9281D" w:rsidP="00F9281D">
                    <w:pPr>
                      <w:jc w:val="center"/>
                      <w:rPr>
                        <w:rFonts w:ascii="Calibri" w:hAnsi="Calibri" w:cs="Calibri"/>
                        <w:color w:val="000000"/>
                        <w:sz w:val="24"/>
                      </w:rPr>
                    </w:pPr>
                  </w:p>
                </w:txbxContent>
              </v:textbox>
              <w10:wrap anchorx="page" anchory="page"/>
            </v:shape>
          </w:pict>
        </mc:Fallback>
      </mc:AlternateContent>
    </w:r>
    <w:sdt>
      <w:sdtPr>
        <w:rPr>
          <w:caps/>
          <w:color w:val="00B2A9" w:themeColor="accent1"/>
          <w:sz w:val="20"/>
        </w:rPr>
        <w:alias w:val="Title"/>
        <w:tag w:val=""/>
        <w:id w:val="1716473062"/>
        <w:dataBinding w:prefixMappings="xmlns:ns0='http://purl.org/dc/elements/1.1/' xmlns:ns1='http://schemas.openxmlformats.org/package/2006/metadata/core-properties' " w:xpath="/ns1:coreProperties[1]/ns0:title[1]" w:storeItemID="{6C3C8BC8-F283-45AE-878A-BAB7291924A1}"/>
        <w:text/>
      </w:sdtPr>
      <w:sdtEndPr/>
      <w:sdtContent>
        <w:r w:rsidR="00816B3F">
          <w:rPr>
            <w:caps/>
            <w:color w:val="00B2A9" w:themeColor="accent1"/>
            <w:sz w:val="20"/>
          </w:rPr>
          <w:t xml:space="preserve">Natural environment climate change adaptation action plan 2022-2026 </w:t>
        </w:r>
        <w:r w:rsidR="00883063">
          <w:rPr>
            <w:caps/>
            <w:color w:val="00B2A9" w:themeColor="accent1"/>
            <w:sz w:val="20"/>
          </w:rPr>
          <w:t xml:space="preserve">               </w:t>
        </w:r>
        <w:r w:rsidR="00816B3F">
          <w:rPr>
            <w:caps/>
            <w:color w:val="00B2A9" w:themeColor="accent1"/>
            <w:sz w:val="20"/>
          </w:rPr>
          <w:t>Supporting document - Stocktake</w:t>
        </w:r>
      </w:sdtContent>
    </w:sdt>
    <w:r w:rsidR="00816B3F">
      <w:rPr>
        <w:caps/>
        <w:color w:val="808080" w:themeColor="background1" w:themeShade="80"/>
        <w:sz w:val="20"/>
      </w:rPr>
      <w:t> | </w:t>
    </w:r>
    <w:sdt>
      <w:sdtPr>
        <w:rPr>
          <w:color w:val="808080" w:themeColor="background1" w:themeShade="80"/>
          <w:sz w:val="20"/>
        </w:rPr>
        <w:alias w:val="Subtitle"/>
        <w:tag w:val=""/>
        <w:id w:val="1770665317"/>
        <w:showingPlcHdr/>
        <w:dataBinding w:prefixMappings="xmlns:ns0='http://purl.org/dc/elements/1.1/' xmlns:ns1='http://schemas.openxmlformats.org/package/2006/metadata/core-properties' " w:xpath="/ns1:coreProperties[1]/ns0:subject[1]" w:storeItemID="{6C3C8BC8-F283-45AE-878A-BAB7291924A1}"/>
        <w:text/>
      </w:sdtPr>
      <w:sdtEndPr/>
      <w:sdtContent>
        <w:r w:rsidR="00816B3F">
          <w:rPr>
            <w:color w:val="808080" w:themeColor="background1" w:themeShade="80"/>
            <w:sz w:val="20"/>
          </w:rPr>
          <w:t xml:space="preserve">     </w:t>
        </w:r>
      </w:sdtContent>
    </w:sdt>
  </w:p>
  <w:p w14:paraId="74358AD9" w14:textId="77777777" w:rsidR="00816B3F" w:rsidRDefault="00816B3F" w:rsidP="00213C82">
    <w:pPr>
      <w:pStyle w:val="Footer"/>
    </w:pPr>
    <w:r w:rsidRPr="00D55628">
      <w:rPr>
        <w:noProof/>
      </w:rPr>
      <mc:AlternateContent>
        <mc:Choice Requires="wps">
          <w:drawing>
            <wp:anchor distT="0" distB="0" distL="114300" distR="114300" simplePos="0" relativeHeight="251658259" behindDoc="1" locked="1" layoutInCell="1" allowOverlap="1" wp14:anchorId="451C8DC9" wp14:editId="737821AC">
              <wp:simplePos x="0" y="0"/>
              <wp:positionH relativeFrom="page">
                <wp:align>center</wp:align>
              </wp:positionH>
              <wp:positionV relativeFrom="page">
                <wp:align>center</wp:align>
              </wp:positionV>
              <wp:extent cx="7560000" cy="1796400"/>
              <wp:effectExtent l="0" t="0" r="0" b="0"/>
              <wp:wrapNone/>
              <wp:docPr id="2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96A08" w14:textId="587C83F7" w:rsidR="00816B3F" w:rsidRPr="0001226A" w:rsidRDefault="00816B3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8DC9" id="_x0000_s1036" type="#_x0000_t202" alt="Title: Background Watermark Image" style="position:absolute;margin-left:0;margin-top:0;width:595.3pt;height:141.45pt;z-index:-25165822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pHldnEAIA&#10;APQDAAAOAAAAAAAAAAAAAAAAAC4CAABkcnMvZTJvRG9jLnhtbFBLAQItABQABgAIAAAAIQA0xUTO&#10;2wAAAAYBAAAPAAAAAAAAAAAAAAAAAGoEAABkcnMvZG93bnJldi54bWxQSwUGAAAAAAQABADzAAAA&#10;cgUAAAAA&#10;" filled="f" stroked="f">
              <v:textbox>
                <w:txbxContent>
                  <w:p w14:paraId="30096A08" w14:textId="587C83F7" w:rsidR="00816B3F" w:rsidRPr="0001226A" w:rsidRDefault="00816B3F"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69446" w14:textId="77777777" w:rsidR="00AF3A91" w:rsidRPr="008F5280" w:rsidRDefault="00AF3A91" w:rsidP="008F5280">
      <w:pPr>
        <w:pStyle w:val="FootnoteSeparator"/>
      </w:pPr>
    </w:p>
    <w:p w14:paraId="25C32516" w14:textId="77777777" w:rsidR="00AF3A91" w:rsidRDefault="00AF3A91"/>
  </w:footnote>
  <w:footnote w:type="continuationSeparator" w:id="0">
    <w:p w14:paraId="26AA16BA" w14:textId="77777777" w:rsidR="00AF3A91" w:rsidRDefault="00AF3A91" w:rsidP="008F5280">
      <w:pPr>
        <w:pStyle w:val="FootnoteSeparator"/>
      </w:pPr>
    </w:p>
    <w:p w14:paraId="6636B682" w14:textId="77777777" w:rsidR="00AF3A91" w:rsidRDefault="00AF3A91"/>
    <w:p w14:paraId="5C048A5E" w14:textId="77777777" w:rsidR="00AF3A91" w:rsidRDefault="00AF3A91"/>
  </w:footnote>
  <w:footnote w:type="continuationNotice" w:id="1">
    <w:p w14:paraId="04801639" w14:textId="77777777" w:rsidR="00AF3A91" w:rsidRDefault="00AF3A91" w:rsidP="00D55628"/>
    <w:p w14:paraId="40E131FE" w14:textId="77777777" w:rsidR="00AF3A91" w:rsidRDefault="00AF3A91"/>
    <w:p w14:paraId="1A47BA56" w14:textId="77777777" w:rsidR="00AF3A91" w:rsidRDefault="00AF3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2542E4A" w14:textId="77777777" w:rsidTr="00B40C2E">
      <w:trPr>
        <w:trHeight w:hRule="exact" w:val="1418"/>
      </w:trPr>
      <w:tc>
        <w:tcPr>
          <w:tcW w:w="7761" w:type="dxa"/>
          <w:vAlign w:val="center"/>
        </w:tcPr>
        <w:p w14:paraId="695A9006" w14:textId="3374FA00"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E721E5">
            <w:rPr>
              <w:noProof/>
            </w:rPr>
            <w:t>Natural Environment Climate Change Adaptation Action Plan 2022-2026</w:t>
          </w:r>
          <w:r>
            <w:rPr>
              <w:noProof/>
            </w:rPr>
            <w:fldChar w:fldCharType="end"/>
          </w:r>
        </w:p>
      </w:tc>
    </w:tr>
  </w:tbl>
  <w:p w14:paraId="0280AD3F"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50DC1"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E7DDAC"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D34AA9"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D82EDA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E2C8422" w14:textId="77777777" w:rsidTr="00B40C2E">
      <w:trPr>
        <w:trHeight w:hRule="exact" w:val="1418"/>
      </w:trPr>
      <w:tc>
        <w:tcPr>
          <w:tcW w:w="7761" w:type="dxa"/>
          <w:vAlign w:val="center"/>
        </w:tcPr>
        <w:p w14:paraId="1A5B5DDC" w14:textId="2055AA55"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E721E5">
            <w:rPr>
              <w:noProof/>
            </w:rPr>
            <w:t>Natural Environment Climate Change Adaptation Action Plan 2022-2026</w:t>
          </w:r>
          <w:r>
            <w:rPr>
              <w:noProof/>
            </w:rPr>
            <w:fldChar w:fldCharType="end"/>
          </w:r>
        </w:p>
      </w:tc>
    </w:tr>
  </w:tbl>
  <w:p w14:paraId="4CD5E39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E0AF4"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163A8"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8E47FC"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4881C00"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69FC"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hidden="1"/>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B411B"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2551E4" id="TriangleBottom" o:spid="_x0000_s1026" style="position:absolute;margin-left:56.7pt;margin-top:93.55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BA50F"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0BC1AD"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610"/>
    </w:tblGrid>
    <w:tr w:rsidR="00E01749" w:rsidRPr="00975ED3" w14:paraId="3238457F" w14:textId="77777777" w:rsidTr="00AA479F">
      <w:trPr>
        <w:trHeight w:hRule="exact" w:val="212"/>
      </w:trPr>
      <w:tc>
        <w:tcPr>
          <w:tcW w:w="7610" w:type="dxa"/>
          <w:vAlign w:val="center"/>
        </w:tcPr>
        <w:p w14:paraId="74C12F16" w14:textId="05F4D95A" w:rsidR="00E01749" w:rsidRPr="00975ED3" w:rsidRDefault="00E01749" w:rsidP="00B40C2E">
          <w:pPr>
            <w:pStyle w:val="Header"/>
          </w:pPr>
        </w:p>
      </w:tc>
    </w:tr>
  </w:tbl>
  <w:p w14:paraId="33CEDF32" w14:textId="37265811" w:rsidR="00E01749" w:rsidRDefault="00E01749" w:rsidP="00254A01">
    <w:pPr>
      <w:pStyle w:val="Header"/>
    </w:pPr>
  </w:p>
  <w:p w14:paraId="225554A3" w14:textId="77777777" w:rsidR="00E01749" w:rsidRPr="00254A01" w:rsidRDefault="00E01749" w:rsidP="00254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01749" w:rsidRPr="00975ED3" w14:paraId="1F9C8972" w14:textId="77777777" w:rsidTr="00B40C2E">
      <w:trPr>
        <w:trHeight w:hRule="exact" w:val="1418"/>
      </w:trPr>
      <w:tc>
        <w:tcPr>
          <w:tcW w:w="7761" w:type="dxa"/>
          <w:vAlign w:val="center"/>
        </w:tcPr>
        <w:p w14:paraId="2D5B38BE" w14:textId="05E3A624" w:rsidR="00E01749" w:rsidRPr="00975ED3" w:rsidRDefault="00E01749" w:rsidP="00B40C2E">
          <w:pPr>
            <w:pStyle w:val="Header"/>
          </w:pPr>
        </w:p>
      </w:tc>
    </w:tr>
  </w:tbl>
  <w:p w14:paraId="5351ABA3" w14:textId="330FF788" w:rsidR="00E01749" w:rsidRDefault="00E01749" w:rsidP="00254A01">
    <w:pPr>
      <w:pStyle w:val="Header"/>
    </w:pPr>
  </w:p>
  <w:p w14:paraId="7F326227" w14:textId="77777777" w:rsidR="00E01749" w:rsidRDefault="00E01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84CB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387115"/>
    <w:multiLevelType w:val="multilevel"/>
    <w:tmpl w:val="1EE2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C84DC3"/>
    <w:multiLevelType w:val="hybridMultilevel"/>
    <w:tmpl w:val="EE48E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8154EC9E"/>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4DDD5B01"/>
    <w:multiLevelType w:val="multilevel"/>
    <w:tmpl w:val="10A0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636205"/>
    <w:multiLevelType w:val="hybridMultilevel"/>
    <w:tmpl w:val="E654A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FF57AC3"/>
    <w:multiLevelType w:val="hybridMultilevel"/>
    <w:tmpl w:val="9DB4B42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2"/>
  </w:num>
  <w:num w:numId="3">
    <w:abstractNumId w:val="28"/>
  </w:num>
  <w:num w:numId="4">
    <w:abstractNumId w:val="36"/>
  </w:num>
  <w:num w:numId="5">
    <w:abstractNumId w:val="15"/>
  </w:num>
  <w:num w:numId="6">
    <w:abstractNumId w:val="12"/>
  </w:num>
  <w:num w:numId="7">
    <w:abstractNumId w:val="11"/>
  </w:num>
  <w:num w:numId="8">
    <w:abstractNumId w:val="10"/>
  </w:num>
  <w:num w:numId="9">
    <w:abstractNumId w:val="33"/>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1"/>
  </w:num>
  <w:num w:numId="30">
    <w:abstractNumId w:val="34"/>
  </w:num>
  <w:num w:numId="31">
    <w:abstractNumId w:val="8"/>
  </w:num>
  <w:num w:numId="32">
    <w:abstractNumId w:val="31"/>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3"/>
  </w:num>
  <w:num w:numId="44">
    <w:abstractNumId w:val="16"/>
  </w:num>
  <w:num w:numId="45">
    <w:abstractNumId w:val="11"/>
  </w:num>
  <w:num w:numId="46">
    <w:abstractNumId w:val="24"/>
  </w:num>
  <w:num w:numId="47">
    <w:abstractNumId w:val="20"/>
  </w:num>
  <w:num w:numId="48">
    <w:abstractNumId w:val="29"/>
  </w:num>
  <w:num w:numId="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D14E24"/>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2F9"/>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3D"/>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D1B"/>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D49"/>
    <w:rsid w:val="00065584"/>
    <w:rsid w:val="000655FD"/>
    <w:rsid w:val="00065A52"/>
    <w:rsid w:val="00065B63"/>
    <w:rsid w:val="000660C5"/>
    <w:rsid w:val="00066721"/>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78"/>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C79B5"/>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0A"/>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925"/>
    <w:rsid w:val="00153FD1"/>
    <w:rsid w:val="00153FDB"/>
    <w:rsid w:val="001541A8"/>
    <w:rsid w:val="001544A7"/>
    <w:rsid w:val="00154503"/>
    <w:rsid w:val="0015452B"/>
    <w:rsid w:val="00154859"/>
    <w:rsid w:val="00154C0E"/>
    <w:rsid w:val="00154F44"/>
    <w:rsid w:val="00155B6F"/>
    <w:rsid w:val="001562D9"/>
    <w:rsid w:val="0015661D"/>
    <w:rsid w:val="001568CE"/>
    <w:rsid w:val="00156F4A"/>
    <w:rsid w:val="00157BC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6"/>
    <w:rsid w:val="001676F4"/>
    <w:rsid w:val="00167865"/>
    <w:rsid w:val="00170713"/>
    <w:rsid w:val="00170F85"/>
    <w:rsid w:val="0017104F"/>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BF9"/>
    <w:rsid w:val="00186ECA"/>
    <w:rsid w:val="00187485"/>
    <w:rsid w:val="00187860"/>
    <w:rsid w:val="00187A24"/>
    <w:rsid w:val="00187C38"/>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250"/>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CC7"/>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B0"/>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90B"/>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4EF"/>
    <w:rsid w:val="002B3565"/>
    <w:rsid w:val="002B407B"/>
    <w:rsid w:val="002B407C"/>
    <w:rsid w:val="002B4CAF"/>
    <w:rsid w:val="002B509A"/>
    <w:rsid w:val="002B553B"/>
    <w:rsid w:val="002B587D"/>
    <w:rsid w:val="002B58C3"/>
    <w:rsid w:val="002B5B0B"/>
    <w:rsid w:val="002B6A07"/>
    <w:rsid w:val="002B6AE7"/>
    <w:rsid w:val="002B6C6B"/>
    <w:rsid w:val="002B6CD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CE4"/>
    <w:rsid w:val="002D1D09"/>
    <w:rsid w:val="002D1E0C"/>
    <w:rsid w:val="002D1EEC"/>
    <w:rsid w:val="002D1F56"/>
    <w:rsid w:val="002D212B"/>
    <w:rsid w:val="002D23E1"/>
    <w:rsid w:val="002D23FC"/>
    <w:rsid w:val="002D27CA"/>
    <w:rsid w:val="002D3B57"/>
    <w:rsid w:val="002D3F88"/>
    <w:rsid w:val="002D4152"/>
    <w:rsid w:val="002D4193"/>
    <w:rsid w:val="002D4531"/>
    <w:rsid w:val="002D47E6"/>
    <w:rsid w:val="002D4B67"/>
    <w:rsid w:val="002D5353"/>
    <w:rsid w:val="002D5398"/>
    <w:rsid w:val="002D5584"/>
    <w:rsid w:val="002D5767"/>
    <w:rsid w:val="002D65F7"/>
    <w:rsid w:val="002D66F5"/>
    <w:rsid w:val="002D69BD"/>
    <w:rsid w:val="002D6A84"/>
    <w:rsid w:val="002D6B9C"/>
    <w:rsid w:val="002D6C05"/>
    <w:rsid w:val="002D70B7"/>
    <w:rsid w:val="002D7C5A"/>
    <w:rsid w:val="002E0210"/>
    <w:rsid w:val="002E0666"/>
    <w:rsid w:val="002E0913"/>
    <w:rsid w:val="002E0CE5"/>
    <w:rsid w:val="002E18B5"/>
    <w:rsid w:val="002E18FF"/>
    <w:rsid w:val="002E1EA2"/>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2F6"/>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671"/>
    <w:rsid w:val="00340C4D"/>
    <w:rsid w:val="00340E80"/>
    <w:rsid w:val="00341DE0"/>
    <w:rsid w:val="003420E0"/>
    <w:rsid w:val="00342173"/>
    <w:rsid w:val="00342444"/>
    <w:rsid w:val="003428F3"/>
    <w:rsid w:val="00342C49"/>
    <w:rsid w:val="00342D06"/>
    <w:rsid w:val="00343B7B"/>
    <w:rsid w:val="003440FE"/>
    <w:rsid w:val="003446A9"/>
    <w:rsid w:val="00344C80"/>
    <w:rsid w:val="00344D5B"/>
    <w:rsid w:val="00344FFD"/>
    <w:rsid w:val="003454F0"/>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481"/>
    <w:rsid w:val="00361F2F"/>
    <w:rsid w:val="00361FBC"/>
    <w:rsid w:val="003628F9"/>
    <w:rsid w:val="00362D3F"/>
    <w:rsid w:val="00362E3A"/>
    <w:rsid w:val="003630B0"/>
    <w:rsid w:val="00363120"/>
    <w:rsid w:val="00363532"/>
    <w:rsid w:val="00363763"/>
    <w:rsid w:val="00363BBC"/>
    <w:rsid w:val="00364154"/>
    <w:rsid w:val="003649FB"/>
    <w:rsid w:val="00364BF3"/>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19"/>
    <w:rsid w:val="00382150"/>
    <w:rsid w:val="00382225"/>
    <w:rsid w:val="003823DC"/>
    <w:rsid w:val="00382FF1"/>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17"/>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55C"/>
    <w:rsid w:val="003A680D"/>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B11"/>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59"/>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22C"/>
    <w:rsid w:val="003F635B"/>
    <w:rsid w:val="003F6842"/>
    <w:rsid w:val="003F6B4D"/>
    <w:rsid w:val="003F6E4F"/>
    <w:rsid w:val="003F7759"/>
    <w:rsid w:val="003F7913"/>
    <w:rsid w:val="003F7B68"/>
    <w:rsid w:val="003F7E66"/>
    <w:rsid w:val="003F7EF9"/>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1B0"/>
    <w:rsid w:val="0043497B"/>
    <w:rsid w:val="00434B0F"/>
    <w:rsid w:val="00434B87"/>
    <w:rsid w:val="004352F3"/>
    <w:rsid w:val="0043533B"/>
    <w:rsid w:val="004356E2"/>
    <w:rsid w:val="00435833"/>
    <w:rsid w:val="00435D9E"/>
    <w:rsid w:val="00436000"/>
    <w:rsid w:val="004361BB"/>
    <w:rsid w:val="00436277"/>
    <w:rsid w:val="00436A6D"/>
    <w:rsid w:val="00436BD5"/>
    <w:rsid w:val="00436C07"/>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E96"/>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4F98"/>
    <w:rsid w:val="0047533C"/>
    <w:rsid w:val="00475575"/>
    <w:rsid w:val="00475664"/>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0F4"/>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0CB"/>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47E"/>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A6B"/>
    <w:rsid w:val="004E7C88"/>
    <w:rsid w:val="004E7CCE"/>
    <w:rsid w:val="004E7F3B"/>
    <w:rsid w:val="004F049C"/>
    <w:rsid w:val="004F07F4"/>
    <w:rsid w:val="004F091D"/>
    <w:rsid w:val="004F0A66"/>
    <w:rsid w:val="004F0C25"/>
    <w:rsid w:val="004F0D15"/>
    <w:rsid w:val="004F0DD8"/>
    <w:rsid w:val="004F1002"/>
    <w:rsid w:val="004F11A9"/>
    <w:rsid w:val="004F1382"/>
    <w:rsid w:val="004F13F5"/>
    <w:rsid w:val="004F1B1E"/>
    <w:rsid w:val="004F240B"/>
    <w:rsid w:val="004F35E0"/>
    <w:rsid w:val="004F3A12"/>
    <w:rsid w:val="004F3D42"/>
    <w:rsid w:val="004F43A1"/>
    <w:rsid w:val="004F4995"/>
    <w:rsid w:val="004F5160"/>
    <w:rsid w:val="004F5D45"/>
    <w:rsid w:val="004F6035"/>
    <w:rsid w:val="004F6690"/>
    <w:rsid w:val="004F68F6"/>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CDE"/>
    <w:rsid w:val="0053349A"/>
    <w:rsid w:val="005334AF"/>
    <w:rsid w:val="005336D9"/>
    <w:rsid w:val="00533DD7"/>
    <w:rsid w:val="00534175"/>
    <w:rsid w:val="0053426F"/>
    <w:rsid w:val="00534527"/>
    <w:rsid w:val="0053497F"/>
    <w:rsid w:val="00534DA3"/>
    <w:rsid w:val="00534DD6"/>
    <w:rsid w:val="00535E1F"/>
    <w:rsid w:val="005363D3"/>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1EB5"/>
    <w:rsid w:val="0056225F"/>
    <w:rsid w:val="0056229D"/>
    <w:rsid w:val="0056255F"/>
    <w:rsid w:val="0056269B"/>
    <w:rsid w:val="005626BF"/>
    <w:rsid w:val="0056298E"/>
    <w:rsid w:val="00562C8B"/>
    <w:rsid w:val="00563627"/>
    <w:rsid w:val="0056396A"/>
    <w:rsid w:val="00563E44"/>
    <w:rsid w:val="005641CA"/>
    <w:rsid w:val="00564478"/>
    <w:rsid w:val="005647F9"/>
    <w:rsid w:val="00564CE1"/>
    <w:rsid w:val="00565127"/>
    <w:rsid w:val="00566671"/>
    <w:rsid w:val="00566D51"/>
    <w:rsid w:val="00566DAC"/>
    <w:rsid w:val="00566FEA"/>
    <w:rsid w:val="00567632"/>
    <w:rsid w:val="005676F5"/>
    <w:rsid w:val="00567C79"/>
    <w:rsid w:val="00570012"/>
    <w:rsid w:val="00570018"/>
    <w:rsid w:val="005704B3"/>
    <w:rsid w:val="005705A3"/>
    <w:rsid w:val="00570BFE"/>
    <w:rsid w:val="00570C1D"/>
    <w:rsid w:val="005715BD"/>
    <w:rsid w:val="00572C10"/>
    <w:rsid w:val="00572EE2"/>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3A6"/>
    <w:rsid w:val="00581415"/>
    <w:rsid w:val="0058168F"/>
    <w:rsid w:val="00581885"/>
    <w:rsid w:val="00581924"/>
    <w:rsid w:val="00581978"/>
    <w:rsid w:val="00581FFE"/>
    <w:rsid w:val="0058204D"/>
    <w:rsid w:val="0058252A"/>
    <w:rsid w:val="00582C5B"/>
    <w:rsid w:val="00582EE0"/>
    <w:rsid w:val="00582FAB"/>
    <w:rsid w:val="00582FAD"/>
    <w:rsid w:val="00583129"/>
    <w:rsid w:val="0058356A"/>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5D0"/>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24"/>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E8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6A6"/>
    <w:rsid w:val="005D395A"/>
    <w:rsid w:val="005D48A2"/>
    <w:rsid w:val="005D497A"/>
    <w:rsid w:val="005D4AA8"/>
    <w:rsid w:val="005D60F1"/>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A96"/>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36"/>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A28"/>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1D"/>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57A52"/>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E4"/>
    <w:rsid w:val="00671FFF"/>
    <w:rsid w:val="00672399"/>
    <w:rsid w:val="0067295F"/>
    <w:rsid w:val="00672BB1"/>
    <w:rsid w:val="00672D08"/>
    <w:rsid w:val="00673B0F"/>
    <w:rsid w:val="00673B43"/>
    <w:rsid w:val="00673F70"/>
    <w:rsid w:val="00674720"/>
    <w:rsid w:val="00674C30"/>
    <w:rsid w:val="00675203"/>
    <w:rsid w:val="00675E8D"/>
    <w:rsid w:val="006760A1"/>
    <w:rsid w:val="00676453"/>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8C5"/>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699"/>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4F5"/>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4E7B"/>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BC1"/>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BC2"/>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67A"/>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F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098"/>
    <w:rsid w:val="00792161"/>
    <w:rsid w:val="0079245C"/>
    <w:rsid w:val="00792757"/>
    <w:rsid w:val="0079279B"/>
    <w:rsid w:val="00792A52"/>
    <w:rsid w:val="00792BEF"/>
    <w:rsid w:val="00792E00"/>
    <w:rsid w:val="00793018"/>
    <w:rsid w:val="00793107"/>
    <w:rsid w:val="007933F8"/>
    <w:rsid w:val="00793602"/>
    <w:rsid w:val="007939F0"/>
    <w:rsid w:val="007943AF"/>
    <w:rsid w:val="00794546"/>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6FA"/>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12"/>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B3F"/>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6D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BC7"/>
    <w:rsid w:val="008352BE"/>
    <w:rsid w:val="0083594F"/>
    <w:rsid w:val="0083644E"/>
    <w:rsid w:val="00836702"/>
    <w:rsid w:val="00836A4F"/>
    <w:rsid w:val="00836DDA"/>
    <w:rsid w:val="00836EF0"/>
    <w:rsid w:val="0083775B"/>
    <w:rsid w:val="00840134"/>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976"/>
    <w:rsid w:val="00854A92"/>
    <w:rsid w:val="00854AFC"/>
    <w:rsid w:val="00854E25"/>
    <w:rsid w:val="00855D27"/>
    <w:rsid w:val="00856244"/>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932"/>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063"/>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25EC"/>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0C14"/>
    <w:rsid w:val="008E155C"/>
    <w:rsid w:val="008E1A1B"/>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1A72"/>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3F6"/>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33"/>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E0"/>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66"/>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D4E"/>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A7D65"/>
    <w:rsid w:val="009B0580"/>
    <w:rsid w:val="009B0714"/>
    <w:rsid w:val="009B0ED2"/>
    <w:rsid w:val="009B0F6A"/>
    <w:rsid w:val="009B1003"/>
    <w:rsid w:val="009B129D"/>
    <w:rsid w:val="009B1335"/>
    <w:rsid w:val="009B14D7"/>
    <w:rsid w:val="009B1665"/>
    <w:rsid w:val="009B1EC6"/>
    <w:rsid w:val="009B241F"/>
    <w:rsid w:val="009B27B5"/>
    <w:rsid w:val="009B31D6"/>
    <w:rsid w:val="009B385E"/>
    <w:rsid w:val="009B3AE9"/>
    <w:rsid w:val="009B4456"/>
    <w:rsid w:val="009B4E07"/>
    <w:rsid w:val="009B5C61"/>
    <w:rsid w:val="009B5CA5"/>
    <w:rsid w:val="009B5EB0"/>
    <w:rsid w:val="009B5EF9"/>
    <w:rsid w:val="009B5F86"/>
    <w:rsid w:val="009B604F"/>
    <w:rsid w:val="009B649A"/>
    <w:rsid w:val="009B68A3"/>
    <w:rsid w:val="009B69D6"/>
    <w:rsid w:val="009B6AAC"/>
    <w:rsid w:val="009B6F45"/>
    <w:rsid w:val="009B6F5B"/>
    <w:rsid w:val="009B702A"/>
    <w:rsid w:val="009C01F0"/>
    <w:rsid w:val="009C0292"/>
    <w:rsid w:val="009C0303"/>
    <w:rsid w:val="009C0693"/>
    <w:rsid w:val="009C0A3A"/>
    <w:rsid w:val="009C0B0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1FC"/>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FC1"/>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0CF"/>
    <w:rsid w:val="00A311E7"/>
    <w:rsid w:val="00A3137B"/>
    <w:rsid w:val="00A31534"/>
    <w:rsid w:val="00A31BA7"/>
    <w:rsid w:val="00A31FF7"/>
    <w:rsid w:val="00A32357"/>
    <w:rsid w:val="00A324D5"/>
    <w:rsid w:val="00A3254C"/>
    <w:rsid w:val="00A32595"/>
    <w:rsid w:val="00A3277A"/>
    <w:rsid w:val="00A32D2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C5D"/>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9F"/>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63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A91"/>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971"/>
    <w:rsid w:val="00B05AD9"/>
    <w:rsid w:val="00B0600E"/>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3EB6"/>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BC6"/>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2F19"/>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076"/>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25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7B3"/>
    <w:rsid w:val="00BA7B4C"/>
    <w:rsid w:val="00BB03B6"/>
    <w:rsid w:val="00BB06D7"/>
    <w:rsid w:val="00BB09F9"/>
    <w:rsid w:val="00BB122A"/>
    <w:rsid w:val="00BB1304"/>
    <w:rsid w:val="00BB15B8"/>
    <w:rsid w:val="00BB1B50"/>
    <w:rsid w:val="00BB1C51"/>
    <w:rsid w:val="00BB1C6C"/>
    <w:rsid w:val="00BB1CF5"/>
    <w:rsid w:val="00BB1F66"/>
    <w:rsid w:val="00BB224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029"/>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18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3D"/>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4EAF"/>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C87"/>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81B"/>
    <w:rsid w:val="00C75A98"/>
    <w:rsid w:val="00C75E0F"/>
    <w:rsid w:val="00C76228"/>
    <w:rsid w:val="00C762BE"/>
    <w:rsid w:val="00C763B6"/>
    <w:rsid w:val="00C764F2"/>
    <w:rsid w:val="00C765D7"/>
    <w:rsid w:val="00C766E2"/>
    <w:rsid w:val="00C77B9A"/>
    <w:rsid w:val="00C80C33"/>
    <w:rsid w:val="00C80F2F"/>
    <w:rsid w:val="00C83B22"/>
    <w:rsid w:val="00C845B7"/>
    <w:rsid w:val="00C858A1"/>
    <w:rsid w:val="00C8600E"/>
    <w:rsid w:val="00C86505"/>
    <w:rsid w:val="00C86A6F"/>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0A6"/>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0DF"/>
    <w:rsid w:val="00CA59B8"/>
    <w:rsid w:val="00CA6653"/>
    <w:rsid w:val="00CA6B19"/>
    <w:rsid w:val="00CA6CF5"/>
    <w:rsid w:val="00CA6EE9"/>
    <w:rsid w:val="00CA77E7"/>
    <w:rsid w:val="00CA7FBB"/>
    <w:rsid w:val="00CB0597"/>
    <w:rsid w:val="00CB0687"/>
    <w:rsid w:val="00CB08DC"/>
    <w:rsid w:val="00CB1C0C"/>
    <w:rsid w:val="00CB1C2D"/>
    <w:rsid w:val="00CB1CA5"/>
    <w:rsid w:val="00CB1CC6"/>
    <w:rsid w:val="00CB1FB7"/>
    <w:rsid w:val="00CB207F"/>
    <w:rsid w:val="00CB2443"/>
    <w:rsid w:val="00CB2579"/>
    <w:rsid w:val="00CB2D0D"/>
    <w:rsid w:val="00CB33B9"/>
    <w:rsid w:val="00CB395E"/>
    <w:rsid w:val="00CB3A8F"/>
    <w:rsid w:val="00CB3FD0"/>
    <w:rsid w:val="00CB4229"/>
    <w:rsid w:val="00CB43FE"/>
    <w:rsid w:val="00CB45F8"/>
    <w:rsid w:val="00CB4A05"/>
    <w:rsid w:val="00CB5131"/>
    <w:rsid w:val="00CB5179"/>
    <w:rsid w:val="00CB568D"/>
    <w:rsid w:val="00CB5968"/>
    <w:rsid w:val="00CB646D"/>
    <w:rsid w:val="00CB6AFC"/>
    <w:rsid w:val="00CB6F3B"/>
    <w:rsid w:val="00CB75F6"/>
    <w:rsid w:val="00CB77DC"/>
    <w:rsid w:val="00CB7E6A"/>
    <w:rsid w:val="00CB7ECA"/>
    <w:rsid w:val="00CB7F5E"/>
    <w:rsid w:val="00CC0119"/>
    <w:rsid w:val="00CC091C"/>
    <w:rsid w:val="00CC0B00"/>
    <w:rsid w:val="00CC10BA"/>
    <w:rsid w:val="00CC11E1"/>
    <w:rsid w:val="00CC1266"/>
    <w:rsid w:val="00CC18C6"/>
    <w:rsid w:val="00CC1AFD"/>
    <w:rsid w:val="00CC2301"/>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4CDA"/>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C84"/>
    <w:rsid w:val="00D6301D"/>
    <w:rsid w:val="00D632E4"/>
    <w:rsid w:val="00D63416"/>
    <w:rsid w:val="00D63796"/>
    <w:rsid w:val="00D639B5"/>
    <w:rsid w:val="00D63A6C"/>
    <w:rsid w:val="00D63D48"/>
    <w:rsid w:val="00D63F84"/>
    <w:rsid w:val="00D6443B"/>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3817"/>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CCC"/>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A47"/>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962"/>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749"/>
    <w:rsid w:val="00E02965"/>
    <w:rsid w:val="00E03055"/>
    <w:rsid w:val="00E03063"/>
    <w:rsid w:val="00E03599"/>
    <w:rsid w:val="00E03B69"/>
    <w:rsid w:val="00E0438E"/>
    <w:rsid w:val="00E04631"/>
    <w:rsid w:val="00E04C5D"/>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BA4"/>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4"/>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1E5"/>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95"/>
    <w:rsid w:val="00E77CAE"/>
    <w:rsid w:val="00E77DDD"/>
    <w:rsid w:val="00E8018B"/>
    <w:rsid w:val="00E80430"/>
    <w:rsid w:val="00E807E2"/>
    <w:rsid w:val="00E816AF"/>
    <w:rsid w:val="00E81C5F"/>
    <w:rsid w:val="00E81D89"/>
    <w:rsid w:val="00E81E6A"/>
    <w:rsid w:val="00E825EC"/>
    <w:rsid w:val="00E827BA"/>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D03"/>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161"/>
    <w:rsid w:val="00EB042B"/>
    <w:rsid w:val="00EB1712"/>
    <w:rsid w:val="00EB19F1"/>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49A"/>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D1E"/>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0CA2"/>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3E"/>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F4A"/>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00E"/>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1C6D"/>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AF"/>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F34"/>
    <w:rsid w:val="00F55072"/>
    <w:rsid w:val="00F55384"/>
    <w:rsid w:val="00F557AE"/>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3F96"/>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6D6"/>
    <w:rsid w:val="00F9281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1ED"/>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57"/>
    <w:rsid w:val="00FC5F6D"/>
    <w:rsid w:val="00FC6457"/>
    <w:rsid w:val="00FC66C1"/>
    <w:rsid w:val="00FC6703"/>
    <w:rsid w:val="00FC6BA8"/>
    <w:rsid w:val="00FC7248"/>
    <w:rsid w:val="00FD0E07"/>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8B4"/>
    <w:rsid w:val="00FD49B4"/>
    <w:rsid w:val="00FD4B84"/>
    <w:rsid w:val="00FD5F8B"/>
    <w:rsid w:val="00FD61E3"/>
    <w:rsid w:val="00FD6751"/>
    <w:rsid w:val="00FD6D64"/>
    <w:rsid w:val="00FD701C"/>
    <w:rsid w:val="00FD76D9"/>
    <w:rsid w:val="00FD78CB"/>
    <w:rsid w:val="00FD7A25"/>
    <w:rsid w:val="00FD7DCF"/>
    <w:rsid w:val="00FD7E72"/>
    <w:rsid w:val="00FD7F1A"/>
    <w:rsid w:val="00FE00DF"/>
    <w:rsid w:val="00FE01E9"/>
    <w:rsid w:val="00FE0888"/>
    <w:rsid w:val="00FE0AF7"/>
    <w:rsid w:val="00FE1448"/>
    <w:rsid w:val="00FE1B15"/>
    <w:rsid w:val="00FE22B4"/>
    <w:rsid w:val="00FE22B8"/>
    <w:rsid w:val="00FE254A"/>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 w:val="05745EDC"/>
    <w:rsid w:val="0620BC99"/>
    <w:rsid w:val="0A585F01"/>
    <w:rsid w:val="0BC744A6"/>
    <w:rsid w:val="0E142919"/>
    <w:rsid w:val="0FB566EE"/>
    <w:rsid w:val="10D30CBD"/>
    <w:rsid w:val="12EC7038"/>
    <w:rsid w:val="13A273CA"/>
    <w:rsid w:val="13D1C63B"/>
    <w:rsid w:val="1451C8C7"/>
    <w:rsid w:val="1481502D"/>
    <w:rsid w:val="14C0FB73"/>
    <w:rsid w:val="17925D8D"/>
    <w:rsid w:val="17A38833"/>
    <w:rsid w:val="17F89C35"/>
    <w:rsid w:val="19F7513F"/>
    <w:rsid w:val="23FD4761"/>
    <w:rsid w:val="2F9BEE45"/>
    <w:rsid w:val="31459F7E"/>
    <w:rsid w:val="32C245A2"/>
    <w:rsid w:val="342718FE"/>
    <w:rsid w:val="39C7E148"/>
    <w:rsid w:val="39F23407"/>
    <w:rsid w:val="3A8DAF62"/>
    <w:rsid w:val="3B950600"/>
    <w:rsid w:val="3C80DB6D"/>
    <w:rsid w:val="3CC4A36C"/>
    <w:rsid w:val="3D3F7056"/>
    <w:rsid w:val="465277E6"/>
    <w:rsid w:val="471B80A6"/>
    <w:rsid w:val="51A5A32A"/>
    <w:rsid w:val="53F16E7F"/>
    <w:rsid w:val="5C40DFDB"/>
    <w:rsid w:val="602AA63F"/>
    <w:rsid w:val="62CEA691"/>
    <w:rsid w:val="686A35F5"/>
    <w:rsid w:val="68D25DC4"/>
    <w:rsid w:val="752A5243"/>
    <w:rsid w:val="7CF4C89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4A488DAC"/>
  <w15:docId w15:val="{88C15AC1-2335-4B7D-B31F-09DD165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42A2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aragraph">
    <w:name w:val="paragraph"/>
    <w:basedOn w:val="Normal"/>
    <w:rsid w:val="00642A28"/>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642A28"/>
  </w:style>
  <w:style w:type="character" w:customStyle="1" w:styleId="eop">
    <w:name w:val="eop"/>
    <w:basedOn w:val="DefaultParagraphFont"/>
    <w:rsid w:val="00642A28"/>
  </w:style>
  <w:style w:type="character" w:styleId="Emphasis">
    <w:name w:val="Emphasis"/>
    <w:basedOn w:val="DefaultParagraphFont"/>
    <w:uiPriority w:val="20"/>
    <w:qFormat/>
    <w:rsid w:val="00C47C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3316">
      <w:bodyDiv w:val="1"/>
      <w:marLeft w:val="0"/>
      <w:marRight w:val="0"/>
      <w:marTop w:val="0"/>
      <w:marBottom w:val="0"/>
      <w:divBdr>
        <w:top w:val="none" w:sz="0" w:space="0" w:color="auto"/>
        <w:left w:val="none" w:sz="0" w:space="0" w:color="auto"/>
        <w:bottom w:val="none" w:sz="0" w:space="0" w:color="auto"/>
        <w:right w:val="none" w:sz="0" w:space="0" w:color="auto"/>
      </w:divBdr>
      <w:divsChild>
        <w:div w:id="1331710720">
          <w:marLeft w:val="0"/>
          <w:marRight w:val="0"/>
          <w:marTop w:val="0"/>
          <w:marBottom w:val="0"/>
          <w:divBdr>
            <w:top w:val="none" w:sz="0" w:space="0" w:color="auto"/>
            <w:left w:val="none" w:sz="0" w:space="0" w:color="auto"/>
            <w:bottom w:val="none" w:sz="0" w:space="0" w:color="auto"/>
            <w:right w:val="none" w:sz="0" w:space="0" w:color="auto"/>
          </w:divBdr>
          <w:divsChild>
            <w:div w:id="19307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18">
      <w:bodyDiv w:val="1"/>
      <w:marLeft w:val="0"/>
      <w:marRight w:val="0"/>
      <w:marTop w:val="0"/>
      <w:marBottom w:val="0"/>
      <w:divBdr>
        <w:top w:val="none" w:sz="0" w:space="0" w:color="auto"/>
        <w:left w:val="none" w:sz="0" w:space="0" w:color="auto"/>
        <w:bottom w:val="none" w:sz="0" w:space="0" w:color="auto"/>
        <w:right w:val="none" w:sz="0" w:space="0" w:color="auto"/>
      </w:divBdr>
      <w:divsChild>
        <w:div w:id="1905990789">
          <w:marLeft w:val="0"/>
          <w:marRight w:val="0"/>
          <w:marTop w:val="0"/>
          <w:marBottom w:val="0"/>
          <w:divBdr>
            <w:top w:val="none" w:sz="0" w:space="0" w:color="auto"/>
            <w:left w:val="none" w:sz="0" w:space="0" w:color="auto"/>
            <w:bottom w:val="none" w:sz="0" w:space="0" w:color="auto"/>
            <w:right w:val="none" w:sz="0" w:space="0" w:color="auto"/>
          </w:divBdr>
          <w:divsChild>
            <w:div w:id="1108551265">
              <w:marLeft w:val="0"/>
              <w:marRight w:val="0"/>
              <w:marTop w:val="0"/>
              <w:marBottom w:val="0"/>
              <w:divBdr>
                <w:top w:val="none" w:sz="0" w:space="0" w:color="auto"/>
                <w:left w:val="none" w:sz="0" w:space="0" w:color="auto"/>
                <w:bottom w:val="none" w:sz="0" w:space="0" w:color="auto"/>
                <w:right w:val="none" w:sz="0" w:space="0" w:color="auto"/>
              </w:divBdr>
            </w:div>
          </w:divsChild>
        </w:div>
        <w:div w:id="1325547462">
          <w:marLeft w:val="0"/>
          <w:marRight w:val="0"/>
          <w:marTop w:val="0"/>
          <w:marBottom w:val="0"/>
          <w:divBdr>
            <w:top w:val="none" w:sz="0" w:space="0" w:color="auto"/>
            <w:left w:val="none" w:sz="0" w:space="0" w:color="auto"/>
            <w:bottom w:val="none" w:sz="0" w:space="0" w:color="auto"/>
            <w:right w:val="none" w:sz="0" w:space="0" w:color="auto"/>
          </w:divBdr>
          <w:divsChild>
            <w:div w:id="924533033">
              <w:marLeft w:val="0"/>
              <w:marRight w:val="0"/>
              <w:marTop w:val="0"/>
              <w:marBottom w:val="0"/>
              <w:divBdr>
                <w:top w:val="none" w:sz="0" w:space="0" w:color="auto"/>
                <w:left w:val="none" w:sz="0" w:space="0" w:color="auto"/>
                <w:bottom w:val="none" w:sz="0" w:space="0" w:color="auto"/>
                <w:right w:val="none" w:sz="0" w:space="0" w:color="auto"/>
              </w:divBdr>
            </w:div>
          </w:divsChild>
        </w:div>
        <w:div w:id="553732636">
          <w:marLeft w:val="0"/>
          <w:marRight w:val="0"/>
          <w:marTop w:val="0"/>
          <w:marBottom w:val="0"/>
          <w:divBdr>
            <w:top w:val="none" w:sz="0" w:space="0" w:color="auto"/>
            <w:left w:val="none" w:sz="0" w:space="0" w:color="auto"/>
            <w:bottom w:val="none" w:sz="0" w:space="0" w:color="auto"/>
            <w:right w:val="none" w:sz="0" w:space="0" w:color="auto"/>
          </w:divBdr>
          <w:divsChild>
            <w:div w:id="414515391">
              <w:marLeft w:val="0"/>
              <w:marRight w:val="0"/>
              <w:marTop w:val="0"/>
              <w:marBottom w:val="0"/>
              <w:divBdr>
                <w:top w:val="none" w:sz="0" w:space="0" w:color="auto"/>
                <w:left w:val="none" w:sz="0" w:space="0" w:color="auto"/>
                <w:bottom w:val="none" w:sz="0" w:space="0" w:color="auto"/>
                <w:right w:val="none" w:sz="0" w:space="0" w:color="auto"/>
              </w:divBdr>
            </w:div>
          </w:divsChild>
        </w:div>
        <w:div w:id="160509153">
          <w:marLeft w:val="0"/>
          <w:marRight w:val="0"/>
          <w:marTop w:val="0"/>
          <w:marBottom w:val="0"/>
          <w:divBdr>
            <w:top w:val="none" w:sz="0" w:space="0" w:color="auto"/>
            <w:left w:val="none" w:sz="0" w:space="0" w:color="auto"/>
            <w:bottom w:val="none" w:sz="0" w:space="0" w:color="auto"/>
            <w:right w:val="none" w:sz="0" w:space="0" w:color="auto"/>
          </w:divBdr>
          <w:divsChild>
            <w:div w:id="658537090">
              <w:marLeft w:val="0"/>
              <w:marRight w:val="0"/>
              <w:marTop w:val="0"/>
              <w:marBottom w:val="0"/>
              <w:divBdr>
                <w:top w:val="none" w:sz="0" w:space="0" w:color="auto"/>
                <w:left w:val="none" w:sz="0" w:space="0" w:color="auto"/>
                <w:bottom w:val="none" w:sz="0" w:space="0" w:color="auto"/>
                <w:right w:val="none" w:sz="0" w:space="0" w:color="auto"/>
              </w:divBdr>
            </w:div>
          </w:divsChild>
        </w:div>
        <w:div w:id="279269400">
          <w:marLeft w:val="0"/>
          <w:marRight w:val="0"/>
          <w:marTop w:val="0"/>
          <w:marBottom w:val="0"/>
          <w:divBdr>
            <w:top w:val="none" w:sz="0" w:space="0" w:color="auto"/>
            <w:left w:val="none" w:sz="0" w:space="0" w:color="auto"/>
            <w:bottom w:val="none" w:sz="0" w:space="0" w:color="auto"/>
            <w:right w:val="none" w:sz="0" w:space="0" w:color="auto"/>
          </w:divBdr>
          <w:divsChild>
            <w:div w:id="1073697908">
              <w:marLeft w:val="0"/>
              <w:marRight w:val="0"/>
              <w:marTop w:val="0"/>
              <w:marBottom w:val="0"/>
              <w:divBdr>
                <w:top w:val="none" w:sz="0" w:space="0" w:color="auto"/>
                <w:left w:val="none" w:sz="0" w:space="0" w:color="auto"/>
                <w:bottom w:val="none" w:sz="0" w:space="0" w:color="auto"/>
                <w:right w:val="none" w:sz="0" w:space="0" w:color="auto"/>
              </w:divBdr>
            </w:div>
          </w:divsChild>
        </w:div>
        <w:div w:id="1188717513">
          <w:marLeft w:val="0"/>
          <w:marRight w:val="0"/>
          <w:marTop w:val="0"/>
          <w:marBottom w:val="0"/>
          <w:divBdr>
            <w:top w:val="none" w:sz="0" w:space="0" w:color="auto"/>
            <w:left w:val="none" w:sz="0" w:space="0" w:color="auto"/>
            <w:bottom w:val="none" w:sz="0" w:space="0" w:color="auto"/>
            <w:right w:val="none" w:sz="0" w:space="0" w:color="auto"/>
          </w:divBdr>
          <w:divsChild>
            <w:div w:id="1305044010">
              <w:marLeft w:val="0"/>
              <w:marRight w:val="0"/>
              <w:marTop w:val="0"/>
              <w:marBottom w:val="0"/>
              <w:divBdr>
                <w:top w:val="none" w:sz="0" w:space="0" w:color="auto"/>
                <w:left w:val="none" w:sz="0" w:space="0" w:color="auto"/>
                <w:bottom w:val="none" w:sz="0" w:space="0" w:color="auto"/>
                <w:right w:val="none" w:sz="0" w:space="0" w:color="auto"/>
              </w:divBdr>
            </w:div>
          </w:divsChild>
        </w:div>
        <w:div w:id="929122839">
          <w:marLeft w:val="0"/>
          <w:marRight w:val="0"/>
          <w:marTop w:val="0"/>
          <w:marBottom w:val="0"/>
          <w:divBdr>
            <w:top w:val="none" w:sz="0" w:space="0" w:color="auto"/>
            <w:left w:val="none" w:sz="0" w:space="0" w:color="auto"/>
            <w:bottom w:val="none" w:sz="0" w:space="0" w:color="auto"/>
            <w:right w:val="none" w:sz="0" w:space="0" w:color="auto"/>
          </w:divBdr>
          <w:divsChild>
            <w:div w:id="1098715305">
              <w:marLeft w:val="0"/>
              <w:marRight w:val="0"/>
              <w:marTop w:val="0"/>
              <w:marBottom w:val="0"/>
              <w:divBdr>
                <w:top w:val="none" w:sz="0" w:space="0" w:color="auto"/>
                <w:left w:val="none" w:sz="0" w:space="0" w:color="auto"/>
                <w:bottom w:val="none" w:sz="0" w:space="0" w:color="auto"/>
                <w:right w:val="none" w:sz="0" w:space="0" w:color="auto"/>
              </w:divBdr>
            </w:div>
          </w:divsChild>
        </w:div>
        <w:div w:id="1344740682">
          <w:marLeft w:val="0"/>
          <w:marRight w:val="0"/>
          <w:marTop w:val="0"/>
          <w:marBottom w:val="0"/>
          <w:divBdr>
            <w:top w:val="none" w:sz="0" w:space="0" w:color="auto"/>
            <w:left w:val="none" w:sz="0" w:space="0" w:color="auto"/>
            <w:bottom w:val="none" w:sz="0" w:space="0" w:color="auto"/>
            <w:right w:val="none" w:sz="0" w:space="0" w:color="auto"/>
          </w:divBdr>
          <w:divsChild>
            <w:div w:id="1635910531">
              <w:marLeft w:val="0"/>
              <w:marRight w:val="0"/>
              <w:marTop w:val="0"/>
              <w:marBottom w:val="0"/>
              <w:divBdr>
                <w:top w:val="none" w:sz="0" w:space="0" w:color="auto"/>
                <w:left w:val="none" w:sz="0" w:space="0" w:color="auto"/>
                <w:bottom w:val="none" w:sz="0" w:space="0" w:color="auto"/>
                <w:right w:val="none" w:sz="0" w:space="0" w:color="auto"/>
              </w:divBdr>
            </w:div>
          </w:divsChild>
        </w:div>
        <w:div w:id="474883283">
          <w:marLeft w:val="0"/>
          <w:marRight w:val="0"/>
          <w:marTop w:val="0"/>
          <w:marBottom w:val="0"/>
          <w:divBdr>
            <w:top w:val="none" w:sz="0" w:space="0" w:color="auto"/>
            <w:left w:val="none" w:sz="0" w:space="0" w:color="auto"/>
            <w:bottom w:val="none" w:sz="0" w:space="0" w:color="auto"/>
            <w:right w:val="none" w:sz="0" w:space="0" w:color="auto"/>
          </w:divBdr>
          <w:divsChild>
            <w:div w:id="910696731">
              <w:marLeft w:val="0"/>
              <w:marRight w:val="0"/>
              <w:marTop w:val="0"/>
              <w:marBottom w:val="0"/>
              <w:divBdr>
                <w:top w:val="none" w:sz="0" w:space="0" w:color="auto"/>
                <w:left w:val="none" w:sz="0" w:space="0" w:color="auto"/>
                <w:bottom w:val="none" w:sz="0" w:space="0" w:color="auto"/>
                <w:right w:val="none" w:sz="0" w:space="0" w:color="auto"/>
              </w:divBdr>
            </w:div>
          </w:divsChild>
        </w:div>
        <w:div w:id="536547224">
          <w:marLeft w:val="0"/>
          <w:marRight w:val="0"/>
          <w:marTop w:val="0"/>
          <w:marBottom w:val="0"/>
          <w:divBdr>
            <w:top w:val="none" w:sz="0" w:space="0" w:color="auto"/>
            <w:left w:val="none" w:sz="0" w:space="0" w:color="auto"/>
            <w:bottom w:val="none" w:sz="0" w:space="0" w:color="auto"/>
            <w:right w:val="none" w:sz="0" w:space="0" w:color="auto"/>
          </w:divBdr>
          <w:divsChild>
            <w:div w:id="1476410903">
              <w:marLeft w:val="0"/>
              <w:marRight w:val="0"/>
              <w:marTop w:val="0"/>
              <w:marBottom w:val="0"/>
              <w:divBdr>
                <w:top w:val="none" w:sz="0" w:space="0" w:color="auto"/>
                <w:left w:val="none" w:sz="0" w:space="0" w:color="auto"/>
                <w:bottom w:val="none" w:sz="0" w:space="0" w:color="auto"/>
                <w:right w:val="none" w:sz="0" w:space="0" w:color="auto"/>
              </w:divBdr>
            </w:div>
          </w:divsChild>
        </w:div>
        <w:div w:id="128516491">
          <w:marLeft w:val="0"/>
          <w:marRight w:val="0"/>
          <w:marTop w:val="0"/>
          <w:marBottom w:val="0"/>
          <w:divBdr>
            <w:top w:val="none" w:sz="0" w:space="0" w:color="auto"/>
            <w:left w:val="none" w:sz="0" w:space="0" w:color="auto"/>
            <w:bottom w:val="none" w:sz="0" w:space="0" w:color="auto"/>
            <w:right w:val="none" w:sz="0" w:space="0" w:color="auto"/>
          </w:divBdr>
          <w:divsChild>
            <w:div w:id="1329481826">
              <w:marLeft w:val="0"/>
              <w:marRight w:val="0"/>
              <w:marTop w:val="0"/>
              <w:marBottom w:val="0"/>
              <w:divBdr>
                <w:top w:val="none" w:sz="0" w:space="0" w:color="auto"/>
                <w:left w:val="none" w:sz="0" w:space="0" w:color="auto"/>
                <w:bottom w:val="none" w:sz="0" w:space="0" w:color="auto"/>
                <w:right w:val="none" w:sz="0" w:space="0" w:color="auto"/>
              </w:divBdr>
            </w:div>
          </w:divsChild>
        </w:div>
        <w:div w:id="1090155872">
          <w:marLeft w:val="0"/>
          <w:marRight w:val="0"/>
          <w:marTop w:val="0"/>
          <w:marBottom w:val="0"/>
          <w:divBdr>
            <w:top w:val="none" w:sz="0" w:space="0" w:color="auto"/>
            <w:left w:val="none" w:sz="0" w:space="0" w:color="auto"/>
            <w:bottom w:val="none" w:sz="0" w:space="0" w:color="auto"/>
            <w:right w:val="none" w:sz="0" w:space="0" w:color="auto"/>
          </w:divBdr>
          <w:divsChild>
            <w:div w:id="943615739">
              <w:marLeft w:val="0"/>
              <w:marRight w:val="0"/>
              <w:marTop w:val="0"/>
              <w:marBottom w:val="0"/>
              <w:divBdr>
                <w:top w:val="none" w:sz="0" w:space="0" w:color="auto"/>
                <w:left w:val="none" w:sz="0" w:space="0" w:color="auto"/>
                <w:bottom w:val="none" w:sz="0" w:space="0" w:color="auto"/>
                <w:right w:val="none" w:sz="0" w:space="0" w:color="auto"/>
              </w:divBdr>
            </w:div>
          </w:divsChild>
        </w:div>
        <w:div w:id="1106004194">
          <w:marLeft w:val="0"/>
          <w:marRight w:val="0"/>
          <w:marTop w:val="0"/>
          <w:marBottom w:val="0"/>
          <w:divBdr>
            <w:top w:val="none" w:sz="0" w:space="0" w:color="auto"/>
            <w:left w:val="none" w:sz="0" w:space="0" w:color="auto"/>
            <w:bottom w:val="none" w:sz="0" w:space="0" w:color="auto"/>
            <w:right w:val="none" w:sz="0" w:space="0" w:color="auto"/>
          </w:divBdr>
          <w:divsChild>
            <w:div w:id="426192103">
              <w:marLeft w:val="0"/>
              <w:marRight w:val="0"/>
              <w:marTop w:val="0"/>
              <w:marBottom w:val="0"/>
              <w:divBdr>
                <w:top w:val="none" w:sz="0" w:space="0" w:color="auto"/>
                <w:left w:val="none" w:sz="0" w:space="0" w:color="auto"/>
                <w:bottom w:val="none" w:sz="0" w:space="0" w:color="auto"/>
                <w:right w:val="none" w:sz="0" w:space="0" w:color="auto"/>
              </w:divBdr>
            </w:div>
          </w:divsChild>
        </w:div>
        <w:div w:id="181557781">
          <w:marLeft w:val="0"/>
          <w:marRight w:val="0"/>
          <w:marTop w:val="0"/>
          <w:marBottom w:val="0"/>
          <w:divBdr>
            <w:top w:val="none" w:sz="0" w:space="0" w:color="auto"/>
            <w:left w:val="none" w:sz="0" w:space="0" w:color="auto"/>
            <w:bottom w:val="none" w:sz="0" w:space="0" w:color="auto"/>
            <w:right w:val="none" w:sz="0" w:space="0" w:color="auto"/>
          </w:divBdr>
          <w:divsChild>
            <w:div w:id="902714704">
              <w:marLeft w:val="0"/>
              <w:marRight w:val="0"/>
              <w:marTop w:val="0"/>
              <w:marBottom w:val="0"/>
              <w:divBdr>
                <w:top w:val="none" w:sz="0" w:space="0" w:color="auto"/>
                <w:left w:val="none" w:sz="0" w:space="0" w:color="auto"/>
                <w:bottom w:val="none" w:sz="0" w:space="0" w:color="auto"/>
                <w:right w:val="none" w:sz="0" w:space="0" w:color="auto"/>
              </w:divBdr>
            </w:div>
          </w:divsChild>
        </w:div>
        <w:div w:id="1688556214">
          <w:marLeft w:val="0"/>
          <w:marRight w:val="0"/>
          <w:marTop w:val="0"/>
          <w:marBottom w:val="0"/>
          <w:divBdr>
            <w:top w:val="none" w:sz="0" w:space="0" w:color="auto"/>
            <w:left w:val="none" w:sz="0" w:space="0" w:color="auto"/>
            <w:bottom w:val="none" w:sz="0" w:space="0" w:color="auto"/>
            <w:right w:val="none" w:sz="0" w:space="0" w:color="auto"/>
          </w:divBdr>
          <w:divsChild>
            <w:div w:id="2019194998">
              <w:marLeft w:val="0"/>
              <w:marRight w:val="0"/>
              <w:marTop w:val="0"/>
              <w:marBottom w:val="0"/>
              <w:divBdr>
                <w:top w:val="none" w:sz="0" w:space="0" w:color="auto"/>
                <w:left w:val="none" w:sz="0" w:space="0" w:color="auto"/>
                <w:bottom w:val="none" w:sz="0" w:space="0" w:color="auto"/>
                <w:right w:val="none" w:sz="0" w:space="0" w:color="auto"/>
              </w:divBdr>
            </w:div>
          </w:divsChild>
        </w:div>
        <w:div w:id="1612282322">
          <w:marLeft w:val="0"/>
          <w:marRight w:val="0"/>
          <w:marTop w:val="0"/>
          <w:marBottom w:val="0"/>
          <w:divBdr>
            <w:top w:val="none" w:sz="0" w:space="0" w:color="auto"/>
            <w:left w:val="none" w:sz="0" w:space="0" w:color="auto"/>
            <w:bottom w:val="none" w:sz="0" w:space="0" w:color="auto"/>
            <w:right w:val="none" w:sz="0" w:space="0" w:color="auto"/>
          </w:divBdr>
          <w:divsChild>
            <w:div w:id="1040475657">
              <w:marLeft w:val="0"/>
              <w:marRight w:val="0"/>
              <w:marTop w:val="0"/>
              <w:marBottom w:val="0"/>
              <w:divBdr>
                <w:top w:val="none" w:sz="0" w:space="0" w:color="auto"/>
                <w:left w:val="none" w:sz="0" w:space="0" w:color="auto"/>
                <w:bottom w:val="none" w:sz="0" w:space="0" w:color="auto"/>
                <w:right w:val="none" w:sz="0" w:space="0" w:color="auto"/>
              </w:divBdr>
            </w:div>
            <w:div w:id="265425013">
              <w:marLeft w:val="0"/>
              <w:marRight w:val="0"/>
              <w:marTop w:val="0"/>
              <w:marBottom w:val="0"/>
              <w:divBdr>
                <w:top w:val="none" w:sz="0" w:space="0" w:color="auto"/>
                <w:left w:val="none" w:sz="0" w:space="0" w:color="auto"/>
                <w:bottom w:val="none" w:sz="0" w:space="0" w:color="auto"/>
                <w:right w:val="none" w:sz="0" w:space="0" w:color="auto"/>
              </w:divBdr>
            </w:div>
          </w:divsChild>
        </w:div>
        <w:div w:id="2010138175">
          <w:marLeft w:val="0"/>
          <w:marRight w:val="0"/>
          <w:marTop w:val="0"/>
          <w:marBottom w:val="0"/>
          <w:divBdr>
            <w:top w:val="none" w:sz="0" w:space="0" w:color="auto"/>
            <w:left w:val="none" w:sz="0" w:space="0" w:color="auto"/>
            <w:bottom w:val="none" w:sz="0" w:space="0" w:color="auto"/>
            <w:right w:val="none" w:sz="0" w:space="0" w:color="auto"/>
          </w:divBdr>
          <w:divsChild>
            <w:div w:id="175459053">
              <w:marLeft w:val="0"/>
              <w:marRight w:val="0"/>
              <w:marTop w:val="0"/>
              <w:marBottom w:val="0"/>
              <w:divBdr>
                <w:top w:val="none" w:sz="0" w:space="0" w:color="auto"/>
                <w:left w:val="none" w:sz="0" w:space="0" w:color="auto"/>
                <w:bottom w:val="none" w:sz="0" w:space="0" w:color="auto"/>
                <w:right w:val="none" w:sz="0" w:space="0" w:color="auto"/>
              </w:divBdr>
            </w:div>
          </w:divsChild>
        </w:div>
        <w:div w:id="1821145461">
          <w:marLeft w:val="0"/>
          <w:marRight w:val="0"/>
          <w:marTop w:val="0"/>
          <w:marBottom w:val="0"/>
          <w:divBdr>
            <w:top w:val="none" w:sz="0" w:space="0" w:color="auto"/>
            <w:left w:val="none" w:sz="0" w:space="0" w:color="auto"/>
            <w:bottom w:val="none" w:sz="0" w:space="0" w:color="auto"/>
            <w:right w:val="none" w:sz="0" w:space="0" w:color="auto"/>
          </w:divBdr>
          <w:divsChild>
            <w:div w:id="77749104">
              <w:marLeft w:val="0"/>
              <w:marRight w:val="0"/>
              <w:marTop w:val="0"/>
              <w:marBottom w:val="0"/>
              <w:divBdr>
                <w:top w:val="none" w:sz="0" w:space="0" w:color="auto"/>
                <w:left w:val="none" w:sz="0" w:space="0" w:color="auto"/>
                <w:bottom w:val="none" w:sz="0" w:space="0" w:color="auto"/>
                <w:right w:val="none" w:sz="0" w:space="0" w:color="auto"/>
              </w:divBdr>
            </w:div>
          </w:divsChild>
        </w:div>
        <w:div w:id="2049455325">
          <w:marLeft w:val="0"/>
          <w:marRight w:val="0"/>
          <w:marTop w:val="0"/>
          <w:marBottom w:val="0"/>
          <w:divBdr>
            <w:top w:val="none" w:sz="0" w:space="0" w:color="auto"/>
            <w:left w:val="none" w:sz="0" w:space="0" w:color="auto"/>
            <w:bottom w:val="none" w:sz="0" w:space="0" w:color="auto"/>
            <w:right w:val="none" w:sz="0" w:space="0" w:color="auto"/>
          </w:divBdr>
          <w:divsChild>
            <w:div w:id="756950585">
              <w:marLeft w:val="0"/>
              <w:marRight w:val="0"/>
              <w:marTop w:val="0"/>
              <w:marBottom w:val="0"/>
              <w:divBdr>
                <w:top w:val="none" w:sz="0" w:space="0" w:color="auto"/>
                <w:left w:val="none" w:sz="0" w:space="0" w:color="auto"/>
                <w:bottom w:val="none" w:sz="0" w:space="0" w:color="auto"/>
                <w:right w:val="none" w:sz="0" w:space="0" w:color="auto"/>
              </w:divBdr>
            </w:div>
          </w:divsChild>
        </w:div>
        <w:div w:id="1528981063">
          <w:marLeft w:val="0"/>
          <w:marRight w:val="0"/>
          <w:marTop w:val="0"/>
          <w:marBottom w:val="0"/>
          <w:divBdr>
            <w:top w:val="none" w:sz="0" w:space="0" w:color="auto"/>
            <w:left w:val="none" w:sz="0" w:space="0" w:color="auto"/>
            <w:bottom w:val="none" w:sz="0" w:space="0" w:color="auto"/>
            <w:right w:val="none" w:sz="0" w:space="0" w:color="auto"/>
          </w:divBdr>
          <w:divsChild>
            <w:div w:id="338049848">
              <w:marLeft w:val="0"/>
              <w:marRight w:val="0"/>
              <w:marTop w:val="0"/>
              <w:marBottom w:val="0"/>
              <w:divBdr>
                <w:top w:val="none" w:sz="0" w:space="0" w:color="auto"/>
                <w:left w:val="none" w:sz="0" w:space="0" w:color="auto"/>
                <w:bottom w:val="none" w:sz="0" w:space="0" w:color="auto"/>
                <w:right w:val="none" w:sz="0" w:space="0" w:color="auto"/>
              </w:divBdr>
            </w:div>
          </w:divsChild>
        </w:div>
        <w:div w:id="909729104">
          <w:marLeft w:val="0"/>
          <w:marRight w:val="0"/>
          <w:marTop w:val="0"/>
          <w:marBottom w:val="0"/>
          <w:divBdr>
            <w:top w:val="none" w:sz="0" w:space="0" w:color="auto"/>
            <w:left w:val="none" w:sz="0" w:space="0" w:color="auto"/>
            <w:bottom w:val="none" w:sz="0" w:space="0" w:color="auto"/>
            <w:right w:val="none" w:sz="0" w:space="0" w:color="auto"/>
          </w:divBdr>
          <w:divsChild>
            <w:div w:id="1213076980">
              <w:marLeft w:val="0"/>
              <w:marRight w:val="0"/>
              <w:marTop w:val="0"/>
              <w:marBottom w:val="0"/>
              <w:divBdr>
                <w:top w:val="none" w:sz="0" w:space="0" w:color="auto"/>
                <w:left w:val="none" w:sz="0" w:space="0" w:color="auto"/>
                <w:bottom w:val="none" w:sz="0" w:space="0" w:color="auto"/>
                <w:right w:val="none" w:sz="0" w:space="0" w:color="auto"/>
              </w:divBdr>
            </w:div>
          </w:divsChild>
        </w:div>
        <w:div w:id="1672101412">
          <w:marLeft w:val="0"/>
          <w:marRight w:val="0"/>
          <w:marTop w:val="0"/>
          <w:marBottom w:val="0"/>
          <w:divBdr>
            <w:top w:val="none" w:sz="0" w:space="0" w:color="auto"/>
            <w:left w:val="none" w:sz="0" w:space="0" w:color="auto"/>
            <w:bottom w:val="none" w:sz="0" w:space="0" w:color="auto"/>
            <w:right w:val="none" w:sz="0" w:space="0" w:color="auto"/>
          </w:divBdr>
          <w:divsChild>
            <w:div w:id="15572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8050">
      <w:bodyDiv w:val="1"/>
      <w:marLeft w:val="0"/>
      <w:marRight w:val="0"/>
      <w:marTop w:val="0"/>
      <w:marBottom w:val="0"/>
      <w:divBdr>
        <w:top w:val="none" w:sz="0" w:space="0" w:color="auto"/>
        <w:left w:val="none" w:sz="0" w:space="0" w:color="auto"/>
        <w:bottom w:val="none" w:sz="0" w:space="0" w:color="auto"/>
        <w:right w:val="none" w:sz="0" w:space="0" w:color="auto"/>
      </w:divBdr>
    </w:div>
    <w:div w:id="219949799">
      <w:bodyDiv w:val="1"/>
      <w:marLeft w:val="0"/>
      <w:marRight w:val="0"/>
      <w:marTop w:val="0"/>
      <w:marBottom w:val="0"/>
      <w:divBdr>
        <w:top w:val="none" w:sz="0" w:space="0" w:color="auto"/>
        <w:left w:val="none" w:sz="0" w:space="0" w:color="auto"/>
        <w:bottom w:val="none" w:sz="0" w:space="0" w:color="auto"/>
        <w:right w:val="none" w:sz="0" w:space="0" w:color="auto"/>
      </w:divBdr>
      <w:divsChild>
        <w:div w:id="105078346">
          <w:marLeft w:val="0"/>
          <w:marRight w:val="0"/>
          <w:marTop w:val="0"/>
          <w:marBottom w:val="0"/>
          <w:divBdr>
            <w:top w:val="none" w:sz="0" w:space="0" w:color="auto"/>
            <w:left w:val="none" w:sz="0" w:space="0" w:color="auto"/>
            <w:bottom w:val="none" w:sz="0" w:space="0" w:color="auto"/>
            <w:right w:val="none" w:sz="0" w:space="0" w:color="auto"/>
          </w:divBdr>
          <w:divsChild>
            <w:div w:id="179664030">
              <w:marLeft w:val="0"/>
              <w:marRight w:val="0"/>
              <w:marTop w:val="0"/>
              <w:marBottom w:val="0"/>
              <w:divBdr>
                <w:top w:val="none" w:sz="0" w:space="0" w:color="auto"/>
                <w:left w:val="none" w:sz="0" w:space="0" w:color="auto"/>
                <w:bottom w:val="none" w:sz="0" w:space="0" w:color="auto"/>
                <w:right w:val="none" w:sz="0" w:space="0" w:color="auto"/>
              </w:divBdr>
            </w:div>
          </w:divsChild>
        </w:div>
        <w:div w:id="834222556">
          <w:marLeft w:val="0"/>
          <w:marRight w:val="0"/>
          <w:marTop w:val="0"/>
          <w:marBottom w:val="0"/>
          <w:divBdr>
            <w:top w:val="none" w:sz="0" w:space="0" w:color="auto"/>
            <w:left w:val="none" w:sz="0" w:space="0" w:color="auto"/>
            <w:bottom w:val="none" w:sz="0" w:space="0" w:color="auto"/>
            <w:right w:val="none" w:sz="0" w:space="0" w:color="auto"/>
          </w:divBdr>
          <w:divsChild>
            <w:div w:id="1392270027">
              <w:marLeft w:val="0"/>
              <w:marRight w:val="0"/>
              <w:marTop w:val="0"/>
              <w:marBottom w:val="0"/>
              <w:divBdr>
                <w:top w:val="none" w:sz="0" w:space="0" w:color="auto"/>
                <w:left w:val="none" w:sz="0" w:space="0" w:color="auto"/>
                <w:bottom w:val="none" w:sz="0" w:space="0" w:color="auto"/>
                <w:right w:val="none" w:sz="0" w:space="0" w:color="auto"/>
              </w:divBdr>
            </w:div>
          </w:divsChild>
        </w:div>
        <w:div w:id="102308247">
          <w:marLeft w:val="0"/>
          <w:marRight w:val="0"/>
          <w:marTop w:val="0"/>
          <w:marBottom w:val="0"/>
          <w:divBdr>
            <w:top w:val="none" w:sz="0" w:space="0" w:color="auto"/>
            <w:left w:val="none" w:sz="0" w:space="0" w:color="auto"/>
            <w:bottom w:val="none" w:sz="0" w:space="0" w:color="auto"/>
            <w:right w:val="none" w:sz="0" w:space="0" w:color="auto"/>
          </w:divBdr>
          <w:divsChild>
            <w:div w:id="987712804">
              <w:marLeft w:val="0"/>
              <w:marRight w:val="0"/>
              <w:marTop w:val="0"/>
              <w:marBottom w:val="0"/>
              <w:divBdr>
                <w:top w:val="none" w:sz="0" w:space="0" w:color="auto"/>
                <w:left w:val="none" w:sz="0" w:space="0" w:color="auto"/>
                <w:bottom w:val="none" w:sz="0" w:space="0" w:color="auto"/>
                <w:right w:val="none" w:sz="0" w:space="0" w:color="auto"/>
              </w:divBdr>
            </w:div>
          </w:divsChild>
        </w:div>
        <w:div w:id="1931159107">
          <w:marLeft w:val="0"/>
          <w:marRight w:val="0"/>
          <w:marTop w:val="0"/>
          <w:marBottom w:val="0"/>
          <w:divBdr>
            <w:top w:val="none" w:sz="0" w:space="0" w:color="auto"/>
            <w:left w:val="none" w:sz="0" w:space="0" w:color="auto"/>
            <w:bottom w:val="none" w:sz="0" w:space="0" w:color="auto"/>
            <w:right w:val="none" w:sz="0" w:space="0" w:color="auto"/>
          </w:divBdr>
          <w:divsChild>
            <w:div w:id="969943252">
              <w:marLeft w:val="0"/>
              <w:marRight w:val="0"/>
              <w:marTop w:val="0"/>
              <w:marBottom w:val="0"/>
              <w:divBdr>
                <w:top w:val="none" w:sz="0" w:space="0" w:color="auto"/>
                <w:left w:val="none" w:sz="0" w:space="0" w:color="auto"/>
                <w:bottom w:val="none" w:sz="0" w:space="0" w:color="auto"/>
                <w:right w:val="none" w:sz="0" w:space="0" w:color="auto"/>
              </w:divBdr>
            </w:div>
          </w:divsChild>
        </w:div>
        <w:div w:id="950405424">
          <w:marLeft w:val="0"/>
          <w:marRight w:val="0"/>
          <w:marTop w:val="0"/>
          <w:marBottom w:val="0"/>
          <w:divBdr>
            <w:top w:val="none" w:sz="0" w:space="0" w:color="auto"/>
            <w:left w:val="none" w:sz="0" w:space="0" w:color="auto"/>
            <w:bottom w:val="none" w:sz="0" w:space="0" w:color="auto"/>
            <w:right w:val="none" w:sz="0" w:space="0" w:color="auto"/>
          </w:divBdr>
          <w:divsChild>
            <w:div w:id="1799110191">
              <w:marLeft w:val="0"/>
              <w:marRight w:val="0"/>
              <w:marTop w:val="0"/>
              <w:marBottom w:val="0"/>
              <w:divBdr>
                <w:top w:val="none" w:sz="0" w:space="0" w:color="auto"/>
                <w:left w:val="none" w:sz="0" w:space="0" w:color="auto"/>
                <w:bottom w:val="none" w:sz="0" w:space="0" w:color="auto"/>
                <w:right w:val="none" w:sz="0" w:space="0" w:color="auto"/>
              </w:divBdr>
            </w:div>
          </w:divsChild>
        </w:div>
        <w:div w:id="1792361555">
          <w:marLeft w:val="0"/>
          <w:marRight w:val="0"/>
          <w:marTop w:val="0"/>
          <w:marBottom w:val="0"/>
          <w:divBdr>
            <w:top w:val="none" w:sz="0" w:space="0" w:color="auto"/>
            <w:left w:val="none" w:sz="0" w:space="0" w:color="auto"/>
            <w:bottom w:val="none" w:sz="0" w:space="0" w:color="auto"/>
            <w:right w:val="none" w:sz="0" w:space="0" w:color="auto"/>
          </w:divBdr>
          <w:divsChild>
            <w:div w:id="1893806913">
              <w:marLeft w:val="0"/>
              <w:marRight w:val="0"/>
              <w:marTop w:val="0"/>
              <w:marBottom w:val="0"/>
              <w:divBdr>
                <w:top w:val="none" w:sz="0" w:space="0" w:color="auto"/>
                <w:left w:val="none" w:sz="0" w:space="0" w:color="auto"/>
                <w:bottom w:val="none" w:sz="0" w:space="0" w:color="auto"/>
                <w:right w:val="none" w:sz="0" w:space="0" w:color="auto"/>
              </w:divBdr>
            </w:div>
          </w:divsChild>
        </w:div>
        <w:div w:id="625042297">
          <w:marLeft w:val="0"/>
          <w:marRight w:val="0"/>
          <w:marTop w:val="0"/>
          <w:marBottom w:val="0"/>
          <w:divBdr>
            <w:top w:val="none" w:sz="0" w:space="0" w:color="auto"/>
            <w:left w:val="none" w:sz="0" w:space="0" w:color="auto"/>
            <w:bottom w:val="none" w:sz="0" w:space="0" w:color="auto"/>
            <w:right w:val="none" w:sz="0" w:space="0" w:color="auto"/>
          </w:divBdr>
          <w:divsChild>
            <w:div w:id="1251814384">
              <w:marLeft w:val="0"/>
              <w:marRight w:val="0"/>
              <w:marTop w:val="0"/>
              <w:marBottom w:val="0"/>
              <w:divBdr>
                <w:top w:val="none" w:sz="0" w:space="0" w:color="auto"/>
                <w:left w:val="none" w:sz="0" w:space="0" w:color="auto"/>
                <w:bottom w:val="none" w:sz="0" w:space="0" w:color="auto"/>
                <w:right w:val="none" w:sz="0" w:space="0" w:color="auto"/>
              </w:divBdr>
            </w:div>
          </w:divsChild>
        </w:div>
        <w:div w:id="853881980">
          <w:marLeft w:val="0"/>
          <w:marRight w:val="0"/>
          <w:marTop w:val="0"/>
          <w:marBottom w:val="0"/>
          <w:divBdr>
            <w:top w:val="none" w:sz="0" w:space="0" w:color="auto"/>
            <w:left w:val="none" w:sz="0" w:space="0" w:color="auto"/>
            <w:bottom w:val="none" w:sz="0" w:space="0" w:color="auto"/>
            <w:right w:val="none" w:sz="0" w:space="0" w:color="auto"/>
          </w:divBdr>
          <w:divsChild>
            <w:div w:id="908150650">
              <w:marLeft w:val="0"/>
              <w:marRight w:val="0"/>
              <w:marTop w:val="0"/>
              <w:marBottom w:val="0"/>
              <w:divBdr>
                <w:top w:val="none" w:sz="0" w:space="0" w:color="auto"/>
                <w:left w:val="none" w:sz="0" w:space="0" w:color="auto"/>
                <w:bottom w:val="none" w:sz="0" w:space="0" w:color="auto"/>
                <w:right w:val="none" w:sz="0" w:space="0" w:color="auto"/>
              </w:divBdr>
            </w:div>
          </w:divsChild>
        </w:div>
        <w:div w:id="309359664">
          <w:marLeft w:val="0"/>
          <w:marRight w:val="0"/>
          <w:marTop w:val="0"/>
          <w:marBottom w:val="0"/>
          <w:divBdr>
            <w:top w:val="none" w:sz="0" w:space="0" w:color="auto"/>
            <w:left w:val="none" w:sz="0" w:space="0" w:color="auto"/>
            <w:bottom w:val="none" w:sz="0" w:space="0" w:color="auto"/>
            <w:right w:val="none" w:sz="0" w:space="0" w:color="auto"/>
          </w:divBdr>
          <w:divsChild>
            <w:div w:id="529997356">
              <w:marLeft w:val="0"/>
              <w:marRight w:val="0"/>
              <w:marTop w:val="0"/>
              <w:marBottom w:val="0"/>
              <w:divBdr>
                <w:top w:val="none" w:sz="0" w:space="0" w:color="auto"/>
                <w:left w:val="none" w:sz="0" w:space="0" w:color="auto"/>
                <w:bottom w:val="none" w:sz="0" w:space="0" w:color="auto"/>
                <w:right w:val="none" w:sz="0" w:space="0" w:color="auto"/>
              </w:divBdr>
            </w:div>
          </w:divsChild>
        </w:div>
        <w:div w:id="520509200">
          <w:marLeft w:val="0"/>
          <w:marRight w:val="0"/>
          <w:marTop w:val="0"/>
          <w:marBottom w:val="0"/>
          <w:divBdr>
            <w:top w:val="none" w:sz="0" w:space="0" w:color="auto"/>
            <w:left w:val="none" w:sz="0" w:space="0" w:color="auto"/>
            <w:bottom w:val="none" w:sz="0" w:space="0" w:color="auto"/>
            <w:right w:val="none" w:sz="0" w:space="0" w:color="auto"/>
          </w:divBdr>
          <w:divsChild>
            <w:div w:id="240914083">
              <w:marLeft w:val="0"/>
              <w:marRight w:val="0"/>
              <w:marTop w:val="0"/>
              <w:marBottom w:val="0"/>
              <w:divBdr>
                <w:top w:val="none" w:sz="0" w:space="0" w:color="auto"/>
                <w:left w:val="none" w:sz="0" w:space="0" w:color="auto"/>
                <w:bottom w:val="none" w:sz="0" w:space="0" w:color="auto"/>
                <w:right w:val="none" w:sz="0" w:space="0" w:color="auto"/>
              </w:divBdr>
            </w:div>
          </w:divsChild>
        </w:div>
        <w:div w:id="562184172">
          <w:marLeft w:val="0"/>
          <w:marRight w:val="0"/>
          <w:marTop w:val="0"/>
          <w:marBottom w:val="0"/>
          <w:divBdr>
            <w:top w:val="none" w:sz="0" w:space="0" w:color="auto"/>
            <w:left w:val="none" w:sz="0" w:space="0" w:color="auto"/>
            <w:bottom w:val="none" w:sz="0" w:space="0" w:color="auto"/>
            <w:right w:val="none" w:sz="0" w:space="0" w:color="auto"/>
          </w:divBdr>
          <w:divsChild>
            <w:div w:id="498039470">
              <w:marLeft w:val="0"/>
              <w:marRight w:val="0"/>
              <w:marTop w:val="0"/>
              <w:marBottom w:val="0"/>
              <w:divBdr>
                <w:top w:val="none" w:sz="0" w:space="0" w:color="auto"/>
                <w:left w:val="none" w:sz="0" w:space="0" w:color="auto"/>
                <w:bottom w:val="none" w:sz="0" w:space="0" w:color="auto"/>
                <w:right w:val="none" w:sz="0" w:space="0" w:color="auto"/>
              </w:divBdr>
            </w:div>
          </w:divsChild>
        </w:div>
        <w:div w:id="277687526">
          <w:marLeft w:val="0"/>
          <w:marRight w:val="0"/>
          <w:marTop w:val="0"/>
          <w:marBottom w:val="0"/>
          <w:divBdr>
            <w:top w:val="none" w:sz="0" w:space="0" w:color="auto"/>
            <w:left w:val="none" w:sz="0" w:space="0" w:color="auto"/>
            <w:bottom w:val="none" w:sz="0" w:space="0" w:color="auto"/>
            <w:right w:val="none" w:sz="0" w:space="0" w:color="auto"/>
          </w:divBdr>
          <w:divsChild>
            <w:div w:id="1722438072">
              <w:marLeft w:val="0"/>
              <w:marRight w:val="0"/>
              <w:marTop w:val="0"/>
              <w:marBottom w:val="0"/>
              <w:divBdr>
                <w:top w:val="none" w:sz="0" w:space="0" w:color="auto"/>
                <w:left w:val="none" w:sz="0" w:space="0" w:color="auto"/>
                <w:bottom w:val="none" w:sz="0" w:space="0" w:color="auto"/>
                <w:right w:val="none" w:sz="0" w:space="0" w:color="auto"/>
              </w:divBdr>
            </w:div>
          </w:divsChild>
        </w:div>
        <w:div w:id="832572195">
          <w:marLeft w:val="0"/>
          <w:marRight w:val="0"/>
          <w:marTop w:val="0"/>
          <w:marBottom w:val="0"/>
          <w:divBdr>
            <w:top w:val="none" w:sz="0" w:space="0" w:color="auto"/>
            <w:left w:val="none" w:sz="0" w:space="0" w:color="auto"/>
            <w:bottom w:val="none" w:sz="0" w:space="0" w:color="auto"/>
            <w:right w:val="none" w:sz="0" w:space="0" w:color="auto"/>
          </w:divBdr>
          <w:divsChild>
            <w:div w:id="2042196257">
              <w:marLeft w:val="0"/>
              <w:marRight w:val="0"/>
              <w:marTop w:val="0"/>
              <w:marBottom w:val="0"/>
              <w:divBdr>
                <w:top w:val="none" w:sz="0" w:space="0" w:color="auto"/>
                <w:left w:val="none" w:sz="0" w:space="0" w:color="auto"/>
                <w:bottom w:val="none" w:sz="0" w:space="0" w:color="auto"/>
                <w:right w:val="none" w:sz="0" w:space="0" w:color="auto"/>
              </w:divBdr>
            </w:div>
          </w:divsChild>
        </w:div>
        <w:div w:id="1207789388">
          <w:marLeft w:val="0"/>
          <w:marRight w:val="0"/>
          <w:marTop w:val="0"/>
          <w:marBottom w:val="0"/>
          <w:divBdr>
            <w:top w:val="none" w:sz="0" w:space="0" w:color="auto"/>
            <w:left w:val="none" w:sz="0" w:space="0" w:color="auto"/>
            <w:bottom w:val="none" w:sz="0" w:space="0" w:color="auto"/>
            <w:right w:val="none" w:sz="0" w:space="0" w:color="auto"/>
          </w:divBdr>
          <w:divsChild>
            <w:div w:id="1142045542">
              <w:marLeft w:val="0"/>
              <w:marRight w:val="0"/>
              <w:marTop w:val="0"/>
              <w:marBottom w:val="0"/>
              <w:divBdr>
                <w:top w:val="none" w:sz="0" w:space="0" w:color="auto"/>
                <w:left w:val="none" w:sz="0" w:space="0" w:color="auto"/>
                <w:bottom w:val="none" w:sz="0" w:space="0" w:color="auto"/>
                <w:right w:val="none" w:sz="0" w:space="0" w:color="auto"/>
              </w:divBdr>
            </w:div>
          </w:divsChild>
        </w:div>
        <w:div w:id="2023706199">
          <w:marLeft w:val="0"/>
          <w:marRight w:val="0"/>
          <w:marTop w:val="0"/>
          <w:marBottom w:val="0"/>
          <w:divBdr>
            <w:top w:val="none" w:sz="0" w:space="0" w:color="auto"/>
            <w:left w:val="none" w:sz="0" w:space="0" w:color="auto"/>
            <w:bottom w:val="none" w:sz="0" w:space="0" w:color="auto"/>
            <w:right w:val="none" w:sz="0" w:space="0" w:color="auto"/>
          </w:divBdr>
          <w:divsChild>
            <w:div w:id="1689403827">
              <w:marLeft w:val="0"/>
              <w:marRight w:val="0"/>
              <w:marTop w:val="0"/>
              <w:marBottom w:val="0"/>
              <w:divBdr>
                <w:top w:val="none" w:sz="0" w:space="0" w:color="auto"/>
                <w:left w:val="none" w:sz="0" w:space="0" w:color="auto"/>
                <w:bottom w:val="none" w:sz="0" w:space="0" w:color="auto"/>
                <w:right w:val="none" w:sz="0" w:space="0" w:color="auto"/>
              </w:divBdr>
            </w:div>
          </w:divsChild>
        </w:div>
        <w:div w:id="1014458222">
          <w:marLeft w:val="0"/>
          <w:marRight w:val="0"/>
          <w:marTop w:val="0"/>
          <w:marBottom w:val="0"/>
          <w:divBdr>
            <w:top w:val="none" w:sz="0" w:space="0" w:color="auto"/>
            <w:left w:val="none" w:sz="0" w:space="0" w:color="auto"/>
            <w:bottom w:val="none" w:sz="0" w:space="0" w:color="auto"/>
            <w:right w:val="none" w:sz="0" w:space="0" w:color="auto"/>
          </w:divBdr>
          <w:divsChild>
            <w:div w:id="134101181">
              <w:marLeft w:val="0"/>
              <w:marRight w:val="0"/>
              <w:marTop w:val="0"/>
              <w:marBottom w:val="0"/>
              <w:divBdr>
                <w:top w:val="none" w:sz="0" w:space="0" w:color="auto"/>
                <w:left w:val="none" w:sz="0" w:space="0" w:color="auto"/>
                <w:bottom w:val="none" w:sz="0" w:space="0" w:color="auto"/>
                <w:right w:val="none" w:sz="0" w:space="0" w:color="auto"/>
              </w:divBdr>
            </w:div>
            <w:div w:id="1302231480">
              <w:marLeft w:val="0"/>
              <w:marRight w:val="0"/>
              <w:marTop w:val="0"/>
              <w:marBottom w:val="0"/>
              <w:divBdr>
                <w:top w:val="none" w:sz="0" w:space="0" w:color="auto"/>
                <w:left w:val="none" w:sz="0" w:space="0" w:color="auto"/>
                <w:bottom w:val="none" w:sz="0" w:space="0" w:color="auto"/>
                <w:right w:val="none" w:sz="0" w:space="0" w:color="auto"/>
              </w:divBdr>
            </w:div>
          </w:divsChild>
        </w:div>
        <w:div w:id="1018043683">
          <w:marLeft w:val="0"/>
          <w:marRight w:val="0"/>
          <w:marTop w:val="0"/>
          <w:marBottom w:val="0"/>
          <w:divBdr>
            <w:top w:val="none" w:sz="0" w:space="0" w:color="auto"/>
            <w:left w:val="none" w:sz="0" w:space="0" w:color="auto"/>
            <w:bottom w:val="none" w:sz="0" w:space="0" w:color="auto"/>
            <w:right w:val="none" w:sz="0" w:space="0" w:color="auto"/>
          </w:divBdr>
          <w:divsChild>
            <w:div w:id="70124522">
              <w:marLeft w:val="0"/>
              <w:marRight w:val="0"/>
              <w:marTop w:val="0"/>
              <w:marBottom w:val="0"/>
              <w:divBdr>
                <w:top w:val="none" w:sz="0" w:space="0" w:color="auto"/>
                <w:left w:val="none" w:sz="0" w:space="0" w:color="auto"/>
                <w:bottom w:val="none" w:sz="0" w:space="0" w:color="auto"/>
                <w:right w:val="none" w:sz="0" w:space="0" w:color="auto"/>
              </w:divBdr>
            </w:div>
          </w:divsChild>
        </w:div>
        <w:div w:id="1042096067">
          <w:marLeft w:val="0"/>
          <w:marRight w:val="0"/>
          <w:marTop w:val="0"/>
          <w:marBottom w:val="0"/>
          <w:divBdr>
            <w:top w:val="none" w:sz="0" w:space="0" w:color="auto"/>
            <w:left w:val="none" w:sz="0" w:space="0" w:color="auto"/>
            <w:bottom w:val="none" w:sz="0" w:space="0" w:color="auto"/>
            <w:right w:val="none" w:sz="0" w:space="0" w:color="auto"/>
          </w:divBdr>
          <w:divsChild>
            <w:div w:id="1797987708">
              <w:marLeft w:val="0"/>
              <w:marRight w:val="0"/>
              <w:marTop w:val="0"/>
              <w:marBottom w:val="0"/>
              <w:divBdr>
                <w:top w:val="none" w:sz="0" w:space="0" w:color="auto"/>
                <w:left w:val="none" w:sz="0" w:space="0" w:color="auto"/>
                <w:bottom w:val="none" w:sz="0" w:space="0" w:color="auto"/>
                <w:right w:val="none" w:sz="0" w:space="0" w:color="auto"/>
              </w:divBdr>
            </w:div>
          </w:divsChild>
        </w:div>
        <w:div w:id="571621390">
          <w:marLeft w:val="0"/>
          <w:marRight w:val="0"/>
          <w:marTop w:val="0"/>
          <w:marBottom w:val="0"/>
          <w:divBdr>
            <w:top w:val="none" w:sz="0" w:space="0" w:color="auto"/>
            <w:left w:val="none" w:sz="0" w:space="0" w:color="auto"/>
            <w:bottom w:val="none" w:sz="0" w:space="0" w:color="auto"/>
            <w:right w:val="none" w:sz="0" w:space="0" w:color="auto"/>
          </w:divBdr>
          <w:divsChild>
            <w:div w:id="202135913">
              <w:marLeft w:val="0"/>
              <w:marRight w:val="0"/>
              <w:marTop w:val="0"/>
              <w:marBottom w:val="0"/>
              <w:divBdr>
                <w:top w:val="none" w:sz="0" w:space="0" w:color="auto"/>
                <w:left w:val="none" w:sz="0" w:space="0" w:color="auto"/>
                <w:bottom w:val="none" w:sz="0" w:space="0" w:color="auto"/>
                <w:right w:val="none" w:sz="0" w:space="0" w:color="auto"/>
              </w:divBdr>
            </w:div>
          </w:divsChild>
        </w:div>
        <w:div w:id="1471946082">
          <w:marLeft w:val="0"/>
          <w:marRight w:val="0"/>
          <w:marTop w:val="0"/>
          <w:marBottom w:val="0"/>
          <w:divBdr>
            <w:top w:val="none" w:sz="0" w:space="0" w:color="auto"/>
            <w:left w:val="none" w:sz="0" w:space="0" w:color="auto"/>
            <w:bottom w:val="none" w:sz="0" w:space="0" w:color="auto"/>
            <w:right w:val="none" w:sz="0" w:space="0" w:color="auto"/>
          </w:divBdr>
          <w:divsChild>
            <w:div w:id="1814561577">
              <w:marLeft w:val="0"/>
              <w:marRight w:val="0"/>
              <w:marTop w:val="0"/>
              <w:marBottom w:val="0"/>
              <w:divBdr>
                <w:top w:val="none" w:sz="0" w:space="0" w:color="auto"/>
                <w:left w:val="none" w:sz="0" w:space="0" w:color="auto"/>
                <w:bottom w:val="none" w:sz="0" w:space="0" w:color="auto"/>
                <w:right w:val="none" w:sz="0" w:space="0" w:color="auto"/>
              </w:divBdr>
            </w:div>
          </w:divsChild>
        </w:div>
        <w:div w:id="205027835">
          <w:marLeft w:val="0"/>
          <w:marRight w:val="0"/>
          <w:marTop w:val="0"/>
          <w:marBottom w:val="0"/>
          <w:divBdr>
            <w:top w:val="none" w:sz="0" w:space="0" w:color="auto"/>
            <w:left w:val="none" w:sz="0" w:space="0" w:color="auto"/>
            <w:bottom w:val="none" w:sz="0" w:space="0" w:color="auto"/>
            <w:right w:val="none" w:sz="0" w:space="0" w:color="auto"/>
          </w:divBdr>
          <w:divsChild>
            <w:div w:id="956713896">
              <w:marLeft w:val="0"/>
              <w:marRight w:val="0"/>
              <w:marTop w:val="0"/>
              <w:marBottom w:val="0"/>
              <w:divBdr>
                <w:top w:val="none" w:sz="0" w:space="0" w:color="auto"/>
                <w:left w:val="none" w:sz="0" w:space="0" w:color="auto"/>
                <w:bottom w:val="none" w:sz="0" w:space="0" w:color="auto"/>
                <w:right w:val="none" w:sz="0" w:space="0" w:color="auto"/>
              </w:divBdr>
            </w:div>
          </w:divsChild>
        </w:div>
        <w:div w:id="50737396">
          <w:marLeft w:val="0"/>
          <w:marRight w:val="0"/>
          <w:marTop w:val="0"/>
          <w:marBottom w:val="0"/>
          <w:divBdr>
            <w:top w:val="none" w:sz="0" w:space="0" w:color="auto"/>
            <w:left w:val="none" w:sz="0" w:space="0" w:color="auto"/>
            <w:bottom w:val="none" w:sz="0" w:space="0" w:color="auto"/>
            <w:right w:val="none" w:sz="0" w:space="0" w:color="auto"/>
          </w:divBdr>
          <w:divsChild>
            <w:div w:id="11951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06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5859861">
      <w:bodyDiv w:val="1"/>
      <w:marLeft w:val="0"/>
      <w:marRight w:val="0"/>
      <w:marTop w:val="0"/>
      <w:marBottom w:val="0"/>
      <w:divBdr>
        <w:top w:val="none" w:sz="0" w:space="0" w:color="auto"/>
        <w:left w:val="none" w:sz="0" w:space="0" w:color="auto"/>
        <w:bottom w:val="none" w:sz="0" w:space="0" w:color="auto"/>
        <w:right w:val="none" w:sz="0" w:space="0" w:color="auto"/>
      </w:divBdr>
      <w:divsChild>
        <w:div w:id="251861320">
          <w:marLeft w:val="0"/>
          <w:marRight w:val="0"/>
          <w:marTop w:val="0"/>
          <w:marBottom w:val="0"/>
          <w:divBdr>
            <w:top w:val="none" w:sz="0" w:space="0" w:color="auto"/>
            <w:left w:val="none" w:sz="0" w:space="0" w:color="auto"/>
            <w:bottom w:val="none" w:sz="0" w:space="0" w:color="auto"/>
            <w:right w:val="none" w:sz="0" w:space="0" w:color="auto"/>
          </w:divBdr>
          <w:divsChild>
            <w:div w:id="1420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0001001">
      <w:bodyDiv w:val="1"/>
      <w:marLeft w:val="0"/>
      <w:marRight w:val="0"/>
      <w:marTop w:val="0"/>
      <w:marBottom w:val="0"/>
      <w:divBdr>
        <w:top w:val="none" w:sz="0" w:space="0" w:color="auto"/>
        <w:left w:val="none" w:sz="0" w:space="0" w:color="auto"/>
        <w:bottom w:val="none" w:sz="0" w:space="0" w:color="auto"/>
        <w:right w:val="none" w:sz="0" w:space="0" w:color="auto"/>
      </w:divBdr>
      <w:divsChild>
        <w:div w:id="1088114938">
          <w:marLeft w:val="0"/>
          <w:marRight w:val="0"/>
          <w:marTop w:val="0"/>
          <w:marBottom w:val="0"/>
          <w:divBdr>
            <w:top w:val="none" w:sz="0" w:space="0" w:color="auto"/>
            <w:left w:val="none" w:sz="0" w:space="0" w:color="auto"/>
            <w:bottom w:val="none" w:sz="0" w:space="0" w:color="auto"/>
            <w:right w:val="none" w:sz="0" w:space="0" w:color="auto"/>
          </w:divBdr>
          <w:divsChild>
            <w:div w:id="83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7764957">
      <w:bodyDiv w:val="1"/>
      <w:marLeft w:val="0"/>
      <w:marRight w:val="0"/>
      <w:marTop w:val="0"/>
      <w:marBottom w:val="0"/>
      <w:divBdr>
        <w:top w:val="none" w:sz="0" w:space="0" w:color="auto"/>
        <w:left w:val="none" w:sz="0" w:space="0" w:color="auto"/>
        <w:bottom w:val="none" w:sz="0" w:space="0" w:color="auto"/>
        <w:right w:val="none" w:sz="0" w:space="0" w:color="auto"/>
      </w:divBdr>
      <w:divsChild>
        <w:div w:id="1137186617">
          <w:marLeft w:val="0"/>
          <w:marRight w:val="0"/>
          <w:marTop w:val="0"/>
          <w:marBottom w:val="0"/>
          <w:divBdr>
            <w:top w:val="none" w:sz="0" w:space="0" w:color="auto"/>
            <w:left w:val="none" w:sz="0" w:space="0" w:color="auto"/>
            <w:bottom w:val="none" w:sz="0" w:space="0" w:color="auto"/>
            <w:right w:val="none" w:sz="0" w:space="0" w:color="auto"/>
          </w:divBdr>
          <w:divsChild>
            <w:div w:id="2256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5453379">
      <w:bodyDiv w:val="1"/>
      <w:marLeft w:val="0"/>
      <w:marRight w:val="0"/>
      <w:marTop w:val="0"/>
      <w:marBottom w:val="0"/>
      <w:divBdr>
        <w:top w:val="none" w:sz="0" w:space="0" w:color="auto"/>
        <w:left w:val="none" w:sz="0" w:space="0" w:color="auto"/>
        <w:bottom w:val="none" w:sz="0" w:space="0" w:color="auto"/>
        <w:right w:val="none" w:sz="0" w:space="0" w:color="auto"/>
      </w:divBdr>
      <w:divsChild>
        <w:div w:id="872499385">
          <w:marLeft w:val="0"/>
          <w:marRight w:val="0"/>
          <w:marTop w:val="0"/>
          <w:marBottom w:val="0"/>
          <w:divBdr>
            <w:top w:val="none" w:sz="0" w:space="0" w:color="auto"/>
            <w:left w:val="none" w:sz="0" w:space="0" w:color="auto"/>
            <w:bottom w:val="none" w:sz="0" w:space="0" w:color="auto"/>
            <w:right w:val="none" w:sz="0" w:space="0" w:color="auto"/>
          </w:divBdr>
        </w:div>
        <w:div w:id="1878227624">
          <w:marLeft w:val="0"/>
          <w:marRight w:val="0"/>
          <w:marTop w:val="0"/>
          <w:marBottom w:val="0"/>
          <w:divBdr>
            <w:top w:val="none" w:sz="0" w:space="0" w:color="auto"/>
            <w:left w:val="none" w:sz="0" w:space="0" w:color="auto"/>
            <w:bottom w:val="none" w:sz="0" w:space="0" w:color="auto"/>
            <w:right w:val="none" w:sz="0" w:space="0" w:color="auto"/>
          </w:divBdr>
        </w:div>
        <w:div w:id="633604501">
          <w:marLeft w:val="0"/>
          <w:marRight w:val="0"/>
          <w:marTop w:val="0"/>
          <w:marBottom w:val="0"/>
          <w:divBdr>
            <w:top w:val="none" w:sz="0" w:space="0" w:color="auto"/>
            <w:left w:val="none" w:sz="0" w:space="0" w:color="auto"/>
            <w:bottom w:val="none" w:sz="0" w:space="0" w:color="auto"/>
            <w:right w:val="none" w:sz="0" w:space="0" w:color="auto"/>
          </w:divBdr>
        </w:div>
      </w:divsChild>
    </w:div>
    <w:div w:id="976766369">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0">
          <w:marLeft w:val="0"/>
          <w:marRight w:val="0"/>
          <w:marTop w:val="0"/>
          <w:marBottom w:val="0"/>
          <w:divBdr>
            <w:top w:val="none" w:sz="0" w:space="0" w:color="auto"/>
            <w:left w:val="none" w:sz="0" w:space="0" w:color="auto"/>
            <w:bottom w:val="none" w:sz="0" w:space="0" w:color="auto"/>
            <w:right w:val="none" w:sz="0" w:space="0" w:color="auto"/>
          </w:divBdr>
          <w:divsChild>
            <w:div w:id="157824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986">
      <w:bodyDiv w:val="1"/>
      <w:marLeft w:val="0"/>
      <w:marRight w:val="0"/>
      <w:marTop w:val="0"/>
      <w:marBottom w:val="0"/>
      <w:divBdr>
        <w:top w:val="none" w:sz="0" w:space="0" w:color="auto"/>
        <w:left w:val="none" w:sz="0" w:space="0" w:color="auto"/>
        <w:bottom w:val="none" w:sz="0" w:space="0" w:color="auto"/>
        <w:right w:val="none" w:sz="0" w:space="0" w:color="auto"/>
      </w:divBdr>
      <w:divsChild>
        <w:div w:id="472908471">
          <w:marLeft w:val="0"/>
          <w:marRight w:val="0"/>
          <w:marTop w:val="0"/>
          <w:marBottom w:val="0"/>
          <w:divBdr>
            <w:top w:val="none" w:sz="0" w:space="0" w:color="auto"/>
            <w:left w:val="none" w:sz="0" w:space="0" w:color="auto"/>
            <w:bottom w:val="none" w:sz="0" w:space="0" w:color="auto"/>
            <w:right w:val="none" w:sz="0" w:space="0" w:color="auto"/>
          </w:divBdr>
          <w:divsChild>
            <w:div w:id="466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291029">
      <w:bodyDiv w:val="1"/>
      <w:marLeft w:val="0"/>
      <w:marRight w:val="0"/>
      <w:marTop w:val="0"/>
      <w:marBottom w:val="0"/>
      <w:divBdr>
        <w:top w:val="none" w:sz="0" w:space="0" w:color="auto"/>
        <w:left w:val="none" w:sz="0" w:space="0" w:color="auto"/>
        <w:bottom w:val="none" w:sz="0" w:space="0" w:color="auto"/>
        <w:right w:val="none" w:sz="0" w:space="0" w:color="auto"/>
      </w:divBdr>
      <w:divsChild>
        <w:div w:id="300690328">
          <w:marLeft w:val="0"/>
          <w:marRight w:val="0"/>
          <w:marTop w:val="0"/>
          <w:marBottom w:val="0"/>
          <w:divBdr>
            <w:top w:val="none" w:sz="0" w:space="0" w:color="auto"/>
            <w:left w:val="none" w:sz="0" w:space="0" w:color="auto"/>
            <w:bottom w:val="none" w:sz="0" w:space="0" w:color="auto"/>
            <w:right w:val="none" w:sz="0" w:space="0" w:color="auto"/>
          </w:divBdr>
          <w:divsChild>
            <w:div w:id="18493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4472242">
      <w:bodyDiv w:val="1"/>
      <w:marLeft w:val="0"/>
      <w:marRight w:val="0"/>
      <w:marTop w:val="0"/>
      <w:marBottom w:val="0"/>
      <w:divBdr>
        <w:top w:val="none" w:sz="0" w:space="0" w:color="auto"/>
        <w:left w:val="none" w:sz="0" w:space="0" w:color="auto"/>
        <w:bottom w:val="none" w:sz="0" w:space="0" w:color="auto"/>
        <w:right w:val="none" w:sz="0" w:space="0" w:color="auto"/>
      </w:divBdr>
      <w:divsChild>
        <w:div w:id="481190795">
          <w:marLeft w:val="0"/>
          <w:marRight w:val="0"/>
          <w:marTop w:val="0"/>
          <w:marBottom w:val="0"/>
          <w:divBdr>
            <w:top w:val="none" w:sz="0" w:space="0" w:color="auto"/>
            <w:left w:val="none" w:sz="0" w:space="0" w:color="auto"/>
            <w:bottom w:val="none" w:sz="0" w:space="0" w:color="auto"/>
            <w:right w:val="none" w:sz="0" w:space="0" w:color="auto"/>
          </w:divBdr>
          <w:divsChild>
            <w:div w:id="21022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57953331">
      <w:bodyDiv w:val="1"/>
      <w:marLeft w:val="0"/>
      <w:marRight w:val="0"/>
      <w:marTop w:val="0"/>
      <w:marBottom w:val="0"/>
      <w:divBdr>
        <w:top w:val="none" w:sz="0" w:space="0" w:color="auto"/>
        <w:left w:val="none" w:sz="0" w:space="0" w:color="auto"/>
        <w:bottom w:val="none" w:sz="0" w:space="0" w:color="auto"/>
        <w:right w:val="none" w:sz="0" w:space="0" w:color="auto"/>
      </w:divBdr>
      <w:divsChild>
        <w:div w:id="1539513379">
          <w:marLeft w:val="0"/>
          <w:marRight w:val="0"/>
          <w:marTop w:val="0"/>
          <w:marBottom w:val="0"/>
          <w:divBdr>
            <w:top w:val="none" w:sz="0" w:space="0" w:color="auto"/>
            <w:left w:val="none" w:sz="0" w:space="0" w:color="auto"/>
            <w:bottom w:val="none" w:sz="0" w:space="0" w:color="auto"/>
            <w:right w:val="none" w:sz="0" w:space="0" w:color="auto"/>
          </w:divBdr>
          <w:divsChild>
            <w:div w:id="10039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6444">
      <w:bodyDiv w:val="1"/>
      <w:marLeft w:val="0"/>
      <w:marRight w:val="0"/>
      <w:marTop w:val="0"/>
      <w:marBottom w:val="0"/>
      <w:divBdr>
        <w:top w:val="none" w:sz="0" w:space="0" w:color="auto"/>
        <w:left w:val="none" w:sz="0" w:space="0" w:color="auto"/>
        <w:bottom w:val="none" w:sz="0" w:space="0" w:color="auto"/>
        <w:right w:val="none" w:sz="0" w:space="0" w:color="auto"/>
      </w:divBdr>
      <w:divsChild>
        <w:div w:id="578173049">
          <w:marLeft w:val="0"/>
          <w:marRight w:val="0"/>
          <w:marTop w:val="0"/>
          <w:marBottom w:val="0"/>
          <w:divBdr>
            <w:top w:val="none" w:sz="0" w:space="0" w:color="auto"/>
            <w:left w:val="none" w:sz="0" w:space="0" w:color="auto"/>
            <w:bottom w:val="none" w:sz="0" w:space="0" w:color="auto"/>
            <w:right w:val="none" w:sz="0" w:space="0" w:color="auto"/>
          </w:divBdr>
          <w:divsChild>
            <w:div w:id="19944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0653">
      <w:bodyDiv w:val="1"/>
      <w:marLeft w:val="0"/>
      <w:marRight w:val="0"/>
      <w:marTop w:val="0"/>
      <w:marBottom w:val="0"/>
      <w:divBdr>
        <w:top w:val="none" w:sz="0" w:space="0" w:color="auto"/>
        <w:left w:val="none" w:sz="0" w:space="0" w:color="auto"/>
        <w:bottom w:val="none" w:sz="0" w:space="0" w:color="auto"/>
        <w:right w:val="none" w:sz="0" w:space="0" w:color="auto"/>
      </w:divBdr>
      <w:divsChild>
        <w:div w:id="69499939">
          <w:marLeft w:val="0"/>
          <w:marRight w:val="0"/>
          <w:marTop w:val="0"/>
          <w:marBottom w:val="0"/>
          <w:divBdr>
            <w:top w:val="none" w:sz="0" w:space="0" w:color="auto"/>
            <w:left w:val="none" w:sz="0" w:space="0" w:color="auto"/>
            <w:bottom w:val="none" w:sz="0" w:space="0" w:color="auto"/>
            <w:right w:val="none" w:sz="0" w:space="0" w:color="auto"/>
          </w:divBdr>
          <w:divsChild>
            <w:div w:id="694841908">
              <w:marLeft w:val="0"/>
              <w:marRight w:val="0"/>
              <w:marTop w:val="0"/>
              <w:marBottom w:val="0"/>
              <w:divBdr>
                <w:top w:val="none" w:sz="0" w:space="0" w:color="auto"/>
                <w:left w:val="none" w:sz="0" w:space="0" w:color="auto"/>
                <w:bottom w:val="none" w:sz="0" w:space="0" w:color="auto"/>
                <w:right w:val="none" w:sz="0" w:space="0" w:color="auto"/>
              </w:divBdr>
            </w:div>
            <w:div w:id="1724330980">
              <w:marLeft w:val="0"/>
              <w:marRight w:val="0"/>
              <w:marTop w:val="0"/>
              <w:marBottom w:val="0"/>
              <w:divBdr>
                <w:top w:val="none" w:sz="0" w:space="0" w:color="auto"/>
                <w:left w:val="none" w:sz="0" w:space="0" w:color="auto"/>
                <w:bottom w:val="none" w:sz="0" w:space="0" w:color="auto"/>
                <w:right w:val="none" w:sz="0" w:space="0" w:color="auto"/>
              </w:divBdr>
            </w:div>
            <w:div w:id="2144031256">
              <w:marLeft w:val="0"/>
              <w:marRight w:val="0"/>
              <w:marTop w:val="0"/>
              <w:marBottom w:val="0"/>
              <w:divBdr>
                <w:top w:val="none" w:sz="0" w:space="0" w:color="auto"/>
                <w:left w:val="none" w:sz="0" w:space="0" w:color="auto"/>
                <w:bottom w:val="none" w:sz="0" w:space="0" w:color="auto"/>
                <w:right w:val="none" w:sz="0" w:space="0" w:color="auto"/>
              </w:divBdr>
            </w:div>
          </w:divsChild>
        </w:div>
        <w:div w:id="141771798">
          <w:marLeft w:val="0"/>
          <w:marRight w:val="0"/>
          <w:marTop w:val="0"/>
          <w:marBottom w:val="0"/>
          <w:divBdr>
            <w:top w:val="none" w:sz="0" w:space="0" w:color="auto"/>
            <w:left w:val="none" w:sz="0" w:space="0" w:color="auto"/>
            <w:bottom w:val="none" w:sz="0" w:space="0" w:color="auto"/>
            <w:right w:val="none" w:sz="0" w:space="0" w:color="auto"/>
          </w:divBdr>
        </w:div>
        <w:div w:id="301932168">
          <w:marLeft w:val="0"/>
          <w:marRight w:val="0"/>
          <w:marTop w:val="0"/>
          <w:marBottom w:val="0"/>
          <w:divBdr>
            <w:top w:val="none" w:sz="0" w:space="0" w:color="auto"/>
            <w:left w:val="none" w:sz="0" w:space="0" w:color="auto"/>
            <w:bottom w:val="none" w:sz="0" w:space="0" w:color="auto"/>
            <w:right w:val="none" w:sz="0" w:space="0" w:color="auto"/>
          </w:divBdr>
        </w:div>
      </w:divsChild>
    </w:div>
    <w:div w:id="1801455203">
      <w:bodyDiv w:val="1"/>
      <w:marLeft w:val="0"/>
      <w:marRight w:val="0"/>
      <w:marTop w:val="0"/>
      <w:marBottom w:val="0"/>
      <w:divBdr>
        <w:top w:val="none" w:sz="0" w:space="0" w:color="auto"/>
        <w:left w:val="none" w:sz="0" w:space="0" w:color="auto"/>
        <w:bottom w:val="none" w:sz="0" w:space="0" w:color="auto"/>
        <w:right w:val="none" w:sz="0" w:space="0" w:color="auto"/>
      </w:divBdr>
      <w:divsChild>
        <w:div w:id="763502894">
          <w:marLeft w:val="0"/>
          <w:marRight w:val="0"/>
          <w:marTop w:val="0"/>
          <w:marBottom w:val="0"/>
          <w:divBdr>
            <w:top w:val="none" w:sz="0" w:space="0" w:color="auto"/>
            <w:left w:val="none" w:sz="0" w:space="0" w:color="auto"/>
            <w:bottom w:val="none" w:sz="0" w:space="0" w:color="auto"/>
            <w:right w:val="none" w:sz="0" w:space="0" w:color="auto"/>
          </w:divBdr>
          <w:divsChild>
            <w:div w:id="6235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marineandcoasts.vic.gov.au/coastal-programs/cape-to-cape-resilience-project"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bushheritage.org.au/projects/nardoo-climate-ready-revegetation" TargetMode="External"/><Relationship Id="rId34" Type="http://schemas.openxmlformats.org/officeDocument/2006/relationships/hyperlink" Target="https://www.csiro.au/en/research/technology-space/data/flood-adaptation-solutions"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marineandcoasts.vic.gov.au/coastal-programs/port-phillip-bay-coastal-hazard-assessment" TargetMode="External"/><Relationship Id="rId33" Type="http://schemas.openxmlformats.org/officeDocument/2006/relationships/hyperlink" Target="https://www.sciencedirect.com/science/article/pii/S1364815219300490"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nvironment.vic.gov.au/biodiversity/working-together-for-biodiversity" TargetMode="External"/><Relationship Id="rId29" Type="http://schemas.openxmlformats.org/officeDocument/2006/relationships/hyperlink" Target="https://www.mdpi.com/2077-1312/9/8/898"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marineandcoasts.vic.gov.au/coastal-programs/victorian-coastal-monitoring-program" TargetMode="External"/><Relationship Id="rId32" Type="http://schemas.openxmlformats.org/officeDocument/2006/relationships/hyperlink" Target="https://www.ga.gov.au/news-events/features/digital-earth-australia-coastlines-tool" TargetMode="External"/><Relationship Id="rId37" Type="http://schemas.openxmlformats.org/officeDocument/2006/relationships/hyperlink" Target="https://www.coastsnap.com/" TargetMode="External"/><Relationship Id="rId40"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marineandcoasts.vic.gov.au/coastal-programs/coastkit" TargetMode="External"/><Relationship Id="rId28" Type="http://schemas.openxmlformats.org/officeDocument/2006/relationships/hyperlink" Target="https://www.science.org/doi/10.1126/sciadv.aaz7295" TargetMode="External"/><Relationship Id="rId36" Type="http://schemas.openxmlformats.org/officeDocument/2006/relationships/hyperlink" Target="https://www.marineandcoastalcouncil.vic.gov.au/news-and-events/victorian-marine-and-coastal-awards/2020/vcmp-citizen-science-drone-program" TargetMode="External"/><Relationship Id="rId10" Type="http://schemas.openxmlformats.org/officeDocument/2006/relationships/webSettings" Target="webSettings.xml"/><Relationship Id="rId19" Type="http://schemas.openxmlformats.org/officeDocument/2006/relationships/hyperlink" Target="https://www.wildlife.vic.gov.au/home/biodiversity-bushfire-response-and-recovery" TargetMode="External"/><Relationship Id="rId31" Type="http://schemas.openxmlformats.org/officeDocument/2006/relationships/hyperlink" Target="https://www.sciencedirect.com/science/article/pii/S002532272100048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marineandcoasts.vic.gov.au/coastal-programs/marine-and-coastal-knowledge-framework" TargetMode="External"/><Relationship Id="rId27" Type="http://schemas.openxmlformats.org/officeDocument/2006/relationships/hyperlink" Target="https://www.marineandcoasts.vic.gov.au/coastal-programs/victorian-coastal-monitoring-program" TargetMode="External"/><Relationship Id="rId30" Type="http://schemas.openxmlformats.org/officeDocument/2006/relationships/hyperlink" Target="https://vicwaves.com.au/" TargetMode="External"/><Relationship Id="rId35" Type="http://schemas.openxmlformats.org/officeDocument/2006/relationships/hyperlink" Target="https://www.marineandcoasts.vic.gov.au/coastal-programs/victorian-coastal-monitoring-program" TargetMode="Externa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5CC67FC3ED4C4098EDED1300F2D975" ma:contentTypeVersion="18" ma:contentTypeDescription="Create a new document." ma:contentTypeScope="" ma:versionID="388c3648aa520a43958ba800d31df178">
  <xsd:schema xmlns:xsd="http://www.w3.org/2001/XMLSchema" xmlns:xs="http://www.w3.org/2001/XMLSchema" xmlns:p="http://schemas.microsoft.com/office/2006/metadata/properties" xmlns:ns2="a5f32de4-e402-4188-b034-e71ca7d22e54" xmlns:ns3="2ef6f452-b7e6-4239-b4a1-1b764a755816" xmlns:ns4="df12b182-c6c2-471e-b196-d6ae1d71d502" targetNamespace="http://schemas.microsoft.com/office/2006/metadata/properties" ma:root="true" ma:fieldsID="8aec0e153ab0428bcaf398d4d32beef9" ns2:_="" ns3:_="" ns4:_="">
    <xsd:import namespace="a5f32de4-e402-4188-b034-e71ca7d22e54"/>
    <xsd:import namespace="2ef6f452-b7e6-4239-b4a1-1b764a755816"/>
    <xsd:import namespace="df12b182-c6c2-471e-b196-d6ae1d71d5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Description_x002f_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6f452-b7e6-4239-b4a1-1b764a7558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_x002f_ID" ma:index="21" nillable="true" ma:displayName="Description/ID" ma:description="Break out box ID that document content relates to" ma:format="Dropdown" ma:internalName="Description_x002f_ID">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2b182-c6c2-471e-b196-d6ae1d71d5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f_ID xmlns="2ef6f452-b7e6-4239-b4a1-1b764a755816" xsi:nil="true"/>
    <SharedWithUsers xmlns="df12b182-c6c2-471e-b196-d6ae1d71d502">
      <UserInfo>
        <DisplayName>Keith Emerson (DELWP)</DisplayName>
        <AccountId>17</AccountId>
        <AccountType/>
      </UserInfo>
    </SharedWithUsers>
  </documentManagement>
</p:propertie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2.xml><?xml version="1.0" encoding="utf-8"?>
<ds:datastoreItem xmlns:ds="http://schemas.openxmlformats.org/officeDocument/2006/customXml" ds:itemID="{4BC3D57E-6981-4EBD-8222-1CB799340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6f452-b7e6-4239-b4a1-1b764a755816"/>
    <ds:schemaRef ds:uri="df12b182-c6c2-471e-b196-d6ae1d71d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23C0C-3580-466D-8BAE-6E0D8E0A7149}">
  <ds:schemaRefs>
    <ds:schemaRef ds:uri="http://schemas.microsoft.com/sharepoint/v3/contenttype/forms"/>
  </ds:schemaRefs>
</ds:datastoreItem>
</file>

<file path=customXml/itemProps4.xml><?xml version="1.0" encoding="utf-8"?>
<ds:datastoreItem xmlns:ds="http://schemas.openxmlformats.org/officeDocument/2006/customXml" ds:itemID="{C07FA3D5-C143-4ED5-8E99-D205C3280F37}">
  <ds:schemaRefs>
    <ds:schemaRef ds:uri="http://purl.org/dc/elements/1.1/"/>
    <ds:schemaRef ds:uri="http://schemas.microsoft.com/office/2006/metadata/properties"/>
    <ds:schemaRef ds:uri="df12b182-c6c2-471e-b196-d6ae1d71d502"/>
    <ds:schemaRef ds:uri="http://schemas.microsoft.com/office/2006/documentManagement/types"/>
    <ds:schemaRef ds:uri="http://purl.org/dc/terms/"/>
    <ds:schemaRef ds:uri="http://purl.org/dc/dcmitype/"/>
    <ds:schemaRef ds:uri="http://schemas.microsoft.com/office/infopath/2007/PartnerControls"/>
    <ds:schemaRef ds:uri="a5f32de4-e402-4188-b034-e71ca7d22e54"/>
    <ds:schemaRef ds:uri="http://schemas.openxmlformats.org/package/2006/metadata/core-properties"/>
    <ds:schemaRef ds:uri="2ef6f452-b7e6-4239-b4a1-1b764a755816"/>
    <ds:schemaRef ds:uri="http://www.w3.org/XML/1998/namespace"/>
  </ds:schemaRefs>
</ds:datastoreItem>
</file>

<file path=customXml/itemProps5.xml><?xml version="1.0" encoding="utf-8"?>
<ds:datastoreItem xmlns:ds="http://schemas.openxmlformats.org/officeDocument/2006/customXml" ds:itemID="{C4B373B9-A0BA-4668-8717-5319020C6399}">
  <ds:schemaRefs>
    <ds:schemaRef ds:uri="Microsoft.SharePoint.Taxonomy.ContentTypeSync"/>
  </ds:schemaRefs>
</ds:datastoreItem>
</file>

<file path=customXml/itemProps6.xml><?xml version="1.0" encoding="utf-8"?>
<ds:datastoreItem xmlns:ds="http://schemas.openxmlformats.org/officeDocument/2006/customXml" ds:itemID="{6E9A3C1F-A240-41F4-9E06-9D8B4D2746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2771</Words>
  <Characters>18703</Characters>
  <Application>Microsoft Office Word</Application>
  <DocSecurity>0</DocSecurity>
  <Lines>155</Lines>
  <Paragraphs>42</Paragraphs>
  <ScaleCrop>false</ScaleCrop>
  <Company/>
  <LinksUpToDate>false</LinksUpToDate>
  <CharactersWithSpaces>21432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environment climate change adaptation action plan 2022-2026 Supporting document - Stocktake</dc:title>
  <dc:subject/>
  <dc:creator>Lis A Ashby (DELWP)</dc:creator>
  <cp:keywords/>
  <dc:description/>
  <cp:lastModifiedBy>Jacqui C Smith (DELWP)</cp:lastModifiedBy>
  <cp:revision>4</cp:revision>
  <cp:lastPrinted>2022-01-25T03:43:00Z</cp:lastPrinted>
  <dcterms:created xsi:type="dcterms:W3CDTF">2022-01-25T03:21:00Z</dcterms:created>
  <dcterms:modified xsi:type="dcterms:W3CDTF">2022-01-25T03:43:00Z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0x010100B85CC67FC3ED4C4098EDED1300F2D975</vt:lpwstr>
  </property>
  <property fmtid="{D5CDD505-2E9C-101B-9397-08002B2CF9AE}" pid="19" name="Agency">
    <vt:lpwstr>1;#Department of Environment, Land, Water and Planning|607a3f87-1228-4cd9-82a5-076aa8776274</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Section">
    <vt:lpwstr/>
  </property>
  <property fmtid="{D5CDD505-2E9C-101B-9397-08002B2CF9AE}" pid="23" name="Sub-Section">
    <vt:lpwstr/>
  </property>
  <property fmtid="{D5CDD505-2E9C-101B-9397-08002B2CF9AE}" pid="24" name="Branch">
    <vt:lpwstr/>
  </property>
  <property fmtid="{D5CDD505-2E9C-101B-9397-08002B2CF9AE}" pid="25" name="Template Type">
    <vt:lpwstr>280;#Fact Sheet|af43f5c9-3ad5-4470-a065-1b5e88e4a9d7</vt:lpwstr>
  </property>
  <property fmtid="{D5CDD505-2E9C-101B-9397-08002B2CF9AE}" pid="26" name="Division">
    <vt:lpwstr/>
  </property>
  <property fmtid="{D5CDD505-2E9C-101B-9397-08002B2CF9AE}" pid="27" name="Group1">
    <vt:lpwstr/>
  </property>
  <property fmtid="{D5CDD505-2E9C-101B-9397-08002B2CF9AE}" pid="28" name="MSIP_Label_4257e2ab-f512-40e2-9c9a-c64247360765_Enabled">
    <vt:lpwstr>true</vt:lpwstr>
  </property>
  <property fmtid="{D5CDD505-2E9C-101B-9397-08002B2CF9AE}" pid="29" name="MSIP_Label_4257e2ab-f512-40e2-9c9a-c64247360765_SetDate">
    <vt:lpwstr>2021-12-16T04:06:54Z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cd34bd3a-fec4-4a80-bdf1-dd068314c48d</vt:lpwstr>
  </property>
  <property fmtid="{D5CDD505-2E9C-101B-9397-08002B2CF9AE}" pid="34" name="MSIP_Label_4257e2ab-f512-40e2-9c9a-c64247360765_ContentBits">
    <vt:lpwstr>2</vt:lpwstr>
  </property>
</Properties>
</file>