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F3C7" w14:textId="2E0AED87" w:rsidR="00124EF8" w:rsidRDefault="008A080B">
      <w:pPr>
        <w:pStyle w:val="Title"/>
        <w:rPr>
          <w:color w:val="143A5F"/>
          <w:spacing w:val="-2"/>
        </w:rPr>
      </w:pPr>
      <w:r>
        <w:rPr>
          <w:color w:val="143A5F"/>
        </w:rPr>
        <w:t>Sustainability</w:t>
      </w:r>
      <w:r>
        <w:rPr>
          <w:color w:val="143A5F"/>
          <w:spacing w:val="-10"/>
        </w:rPr>
        <w:t xml:space="preserve"> </w:t>
      </w:r>
      <w:r>
        <w:rPr>
          <w:color w:val="143A5F"/>
        </w:rPr>
        <w:t>Fund</w:t>
      </w:r>
      <w:r>
        <w:rPr>
          <w:color w:val="143A5F"/>
          <w:spacing w:val="-7"/>
        </w:rPr>
        <w:t xml:space="preserve"> </w:t>
      </w:r>
      <w:r>
        <w:rPr>
          <w:color w:val="143A5F"/>
        </w:rPr>
        <w:t>Trust</w:t>
      </w:r>
      <w:r>
        <w:rPr>
          <w:color w:val="143A5F"/>
          <w:spacing w:val="-8"/>
        </w:rPr>
        <w:t xml:space="preserve"> </w:t>
      </w:r>
      <w:r>
        <w:rPr>
          <w:color w:val="143A5F"/>
        </w:rPr>
        <w:t>Account</w:t>
      </w:r>
      <w:r>
        <w:rPr>
          <w:color w:val="143A5F"/>
          <w:spacing w:val="-7"/>
        </w:rPr>
        <w:t xml:space="preserve"> </w:t>
      </w:r>
      <w:r>
        <w:rPr>
          <w:color w:val="143A5F"/>
          <w:spacing w:val="-2"/>
        </w:rPr>
        <w:t>Cashflows</w:t>
      </w:r>
      <w:r w:rsidR="00911D9E">
        <w:rPr>
          <w:color w:val="143A5F"/>
          <w:spacing w:val="-2"/>
        </w:rPr>
        <w:t xml:space="preserve"> 202</w:t>
      </w:r>
      <w:r w:rsidR="008679E9">
        <w:rPr>
          <w:color w:val="143A5F"/>
          <w:spacing w:val="-2"/>
        </w:rPr>
        <w:t>4</w:t>
      </w:r>
      <w:r w:rsidR="00911D9E">
        <w:rPr>
          <w:color w:val="143A5F"/>
          <w:spacing w:val="-2"/>
        </w:rPr>
        <w:t>-2</w:t>
      </w:r>
      <w:r w:rsidR="008679E9">
        <w:rPr>
          <w:color w:val="143A5F"/>
          <w:spacing w:val="-2"/>
        </w:rPr>
        <w:t>5</w:t>
      </w:r>
    </w:p>
    <w:p w14:paraId="688FF618" w14:textId="77777777" w:rsidR="008679E9" w:rsidRDefault="008679E9">
      <w:pPr>
        <w:pStyle w:val="Title"/>
      </w:pPr>
    </w:p>
    <w:tbl>
      <w:tblPr>
        <w:tblW w:w="0" w:type="auto"/>
        <w:tblInd w:w="112" w:type="dxa"/>
        <w:tblBorders>
          <w:insideH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8"/>
        <w:gridCol w:w="1361"/>
      </w:tblGrid>
      <w:tr w:rsidR="00172CFC" w:rsidRPr="00172CFC" w14:paraId="6E4B9454" w14:textId="77777777" w:rsidTr="008679E9">
        <w:trPr>
          <w:trHeight w:val="371"/>
        </w:trPr>
        <w:tc>
          <w:tcPr>
            <w:tcW w:w="8278" w:type="dxa"/>
            <w:shd w:val="clear" w:color="auto" w:fill="8FDAFF"/>
          </w:tcPr>
          <w:p w14:paraId="49D9757B" w14:textId="77777777" w:rsidR="00172CFC" w:rsidRPr="00172CFC" w:rsidRDefault="00172CFC" w:rsidP="00172CFC">
            <w:pPr>
              <w:pStyle w:val="TableParagraph"/>
              <w:spacing w:before="57"/>
              <w:ind w:left="57"/>
              <w:rPr>
                <w:b/>
                <w:sz w:val="19"/>
                <w:szCs w:val="19"/>
              </w:rPr>
            </w:pPr>
          </w:p>
        </w:tc>
        <w:tc>
          <w:tcPr>
            <w:tcW w:w="1361" w:type="dxa"/>
            <w:shd w:val="clear" w:color="auto" w:fill="8FDAFF"/>
          </w:tcPr>
          <w:p w14:paraId="367CD6DC" w14:textId="0F708545" w:rsidR="00172CFC" w:rsidRPr="00172CFC" w:rsidRDefault="00172CFC" w:rsidP="00172CFC">
            <w:pPr>
              <w:pStyle w:val="TableParagraph"/>
              <w:spacing w:before="57"/>
              <w:ind w:left="5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($ million)</w:t>
            </w:r>
          </w:p>
        </w:tc>
      </w:tr>
      <w:tr w:rsidR="00172CFC" w:rsidRPr="00172CFC" w14:paraId="43E3E2E2" w14:textId="77777777" w:rsidTr="008679E9">
        <w:trPr>
          <w:trHeight w:val="371"/>
        </w:trPr>
        <w:tc>
          <w:tcPr>
            <w:tcW w:w="8278" w:type="dxa"/>
            <w:shd w:val="clear" w:color="auto" w:fill="8FDAFF"/>
          </w:tcPr>
          <w:p w14:paraId="3C929220" w14:textId="77777777" w:rsidR="00172CFC" w:rsidRPr="00172CFC" w:rsidRDefault="00172CFC" w:rsidP="00D53BAC">
            <w:pPr>
              <w:pStyle w:val="TableParagraph"/>
              <w:spacing w:before="57"/>
              <w:ind w:left="57"/>
              <w:rPr>
                <w:b/>
                <w:sz w:val="19"/>
                <w:szCs w:val="19"/>
              </w:rPr>
            </w:pPr>
            <w:r w:rsidRPr="00172CFC">
              <w:rPr>
                <w:b/>
                <w:sz w:val="19"/>
                <w:szCs w:val="19"/>
              </w:rPr>
              <w:t>Opening cash balance</w:t>
            </w:r>
            <w:r w:rsidRPr="00172CFC">
              <w:rPr>
                <w:rFonts w:ascii="Cambria" w:hAnsi="Cambria" w:cs="Cambria"/>
                <w:b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8FDAFF"/>
          </w:tcPr>
          <w:p w14:paraId="5DFCBCCD" w14:textId="77777777" w:rsidR="00172CFC" w:rsidRPr="00172CFC" w:rsidRDefault="00172CFC" w:rsidP="00437BEA">
            <w:pPr>
              <w:pStyle w:val="TableParagraph"/>
              <w:spacing w:before="57"/>
              <w:ind w:left="57"/>
              <w:jc w:val="right"/>
              <w:rPr>
                <w:b/>
                <w:sz w:val="19"/>
                <w:szCs w:val="19"/>
              </w:rPr>
            </w:pPr>
            <w:r w:rsidRPr="00172CFC">
              <w:rPr>
                <w:b/>
                <w:sz w:val="19"/>
                <w:szCs w:val="19"/>
              </w:rPr>
              <w:t>393.67</w:t>
            </w:r>
            <w:r w:rsidRPr="00172CFC">
              <w:rPr>
                <w:rFonts w:ascii="Cambria" w:hAnsi="Cambria" w:cs="Cambria"/>
                <w:b/>
                <w:sz w:val="19"/>
                <w:szCs w:val="19"/>
              </w:rPr>
              <w:t> </w:t>
            </w:r>
          </w:p>
        </w:tc>
      </w:tr>
      <w:tr w:rsidR="00172CFC" w:rsidRPr="00172CFC" w14:paraId="53A0C31F" w14:textId="77777777" w:rsidTr="008679E9">
        <w:trPr>
          <w:trHeight w:val="371"/>
        </w:trPr>
        <w:tc>
          <w:tcPr>
            <w:tcW w:w="8278" w:type="dxa"/>
            <w:shd w:val="clear" w:color="auto" w:fill="8FDAFF"/>
          </w:tcPr>
          <w:p w14:paraId="5842C41D" w14:textId="77777777" w:rsidR="00172CFC" w:rsidRPr="00172CFC" w:rsidRDefault="00172CFC" w:rsidP="00172CFC">
            <w:pPr>
              <w:pStyle w:val="TableParagraph"/>
              <w:spacing w:before="57"/>
              <w:ind w:left="57"/>
              <w:rPr>
                <w:b/>
                <w:sz w:val="19"/>
                <w:szCs w:val="19"/>
              </w:rPr>
            </w:pPr>
            <w:r w:rsidRPr="00172CFC">
              <w:rPr>
                <w:b/>
                <w:sz w:val="19"/>
                <w:szCs w:val="19"/>
              </w:rPr>
              <w:t>Receipts</w:t>
            </w:r>
            <w:r w:rsidRPr="00172CFC">
              <w:rPr>
                <w:rFonts w:ascii="Cambria" w:hAnsi="Cambria" w:cs="Cambria"/>
                <w:b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8FDAFF"/>
          </w:tcPr>
          <w:p w14:paraId="146A7896" w14:textId="77777777" w:rsidR="00172CFC" w:rsidRPr="00172CFC" w:rsidRDefault="00172CFC" w:rsidP="00437BEA">
            <w:pPr>
              <w:pStyle w:val="TableParagraph"/>
              <w:spacing w:before="57"/>
              <w:ind w:left="57"/>
              <w:jc w:val="right"/>
              <w:rPr>
                <w:b/>
                <w:sz w:val="19"/>
                <w:szCs w:val="19"/>
              </w:rPr>
            </w:pPr>
            <w:r w:rsidRPr="00172CFC">
              <w:rPr>
                <w:rFonts w:ascii="Cambria" w:hAnsi="Cambria" w:cs="Cambria"/>
                <w:b/>
                <w:sz w:val="19"/>
                <w:szCs w:val="19"/>
              </w:rPr>
              <w:t> </w:t>
            </w:r>
          </w:p>
        </w:tc>
      </w:tr>
      <w:tr w:rsidR="00172CFC" w:rsidRPr="00172CFC" w14:paraId="610EF1BD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596A51AE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Transfer from Municipal and Industrial Waste Levy Trust Account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5ECC5CBF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326.20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2C235799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155CBE26" w14:textId="26ECB382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Unexpended program funds returned to the Sustainability Fund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21F76D28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2.52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5A31E4B4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62E447AB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Investment Revenue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6A9E6913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20.77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7DDF1563" w14:textId="77777777" w:rsidTr="008679E9">
        <w:trPr>
          <w:trHeight w:val="371"/>
        </w:trPr>
        <w:tc>
          <w:tcPr>
            <w:tcW w:w="8278" w:type="dxa"/>
            <w:shd w:val="clear" w:color="auto" w:fill="8FDAFF"/>
            <w:vAlign w:val="center"/>
          </w:tcPr>
          <w:p w14:paraId="471FAF52" w14:textId="77777777" w:rsidR="00172CFC" w:rsidRPr="00172CFC" w:rsidRDefault="00172CFC" w:rsidP="00172CFC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Total receipts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8FDAFF"/>
            <w:vAlign w:val="center"/>
          </w:tcPr>
          <w:p w14:paraId="2595C624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349.49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</w:tr>
      <w:tr w:rsidR="00172CFC" w:rsidRPr="00172CFC" w14:paraId="24B75499" w14:textId="77777777" w:rsidTr="008679E9">
        <w:trPr>
          <w:trHeight w:val="371"/>
        </w:trPr>
        <w:tc>
          <w:tcPr>
            <w:tcW w:w="8278" w:type="dxa"/>
            <w:shd w:val="clear" w:color="auto" w:fill="8FDAFF"/>
            <w:vAlign w:val="center"/>
          </w:tcPr>
          <w:p w14:paraId="72446DA6" w14:textId="77777777" w:rsidR="00172CFC" w:rsidRPr="00172CFC" w:rsidRDefault="00172CFC" w:rsidP="00172CFC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Payments to programs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8FDAFF"/>
            <w:vAlign w:val="center"/>
          </w:tcPr>
          <w:p w14:paraId="462F6EB8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b/>
                <w:bCs/>
                <w:sz w:val="19"/>
                <w:szCs w:val="19"/>
              </w:rPr>
            </w:pP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</w:tr>
      <w:tr w:rsidR="00172CFC" w:rsidRPr="00172CFC" w14:paraId="710CFAE5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28353D90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Solar Homes – Solar Panel (PV) Rebates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1D8777D5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71.09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179A9E2C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1A021F33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Cheaper Cleaner Energy to Drive Economic Recovery – Accelerate Development of Victoria's Renewable Energy Zones (REZs) and Unlock New Renewable Investment (</w:t>
            </w:r>
            <w:proofErr w:type="spellStart"/>
            <w:r w:rsidRPr="00172CFC">
              <w:rPr>
                <w:sz w:val="19"/>
                <w:szCs w:val="19"/>
              </w:rPr>
              <w:t>VicGrid</w:t>
            </w:r>
            <w:proofErr w:type="spellEnd"/>
            <w:r w:rsidRPr="00172CFC">
              <w:rPr>
                <w:sz w:val="19"/>
                <w:szCs w:val="19"/>
              </w:rPr>
              <w:t>)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5E73B2AE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26.71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673D1A1D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21B2B31C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Protecting Victoria's Environment – Biodiversity 2037: Protecting Biodiversity 2021-25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5F8E0AB1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19.71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171AA731" w14:textId="77777777" w:rsidTr="008679E9">
        <w:trPr>
          <w:trHeight w:val="371"/>
        </w:trPr>
        <w:tc>
          <w:tcPr>
            <w:tcW w:w="8278" w:type="dxa"/>
            <w:shd w:val="clear" w:color="auto" w:fill="8FDAFF"/>
            <w:vAlign w:val="center"/>
          </w:tcPr>
          <w:p w14:paraId="2E1FC75E" w14:textId="77777777" w:rsidR="00172CFC" w:rsidRPr="00172CFC" w:rsidRDefault="00172CFC" w:rsidP="00172CFC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Maintaining Essential Energy Functions Subtotal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8FDAFF"/>
            <w:vAlign w:val="center"/>
          </w:tcPr>
          <w:p w14:paraId="14302C28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13.06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</w:tr>
      <w:tr w:rsidR="00172CFC" w:rsidRPr="00172CFC" w14:paraId="7929AF56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748CC02A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Maintaining Essential Energy Functions: Energy Safety and Security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56B50265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4.88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6017B888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4F385D7E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Maintaining Essential Energy Functions: Energy Sector Reform Driving Growth in Renewables, Reducing Emissions and Improving Reliability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4067904D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2.28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7F55FB6F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090F1C17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Maintaining Essential Energy Functions: Supporting Victorians Through the Energy Transition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23B55A4D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2.04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456DA108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209BCBC2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Maintaining Essential Energy Functions: Energy Strategy Division Driving Growth in Renewables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13E4A3D3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1.99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72BDA1ED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19C77F68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Maintaining Essential Energy Functions: Ensuring the Rights of Energy Consumers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156F87E9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1.87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5BF66D8E" w14:textId="77777777" w:rsidTr="008679E9">
        <w:trPr>
          <w:trHeight w:val="371"/>
        </w:trPr>
        <w:tc>
          <w:tcPr>
            <w:tcW w:w="8278" w:type="dxa"/>
            <w:shd w:val="clear" w:color="auto" w:fill="8FDAFF"/>
          </w:tcPr>
          <w:p w14:paraId="6FF9E859" w14:textId="77777777" w:rsidR="00172CFC" w:rsidRPr="00172CFC" w:rsidRDefault="00172CFC" w:rsidP="00172CFC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Future Forests Program Subtotal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8FDAFF"/>
            <w:vAlign w:val="center"/>
          </w:tcPr>
          <w:p w14:paraId="615383DC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11.72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</w:tr>
      <w:tr w:rsidR="00172CFC" w:rsidRPr="00172CFC" w14:paraId="73A2AC62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17D5CA3D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Future Forests Program: Conserving Forest Biodiversity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7FBC3DFA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4.69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72839D0B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42BC2283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Future Forests Program: Seed Management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4684DF9E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2.21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5EDB198E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3E2C975F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Future Forests Program: Post Timber Harvesting Regeneration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4FB7F266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1.70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5CA75657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16704903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Future Forests Program: Biodiversity and Threatened Species Survey Program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6CADA532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1.36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47A39E9A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1AA82618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Future Forests Program: Forest Management and Forest Health Policy Setting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3FCA1C11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0.89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39D2D7D2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6B085F65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Future Forests Program: Fire Ecology and Forest Modelling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3B40A3A5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0.87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666DF4C9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68AE55D3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Core Environmental Programs – Peri-Urban Weed Management; Port Phillip Bay Fund and Unique Biodiversity Protection through Community Driven Action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031F64E2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8.17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7BA068F2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2354B630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Energy Efficiency Upgrades for Homes – Solar Vic Energy Efficiency Upgrades for Homes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03DE20E3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6.16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39543935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53E70CDD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Delivering Climate Action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61E56B5A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5.00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6C2BA95C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6F23741A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Renewable Energy Action Plan, Securing Our Energy Future - Solar Trams: Renewable Certificate Purchasing Initiative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3E29FF15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4.69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424FBA57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620D1B5E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Accelerating Victorias Agriculture Sector Response to a Changing Climate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2BDFC32F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4.02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012622EB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07AC7466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 xml:space="preserve">Driving Down Bills with 100 </w:t>
            </w:r>
            <w:proofErr w:type="spellStart"/>
            <w:r w:rsidRPr="00172CFC">
              <w:rPr>
                <w:sz w:val="19"/>
                <w:szCs w:val="19"/>
              </w:rPr>
              <w:t>Neighbourhood</w:t>
            </w:r>
            <w:proofErr w:type="spellEnd"/>
            <w:r w:rsidRPr="00172CFC">
              <w:rPr>
                <w:sz w:val="19"/>
                <w:szCs w:val="19"/>
              </w:rPr>
              <w:t xml:space="preserve"> Batteries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7DFA29E5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4.00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5C6F343F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2F163410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lastRenderedPageBreak/>
              <w:t>Supporting a Circular Economy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01D8277A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3.14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183FA258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31342A92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Recycling Victoria – Supporting a Circular Economy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3951F563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2.38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76CE287D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5C43D977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Charitable Recycler Grants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31FA9FB8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1.80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02198E4C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5DF42AA9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Improving Victorian Energy Upgrades – Solar Vic Improving Victorian Energy Upgrades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7B157AEB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1.54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48A56B08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2974B614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Recycling Victoria - Household Chemical Collection Program: Detox Your Home 2024-25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7D79E725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1.40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0CE3E566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0D07DDAA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Managing Contaminated Public Land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01CF6860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1.21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51FC72BD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1DE42837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Renewable Energy Action Plan: Pumped Hydro Energy Story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54E78C41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1.20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2C71EDFF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5CCAAC01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A Safe and Just Community Transition to Renewable Energy – Energy Safety Review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6635790E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1.51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01144BA8" w14:textId="77777777" w:rsidTr="008679E9">
        <w:trPr>
          <w:trHeight w:val="371"/>
        </w:trPr>
        <w:tc>
          <w:tcPr>
            <w:tcW w:w="8278" w:type="dxa"/>
            <w:shd w:val="clear" w:color="auto" w:fill="8FDAFF"/>
            <w:vAlign w:val="center"/>
          </w:tcPr>
          <w:p w14:paraId="29C4164C" w14:textId="77777777" w:rsidR="00172CFC" w:rsidRPr="00172CFC" w:rsidRDefault="00172CFC" w:rsidP="00172CFC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Recycling Victoria – A New Economy Subtotal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 </w:t>
            </w:r>
          </w:p>
        </w:tc>
        <w:tc>
          <w:tcPr>
            <w:tcW w:w="1361" w:type="dxa"/>
            <w:shd w:val="clear" w:color="auto" w:fill="8FDAFF"/>
            <w:vAlign w:val="center"/>
          </w:tcPr>
          <w:p w14:paraId="62982019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1.10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</w:tr>
      <w:tr w:rsidR="00172CFC" w:rsidRPr="00172CFC" w14:paraId="5B151666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02A72714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Recycling Victoria - A New Economy: Asbestos Disposal Management Plan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6192E2D6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0.70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3CE04D8B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530932CD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 xml:space="preserve">Recycling Victoria - A New Economy: Education and </w:t>
            </w:r>
            <w:proofErr w:type="spellStart"/>
            <w:r w:rsidRPr="00172CFC">
              <w:rPr>
                <w:sz w:val="19"/>
                <w:szCs w:val="19"/>
              </w:rPr>
              <w:t>Behaviour</w:t>
            </w:r>
            <w:proofErr w:type="spellEnd"/>
            <w:r w:rsidRPr="00172CFC">
              <w:rPr>
                <w:sz w:val="19"/>
                <w:szCs w:val="19"/>
              </w:rPr>
              <w:t xml:space="preserve"> Change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22EEC3F5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0.25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09160BA7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040BA88A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Recycling Victoria - A New Economy: Circular Economy Business Innovation Centre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4E4D5DD8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0.15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43E13620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2DC9B387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Forests for Victorians and Restoration Jobs for Forestry Contractors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2DF8FBD0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1.10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6B43EE46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31E6421E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Securing Environmental Protection: Maintaining Core Environmental Protection Policy Services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6983403A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1.00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23CAD99A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2818E147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 xml:space="preserve">Core Environmental and Traditional Owner Programs: </w:t>
            </w:r>
            <w:proofErr w:type="spellStart"/>
            <w:r w:rsidRPr="00172CFC">
              <w:rPr>
                <w:sz w:val="19"/>
                <w:szCs w:val="19"/>
              </w:rPr>
              <w:t>Wotjobaluk</w:t>
            </w:r>
            <w:proofErr w:type="spellEnd"/>
            <w:r w:rsidRPr="00172CFC">
              <w:rPr>
                <w:sz w:val="19"/>
                <w:szCs w:val="19"/>
              </w:rPr>
              <w:t xml:space="preserve">, Dja </w:t>
            </w:r>
            <w:proofErr w:type="spellStart"/>
            <w:r w:rsidRPr="00172CFC">
              <w:rPr>
                <w:sz w:val="19"/>
                <w:szCs w:val="19"/>
              </w:rPr>
              <w:t>Dja</w:t>
            </w:r>
            <w:proofErr w:type="spellEnd"/>
            <w:r w:rsidRPr="00172CFC">
              <w:rPr>
                <w:sz w:val="19"/>
                <w:szCs w:val="19"/>
              </w:rPr>
              <w:t xml:space="preserve"> Wurrung and Eastern Maar Recognition &amp; Settlement Agreements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5D871F5B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0.92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4CE020A4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380A9FDE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 xml:space="preserve">Clean Energy Worker Training </w:t>
            </w:r>
            <w:proofErr w:type="spellStart"/>
            <w:r w:rsidRPr="00172CFC">
              <w:rPr>
                <w:sz w:val="19"/>
                <w:szCs w:val="19"/>
              </w:rPr>
              <w:t>Centres</w:t>
            </w:r>
            <w:proofErr w:type="spellEnd"/>
            <w:r w:rsidRPr="00172CFC">
              <w:rPr>
                <w:sz w:val="19"/>
                <w:szCs w:val="19"/>
              </w:rPr>
              <w:t xml:space="preserve"> – Wind Worker Training Centre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0AA3E6F6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0.88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49D61AAF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4D511309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Clean Energy Transition Initiatives – Community Power Hubs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3A5429D8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0.62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76EF8F0B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35CA95E6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proofErr w:type="spellStart"/>
            <w:r w:rsidRPr="00172CFC">
              <w:rPr>
                <w:sz w:val="19"/>
                <w:szCs w:val="19"/>
              </w:rPr>
              <w:t>Maximising</w:t>
            </w:r>
            <w:proofErr w:type="spellEnd"/>
            <w:r w:rsidRPr="00172CFC">
              <w:rPr>
                <w:sz w:val="19"/>
                <w:szCs w:val="19"/>
              </w:rPr>
              <w:t xml:space="preserve"> the Benefits and Reducing Risk from Zero Emission Vehicles and Distributed Energy Resources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37E568BB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0.55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33C0CF8E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5F4F9347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Biosecurity Preparedness - Protecting Victoria from Biosecurity Threats: Emergency Animal Disease Preparedness – Waste Disposal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0AD1F56B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0.45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4AA9979C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06E75195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Renewable Energy Action Plan: Pathway to First People’s Renewable Energy Transition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7331702E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0.38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61B3A55C" w14:textId="77777777" w:rsidTr="008679E9">
        <w:trPr>
          <w:trHeight w:val="371"/>
        </w:trPr>
        <w:tc>
          <w:tcPr>
            <w:tcW w:w="8278" w:type="dxa"/>
            <w:shd w:val="clear" w:color="auto" w:fill="8FDAFF"/>
            <w:vAlign w:val="center"/>
          </w:tcPr>
          <w:p w14:paraId="672A2219" w14:textId="77777777" w:rsidR="00172CFC" w:rsidRPr="00172CFC" w:rsidRDefault="00172CFC" w:rsidP="00172CFC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Future Drought Fund Subtotal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8FDAFF"/>
            <w:vAlign w:val="center"/>
          </w:tcPr>
          <w:p w14:paraId="566AFE89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0.22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</w:tr>
      <w:tr w:rsidR="00172CFC" w:rsidRPr="00172CFC" w14:paraId="2C43FB91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43DBA139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Future Drought Fund: Farm Business Resilience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5BC4E9A3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0.12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262AA1D9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4716ABFD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Future Drought Fund: Regional Drought Resilience Planning 2.0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4BD0D93C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0.10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7F4DD595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4C8FCD82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Coupe Regeneration and Compliance Standards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43CBDF99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0.13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6B481DCA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6807AFA2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Environment Protection and Air Quality: Expansion of the Financial Assurance Framework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09E9D975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0.10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32B71B0C" w14:textId="77777777" w:rsidTr="008679E9">
        <w:trPr>
          <w:trHeight w:val="371"/>
        </w:trPr>
        <w:tc>
          <w:tcPr>
            <w:tcW w:w="8278" w:type="dxa"/>
            <w:shd w:val="clear" w:color="auto" w:fill="C5ECFF"/>
            <w:vAlign w:val="center"/>
          </w:tcPr>
          <w:p w14:paraId="48ABC8BE" w14:textId="77777777" w:rsidR="00172CFC" w:rsidRPr="00172CFC" w:rsidRDefault="00172CFC" w:rsidP="00172CFC">
            <w:pPr>
              <w:pStyle w:val="TableParagraph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Sustainability Fund Operations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C5ECFF"/>
            <w:vAlign w:val="center"/>
          </w:tcPr>
          <w:p w14:paraId="0140EC55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sz w:val="19"/>
                <w:szCs w:val="19"/>
              </w:rPr>
            </w:pPr>
            <w:r w:rsidRPr="00172CFC">
              <w:rPr>
                <w:sz w:val="19"/>
                <w:szCs w:val="19"/>
              </w:rPr>
              <w:t>1.52</w:t>
            </w:r>
            <w:r w:rsidRPr="00172CFC">
              <w:rPr>
                <w:rFonts w:ascii="Cambria" w:hAnsi="Cambria" w:cs="Cambria"/>
                <w:sz w:val="19"/>
                <w:szCs w:val="19"/>
              </w:rPr>
              <w:t> </w:t>
            </w:r>
          </w:p>
        </w:tc>
      </w:tr>
      <w:tr w:rsidR="00172CFC" w:rsidRPr="00172CFC" w14:paraId="49460EA6" w14:textId="77777777" w:rsidTr="008679E9">
        <w:trPr>
          <w:trHeight w:val="371"/>
        </w:trPr>
        <w:tc>
          <w:tcPr>
            <w:tcW w:w="8278" w:type="dxa"/>
            <w:shd w:val="clear" w:color="auto" w:fill="8FDAFF"/>
            <w:vAlign w:val="center"/>
          </w:tcPr>
          <w:p w14:paraId="35956E9B" w14:textId="77777777" w:rsidR="00172CFC" w:rsidRPr="00172CFC" w:rsidRDefault="00172CFC" w:rsidP="00172CFC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Total payments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8FDAFF"/>
            <w:vAlign w:val="center"/>
          </w:tcPr>
          <w:p w14:paraId="40C10E15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197.45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</w:tr>
      <w:tr w:rsidR="00172CFC" w:rsidRPr="00172CFC" w14:paraId="2B18E47E" w14:textId="77777777" w:rsidTr="008679E9">
        <w:trPr>
          <w:trHeight w:val="371"/>
        </w:trPr>
        <w:tc>
          <w:tcPr>
            <w:tcW w:w="8278" w:type="dxa"/>
            <w:shd w:val="clear" w:color="auto" w:fill="8FDAFF"/>
            <w:vAlign w:val="center"/>
          </w:tcPr>
          <w:p w14:paraId="1FACDA09" w14:textId="77777777" w:rsidR="00172CFC" w:rsidRPr="00172CFC" w:rsidRDefault="00172CFC" w:rsidP="00172CFC">
            <w:pPr>
              <w:pStyle w:val="TableParagraph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Closing Cash Balance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61" w:type="dxa"/>
            <w:shd w:val="clear" w:color="auto" w:fill="8FDAFF"/>
            <w:vAlign w:val="center"/>
          </w:tcPr>
          <w:p w14:paraId="45355C0B" w14:textId="77777777" w:rsidR="00172CFC" w:rsidRPr="00172CFC" w:rsidRDefault="00172CFC" w:rsidP="00437BEA">
            <w:pPr>
              <w:pStyle w:val="TableParagraph"/>
              <w:spacing w:before="58"/>
              <w:ind w:left="51"/>
              <w:jc w:val="right"/>
              <w:rPr>
                <w:b/>
                <w:bCs/>
                <w:sz w:val="19"/>
                <w:szCs w:val="19"/>
              </w:rPr>
            </w:pPr>
            <w:r w:rsidRPr="00172CFC">
              <w:rPr>
                <w:b/>
                <w:bCs/>
                <w:sz w:val="19"/>
                <w:szCs w:val="19"/>
              </w:rPr>
              <w:t>545.71</w:t>
            </w:r>
            <w:r w:rsidRPr="00172CFC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</w:p>
        </w:tc>
      </w:tr>
    </w:tbl>
    <w:p w14:paraId="57503803" w14:textId="77777777" w:rsidR="00124EF8" w:rsidRDefault="00124EF8">
      <w:pPr>
        <w:pStyle w:val="BodyText"/>
        <w:spacing w:before="135"/>
        <w:rPr>
          <w:b/>
        </w:rPr>
      </w:pPr>
    </w:p>
    <w:p w14:paraId="68A7CF29" w14:textId="77777777" w:rsidR="005C52FA" w:rsidRDefault="005C52FA" w:rsidP="005C52FA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before="120"/>
        <w:jc w:val="left"/>
        <w:rPr>
          <w:sz w:val="16"/>
        </w:rPr>
      </w:pPr>
      <w:r w:rsidRPr="005C52FA">
        <w:rPr>
          <w:sz w:val="16"/>
        </w:rPr>
        <w:t>Any program expenditure that is unexpended by the date of program completion is required to be returned to the Sustainability Fund by program recipients. In 2024-25 a total of $2,522,618.68 was repaid to the Sustainability Fund</w:t>
      </w:r>
    </w:p>
    <w:p w14:paraId="7C07DD6F" w14:textId="3CBC8BD0" w:rsidR="00124EF8" w:rsidRDefault="008A080B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before="120"/>
        <w:rPr>
          <w:sz w:val="16"/>
        </w:rPr>
      </w:pPr>
      <w:r>
        <w:rPr>
          <w:sz w:val="16"/>
        </w:rPr>
        <w:t>Further</w:t>
      </w:r>
      <w:r>
        <w:rPr>
          <w:spacing w:val="-7"/>
          <w:sz w:val="16"/>
        </w:rPr>
        <w:t xml:space="preserve"> </w:t>
      </w:r>
      <w:r>
        <w:rPr>
          <w:sz w:val="16"/>
        </w:rPr>
        <w:t>detail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202</w:t>
      </w:r>
      <w:r w:rsidR="005C52FA">
        <w:rPr>
          <w:sz w:val="16"/>
        </w:rPr>
        <w:t>4</w:t>
      </w:r>
      <w:r>
        <w:rPr>
          <w:sz w:val="16"/>
        </w:rPr>
        <w:t>-2</w:t>
      </w:r>
      <w:r w:rsidR="005C52FA">
        <w:rPr>
          <w:sz w:val="16"/>
        </w:rPr>
        <w:t>5</w:t>
      </w:r>
      <w:r>
        <w:rPr>
          <w:spacing w:val="-7"/>
          <w:sz w:val="16"/>
        </w:rPr>
        <w:t xml:space="preserve"> </w:t>
      </w:r>
      <w:r>
        <w:rPr>
          <w:sz w:val="16"/>
        </w:rPr>
        <w:t>Sustainability</w:t>
      </w:r>
      <w:r>
        <w:rPr>
          <w:spacing w:val="-7"/>
          <w:sz w:val="16"/>
        </w:rPr>
        <w:t xml:space="preserve"> </w:t>
      </w:r>
      <w:r>
        <w:rPr>
          <w:sz w:val="16"/>
        </w:rPr>
        <w:t>Fund</w:t>
      </w:r>
      <w:r>
        <w:rPr>
          <w:spacing w:val="-7"/>
          <w:sz w:val="16"/>
        </w:rPr>
        <w:t xml:space="preserve"> </w:t>
      </w:r>
      <w:r>
        <w:rPr>
          <w:sz w:val="16"/>
        </w:rPr>
        <w:t>Grants</w:t>
      </w:r>
      <w:r>
        <w:rPr>
          <w:spacing w:val="-7"/>
          <w:sz w:val="16"/>
        </w:rPr>
        <w:t xml:space="preserve"> </w:t>
      </w:r>
      <w:r>
        <w:rPr>
          <w:sz w:val="16"/>
        </w:rPr>
        <w:t>is</w:t>
      </w:r>
      <w:r>
        <w:rPr>
          <w:spacing w:val="-7"/>
          <w:sz w:val="16"/>
        </w:rPr>
        <w:t xml:space="preserve"> </w:t>
      </w:r>
      <w:r>
        <w:rPr>
          <w:sz w:val="16"/>
        </w:rPr>
        <w:t>available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202</w:t>
      </w:r>
      <w:r w:rsidR="008679E9">
        <w:rPr>
          <w:sz w:val="16"/>
        </w:rPr>
        <w:t>4</w:t>
      </w:r>
      <w:r>
        <w:rPr>
          <w:sz w:val="16"/>
        </w:rPr>
        <w:t>-2</w:t>
      </w:r>
      <w:r w:rsidR="008679E9">
        <w:rPr>
          <w:sz w:val="16"/>
        </w:rPr>
        <w:t>5</w:t>
      </w:r>
      <w:r>
        <w:rPr>
          <w:spacing w:val="-7"/>
          <w:sz w:val="16"/>
        </w:rPr>
        <w:t xml:space="preserve"> </w:t>
      </w:r>
      <w:r>
        <w:rPr>
          <w:sz w:val="16"/>
        </w:rPr>
        <w:t>Sustainability</w:t>
      </w:r>
      <w:r>
        <w:rPr>
          <w:spacing w:val="-7"/>
          <w:sz w:val="16"/>
        </w:rPr>
        <w:t xml:space="preserve"> </w:t>
      </w:r>
      <w:r>
        <w:rPr>
          <w:sz w:val="16"/>
        </w:rPr>
        <w:t>Fund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Activities </w:t>
      </w:r>
      <w:r>
        <w:rPr>
          <w:spacing w:val="-2"/>
          <w:sz w:val="16"/>
        </w:rPr>
        <w:t>Report.</w:t>
      </w:r>
    </w:p>
    <w:sectPr w:rsidR="00124EF8">
      <w:footerReference w:type="even" r:id="rId7"/>
      <w:footerReference w:type="default" r:id="rId8"/>
      <w:footerReference w:type="first" r:id="rId9"/>
      <w:pgSz w:w="11910" w:h="16840"/>
      <w:pgMar w:top="1420" w:right="720" w:bottom="540" w:left="1340" w:header="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29EC" w14:textId="77777777" w:rsidR="00E9669D" w:rsidRDefault="00E9669D">
      <w:r>
        <w:separator/>
      </w:r>
    </w:p>
  </w:endnote>
  <w:endnote w:type="continuationSeparator" w:id="0">
    <w:p w14:paraId="7B2AD761" w14:textId="77777777" w:rsidR="00E9669D" w:rsidRDefault="00E9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FAFF" w14:textId="48CD7347" w:rsidR="00911D9E" w:rsidRDefault="00911D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76736" behindDoc="0" locked="0" layoutInCell="1" allowOverlap="1" wp14:anchorId="0CCC520C" wp14:editId="7F494A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968621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B3710" w14:textId="7A6C1C01" w:rsidR="00911D9E" w:rsidRPr="00911D9E" w:rsidRDefault="00911D9E" w:rsidP="00911D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11D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C5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487476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3AB3710" w14:textId="7A6C1C01" w:rsidR="00911D9E" w:rsidRPr="00911D9E" w:rsidRDefault="00911D9E" w:rsidP="00911D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11D9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6C86" w14:textId="50F111D2" w:rsidR="00124EF8" w:rsidRDefault="00124EF8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6D9B" w14:textId="07DC5D7E" w:rsidR="00911D9E" w:rsidRDefault="00911D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75712" behindDoc="0" locked="0" layoutInCell="1" allowOverlap="1" wp14:anchorId="2BFB69A4" wp14:editId="723A7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327781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7B1AC" w14:textId="02F7E10A" w:rsidR="00911D9E" w:rsidRPr="00911D9E" w:rsidRDefault="00911D9E" w:rsidP="00911D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11D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B69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29.65pt;z-index:487475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7C7B1AC" w14:textId="02F7E10A" w:rsidR="00911D9E" w:rsidRPr="00911D9E" w:rsidRDefault="00911D9E" w:rsidP="00911D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11D9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79DB" w14:textId="77777777" w:rsidR="00E9669D" w:rsidRDefault="00E9669D">
      <w:r>
        <w:separator/>
      </w:r>
    </w:p>
  </w:footnote>
  <w:footnote w:type="continuationSeparator" w:id="0">
    <w:p w14:paraId="722C1ABA" w14:textId="77777777" w:rsidR="00E9669D" w:rsidRDefault="00E9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472E3"/>
    <w:multiLevelType w:val="hybridMultilevel"/>
    <w:tmpl w:val="90521E8C"/>
    <w:lvl w:ilvl="0" w:tplc="68087B48">
      <w:start w:val="1"/>
      <w:numFmt w:val="lowerRoman"/>
      <w:lvlText w:val="(%1)"/>
      <w:lvlJc w:val="left"/>
      <w:pPr>
        <w:ind w:left="460" w:hanging="360"/>
      </w:pPr>
      <w:rPr>
        <w:rFonts w:ascii="VIC" w:eastAsia="VIC" w:hAnsi="VIC" w:cs="VIC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BB41C18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2" w:tplc="1060826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3" w:tplc="D0C259CA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F1D62B3A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AE1ACEF2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6" w:tplc="9B2ED114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7" w:tplc="6E3A1C7A">
      <w:numFmt w:val="bullet"/>
      <w:lvlText w:val="•"/>
      <w:lvlJc w:val="left"/>
      <w:pPr>
        <w:ind w:left="7029" w:hanging="360"/>
      </w:pPr>
      <w:rPr>
        <w:rFonts w:hint="default"/>
        <w:lang w:val="en-US" w:eastAsia="en-US" w:bidi="ar-SA"/>
      </w:rPr>
    </w:lvl>
    <w:lvl w:ilvl="8" w:tplc="F8FEA992"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ar-SA"/>
      </w:rPr>
    </w:lvl>
  </w:abstractNum>
  <w:num w:numId="1" w16cid:durableId="57458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8"/>
    <w:rsid w:val="00124EF8"/>
    <w:rsid w:val="00172CFC"/>
    <w:rsid w:val="00291B4A"/>
    <w:rsid w:val="00325716"/>
    <w:rsid w:val="00437BEA"/>
    <w:rsid w:val="005C52FA"/>
    <w:rsid w:val="00633EC2"/>
    <w:rsid w:val="007B573C"/>
    <w:rsid w:val="008679E9"/>
    <w:rsid w:val="008A080B"/>
    <w:rsid w:val="008F671E"/>
    <w:rsid w:val="00911D9E"/>
    <w:rsid w:val="009202B4"/>
    <w:rsid w:val="00A03FFB"/>
    <w:rsid w:val="00A21828"/>
    <w:rsid w:val="00B441BF"/>
    <w:rsid w:val="00C525CC"/>
    <w:rsid w:val="00E9669D"/>
    <w:rsid w:val="00F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ABAE7"/>
  <w15:docId w15:val="{C2F4871A-4813-42D7-AD3C-797598EB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IC" w:eastAsia="VIC" w:hAnsi="VIC" w:cs="V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0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right="71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56"/>
    </w:pPr>
  </w:style>
  <w:style w:type="paragraph" w:styleId="Footer">
    <w:name w:val="footer"/>
    <w:basedOn w:val="Normal"/>
    <w:link w:val="FooterChar"/>
    <w:uiPriority w:val="99"/>
    <w:unhideWhenUsed/>
    <w:rsid w:val="00911D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D9E"/>
    <w:rPr>
      <w:rFonts w:ascii="VIC" w:eastAsia="VIC" w:hAnsi="VIC" w:cs="VIC"/>
    </w:rPr>
  </w:style>
  <w:style w:type="paragraph" w:styleId="Header">
    <w:name w:val="header"/>
    <w:basedOn w:val="Normal"/>
    <w:link w:val="HeaderChar"/>
    <w:uiPriority w:val="99"/>
    <w:unhideWhenUsed/>
    <w:rsid w:val="00B441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1BF"/>
    <w:rPr>
      <w:rFonts w:ascii="VIC" w:eastAsia="VIC" w:hAnsi="VIC" w:cs="V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3813</Characters>
  <Application>Microsoft Office Word</Application>
  <DocSecurity>0</DocSecurity>
  <Lines>137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SF Cash Flow 2023-24.docx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SF Cash Flow 2023-24.docx</dc:title>
  <dc:subject/>
  <dc:creator>er0x</dc:creator>
  <cp:keywords/>
  <dc:description/>
  <cp:lastModifiedBy>Eva Rampal (DEECA)</cp:lastModifiedBy>
  <cp:revision>4</cp:revision>
  <cp:lastPrinted>2025-10-17T03:08:00Z</cp:lastPrinted>
  <dcterms:created xsi:type="dcterms:W3CDTF">2025-10-17T03:08:00Z</dcterms:created>
  <dcterms:modified xsi:type="dcterms:W3CDTF">2025-10-17T03:12:00Z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2024-10-25T00:00:00Z</vt:filetime>
  </property>
  <property fmtid="{D5CDD505-2E9C-101B-9397-08002B2CF9AE}" pid="5" name="Producer">
    <vt:lpwstr>Acrobat Distiller 22.0 (Windows)</vt:lpwstr>
  </property>
  <property fmtid="{D5CDD505-2E9C-101B-9397-08002B2CF9AE}" pid="6" name="ClassificationContentMarkingFooterShapeIds">
    <vt:lpwstr>25b76d87,357507f0,3e06bf7f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2025-03-28T01:02:30Z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2e627f6d-25dd-407c-a6df-4603594cb6f9</vt:lpwstr>
  </property>
  <property fmtid="{D5CDD505-2E9C-101B-9397-08002B2CF9AE}" pid="15" name="MSIP_Label_4257e2ab-f512-40e2-9c9a-c64247360765_ContentBits">
    <vt:lpwstr>2</vt:lpwstr>
  </property>
  <property fmtid="{D5CDD505-2E9C-101B-9397-08002B2CF9AE}" pid="16" name="MSIP_Label_4257e2ab-f512-40e2-9c9a-c64247360765_Tag">
    <vt:lpwstr>10, 0, 1, 1</vt:lpwstr>
  </property>
</Properties>
</file>