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ED361C0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bookmarkStart w:id="0" w:name="Here"/>
          <w:bookmarkEnd w:id="0"/>
          <w:p w14:paraId="662AB0F4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000C5B" wp14:editId="6DE6A54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E9B2E" w14:textId="77777777"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0141A9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00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5B3E9B2E" w14:textId="77777777"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0141A9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5E59C5CF" w14:textId="77777777" w:rsidR="00DB4178" w:rsidRDefault="00DB4178" w:rsidP="00556367">
      <w:pPr>
        <w:pStyle w:val="Body"/>
        <w:spacing w:after="120"/>
        <w:contextualSpacing/>
        <w:rPr>
          <w:rFonts w:ascii="Arial" w:eastAsia="Calibri" w:hAnsi="Arial"/>
        </w:rPr>
      </w:pPr>
    </w:p>
    <w:p w14:paraId="350685D8" w14:textId="77777777" w:rsidR="00E2394C" w:rsidRPr="00707AD1" w:rsidRDefault="009030B5" w:rsidP="00912929">
      <w:pPr>
        <w:pStyle w:val="HA"/>
        <w:spacing w:after="120"/>
        <w:ind w:left="-567"/>
        <w:contextualSpacing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3579"/>
      </w:tblGrid>
      <w:tr w:rsidR="00AC7C5F" w:rsidRPr="00707AD1" w14:paraId="76D266CC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6497BAB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2"/>
          </w:tcPr>
          <w:p w14:paraId="5C1A44E8" w14:textId="77777777" w:rsidR="00AC7C5F" w:rsidRPr="00707AD1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0141A9">
              <w:rPr>
                <w:rFonts w:ascii="Arial" w:hAnsi="Arial"/>
                <w:b/>
                <w:sz w:val="20"/>
                <w:szCs w:val="20"/>
              </w:rPr>
              <w:t>13</w:t>
            </w:r>
            <w:r w:rsidR="00B0279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141A9">
              <w:rPr>
                <w:rFonts w:ascii="Arial" w:hAnsi="Arial"/>
                <w:b/>
                <w:sz w:val="20"/>
                <w:szCs w:val="20"/>
              </w:rPr>
              <w:t>May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14:paraId="2A4A45EA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0BE9D3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2"/>
          </w:tcPr>
          <w:p w14:paraId="2BA31430" w14:textId="77777777" w:rsidR="00AC7C5F" w:rsidRPr="00707AD1" w:rsidRDefault="00513EE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6pm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–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141A9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pm</w:t>
            </w:r>
          </w:p>
        </w:tc>
      </w:tr>
      <w:tr w:rsidR="00AC7C5F" w:rsidRPr="00707AD1" w14:paraId="660A94E5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E68E421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2"/>
          </w:tcPr>
          <w:p w14:paraId="1904BE70" w14:textId="77777777" w:rsidR="00AC7C5F" w:rsidRPr="00707AD1" w:rsidRDefault="000141A9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Hobsons Bay City Council, Altona</w:t>
            </w:r>
          </w:p>
        </w:tc>
      </w:tr>
      <w:tr w:rsidR="00AC7C5F" w:rsidRPr="00707AD1" w14:paraId="0336E91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EFEF699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2"/>
          </w:tcPr>
          <w:p w14:paraId="56472A84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14:paraId="649EE4FD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C99CB3C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6316A480" w14:textId="77777777" w:rsidR="00135039" w:rsidRPr="00707AD1" w:rsidRDefault="00135039" w:rsidP="00A81041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  <w:p w14:paraId="76B19C09" w14:textId="77777777" w:rsid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14:paraId="16BC07CC" w14:textId="77777777" w:rsidR="000141A9" w:rsidRDefault="000141A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 Dunlevy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(CD)</w:t>
            </w:r>
          </w:p>
          <w:p w14:paraId="4683E0C5" w14:textId="77777777" w:rsidR="00A81041" w:rsidRP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Christine Harris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(CH)</w:t>
            </w:r>
          </w:p>
          <w:p w14:paraId="4C52C03B" w14:textId="77777777" w:rsidR="000A63D4" w:rsidRPr="00707AD1" w:rsidRDefault="00A81041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(GM)</w:t>
            </w:r>
          </w:p>
        </w:tc>
        <w:tc>
          <w:tcPr>
            <w:tcW w:w="3579" w:type="dxa"/>
          </w:tcPr>
          <w:p w14:paraId="1DA56908" w14:textId="77777777" w:rsidR="000141A9" w:rsidRDefault="000141A9" w:rsidP="000A63D4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Ian Butterworth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(IB)</w:t>
            </w:r>
          </w:p>
          <w:p w14:paraId="6DBB2A53" w14:textId="77777777" w:rsidR="00135039" w:rsidRDefault="00135039" w:rsidP="000141A9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(KL)</w:t>
            </w:r>
          </w:p>
          <w:p w14:paraId="4053AADD" w14:textId="77777777" w:rsidR="00A81041" w:rsidRPr="00707AD1" w:rsidRDefault="00A81041" w:rsidP="00A81041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(KG)</w:t>
            </w:r>
          </w:p>
          <w:p w14:paraId="64CEABBC" w14:textId="77777777" w:rsidR="00AC7C5F" w:rsidRPr="00707AD1" w:rsidRDefault="00AC7C5F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679F4820" w14:textId="77777777" w:rsidR="000A63D4" w:rsidRPr="00707AD1" w:rsidRDefault="00135039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</w:tc>
      </w:tr>
      <w:tr w:rsidR="00AC7C5F" w:rsidRPr="00707AD1" w14:paraId="6D194D25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EC3B74B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14:paraId="755B9BF9" w14:textId="77777777" w:rsidR="000141A9" w:rsidRPr="0008382F" w:rsidRDefault="000141A9" w:rsidP="000141A9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Damasoliotis</w:t>
            </w:r>
            <w:r w:rsidR="0008382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8382F">
              <w:rPr>
                <w:rFonts w:ascii="Arial" w:eastAsia="Calibri" w:hAnsi="Arial"/>
                <w:sz w:val="20"/>
                <w:szCs w:val="20"/>
                <w:lang w:val="en-US"/>
              </w:rPr>
              <w:t>(AD)</w:t>
            </w:r>
          </w:p>
          <w:p w14:paraId="567B9698" w14:textId="77777777" w:rsidR="00A81041" w:rsidRPr="0008382F" w:rsidRDefault="000141A9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 w:rsidR="0008382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8382F">
              <w:rPr>
                <w:rFonts w:ascii="Arial" w:eastAsia="Calibri" w:hAnsi="Arial"/>
                <w:sz w:val="20"/>
                <w:szCs w:val="20"/>
                <w:lang w:val="en-US"/>
              </w:rPr>
              <w:t>(CS)</w:t>
            </w:r>
          </w:p>
        </w:tc>
        <w:tc>
          <w:tcPr>
            <w:tcW w:w="3579" w:type="dxa"/>
          </w:tcPr>
          <w:p w14:paraId="5E4D17DD" w14:textId="77777777" w:rsidR="00FC4A90" w:rsidRPr="0008382F" w:rsidRDefault="00FC4A90" w:rsidP="00FC4A90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Rod Boyd</w:t>
            </w:r>
            <w:r w:rsidR="0008382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8382F"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</w:p>
          <w:p w14:paraId="4E996089" w14:textId="77777777" w:rsidR="00A81041" w:rsidRPr="0008382F" w:rsidRDefault="000141A9" w:rsidP="00FC4A90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 w:rsidR="0008382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8382F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B0279B" w:rsidRPr="00707AD1" w14:paraId="799D11D3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EB17B6D" w14:textId="77777777" w:rsidR="00B0279B" w:rsidRP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4989" w:type="dxa"/>
          </w:tcPr>
          <w:p w14:paraId="79D8EF84" w14:textId="77777777" w:rsidR="00B0279B" w:rsidRPr="0008382F" w:rsidRDefault="00FC4A90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Steven Curry</w:t>
            </w:r>
            <w:r w:rsidR="0008382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8382F"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</w:tc>
        <w:tc>
          <w:tcPr>
            <w:tcW w:w="3579" w:type="dxa"/>
          </w:tcPr>
          <w:p w14:paraId="1269A2F3" w14:textId="77777777" w:rsidR="00B0279B" w:rsidRPr="000141A9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  <w:tr w:rsidR="0066158C" w:rsidRPr="00707AD1" w14:paraId="60FAD274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19C1CBC8" w14:textId="77777777" w:rsidR="0066158C" w:rsidRPr="00707AD1" w:rsidRDefault="0066158C" w:rsidP="00B0279B">
            <w:pPr>
              <w:pStyle w:val="Body"/>
              <w:spacing w:before="18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Guest speakers</w:t>
            </w:r>
          </w:p>
        </w:tc>
        <w:tc>
          <w:tcPr>
            <w:tcW w:w="8568" w:type="dxa"/>
            <w:gridSpan w:val="2"/>
          </w:tcPr>
          <w:p w14:paraId="3AB38283" w14:textId="096700AC" w:rsidR="0066158C" w:rsidRDefault="000141A9" w:rsidP="000141A9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Kyle Garland,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Department of Environment, Land, Water and Planning (</w:t>
            </w:r>
            <w:proofErr w:type="spellStart"/>
            <w:r>
              <w:rPr>
                <w:rFonts w:ascii="Arial" w:eastAsia="Calibri" w:hAnsi="Arial"/>
                <w:sz w:val="20"/>
                <w:szCs w:val="20"/>
                <w:lang w:val="en-US"/>
              </w:rPr>
              <w:t>KG</w:t>
            </w:r>
            <w:r w:rsidR="00BC69E6">
              <w:rPr>
                <w:rFonts w:ascii="Arial" w:eastAsia="Calibri" w:hAnsi="Arial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13A2A0AD" w14:textId="77777777" w:rsidR="000141A9" w:rsidRPr="000141A9" w:rsidRDefault="000141A9" w:rsidP="00F80513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Katherine Evans,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Department of Environment, Land, Water and Planning (KE)</w:t>
            </w:r>
          </w:p>
        </w:tc>
      </w:tr>
      <w:tr w:rsidR="00AC7C5F" w:rsidRPr="00707AD1" w14:paraId="70584EE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1168A288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</w:t>
            </w:r>
            <w:r w:rsidR="00602C68"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 (DELWP)</w:t>
            </w:r>
          </w:p>
        </w:tc>
        <w:tc>
          <w:tcPr>
            <w:tcW w:w="4989" w:type="dxa"/>
          </w:tcPr>
          <w:p w14:paraId="762FEE94" w14:textId="77777777" w:rsidR="00AC7C5F" w:rsidRPr="00B0279B" w:rsidRDefault="002F3698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Lana Kovac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LKo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579" w:type="dxa"/>
          </w:tcPr>
          <w:p w14:paraId="27E0A64B" w14:textId="77777777" w:rsidR="00AC7C5F" w:rsidRPr="00B0279B" w:rsidRDefault="00B0279B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(KD)</w:t>
            </w:r>
          </w:p>
        </w:tc>
      </w:tr>
    </w:tbl>
    <w:p w14:paraId="06D7F4F3" w14:textId="77777777" w:rsidR="00556367" w:rsidRPr="00707AD1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24"/>
        <w:gridCol w:w="1677"/>
      </w:tblGrid>
      <w:tr w:rsidR="009B47C6" w:rsidRPr="00707AD1" w14:paraId="1FCB68C1" w14:textId="77777777" w:rsidTr="00E15250">
        <w:trPr>
          <w:trHeight w:val="192"/>
        </w:trPr>
        <w:tc>
          <w:tcPr>
            <w:tcW w:w="10739" w:type="dxa"/>
            <w:gridSpan w:val="4"/>
            <w:shd w:val="clear" w:color="auto" w:fill="B6DDE8" w:themeFill="accent5" w:themeFillTint="66"/>
          </w:tcPr>
          <w:p w14:paraId="25DCB9AA" w14:textId="77777777" w:rsidR="009B47C6" w:rsidRPr="00707AD1" w:rsidRDefault="009B47C6" w:rsidP="008A447B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14:paraId="300ED6C9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597E7E37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4BCF678" w14:textId="77777777" w:rsidR="00513EE4" w:rsidRDefault="009B47C6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Welcome</w:t>
            </w:r>
            <w:r w:rsidR="00FC4A90">
              <w:rPr>
                <w:rFonts w:ascii="Arial" w:hAnsi="Arial"/>
                <w:b/>
                <w:sz w:val="20"/>
                <w:szCs w:val="20"/>
              </w:rPr>
              <w:t xml:space="preserve"> and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</w:p>
          <w:p w14:paraId="4048486A" w14:textId="77777777" w:rsidR="00FC4A90" w:rsidRPr="00FC4A90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Note: due to</w:t>
            </w:r>
            <w:r w:rsidR="002C1F4D">
              <w:rPr>
                <w:rFonts w:ascii="Arial" w:hAnsi="Arial"/>
                <w:i/>
                <w:sz w:val="20"/>
                <w:szCs w:val="20"/>
              </w:rPr>
              <w:t xml:space="preserve"> public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transport issues, some members were late to the meeting and the Secretariat arrived at 7pm.</w:t>
            </w:r>
          </w:p>
        </w:tc>
      </w:tr>
      <w:tr w:rsidR="009B47C6" w:rsidRPr="00707AD1" w14:paraId="59C3F964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4452B369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3B9AD8B" w14:textId="77777777" w:rsidR="0048658A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Presentation on Air Quality Strategy and Qs &amp; As with guest speakers</w:t>
            </w:r>
          </w:p>
          <w:p w14:paraId="754384A3" w14:textId="32A1EF53" w:rsidR="00B35DEC" w:rsidRDefault="00D42301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KG</w:t>
            </w:r>
            <w:r w:rsidR="00BC69E6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KE jointly presented on the Air Quality Strategy (Strategy</w:t>
            </w:r>
            <w:r w:rsidR="0060292D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currently </w:t>
            </w:r>
            <w:r w:rsidR="009463DE">
              <w:rPr>
                <w:rFonts w:ascii="Arial" w:hAnsi="Arial"/>
                <w:sz w:val="20"/>
                <w:szCs w:val="20"/>
              </w:rPr>
              <w:t>being developed by</w:t>
            </w:r>
            <w:r>
              <w:rPr>
                <w:rFonts w:ascii="Arial" w:hAnsi="Arial"/>
                <w:sz w:val="20"/>
                <w:szCs w:val="20"/>
              </w:rPr>
              <w:t xml:space="preserve"> the Department of Environment, Land, Water and Planning.</w:t>
            </w:r>
          </w:p>
          <w:p w14:paraId="3A444492" w14:textId="77777777" w:rsidR="00D42301" w:rsidRDefault="00D42301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Strategy:</w:t>
            </w:r>
          </w:p>
          <w:p w14:paraId="6807697B" w14:textId="0A4A271E" w:rsidR="00D42301" w:rsidRDefault="00D42301" w:rsidP="008A447B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was announced by the Minister for the Environment, the Hon Lily D’Ambrosio, in early 2018</w:t>
            </w:r>
          </w:p>
          <w:p w14:paraId="7F6688B8" w14:textId="09E6DF47" w:rsidR="00B43132" w:rsidRDefault="00D42301" w:rsidP="008A447B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went through a public consultation period from </w:t>
            </w:r>
            <w:r w:rsidR="002C1F4D">
              <w:rPr>
                <w:rFonts w:ascii="Arial" w:hAnsi="Arial"/>
                <w:sz w:val="20"/>
                <w:szCs w:val="20"/>
              </w:rPr>
              <w:t>May to November 2018</w:t>
            </w:r>
          </w:p>
          <w:p w14:paraId="1B97F069" w14:textId="77777777" w:rsidR="00D42301" w:rsidRDefault="00D42301" w:rsidP="008A447B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currently in its development phase</w:t>
            </w:r>
          </w:p>
          <w:p w14:paraId="2EEE9F79" w14:textId="77777777" w:rsidR="0082024A" w:rsidRDefault="00B43132" w:rsidP="008A447B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 be released in late 2019</w:t>
            </w:r>
            <w:r w:rsidR="0082024A">
              <w:rPr>
                <w:rFonts w:ascii="Arial" w:hAnsi="Arial"/>
                <w:sz w:val="20"/>
                <w:szCs w:val="20"/>
              </w:rPr>
              <w:t>, and</w:t>
            </w:r>
          </w:p>
          <w:p w14:paraId="1368A8B2" w14:textId="0D75D602" w:rsidR="0082024A" w:rsidRPr="0082024A" w:rsidRDefault="0082024A" w:rsidP="008A447B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will articulate the Victorian Government’s plans </w:t>
            </w:r>
            <w:r w:rsidR="00907BCE">
              <w:rPr>
                <w:rFonts w:ascii="Arial" w:hAnsi="Arial"/>
                <w:sz w:val="20"/>
                <w:szCs w:val="20"/>
              </w:rPr>
              <w:t xml:space="preserve">for </w:t>
            </w:r>
            <w:r>
              <w:rPr>
                <w:rFonts w:ascii="Arial" w:hAnsi="Arial"/>
                <w:sz w:val="20"/>
                <w:szCs w:val="20"/>
              </w:rPr>
              <w:t>clear, sustainable, and cost-effective policies and programs to ensure clean air for all Victorian</w:t>
            </w:r>
            <w:r w:rsidR="002C1F4D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11C6FEF" w14:textId="527B9AB3" w:rsidR="00B43132" w:rsidRDefault="00B43132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KE </w:t>
            </w:r>
            <w:r w:rsidR="00907BCE">
              <w:rPr>
                <w:rFonts w:ascii="Arial" w:hAnsi="Arial"/>
                <w:sz w:val="20"/>
                <w:szCs w:val="20"/>
              </w:rPr>
              <w:t>explained</w:t>
            </w:r>
            <w:r>
              <w:rPr>
                <w:rFonts w:ascii="Arial" w:hAnsi="Arial"/>
                <w:sz w:val="20"/>
                <w:szCs w:val="20"/>
              </w:rPr>
              <w:t xml:space="preserve"> the methodology </w:t>
            </w:r>
            <w:r w:rsidR="00907BCE">
              <w:rPr>
                <w:rFonts w:ascii="Arial" w:hAnsi="Arial"/>
                <w:sz w:val="20"/>
                <w:szCs w:val="20"/>
              </w:rPr>
              <w:t xml:space="preserve">and criteria </w:t>
            </w:r>
            <w:r w:rsidR="002C1F4D">
              <w:rPr>
                <w:rFonts w:ascii="Arial" w:hAnsi="Arial"/>
                <w:sz w:val="20"/>
                <w:szCs w:val="20"/>
              </w:rPr>
              <w:t>being used to develop</w:t>
            </w:r>
            <w:r>
              <w:rPr>
                <w:rFonts w:ascii="Arial" w:hAnsi="Arial"/>
                <w:sz w:val="20"/>
                <w:szCs w:val="20"/>
              </w:rPr>
              <w:t xml:space="preserve"> the Strategy</w:t>
            </w:r>
            <w:r w:rsidR="00907BCE">
              <w:rPr>
                <w:rFonts w:ascii="Arial" w:hAnsi="Arial"/>
                <w:sz w:val="20"/>
                <w:szCs w:val="20"/>
              </w:rPr>
              <w:t>.</w:t>
            </w:r>
          </w:p>
          <w:p w14:paraId="2AFEF14D" w14:textId="45AC9E85" w:rsidR="00907BCE" w:rsidRDefault="00B43132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LKo outlined the </w:t>
            </w:r>
            <w:r w:rsidR="00907BCE">
              <w:rPr>
                <w:rFonts w:ascii="Arial" w:hAnsi="Arial"/>
                <w:sz w:val="20"/>
                <w:szCs w:val="20"/>
              </w:rPr>
              <w:t xml:space="preserve">interplay between the Strategy and the CRG, noting there will be the opportunity </w:t>
            </w:r>
            <w:r w:rsidR="002C1F4D">
              <w:rPr>
                <w:rFonts w:ascii="Arial" w:hAnsi="Arial"/>
                <w:sz w:val="20"/>
                <w:szCs w:val="20"/>
              </w:rPr>
              <w:t>to further engage the CRG</w:t>
            </w:r>
            <w:r w:rsidR="00907BCE">
              <w:rPr>
                <w:rFonts w:ascii="Arial" w:hAnsi="Arial"/>
                <w:sz w:val="20"/>
                <w:szCs w:val="20"/>
              </w:rPr>
              <w:t xml:space="preserve"> later in the year.</w:t>
            </w:r>
          </w:p>
          <w:p w14:paraId="117BE9C6" w14:textId="77777777" w:rsidR="00907BCE" w:rsidRPr="00B43132" w:rsidRDefault="00907BCE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There was a short Q&amp;A session with questions from LKe, KL, and AF.</w:t>
            </w:r>
          </w:p>
        </w:tc>
      </w:tr>
      <w:tr w:rsidR="007052A6" w:rsidRPr="00707AD1" w14:paraId="79C6145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4E434E77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725FC9B" w14:textId="77777777" w:rsidR="007052A6" w:rsidRPr="00707AD1" w:rsidRDefault="008355F3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Group discussi</w:t>
            </w:r>
            <w:r w:rsidR="00FC4A90">
              <w:rPr>
                <w:rFonts w:ascii="Arial" w:hAnsi="Arial"/>
                <w:b/>
                <w:sz w:val="20"/>
                <w:szCs w:val="20"/>
              </w:rPr>
              <w:t>on of Air Quality Strategy presentation</w:t>
            </w:r>
          </w:p>
          <w:p w14:paraId="575883D3" w14:textId="77777777" w:rsidR="00321D1B" w:rsidRPr="009A1C8E" w:rsidRDefault="00AB5D88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CRG agreed that further discussion of the presentation was not required.</w:t>
            </w:r>
          </w:p>
        </w:tc>
      </w:tr>
      <w:tr w:rsidR="007052A6" w:rsidRPr="00707AD1" w14:paraId="693101B1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3F07FE0A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0A99FC6" w14:textId="77777777" w:rsidR="007052A6" w:rsidRPr="00707AD1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Discuss methodologies for report writing and recommendation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prioritisation</w:t>
            </w:r>
            <w:proofErr w:type="spellEnd"/>
          </w:p>
          <w:p w14:paraId="7663361C" w14:textId="6823708E" w:rsidR="006923FF" w:rsidRDefault="00AB5D88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discussed the </w:t>
            </w:r>
            <w:r w:rsidR="002C1F4D">
              <w:rPr>
                <w:rFonts w:ascii="Arial" w:hAnsi="Arial"/>
                <w:sz w:val="20"/>
                <w:szCs w:val="20"/>
              </w:rPr>
              <w:t>methodology for</w:t>
            </w:r>
            <w:r>
              <w:rPr>
                <w:rFonts w:ascii="Arial" w:hAnsi="Arial"/>
                <w:sz w:val="20"/>
                <w:szCs w:val="20"/>
              </w:rPr>
              <w:t xml:space="preserve"> writing the report and identified the following:</w:t>
            </w:r>
          </w:p>
          <w:p w14:paraId="571FBF70" w14:textId="77777777" w:rsidR="00AB5D88" w:rsidRDefault="00AB5D88" w:rsidP="008A447B">
            <w:pPr>
              <w:pStyle w:val="TblBdy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Secretariat will write the report.</w:t>
            </w:r>
          </w:p>
          <w:p w14:paraId="780021D9" w14:textId="77777777" w:rsidR="003A4C8D" w:rsidRDefault="00AB5D88" w:rsidP="008A447B">
            <w:pPr>
              <w:pStyle w:val="TblBdy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content of the report will be entirely decided by the CRG members</w:t>
            </w:r>
            <w:r w:rsidR="003A4C8D">
              <w:rPr>
                <w:rFonts w:ascii="Arial" w:hAnsi="Arial"/>
                <w:sz w:val="20"/>
                <w:szCs w:val="20"/>
              </w:rPr>
              <w:t>.</w:t>
            </w:r>
          </w:p>
          <w:p w14:paraId="381F6CD5" w14:textId="77777777" w:rsidR="003A4C8D" w:rsidRDefault="003A4C8D" w:rsidP="008A447B">
            <w:pPr>
              <w:pStyle w:val="TblBdy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Chapters will be written out-of-session and circulated to members for discussion in-session.</w:t>
            </w:r>
          </w:p>
          <w:p w14:paraId="289EE98B" w14:textId="77777777" w:rsidR="003A4C8D" w:rsidRDefault="003A4C8D" w:rsidP="008A447B">
            <w:pPr>
              <w:pStyle w:val="TblBdy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draft list of chapters for the report</w:t>
            </w:r>
            <w:r w:rsidR="0060292D">
              <w:rPr>
                <w:rFonts w:ascii="Arial" w:hAnsi="Arial"/>
                <w:sz w:val="20"/>
                <w:szCs w:val="20"/>
              </w:rPr>
              <w:t>, with further chapter suggestions to be emailed to Secretariat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3723BE1" w14:textId="77777777" w:rsidR="00AB5D88" w:rsidRDefault="003A4C8D" w:rsidP="008A447B">
            <w:pPr>
              <w:pStyle w:val="TblBdy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desire for further consultation with experts to support the content of each chapter</w:t>
            </w:r>
            <w:r w:rsidR="00AB5D88">
              <w:rPr>
                <w:rFonts w:ascii="Arial" w:hAnsi="Arial"/>
                <w:sz w:val="20"/>
                <w:szCs w:val="20"/>
              </w:rPr>
              <w:t>.</w:t>
            </w:r>
          </w:p>
          <w:p w14:paraId="00702466" w14:textId="77777777" w:rsidR="003A4C8D" w:rsidRPr="00897FB9" w:rsidRDefault="003A4C8D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Due to time constraints, consideration of recommendation prioritisation was deferred to the following meeting.</w:t>
            </w:r>
          </w:p>
        </w:tc>
      </w:tr>
      <w:tr w:rsidR="006923FF" w:rsidRPr="00707AD1" w14:paraId="2DD69253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181ADCB0" w14:textId="77777777" w:rsidR="006923FF" w:rsidRPr="006923FF" w:rsidRDefault="006923FF" w:rsidP="008A447B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8A447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3A4C8D">
              <w:rPr>
                <w:rFonts w:ascii="Arial" w:hAnsi="Arial"/>
                <w:bCs/>
                <w:sz w:val="20"/>
                <w:szCs w:val="20"/>
              </w:rPr>
              <w:t xml:space="preserve">Secretariat </w:t>
            </w:r>
            <w:r w:rsidR="00C17AB1">
              <w:rPr>
                <w:rFonts w:ascii="Arial" w:hAnsi="Arial"/>
                <w:bCs/>
                <w:sz w:val="20"/>
                <w:szCs w:val="20"/>
              </w:rPr>
              <w:t>will commence drafting of chapters for discussion in future meetings.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99114C4" w14:textId="77777777" w:rsidR="006923FF" w:rsidRDefault="006923FF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</w:t>
            </w:r>
            <w:r w:rsidR="003A4C8D">
              <w:rPr>
                <w:rFonts w:ascii="Arial" w:hAnsi="Arial"/>
                <w:sz w:val="20"/>
                <w:szCs w:val="20"/>
              </w:rPr>
              <w:t xml:space="preserve"> KD</w:t>
            </w:r>
          </w:p>
        </w:tc>
      </w:tr>
      <w:tr w:rsidR="0060292D" w:rsidRPr="00707AD1" w14:paraId="09C83E67" w14:textId="77777777" w:rsidTr="0060292D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1BB83BF1" w14:textId="77777777" w:rsidR="0060292D" w:rsidRPr="0060292D" w:rsidRDefault="0060292D" w:rsidP="008A447B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2: </w:t>
            </w:r>
            <w:r>
              <w:rPr>
                <w:rFonts w:ascii="Arial" w:hAnsi="Arial"/>
                <w:bCs/>
                <w:sz w:val="20"/>
                <w:szCs w:val="20"/>
              </w:rPr>
              <w:t>CRG members to email chapter suggestions to the Secretariat.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5E05276" w14:textId="77777777" w:rsidR="0060292D" w:rsidRDefault="0060292D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All</w:t>
            </w:r>
          </w:p>
        </w:tc>
      </w:tr>
      <w:tr w:rsidR="00C20127" w:rsidRPr="00707AD1" w14:paraId="10529EEE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620EBE79" w14:textId="77777777" w:rsidR="00C20127" w:rsidRPr="00707AD1" w:rsidRDefault="00C20127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AAE059D" w14:textId="77777777" w:rsidR="00C20127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potential for community forum prior to final draft of report</w:t>
            </w:r>
          </w:p>
          <w:p w14:paraId="311A5A30" w14:textId="764710BE" w:rsidR="008A447B" w:rsidRDefault="008A447B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discussed options for sharing the CRG’s </w:t>
            </w:r>
            <w:r w:rsidR="002C1F4D">
              <w:rPr>
                <w:rFonts w:ascii="Arial" w:hAnsi="Arial"/>
                <w:sz w:val="20"/>
                <w:szCs w:val="20"/>
              </w:rPr>
              <w:t xml:space="preserve">deliberations and </w:t>
            </w:r>
            <w:r>
              <w:rPr>
                <w:rFonts w:ascii="Arial" w:hAnsi="Arial"/>
                <w:sz w:val="20"/>
                <w:szCs w:val="20"/>
              </w:rPr>
              <w:t>findings with the communities of the inner west</w:t>
            </w:r>
            <w:r w:rsidR="002C1F4D">
              <w:rPr>
                <w:rFonts w:ascii="Arial" w:hAnsi="Arial"/>
                <w:sz w:val="20"/>
                <w:szCs w:val="20"/>
              </w:rPr>
              <w:t>. It was noted that</w:t>
            </w:r>
            <w:r>
              <w:rPr>
                <w:rFonts w:ascii="Arial" w:hAnsi="Arial"/>
                <w:sz w:val="20"/>
                <w:szCs w:val="20"/>
              </w:rPr>
              <w:t xml:space="preserve"> the Terms of Reference</w:t>
            </w:r>
            <w:r w:rsidR="002C1F4D">
              <w:rPr>
                <w:rFonts w:ascii="Arial" w:hAnsi="Arial"/>
                <w:sz w:val="20"/>
                <w:szCs w:val="20"/>
              </w:rPr>
              <w:t xml:space="preserve"> require </w:t>
            </w:r>
            <w:r w:rsidR="00BC69E6">
              <w:rPr>
                <w:rFonts w:ascii="Arial" w:hAnsi="Arial"/>
                <w:sz w:val="20"/>
                <w:szCs w:val="20"/>
              </w:rPr>
              <w:t>the CRG to ensure its findings are communicated to the communities of the inner west of Melbourne.</w:t>
            </w:r>
          </w:p>
          <w:p w14:paraId="5B02AA78" w14:textId="77777777" w:rsidR="00F80513" w:rsidRPr="00EE18C2" w:rsidRDefault="008A447B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 was agreed that it would be most appropriate to engage with the community once the CRG has completed its investigations and has a complete draft of the report. It was suggested that this could be done over a few engagement sessions at each of the three council jurisdictions.</w:t>
            </w:r>
          </w:p>
        </w:tc>
      </w:tr>
      <w:tr w:rsidR="000C47BA" w:rsidRPr="00707AD1" w14:paraId="52E3BA38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4CA7C210" w14:textId="77777777" w:rsidR="000C47BA" w:rsidRPr="00707AD1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5ACCC317" w14:textId="77777777" w:rsidR="000C47BA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Consider panel discussion with best-practice experts</w:t>
            </w:r>
          </w:p>
          <w:p w14:paraId="7C653D0B" w14:textId="5FEE16CC" w:rsidR="00E369F0" w:rsidRPr="00235865" w:rsidRDefault="00C17AB1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possibility of having a panel discussion </w:t>
            </w:r>
            <w:r w:rsidR="002C1F4D">
              <w:rPr>
                <w:rFonts w:ascii="Arial" w:hAnsi="Arial"/>
                <w:sz w:val="20"/>
                <w:szCs w:val="20"/>
              </w:rPr>
              <w:t>to</w:t>
            </w:r>
            <w:r w:rsidR="00652840">
              <w:rPr>
                <w:rFonts w:ascii="Arial" w:hAnsi="Arial"/>
                <w:sz w:val="20"/>
                <w:szCs w:val="20"/>
              </w:rPr>
              <w:t xml:space="preserve"> support the CRG develop its final recommendations was discussed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585916">
              <w:rPr>
                <w:rFonts w:ascii="Arial" w:hAnsi="Arial"/>
                <w:sz w:val="20"/>
                <w:szCs w:val="20"/>
              </w:rPr>
              <w:t xml:space="preserve">The group identified several experts that may be able to assist the CRG with its investigations. The Secretariat will collate a detailed shortlist of all suggested experts for further discussion at the next meeting, to be invited to </w:t>
            </w:r>
            <w:r>
              <w:rPr>
                <w:rFonts w:ascii="Arial" w:hAnsi="Arial"/>
                <w:sz w:val="20"/>
                <w:szCs w:val="20"/>
              </w:rPr>
              <w:t>future meetings</w:t>
            </w:r>
            <w:r w:rsidR="00585916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0C47BA" w:rsidRPr="00707AD1" w14:paraId="6C57D0B6" w14:textId="77777777" w:rsidTr="000C47BA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6BCD7D" w14:textId="77777777" w:rsidR="000C47BA" w:rsidRPr="00AA3078" w:rsidRDefault="000C47BA" w:rsidP="008A447B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0292D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E35708">
              <w:rPr>
                <w:rFonts w:ascii="Arial" w:hAnsi="Arial"/>
                <w:bCs/>
                <w:sz w:val="20"/>
                <w:szCs w:val="20"/>
              </w:rPr>
              <w:t xml:space="preserve">Secretariat to collate </w:t>
            </w:r>
            <w:r w:rsidR="00585916">
              <w:rPr>
                <w:rFonts w:ascii="Arial" w:hAnsi="Arial"/>
                <w:bCs/>
                <w:sz w:val="20"/>
                <w:szCs w:val="20"/>
              </w:rPr>
              <w:t>detailed list of experts recommended by CRG members</w:t>
            </w:r>
            <w:r w:rsidR="00E35708"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3B6F168" w14:textId="77777777" w:rsidR="000C47BA" w:rsidRPr="00707AD1" w:rsidRDefault="000C47BA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35708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0C47BA" w:rsidRPr="00707AD1" w14:paraId="1A036726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7FEEBD37" w14:textId="77777777" w:rsidR="000C47BA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4DDE4CA" w14:textId="77777777" w:rsidR="000A63D4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Consider frequency of future meetings and forward plan</w:t>
            </w:r>
          </w:p>
          <w:p w14:paraId="4F9ECBF5" w14:textId="77777777" w:rsidR="00E35708" w:rsidRPr="00B35DEC" w:rsidRDefault="00585916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agreed the need </w:t>
            </w:r>
            <w:r w:rsidR="0008382F">
              <w:rPr>
                <w:rFonts w:ascii="Arial" w:hAnsi="Arial"/>
                <w:sz w:val="20"/>
                <w:szCs w:val="20"/>
              </w:rPr>
              <w:t xml:space="preserve">to meet more frequently </w:t>
            </w:r>
            <w:proofErr w:type="gramStart"/>
            <w:r w:rsidR="0008382F">
              <w:rPr>
                <w:rFonts w:ascii="Arial" w:hAnsi="Arial"/>
                <w:sz w:val="20"/>
                <w:szCs w:val="20"/>
              </w:rPr>
              <w:t>in order to</w:t>
            </w:r>
            <w:proofErr w:type="gramEnd"/>
            <w:r w:rsidR="0008382F">
              <w:rPr>
                <w:rFonts w:ascii="Arial" w:hAnsi="Arial"/>
                <w:sz w:val="20"/>
                <w:szCs w:val="20"/>
              </w:rPr>
              <w:t xml:space="preserve"> cover everything that is needed to write the report by the end of the term. Meetings will now occur every three weeks.</w:t>
            </w:r>
          </w:p>
        </w:tc>
      </w:tr>
      <w:tr w:rsidR="00FC4A90" w:rsidRPr="00707AD1" w14:paraId="668E09DF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F98DAEC" w14:textId="77777777" w:rsidR="00FC4A90" w:rsidRDefault="00FC4A90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76135976" w14:textId="77777777" w:rsidR="00FC4A90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Mid-term review</w:t>
            </w:r>
          </w:p>
          <w:p w14:paraId="5F5BF9E1" w14:textId="77777777" w:rsidR="0008382F" w:rsidRPr="0008382F" w:rsidRDefault="0008382F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PT advised that, as per the Terms of Reference, the CRG is due to have a mid-term review of its operations in June 2019. This will take the form of a questionnaire </w:t>
            </w:r>
            <w:r w:rsidR="0060292D">
              <w:rPr>
                <w:rFonts w:ascii="Arial" w:hAnsi="Arial"/>
                <w:sz w:val="20"/>
                <w:szCs w:val="20"/>
              </w:rPr>
              <w:t xml:space="preserve">to be submitted </w:t>
            </w:r>
            <w:r>
              <w:rPr>
                <w:rFonts w:ascii="Arial" w:hAnsi="Arial"/>
                <w:sz w:val="20"/>
                <w:szCs w:val="20"/>
              </w:rPr>
              <w:t>in June, with the results to be discussed at the second June meeting.</w:t>
            </w:r>
          </w:p>
        </w:tc>
      </w:tr>
      <w:tr w:rsidR="0008382F" w:rsidRPr="00707AD1" w14:paraId="3930C57D" w14:textId="77777777" w:rsidTr="0008382F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1DA7BF" w14:textId="77777777" w:rsidR="0008382F" w:rsidRPr="0008382F" w:rsidRDefault="0008382F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60292D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Secretariat to prepare </w:t>
            </w:r>
            <w:r w:rsidR="002C1F4D">
              <w:rPr>
                <w:rFonts w:ascii="Arial" w:hAnsi="Arial"/>
                <w:bCs/>
                <w:sz w:val="20"/>
                <w:szCs w:val="20"/>
              </w:rPr>
              <w:t xml:space="preserve">and circulate </w:t>
            </w:r>
            <w:r>
              <w:rPr>
                <w:rFonts w:ascii="Arial" w:hAnsi="Arial"/>
                <w:bCs/>
                <w:sz w:val="20"/>
                <w:szCs w:val="20"/>
              </w:rPr>
              <w:t>mid-term review questionnaire.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76B92E43" w14:textId="77777777" w:rsidR="0008382F" w:rsidRPr="0008382F" w:rsidRDefault="0008382F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FC4A90" w:rsidRPr="00707AD1" w14:paraId="775C60E1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F151DB6" w14:textId="77777777" w:rsidR="00FC4A90" w:rsidRDefault="00FC4A90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82185AB" w14:textId="77777777" w:rsidR="00FC4A90" w:rsidRDefault="00FC4A90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wearable air monitor and offer from Dr Andrea Hinwood</w:t>
            </w:r>
          </w:p>
          <w:p w14:paraId="063D43BD" w14:textId="4F2023F2" w:rsidR="0008382F" w:rsidRPr="0008382F" w:rsidRDefault="0008382F" w:rsidP="0000697E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It was </w:t>
            </w:r>
            <w:r w:rsidR="001D44DB">
              <w:rPr>
                <w:rFonts w:ascii="Arial" w:hAnsi="Arial"/>
                <w:sz w:val="20"/>
                <w:szCs w:val="20"/>
              </w:rPr>
              <w:t>identified</w:t>
            </w:r>
            <w:r>
              <w:rPr>
                <w:rFonts w:ascii="Arial" w:hAnsi="Arial"/>
                <w:sz w:val="20"/>
                <w:szCs w:val="20"/>
              </w:rPr>
              <w:t xml:space="preserve"> that AD</w:t>
            </w:r>
            <w:r w:rsidR="001D44DB">
              <w:rPr>
                <w:rFonts w:ascii="Arial" w:hAnsi="Arial"/>
                <w:sz w:val="20"/>
                <w:szCs w:val="20"/>
              </w:rPr>
              <w:t xml:space="preserve"> would like the wearable air quality monitor for their child in a </w:t>
            </w:r>
            <w:r w:rsidR="00221DF8">
              <w:rPr>
                <w:rFonts w:ascii="Arial" w:hAnsi="Arial"/>
                <w:sz w:val="20"/>
                <w:szCs w:val="20"/>
              </w:rPr>
              <w:t>primary school close</w:t>
            </w:r>
            <w:r w:rsidR="001D44DB">
              <w:rPr>
                <w:rFonts w:ascii="Arial" w:hAnsi="Arial"/>
                <w:sz w:val="20"/>
                <w:szCs w:val="20"/>
              </w:rPr>
              <w:t xml:space="preserve"> to a </w:t>
            </w:r>
            <w:r w:rsidR="00221DF8">
              <w:rPr>
                <w:rFonts w:ascii="Arial" w:hAnsi="Arial"/>
                <w:sz w:val="20"/>
                <w:szCs w:val="20"/>
              </w:rPr>
              <w:t>busy</w:t>
            </w:r>
            <w:r w:rsidR="001D44DB">
              <w:rPr>
                <w:rFonts w:ascii="Arial" w:hAnsi="Arial"/>
                <w:sz w:val="20"/>
                <w:szCs w:val="20"/>
              </w:rPr>
              <w:t xml:space="preserve"> road</w:t>
            </w:r>
            <w:r w:rsidR="00221DF8">
              <w:rPr>
                <w:rFonts w:ascii="Arial" w:hAnsi="Arial"/>
                <w:sz w:val="20"/>
                <w:szCs w:val="20"/>
              </w:rPr>
              <w:t xml:space="preserve"> in Brooklyn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="0000697E">
              <w:rPr>
                <w:rFonts w:ascii="Arial" w:hAnsi="Arial"/>
                <w:sz w:val="20"/>
                <w:szCs w:val="20"/>
              </w:rPr>
              <w:t xml:space="preserve"> The Secretariat noted that further advice</w:t>
            </w:r>
            <w:r>
              <w:rPr>
                <w:rFonts w:ascii="Arial" w:hAnsi="Arial"/>
                <w:sz w:val="20"/>
                <w:szCs w:val="20"/>
              </w:rPr>
              <w:t xml:space="preserve"> from Dr Andrea Hinwood on air quality monitors </w:t>
            </w:r>
            <w:r w:rsidR="0000697E">
              <w:rPr>
                <w:rFonts w:ascii="Arial" w:hAnsi="Arial"/>
                <w:sz w:val="20"/>
                <w:szCs w:val="20"/>
              </w:rPr>
              <w:t>is available if required.</w:t>
            </w:r>
          </w:p>
        </w:tc>
      </w:tr>
      <w:tr w:rsidR="0008382F" w:rsidRPr="00707AD1" w14:paraId="607F0F6C" w14:textId="77777777" w:rsidTr="0008382F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DFD92EC" w14:textId="77777777" w:rsidR="0008382F" w:rsidRDefault="0008382F" w:rsidP="0008382F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</w:t>
            </w:r>
            <w:r w:rsidR="0060292D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 xml:space="preserve">CH to provide AD with contact information relating to wearable air quality monitor. 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73FA32E2" w14:textId="77777777" w:rsidR="0008382F" w:rsidRDefault="0008382F" w:rsidP="0008382F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CH</w:t>
            </w:r>
          </w:p>
        </w:tc>
      </w:tr>
      <w:tr w:rsidR="0008382F" w:rsidRPr="00707AD1" w14:paraId="016A04D7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57F7DE0" w14:textId="77777777" w:rsidR="0008382F" w:rsidRDefault="0008382F" w:rsidP="0008382F">
            <w:pPr>
              <w:pStyle w:val="Body"/>
              <w:spacing w:before="120" w:after="120" w:line="240" w:lineRule="auto"/>
              <w:ind w:left="-567" w:right="-135" w:firstLine="3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70CB379" w14:textId="77777777" w:rsidR="0008382F" w:rsidRDefault="0008382F" w:rsidP="0008382F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other business</w:t>
            </w:r>
          </w:p>
          <w:p w14:paraId="6E2AC82D" w14:textId="77777777" w:rsidR="001D44DB" w:rsidRDefault="001D44DB" w:rsidP="0008382F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other business was identified at this meeting.</w:t>
            </w:r>
          </w:p>
          <w:p w14:paraId="29517F79" w14:textId="77777777" w:rsidR="00106130" w:rsidRDefault="00106130" w:rsidP="0008382F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</w:p>
          <w:p w14:paraId="0D4DEC2C" w14:textId="137E86D1" w:rsidR="00106130" w:rsidRPr="001D44DB" w:rsidRDefault="00106130" w:rsidP="0008382F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Next meeting: 6-8.30pm </w:t>
            </w:r>
            <w:r w:rsidR="00176650">
              <w:rPr>
                <w:rFonts w:ascii="Arial" w:hAnsi="Arial"/>
                <w:sz w:val="20"/>
                <w:szCs w:val="20"/>
              </w:rPr>
              <w:t xml:space="preserve">on </w:t>
            </w:r>
            <w:r>
              <w:rPr>
                <w:rFonts w:ascii="Arial" w:hAnsi="Arial"/>
                <w:sz w:val="20"/>
                <w:szCs w:val="20"/>
              </w:rPr>
              <w:t>Monday 3 June 2019 at Brimbank City Council, Sunshine</w:t>
            </w:r>
            <w:r w:rsidR="00176650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5B487010" w14:textId="77777777" w:rsidR="009C20B0" w:rsidRPr="00707AD1" w:rsidRDefault="009C20B0" w:rsidP="00221DF8">
      <w:pPr>
        <w:pStyle w:val="Pullout"/>
        <w:rPr>
          <w:rFonts w:ascii="Arial" w:eastAsia="Calibri" w:hAnsi="Arial"/>
        </w:rPr>
      </w:pPr>
      <w:bookmarkStart w:id="1" w:name="_GoBack"/>
      <w:bookmarkEnd w:id="1"/>
    </w:p>
    <w:sectPr w:rsidR="009C20B0" w:rsidRPr="00707AD1" w:rsidSect="00221DF8">
      <w:footerReference w:type="default" r:id="rId13"/>
      <w:headerReference w:type="first" r:id="rId14"/>
      <w:footerReference w:type="first" r:id="rId15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7111" w14:textId="77777777" w:rsidR="00D050F8" w:rsidRDefault="00D050F8">
      <w:r>
        <w:separator/>
      </w:r>
    </w:p>
  </w:endnote>
  <w:endnote w:type="continuationSeparator" w:id="0">
    <w:p w14:paraId="495EE248" w14:textId="77777777" w:rsidR="00D050F8" w:rsidRDefault="00D0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ED6E" w14:textId="77777777"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D86139">
      <w:rPr>
        <w:rStyle w:val="zRptPgNum"/>
        <w:rFonts w:ascii="Calibri" w:hAnsi="Calibri" w:cs="Calibri"/>
        <w:color w:val="auto"/>
        <w:sz w:val="16"/>
        <w:szCs w:val="16"/>
      </w:rPr>
      <w:t>5</w:t>
    </w:r>
  </w:p>
  <w:p w14:paraId="276365CF" w14:textId="77777777"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4AC9" w14:textId="77777777"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D86139">
      <w:rPr>
        <w:rStyle w:val="zRptPgNum"/>
        <w:rFonts w:ascii="Calibri" w:hAnsi="Calibri" w:cs="Calibri"/>
        <w:color w:val="auto"/>
        <w:sz w:val="16"/>
        <w:szCs w:val="16"/>
      </w:rPr>
      <w:t>5</w:t>
    </w:r>
  </w:p>
  <w:p w14:paraId="462EB804" w14:textId="77777777"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58CE6" w14:textId="77777777" w:rsidR="00D050F8" w:rsidRDefault="00D050F8">
      <w:r>
        <w:separator/>
      </w:r>
    </w:p>
  </w:footnote>
  <w:footnote w:type="continuationSeparator" w:id="0">
    <w:p w14:paraId="225B598F" w14:textId="77777777" w:rsidR="00D050F8" w:rsidRDefault="00D0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41F4" w14:textId="77777777"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5C9B39D" wp14:editId="25FC4DBA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5"/>
  </w:num>
  <w:num w:numId="14">
    <w:abstractNumId w:val="11"/>
  </w:num>
  <w:num w:numId="15">
    <w:abstractNumId w:val="18"/>
  </w:num>
  <w:num w:numId="16">
    <w:abstractNumId w:val="10"/>
  </w:num>
  <w:num w:numId="17">
    <w:abstractNumId w:val="16"/>
  </w:num>
  <w:num w:numId="18">
    <w:abstractNumId w:val="14"/>
  </w:num>
  <w:num w:numId="19">
    <w:abstractNumId w:val="17"/>
  </w:num>
  <w:num w:numId="20">
    <w:abstractNumId w:val="13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0697E"/>
    <w:rsid w:val="00012793"/>
    <w:rsid w:val="00013D7A"/>
    <w:rsid w:val="000141A9"/>
    <w:rsid w:val="00015AC0"/>
    <w:rsid w:val="0003050C"/>
    <w:rsid w:val="00034D96"/>
    <w:rsid w:val="0003535F"/>
    <w:rsid w:val="00041363"/>
    <w:rsid w:val="00041D41"/>
    <w:rsid w:val="00051F65"/>
    <w:rsid w:val="00055FEF"/>
    <w:rsid w:val="00063E31"/>
    <w:rsid w:val="00077758"/>
    <w:rsid w:val="0008382F"/>
    <w:rsid w:val="0008754B"/>
    <w:rsid w:val="0009699E"/>
    <w:rsid w:val="000A6027"/>
    <w:rsid w:val="000A63D4"/>
    <w:rsid w:val="000B1586"/>
    <w:rsid w:val="000B2952"/>
    <w:rsid w:val="000B50F4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5039"/>
    <w:rsid w:val="00135491"/>
    <w:rsid w:val="0014130B"/>
    <w:rsid w:val="001454BE"/>
    <w:rsid w:val="001534BA"/>
    <w:rsid w:val="00154577"/>
    <w:rsid w:val="0015546E"/>
    <w:rsid w:val="0016422B"/>
    <w:rsid w:val="00174641"/>
    <w:rsid w:val="00175123"/>
    <w:rsid w:val="00176650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D44DB"/>
    <w:rsid w:val="001E0624"/>
    <w:rsid w:val="001E2024"/>
    <w:rsid w:val="001E72B8"/>
    <w:rsid w:val="001F3608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31E51"/>
    <w:rsid w:val="00235865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85A41"/>
    <w:rsid w:val="002949F8"/>
    <w:rsid w:val="002B6194"/>
    <w:rsid w:val="002C1F4D"/>
    <w:rsid w:val="002C414B"/>
    <w:rsid w:val="002C4BC3"/>
    <w:rsid w:val="002C5BA2"/>
    <w:rsid w:val="002D2478"/>
    <w:rsid w:val="002D3CC8"/>
    <w:rsid w:val="002D680B"/>
    <w:rsid w:val="002E0F21"/>
    <w:rsid w:val="002E2EC1"/>
    <w:rsid w:val="002F3698"/>
    <w:rsid w:val="002F6DF6"/>
    <w:rsid w:val="003006D5"/>
    <w:rsid w:val="003047C5"/>
    <w:rsid w:val="00307E51"/>
    <w:rsid w:val="00310FD8"/>
    <w:rsid w:val="0031595D"/>
    <w:rsid w:val="00321D1B"/>
    <w:rsid w:val="00321F9E"/>
    <w:rsid w:val="00324151"/>
    <w:rsid w:val="00330679"/>
    <w:rsid w:val="00331A18"/>
    <w:rsid w:val="00351066"/>
    <w:rsid w:val="00361402"/>
    <w:rsid w:val="0037050C"/>
    <w:rsid w:val="00370ACB"/>
    <w:rsid w:val="003776E5"/>
    <w:rsid w:val="003A07D2"/>
    <w:rsid w:val="003A4C8D"/>
    <w:rsid w:val="003B43DE"/>
    <w:rsid w:val="003C2962"/>
    <w:rsid w:val="003C692E"/>
    <w:rsid w:val="003D2648"/>
    <w:rsid w:val="003E0B9A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302D2"/>
    <w:rsid w:val="0043348E"/>
    <w:rsid w:val="004426E1"/>
    <w:rsid w:val="00455AC0"/>
    <w:rsid w:val="0047538B"/>
    <w:rsid w:val="0048658A"/>
    <w:rsid w:val="00496564"/>
    <w:rsid w:val="004969C1"/>
    <w:rsid w:val="004A4DAB"/>
    <w:rsid w:val="004A7856"/>
    <w:rsid w:val="004C72AA"/>
    <w:rsid w:val="004D554A"/>
    <w:rsid w:val="004D6D32"/>
    <w:rsid w:val="004E3CAC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29C6"/>
    <w:rsid w:val="00524C52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73E23"/>
    <w:rsid w:val="00575BBF"/>
    <w:rsid w:val="00575F3A"/>
    <w:rsid w:val="00582724"/>
    <w:rsid w:val="00582B40"/>
    <w:rsid w:val="00585916"/>
    <w:rsid w:val="005966FE"/>
    <w:rsid w:val="005A61D9"/>
    <w:rsid w:val="005A7E53"/>
    <w:rsid w:val="005B3CE8"/>
    <w:rsid w:val="005C70F5"/>
    <w:rsid w:val="005D6A40"/>
    <w:rsid w:val="005E3CC6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52840"/>
    <w:rsid w:val="00653641"/>
    <w:rsid w:val="00656186"/>
    <w:rsid w:val="0066158C"/>
    <w:rsid w:val="006643F2"/>
    <w:rsid w:val="006741C5"/>
    <w:rsid w:val="00675636"/>
    <w:rsid w:val="006921BA"/>
    <w:rsid w:val="006923FF"/>
    <w:rsid w:val="0069559B"/>
    <w:rsid w:val="006B0EA2"/>
    <w:rsid w:val="006B4688"/>
    <w:rsid w:val="006D3CAB"/>
    <w:rsid w:val="006D542C"/>
    <w:rsid w:val="006E157A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11940"/>
    <w:rsid w:val="007247BB"/>
    <w:rsid w:val="00731631"/>
    <w:rsid w:val="00731F6C"/>
    <w:rsid w:val="00752E36"/>
    <w:rsid w:val="00756A07"/>
    <w:rsid w:val="007702BD"/>
    <w:rsid w:val="00782E62"/>
    <w:rsid w:val="0079411E"/>
    <w:rsid w:val="0079728C"/>
    <w:rsid w:val="007B0E45"/>
    <w:rsid w:val="007B1469"/>
    <w:rsid w:val="007B27EE"/>
    <w:rsid w:val="007B62F8"/>
    <w:rsid w:val="007B6E26"/>
    <w:rsid w:val="007C3AE1"/>
    <w:rsid w:val="007D06DC"/>
    <w:rsid w:val="007E1ABB"/>
    <w:rsid w:val="007E3A08"/>
    <w:rsid w:val="007E3E33"/>
    <w:rsid w:val="007E6A3A"/>
    <w:rsid w:val="007F5211"/>
    <w:rsid w:val="008110B2"/>
    <w:rsid w:val="008118F3"/>
    <w:rsid w:val="00811F9A"/>
    <w:rsid w:val="0082024A"/>
    <w:rsid w:val="00834943"/>
    <w:rsid w:val="00834D17"/>
    <w:rsid w:val="0083541B"/>
    <w:rsid w:val="008355F3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E39E1"/>
    <w:rsid w:val="008E5F51"/>
    <w:rsid w:val="008F4932"/>
    <w:rsid w:val="009030B5"/>
    <w:rsid w:val="009065E5"/>
    <w:rsid w:val="00907BCE"/>
    <w:rsid w:val="00912929"/>
    <w:rsid w:val="0091431B"/>
    <w:rsid w:val="00925E05"/>
    <w:rsid w:val="00926BDE"/>
    <w:rsid w:val="00927E6A"/>
    <w:rsid w:val="0093425F"/>
    <w:rsid w:val="00942CDF"/>
    <w:rsid w:val="009463DE"/>
    <w:rsid w:val="00953344"/>
    <w:rsid w:val="00957478"/>
    <w:rsid w:val="00962D3B"/>
    <w:rsid w:val="00972191"/>
    <w:rsid w:val="00981EA2"/>
    <w:rsid w:val="00982DCE"/>
    <w:rsid w:val="009872FB"/>
    <w:rsid w:val="0098790B"/>
    <w:rsid w:val="009913B3"/>
    <w:rsid w:val="009A1C8E"/>
    <w:rsid w:val="009A4875"/>
    <w:rsid w:val="009B35C2"/>
    <w:rsid w:val="009B47C6"/>
    <w:rsid w:val="009C20B0"/>
    <w:rsid w:val="009C29DE"/>
    <w:rsid w:val="009C3454"/>
    <w:rsid w:val="009C3622"/>
    <w:rsid w:val="009C3B5A"/>
    <w:rsid w:val="009D6E3E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57C2"/>
    <w:rsid w:val="00A36BC9"/>
    <w:rsid w:val="00A37BFA"/>
    <w:rsid w:val="00A40602"/>
    <w:rsid w:val="00A52CB8"/>
    <w:rsid w:val="00A52CC4"/>
    <w:rsid w:val="00A55295"/>
    <w:rsid w:val="00A56AF7"/>
    <w:rsid w:val="00A56C4D"/>
    <w:rsid w:val="00A633E3"/>
    <w:rsid w:val="00A6450E"/>
    <w:rsid w:val="00A67D11"/>
    <w:rsid w:val="00A7133B"/>
    <w:rsid w:val="00A71378"/>
    <w:rsid w:val="00A72375"/>
    <w:rsid w:val="00A730A4"/>
    <w:rsid w:val="00A80E1B"/>
    <w:rsid w:val="00A81041"/>
    <w:rsid w:val="00A81772"/>
    <w:rsid w:val="00A83A7C"/>
    <w:rsid w:val="00A85593"/>
    <w:rsid w:val="00AA3078"/>
    <w:rsid w:val="00AA6401"/>
    <w:rsid w:val="00AB446A"/>
    <w:rsid w:val="00AB5D88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279B"/>
    <w:rsid w:val="00B03B3F"/>
    <w:rsid w:val="00B068DA"/>
    <w:rsid w:val="00B077CF"/>
    <w:rsid w:val="00B137B4"/>
    <w:rsid w:val="00B24A07"/>
    <w:rsid w:val="00B35DEC"/>
    <w:rsid w:val="00B37D5F"/>
    <w:rsid w:val="00B42684"/>
    <w:rsid w:val="00B43132"/>
    <w:rsid w:val="00B475BF"/>
    <w:rsid w:val="00B5387D"/>
    <w:rsid w:val="00B54277"/>
    <w:rsid w:val="00B612DC"/>
    <w:rsid w:val="00B61ABB"/>
    <w:rsid w:val="00B67A6A"/>
    <w:rsid w:val="00B905CE"/>
    <w:rsid w:val="00B95745"/>
    <w:rsid w:val="00BB12FB"/>
    <w:rsid w:val="00BB37E4"/>
    <w:rsid w:val="00BB3A83"/>
    <w:rsid w:val="00BB453D"/>
    <w:rsid w:val="00BC69E6"/>
    <w:rsid w:val="00BC7BFB"/>
    <w:rsid w:val="00BD4BC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17AB1"/>
    <w:rsid w:val="00C20127"/>
    <w:rsid w:val="00C34D8B"/>
    <w:rsid w:val="00C36059"/>
    <w:rsid w:val="00C403BA"/>
    <w:rsid w:val="00C46B5E"/>
    <w:rsid w:val="00C545DF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C710B"/>
    <w:rsid w:val="00CC7402"/>
    <w:rsid w:val="00CD7F37"/>
    <w:rsid w:val="00CE10A1"/>
    <w:rsid w:val="00CE6471"/>
    <w:rsid w:val="00CF0831"/>
    <w:rsid w:val="00CF5E50"/>
    <w:rsid w:val="00CF7587"/>
    <w:rsid w:val="00D031F0"/>
    <w:rsid w:val="00D033C6"/>
    <w:rsid w:val="00D050F8"/>
    <w:rsid w:val="00D053C5"/>
    <w:rsid w:val="00D114E4"/>
    <w:rsid w:val="00D11924"/>
    <w:rsid w:val="00D13102"/>
    <w:rsid w:val="00D219B6"/>
    <w:rsid w:val="00D33BE6"/>
    <w:rsid w:val="00D35F9F"/>
    <w:rsid w:val="00D408CF"/>
    <w:rsid w:val="00D42301"/>
    <w:rsid w:val="00D51C2D"/>
    <w:rsid w:val="00D54DE0"/>
    <w:rsid w:val="00D57FF0"/>
    <w:rsid w:val="00D624B8"/>
    <w:rsid w:val="00D634D8"/>
    <w:rsid w:val="00D74EC9"/>
    <w:rsid w:val="00D840DE"/>
    <w:rsid w:val="00D86139"/>
    <w:rsid w:val="00D91558"/>
    <w:rsid w:val="00D96969"/>
    <w:rsid w:val="00DA0042"/>
    <w:rsid w:val="00DB4178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6665"/>
    <w:rsid w:val="00E07718"/>
    <w:rsid w:val="00E12094"/>
    <w:rsid w:val="00E15250"/>
    <w:rsid w:val="00E15BD0"/>
    <w:rsid w:val="00E16025"/>
    <w:rsid w:val="00E20959"/>
    <w:rsid w:val="00E2394C"/>
    <w:rsid w:val="00E30FFD"/>
    <w:rsid w:val="00E325A1"/>
    <w:rsid w:val="00E35708"/>
    <w:rsid w:val="00E369F0"/>
    <w:rsid w:val="00E41F96"/>
    <w:rsid w:val="00E51072"/>
    <w:rsid w:val="00E56D27"/>
    <w:rsid w:val="00E6278D"/>
    <w:rsid w:val="00E768A6"/>
    <w:rsid w:val="00E8448C"/>
    <w:rsid w:val="00E9178F"/>
    <w:rsid w:val="00E91A99"/>
    <w:rsid w:val="00E93F15"/>
    <w:rsid w:val="00EA0A50"/>
    <w:rsid w:val="00EA0E29"/>
    <w:rsid w:val="00EA31C2"/>
    <w:rsid w:val="00EA70F6"/>
    <w:rsid w:val="00EB1A8A"/>
    <w:rsid w:val="00EB2BB2"/>
    <w:rsid w:val="00EB75EA"/>
    <w:rsid w:val="00EC4DCD"/>
    <w:rsid w:val="00EC6F19"/>
    <w:rsid w:val="00EE18C2"/>
    <w:rsid w:val="00EF64EE"/>
    <w:rsid w:val="00F0013D"/>
    <w:rsid w:val="00F0413F"/>
    <w:rsid w:val="00F13B95"/>
    <w:rsid w:val="00F15CF7"/>
    <w:rsid w:val="00F2510A"/>
    <w:rsid w:val="00F27E16"/>
    <w:rsid w:val="00F32313"/>
    <w:rsid w:val="00F37860"/>
    <w:rsid w:val="00F46148"/>
    <w:rsid w:val="00F528D9"/>
    <w:rsid w:val="00F54CCE"/>
    <w:rsid w:val="00F60814"/>
    <w:rsid w:val="00F67782"/>
    <w:rsid w:val="00F708A6"/>
    <w:rsid w:val="00F74678"/>
    <w:rsid w:val="00F80513"/>
    <w:rsid w:val="00F82708"/>
    <w:rsid w:val="00F83A6F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276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tru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1863B-7B46-4FA0-9F5E-63276983AA67}">
  <ds:schemaRefs>
    <ds:schemaRef ds:uri="http://schemas.microsoft.com/office/2006/documentManagement/typ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fd47c19-1c4a-4d7d-b342-c10cef269344"/>
    <ds:schemaRef ds:uri="59d12b91-b74f-4b49-b03f-48db312c8174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6BBE0D-DA19-41C8-964F-947FC38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817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2019-05-17T04:29:00Z</dcterms:created>
  <dcterms:modified xsi:type="dcterms:W3CDTF">2019-05-23T02:30:00Z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