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FA128CA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bookmarkStart w:id="0" w:name="Here"/>
          <w:bookmarkEnd w:id="0"/>
          <w:p w14:paraId="281D85C2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1D10E" wp14:editId="6E0DED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B55CA" w14:textId="6A9846E0" w:rsidR="00D10B48" w:rsidRPr="00707AD1" w:rsidRDefault="00D10B48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5D6A32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314572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1D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4F4B55CA" w14:textId="6A9846E0" w:rsidR="00D10B48" w:rsidRPr="00707AD1" w:rsidRDefault="00D10B48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5D6A32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314572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06D54F8B" w14:textId="40593281" w:rsidR="008E4869" w:rsidRPr="008E4869" w:rsidRDefault="00A74F79" w:rsidP="008E4869">
      <w:pPr>
        <w:pStyle w:val="HA"/>
        <w:spacing w:before="120" w:after="120"/>
        <w:ind w:left="-567"/>
        <w:contextualSpacing/>
        <w:rPr>
          <w:rFonts w:ascii="Arial" w:eastAsia="Calibri" w:hAnsi="Arial"/>
          <w:sz w:val="36"/>
          <w:szCs w:val="36"/>
        </w:rPr>
      </w:pPr>
      <w:r>
        <w:rPr>
          <w:rFonts w:ascii="Arial" w:eastAsia="Calibri" w:hAnsi="Arial"/>
          <w:sz w:val="36"/>
          <w:szCs w:val="36"/>
        </w:rPr>
        <w:t xml:space="preserve"> </w:t>
      </w:r>
      <w:r w:rsidR="009030B5"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p w14:paraId="1014F81B" w14:textId="0C0C3CAE" w:rsidR="00556367" w:rsidRDefault="008E486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Date: </w:t>
      </w:r>
      <w:r w:rsidRPr="00FA0549">
        <w:rPr>
          <w:bCs/>
          <w:szCs w:val="20"/>
        </w:rPr>
        <w:t>Monday 16 September 2019</w:t>
      </w:r>
    </w:p>
    <w:p w14:paraId="4C808EDD" w14:textId="77777777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</w:p>
    <w:p w14:paraId="6C3F5102" w14:textId="7AF5A234" w:rsidR="008E4869" w:rsidRDefault="008E486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Time: </w:t>
      </w:r>
      <w:r w:rsidRPr="00FA0549">
        <w:rPr>
          <w:bCs/>
          <w:szCs w:val="20"/>
        </w:rPr>
        <w:t>6.00 – 9.00 pm</w:t>
      </w:r>
    </w:p>
    <w:p w14:paraId="3C5C90A3" w14:textId="77777777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</w:p>
    <w:p w14:paraId="66D8C975" w14:textId="46259ED9" w:rsidR="008E4869" w:rsidRDefault="008E486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Location: </w:t>
      </w:r>
      <w:r w:rsidRPr="00FA0549">
        <w:rPr>
          <w:bCs/>
          <w:szCs w:val="20"/>
        </w:rPr>
        <w:t>Meeting Room 2, Altona Civic Centre - 115 Civic Parade, Altona</w:t>
      </w:r>
    </w:p>
    <w:p w14:paraId="2C4BB84F" w14:textId="77777777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</w:p>
    <w:p w14:paraId="00998310" w14:textId="6FEA817E" w:rsidR="008E4869" w:rsidRDefault="008E486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Chair: </w:t>
      </w:r>
      <w:r w:rsidRPr="00FA0549">
        <w:rPr>
          <w:bCs/>
          <w:szCs w:val="20"/>
        </w:rPr>
        <w:t>Patsy Toop OAM (PT)</w:t>
      </w:r>
    </w:p>
    <w:p w14:paraId="1276B3F7" w14:textId="77777777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</w:p>
    <w:p w14:paraId="21819233" w14:textId="642D8815" w:rsidR="008E4869" w:rsidRPr="00FA0549" w:rsidRDefault="008E4869" w:rsidP="00FA0549">
      <w:pPr>
        <w:pStyle w:val="Body"/>
        <w:spacing w:before="60" w:after="0"/>
        <w:ind w:left="-426"/>
        <w:rPr>
          <w:bCs/>
          <w:szCs w:val="20"/>
        </w:rPr>
      </w:pPr>
      <w:r w:rsidRPr="00FA0549">
        <w:rPr>
          <w:bCs/>
          <w:szCs w:val="20"/>
        </w:rPr>
        <w:t xml:space="preserve">Members: </w:t>
      </w:r>
      <w:r w:rsidRPr="00FA0549">
        <w:rPr>
          <w:bCs/>
          <w:szCs w:val="20"/>
        </w:rPr>
        <w:t>Keith Loveridge (KL)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Kristen Gilbert (KG)</w:t>
      </w:r>
      <w:r w:rsidRPr="00FA0549">
        <w:rPr>
          <w:bCs/>
          <w:szCs w:val="20"/>
        </w:rPr>
        <w:t>,</w:t>
      </w:r>
      <w:r w:rsidRPr="00FA0549">
        <w:rPr>
          <w:bCs/>
          <w:szCs w:val="20"/>
        </w:rPr>
        <w:t xml:space="preserve"> Ian Butterworth (IB)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Christine Harris (CH)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Narelle Wilson (NW)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 xml:space="preserve">Alexandra </w:t>
      </w:r>
      <w:proofErr w:type="spellStart"/>
      <w:r w:rsidRPr="00FA0549">
        <w:rPr>
          <w:bCs/>
          <w:szCs w:val="20"/>
        </w:rPr>
        <w:t>Damasoliotis</w:t>
      </w:r>
      <w:proofErr w:type="spellEnd"/>
      <w:r w:rsidRPr="00FA0549">
        <w:rPr>
          <w:bCs/>
          <w:szCs w:val="20"/>
        </w:rPr>
        <w:t xml:space="preserve"> (AD)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Chris Dunlevy (CD)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Bert Boere (BB)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Clare Sheppard (CS)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Geoffrey Mitchelmore OAM (GM)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Louise Keramaris (LK)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Adam Fletcher (AF)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Valerie Dripps (VD)</w:t>
      </w:r>
    </w:p>
    <w:p w14:paraId="380963F5" w14:textId="41CA860A" w:rsidR="008E4869" w:rsidRPr="00FA0549" w:rsidRDefault="008E486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</w:p>
    <w:p w14:paraId="12FFEFC6" w14:textId="6EE2C180" w:rsidR="008E4869" w:rsidRDefault="008E4869" w:rsidP="00FA0549">
      <w:pPr>
        <w:pStyle w:val="Body"/>
        <w:spacing w:before="60" w:after="60"/>
        <w:ind w:left="-426"/>
        <w:rPr>
          <w:bCs/>
          <w:szCs w:val="20"/>
        </w:rPr>
      </w:pPr>
      <w:r w:rsidRPr="00FA0549">
        <w:rPr>
          <w:bCs/>
          <w:szCs w:val="20"/>
        </w:rPr>
        <w:t>Secretariat (DELWP)</w:t>
      </w:r>
      <w:r w:rsidRPr="00FA0549">
        <w:rPr>
          <w:bCs/>
          <w:szCs w:val="20"/>
        </w:rPr>
        <w:t xml:space="preserve">: </w:t>
      </w:r>
      <w:r w:rsidRPr="00FA0549">
        <w:rPr>
          <w:bCs/>
          <w:szCs w:val="20"/>
        </w:rPr>
        <w:t>Michelle McHugh</w:t>
      </w:r>
      <w:r w:rsidRPr="00FA0549">
        <w:rPr>
          <w:bCs/>
          <w:szCs w:val="20"/>
        </w:rPr>
        <w:t>,</w:t>
      </w:r>
      <w:r w:rsidRPr="00FA0549">
        <w:rPr>
          <w:bCs/>
          <w:szCs w:val="20"/>
        </w:rPr>
        <w:t xml:space="preserve"> Kylie Munro</w:t>
      </w:r>
    </w:p>
    <w:p w14:paraId="0C26433D" w14:textId="77777777" w:rsidR="00FA0549" w:rsidRPr="00FA0549" w:rsidRDefault="00FA0549" w:rsidP="00FA0549">
      <w:pPr>
        <w:pStyle w:val="Body"/>
        <w:spacing w:before="60" w:after="60"/>
        <w:ind w:left="-426"/>
        <w:rPr>
          <w:bCs/>
          <w:szCs w:val="20"/>
        </w:rPr>
      </w:pPr>
    </w:p>
    <w:p w14:paraId="45373259" w14:textId="6317E22E" w:rsidR="002672C2" w:rsidRPr="00FA0549" w:rsidRDefault="008E4869" w:rsidP="00FA0549">
      <w:pPr>
        <w:pStyle w:val="Body"/>
        <w:spacing w:before="60" w:after="0"/>
        <w:ind w:left="-426"/>
        <w:rPr>
          <w:bCs/>
          <w:szCs w:val="20"/>
        </w:rPr>
      </w:pPr>
      <w:r w:rsidRPr="00FA0549">
        <w:rPr>
          <w:bCs/>
          <w:szCs w:val="20"/>
        </w:rPr>
        <w:t xml:space="preserve">Panel members: </w:t>
      </w:r>
      <w:r w:rsidR="002672C2" w:rsidRPr="00FA0549">
        <w:rPr>
          <w:bCs/>
          <w:szCs w:val="20"/>
        </w:rPr>
        <w:t>Steven Cox (DELWP Planning)</w:t>
      </w:r>
      <w:r w:rsidR="002672C2" w:rsidRPr="00FA0549">
        <w:rPr>
          <w:bCs/>
          <w:szCs w:val="20"/>
        </w:rPr>
        <w:t xml:space="preserve">, </w:t>
      </w:r>
      <w:r w:rsidR="002672C2" w:rsidRPr="00FA0549">
        <w:rPr>
          <w:bCs/>
          <w:szCs w:val="20"/>
        </w:rPr>
        <w:t>Kristen Gilbert (Brimbank City Council)</w:t>
      </w:r>
      <w:bookmarkStart w:id="1" w:name="_Hlk19620283"/>
      <w:r w:rsidR="002672C2" w:rsidRPr="00FA0549">
        <w:rPr>
          <w:bCs/>
          <w:szCs w:val="20"/>
        </w:rPr>
        <w:t xml:space="preserve">, </w:t>
      </w:r>
      <w:r w:rsidR="002672C2" w:rsidRPr="00FA0549">
        <w:rPr>
          <w:bCs/>
          <w:szCs w:val="20"/>
        </w:rPr>
        <w:t>Ruth Davies (EPA Planning)</w:t>
      </w:r>
      <w:r w:rsidR="00875650" w:rsidRPr="00FA0549">
        <w:rPr>
          <w:bCs/>
          <w:szCs w:val="20"/>
        </w:rPr>
        <w:t xml:space="preserve">, </w:t>
      </w:r>
      <w:r w:rsidR="00875650" w:rsidRPr="00FA0549">
        <w:rPr>
          <w:bCs/>
          <w:szCs w:val="20"/>
        </w:rPr>
        <w:t xml:space="preserve">David </w:t>
      </w:r>
      <w:proofErr w:type="spellStart"/>
      <w:r w:rsidR="00875650" w:rsidRPr="00FA0549">
        <w:rPr>
          <w:bCs/>
          <w:szCs w:val="20"/>
        </w:rPr>
        <w:t>Vorchheimer</w:t>
      </w:r>
      <w:proofErr w:type="spellEnd"/>
      <w:r w:rsidR="00875650" w:rsidRPr="00FA0549">
        <w:rPr>
          <w:bCs/>
          <w:szCs w:val="20"/>
        </w:rPr>
        <w:t xml:space="preserve"> (HWL Ebsworth)</w:t>
      </w:r>
    </w:p>
    <w:bookmarkEnd w:id="1"/>
    <w:p w14:paraId="191EDE2B" w14:textId="70E40A60" w:rsidR="002672C2" w:rsidRPr="00FA0549" w:rsidRDefault="002672C2" w:rsidP="00FA0549">
      <w:pPr>
        <w:pStyle w:val="Body"/>
        <w:spacing w:before="60" w:after="60"/>
        <w:ind w:left="-426"/>
        <w:contextualSpacing/>
        <w:rPr>
          <w:bCs/>
          <w:szCs w:val="20"/>
        </w:rPr>
      </w:pPr>
    </w:p>
    <w:p w14:paraId="7FA182D3" w14:textId="6E5351B1" w:rsidR="00FA0549" w:rsidRPr="00FA0549" w:rsidRDefault="00FA0549" w:rsidP="00FA0549">
      <w:pPr>
        <w:pStyle w:val="Body"/>
        <w:spacing w:before="60" w:after="60"/>
        <w:ind w:left="-426"/>
        <w:rPr>
          <w:bCs/>
          <w:szCs w:val="20"/>
        </w:rPr>
      </w:pPr>
      <w:r w:rsidRPr="00FA0549">
        <w:rPr>
          <w:bCs/>
          <w:szCs w:val="20"/>
        </w:rPr>
        <w:t>Sub-committee facilitators (DELWP)</w:t>
      </w:r>
      <w:r w:rsidRPr="00FA0549">
        <w:rPr>
          <w:bCs/>
          <w:szCs w:val="20"/>
        </w:rPr>
        <w:t xml:space="preserve">: </w:t>
      </w:r>
      <w:r w:rsidRPr="00FA0549">
        <w:rPr>
          <w:bCs/>
          <w:szCs w:val="20"/>
        </w:rPr>
        <w:t>Katherine Evans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>Megan Liddicoat</w:t>
      </w:r>
      <w:r w:rsidRPr="00FA0549">
        <w:rPr>
          <w:bCs/>
          <w:szCs w:val="20"/>
        </w:rPr>
        <w:t xml:space="preserve">, </w:t>
      </w:r>
      <w:r w:rsidRPr="00FA0549">
        <w:rPr>
          <w:bCs/>
          <w:szCs w:val="20"/>
        </w:rPr>
        <w:t xml:space="preserve">Kyle Garland </w:t>
      </w:r>
    </w:p>
    <w:p w14:paraId="26F80F9C" w14:textId="0B8F2607" w:rsidR="00FA0549" w:rsidRDefault="00FA0549" w:rsidP="00FA0549">
      <w:pPr>
        <w:pStyle w:val="Body"/>
        <w:spacing w:before="60" w:after="60"/>
        <w:ind w:hanging="426"/>
        <w:rPr>
          <w:bCs/>
          <w:szCs w:val="20"/>
        </w:rPr>
      </w:pPr>
    </w:p>
    <w:p w14:paraId="0DB2A1E1" w14:textId="77777777" w:rsidR="00FA0549" w:rsidRPr="00FA0549" w:rsidRDefault="00FA0549" w:rsidP="00FA0549">
      <w:pPr>
        <w:pStyle w:val="Body"/>
        <w:spacing w:before="60" w:after="60"/>
        <w:ind w:hanging="426"/>
        <w:rPr>
          <w:bCs/>
          <w:szCs w:val="20"/>
        </w:rPr>
      </w:pPr>
    </w:p>
    <w:p w14:paraId="76FA05CE" w14:textId="51B835E6" w:rsidR="002672C2" w:rsidRPr="00FA0549" w:rsidRDefault="00FA0549" w:rsidP="00FA0549">
      <w:pPr>
        <w:pStyle w:val="Body"/>
        <w:spacing w:before="60" w:after="0"/>
        <w:ind w:hanging="426"/>
        <w:rPr>
          <w:b/>
          <w:bCs/>
          <w:sz w:val="24"/>
          <w:szCs w:val="20"/>
        </w:rPr>
      </w:pPr>
      <w:bookmarkStart w:id="2" w:name="_Hlk18504377"/>
      <w:r w:rsidRPr="00FA0549">
        <w:rPr>
          <w:b/>
          <w:bCs/>
          <w:sz w:val="24"/>
          <w:szCs w:val="20"/>
        </w:rPr>
        <w:t>Agenda items, minutes, and actions</w:t>
      </w:r>
      <w:bookmarkEnd w:id="2"/>
    </w:p>
    <w:p w14:paraId="11850381" w14:textId="74093AA8" w:rsidR="008E4869" w:rsidRPr="00FA0549" w:rsidRDefault="008E486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</w:p>
    <w:p w14:paraId="697ED3AC" w14:textId="059180F2" w:rsidR="008E4869" w:rsidRDefault="00FA054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  <w:bookmarkStart w:id="3" w:name="_Hlk18504385"/>
      <w:r w:rsidRPr="00FA0549">
        <w:rPr>
          <w:bCs/>
          <w:szCs w:val="20"/>
        </w:rPr>
        <w:t xml:space="preserve">1. </w:t>
      </w:r>
      <w:r w:rsidRPr="00FA0549">
        <w:rPr>
          <w:bCs/>
          <w:szCs w:val="20"/>
        </w:rPr>
        <w:t>Welcome and acknowledgement of Traditional Owners</w:t>
      </w:r>
      <w:bookmarkEnd w:id="3"/>
    </w:p>
    <w:p w14:paraId="3A0C791D" w14:textId="77777777" w:rsidR="00FA0549" w:rsidRPr="00FA0549" w:rsidRDefault="00FA054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</w:p>
    <w:p w14:paraId="1D03F367" w14:textId="6A365DD7" w:rsidR="00FA0549" w:rsidRDefault="00FA054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2. </w:t>
      </w:r>
      <w:r w:rsidRPr="00FA0549">
        <w:rPr>
          <w:bCs/>
          <w:szCs w:val="20"/>
        </w:rPr>
        <w:t>Actions arising from previous meeting</w:t>
      </w:r>
    </w:p>
    <w:p w14:paraId="42BADFAA" w14:textId="77777777" w:rsidR="00FA0549" w:rsidRPr="00FA0549" w:rsidRDefault="00FA054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</w:p>
    <w:p w14:paraId="4B611316" w14:textId="30AB9B64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Action 1: </w:t>
      </w:r>
      <w:r>
        <w:rPr>
          <w:bCs/>
          <w:szCs w:val="20"/>
        </w:rPr>
        <w:t>Group</w:t>
      </w:r>
      <w:r w:rsidRPr="005673FE">
        <w:rPr>
          <w:bCs/>
          <w:szCs w:val="20"/>
        </w:rPr>
        <w:t xml:space="preserve"> members to </w:t>
      </w:r>
      <w:r>
        <w:rPr>
          <w:bCs/>
          <w:szCs w:val="20"/>
        </w:rPr>
        <w:t xml:space="preserve">continue to submit </w:t>
      </w:r>
      <w:r w:rsidRPr="005673FE">
        <w:rPr>
          <w:bCs/>
          <w:szCs w:val="20"/>
        </w:rPr>
        <w:t xml:space="preserve">photos of local air pollution impacts and community quotes </w:t>
      </w:r>
      <w:r>
        <w:rPr>
          <w:bCs/>
          <w:szCs w:val="20"/>
        </w:rPr>
        <w:t xml:space="preserve">to the Secretariat </w:t>
      </w:r>
      <w:r w:rsidRPr="005673FE">
        <w:rPr>
          <w:bCs/>
          <w:szCs w:val="20"/>
        </w:rPr>
        <w:t>for inclusion in the report.</w:t>
      </w:r>
      <w:r w:rsidRPr="00FA0549">
        <w:rPr>
          <w:bCs/>
          <w:szCs w:val="20"/>
        </w:rPr>
        <w:t xml:space="preserve"> </w:t>
      </w:r>
      <w:r w:rsidRPr="00FA0549">
        <w:rPr>
          <w:bCs/>
          <w:szCs w:val="20"/>
        </w:rPr>
        <w:t>Owner: All</w:t>
      </w:r>
    </w:p>
    <w:p w14:paraId="42751E80" w14:textId="09B038A1" w:rsidR="00FA0549" w:rsidRPr="00FA0549" w:rsidRDefault="00FA0549" w:rsidP="00FA0549">
      <w:pPr>
        <w:pStyle w:val="Body"/>
        <w:spacing w:before="120" w:after="120" w:line="240" w:lineRule="auto"/>
        <w:ind w:left="-426"/>
        <w:contextualSpacing/>
        <w:rPr>
          <w:bCs/>
          <w:szCs w:val="20"/>
        </w:rPr>
      </w:pPr>
      <w:r w:rsidRPr="00FA0549">
        <w:rPr>
          <w:bCs/>
          <w:szCs w:val="20"/>
        </w:rPr>
        <w:t>Action 2</w:t>
      </w:r>
      <w:r>
        <w:rPr>
          <w:bCs/>
          <w:szCs w:val="20"/>
        </w:rPr>
        <w:t>: Secretariat to arrange site visit to QENOS Altona operations and follow up on opportunities for site visit to ExxonMobil’s Altona refinery</w:t>
      </w:r>
      <w:r>
        <w:rPr>
          <w:bCs/>
          <w:szCs w:val="20"/>
        </w:rPr>
        <w:t>.</w:t>
      </w:r>
      <w:r w:rsidRPr="00FA0549">
        <w:rPr>
          <w:bCs/>
          <w:szCs w:val="20"/>
        </w:rPr>
        <w:t xml:space="preserve"> </w:t>
      </w:r>
      <w:r w:rsidRPr="00FA0549">
        <w:rPr>
          <w:bCs/>
          <w:szCs w:val="20"/>
        </w:rPr>
        <w:t>Owner: Secretariat</w:t>
      </w:r>
    </w:p>
    <w:p w14:paraId="48791E07" w14:textId="6981CC74" w:rsidR="00FA0549" w:rsidRPr="00FA0549" w:rsidRDefault="00FA0549" w:rsidP="00FA0549">
      <w:pPr>
        <w:pStyle w:val="Body"/>
        <w:spacing w:before="120" w:after="120" w:line="240" w:lineRule="auto"/>
        <w:ind w:hanging="426"/>
        <w:contextualSpacing/>
        <w:rPr>
          <w:bCs/>
          <w:szCs w:val="20"/>
        </w:rPr>
      </w:pPr>
    </w:p>
    <w:p w14:paraId="1911E0EF" w14:textId="09D6A2C5" w:rsidR="00FA0549" w:rsidRPr="00FA0549" w:rsidRDefault="00FA0549" w:rsidP="00FA0549">
      <w:pPr>
        <w:pStyle w:val="TblBdy"/>
        <w:spacing w:before="120" w:after="120" w:line="240" w:lineRule="auto"/>
        <w:ind w:hanging="426"/>
        <w:contextualSpacing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 xml:space="preserve">3. </w:t>
      </w:r>
      <w:r w:rsidRPr="00FA0549">
        <w:rPr>
          <w:rFonts w:eastAsia="Times New Roman"/>
          <w:bCs/>
          <w:szCs w:val="20"/>
          <w:lang w:val="en-AU"/>
        </w:rPr>
        <w:t>Expert panel - Planning</w:t>
      </w:r>
    </w:p>
    <w:p w14:paraId="549C4896" w14:textId="77777777" w:rsidR="00FA0549" w:rsidRPr="00FA0549" w:rsidRDefault="00FA0549" w:rsidP="00FA0549">
      <w:pPr>
        <w:pStyle w:val="TblBdy"/>
        <w:spacing w:before="120" w:after="120" w:line="240" w:lineRule="auto"/>
        <w:ind w:hanging="426"/>
        <w:contextualSpacing/>
        <w:rPr>
          <w:rFonts w:eastAsia="Times New Roman"/>
          <w:bCs/>
          <w:szCs w:val="20"/>
          <w:lang w:val="en-AU"/>
        </w:rPr>
      </w:pPr>
    </w:p>
    <w:p w14:paraId="3B77F8C6" w14:textId="4766FA47" w:rsidR="00FA0549" w:rsidRPr="00FA0549" w:rsidRDefault="00FA0549" w:rsidP="00FA0549">
      <w:pPr>
        <w:pStyle w:val="TblBdy"/>
        <w:spacing w:before="120" w:after="120" w:line="240" w:lineRule="auto"/>
        <w:ind w:hanging="426"/>
        <w:contextualSpacing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>Topics covered included:</w:t>
      </w:r>
    </w:p>
    <w:p w14:paraId="048F9E99" w14:textId="77777777" w:rsidR="00FA0549" w:rsidRPr="00FA0549" w:rsidRDefault="00FA0549" w:rsidP="00FA0549">
      <w:pPr>
        <w:pStyle w:val="ListParagraph"/>
        <w:numPr>
          <w:ilvl w:val="0"/>
          <w:numId w:val="33"/>
        </w:numPr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 xml:space="preserve">Victoria’s planning framework </w:t>
      </w:r>
    </w:p>
    <w:p w14:paraId="14C3FED2" w14:textId="77777777" w:rsidR="00FA0549" w:rsidRPr="00FA0549" w:rsidRDefault="00FA0549" w:rsidP="00FA0549">
      <w:pPr>
        <w:pStyle w:val="ListParagraph"/>
        <w:numPr>
          <w:ilvl w:val="0"/>
          <w:numId w:val="33"/>
        </w:numPr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 xml:space="preserve">Local and Victorian government responsibilities within the planning system </w:t>
      </w:r>
    </w:p>
    <w:p w14:paraId="3E136A59" w14:textId="77777777" w:rsidR="00FA0549" w:rsidRPr="00FA0549" w:rsidRDefault="00FA0549" w:rsidP="00FA0549">
      <w:pPr>
        <w:pStyle w:val="ListParagraph"/>
        <w:numPr>
          <w:ilvl w:val="0"/>
          <w:numId w:val="33"/>
        </w:numPr>
        <w:spacing w:line="259" w:lineRule="auto"/>
        <w:jc w:val="both"/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 xml:space="preserve">Key and emerging planning policies and guidance related to air quality </w:t>
      </w:r>
    </w:p>
    <w:p w14:paraId="09E3AAAF" w14:textId="77777777" w:rsidR="00FA0549" w:rsidRPr="00FA0549" w:rsidRDefault="00FA0549" w:rsidP="00FA0549">
      <w:pPr>
        <w:pStyle w:val="ListParagraph"/>
        <w:numPr>
          <w:ilvl w:val="0"/>
          <w:numId w:val="33"/>
        </w:numPr>
        <w:spacing w:line="259" w:lineRule="auto"/>
        <w:jc w:val="both"/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 xml:space="preserve">Victoria’s Environmental Effects Statement process </w:t>
      </w:r>
    </w:p>
    <w:p w14:paraId="7E17A096" w14:textId="77777777" w:rsidR="00FA0549" w:rsidRPr="00FA0549" w:rsidRDefault="00FA0549" w:rsidP="00FA0549">
      <w:pPr>
        <w:pStyle w:val="ListParagraph"/>
        <w:numPr>
          <w:ilvl w:val="0"/>
          <w:numId w:val="33"/>
        </w:numPr>
        <w:spacing w:line="259" w:lineRule="auto"/>
        <w:jc w:val="both"/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>The role of VCAT</w:t>
      </w:r>
    </w:p>
    <w:p w14:paraId="6B78905A" w14:textId="77777777" w:rsidR="00FA0549" w:rsidRPr="00FA0549" w:rsidRDefault="00FA0549" w:rsidP="00FA0549">
      <w:pPr>
        <w:pStyle w:val="ListParagraph"/>
        <w:numPr>
          <w:ilvl w:val="0"/>
          <w:numId w:val="33"/>
        </w:numPr>
        <w:spacing w:after="160" w:line="259" w:lineRule="auto"/>
        <w:rPr>
          <w:rFonts w:cs="Arial"/>
          <w:bCs/>
          <w:szCs w:val="20"/>
        </w:rPr>
      </w:pPr>
      <w:r w:rsidRPr="00FA0549">
        <w:rPr>
          <w:rFonts w:cs="Arial"/>
          <w:bCs/>
          <w:szCs w:val="20"/>
        </w:rPr>
        <w:t>The role of EPA as an advisory and referral authority</w:t>
      </w:r>
    </w:p>
    <w:p w14:paraId="338D7D25" w14:textId="21AC0BB5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  <w:r w:rsidRPr="00FA0549">
        <w:rPr>
          <w:bCs/>
          <w:szCs w:val="20"/>
        </w:rPr>
        <w:lastRenderedPageBreak/>
        <w:t>Existing use rights</w:t>
      </w:r>
    </w:p>
    <w:p w14:paraId="6049DFF1" w14:textId="0D20FB71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</w:p>
    <w:p w14:paraId="54CCA93C" w14:textId="773B0A28" w:rsidR="00FA0549" w:rsidRPr="00FA0549" w:rsidRDefault="00FA0549" w:rsidP="00FA0549">
      <w:pPr>
        <w:pStyle w:val="TblBdy"/>
        <w:spacing w:before="120" w:after="120" w:line="240" w:lineRule="auto"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 xml:space="preserve">4. </w:t>
      </w:r>
      <w:r w:rsidRPr="00FA0549">
        <w:rPr>
          <w:rFonts w:eastAsia="Times New Roman"/>
          <w:bCs/>
          <w:szCs w:val="20"/>
          <w:lang w:val="en-AU"/>
        </w:rPr>
        <w:t>Report chapter development</w:t>
      </w:r>
    </w:p>
    <w:p w14:paraId="4A853F55" w14:textId="77777777" w:rsidR="00FA0549" w:rsidRPr="00FA0549" w:rsidRDefault="00FA0549" w:rsidP="00FA0549">
      <w:pPr>
        <w:pStyle w:val="TblBdy"/>
        <w:numPr>
          <w:ilvl w:val="0"/>
          <w:numId w:val="39"/>
        </w:numPr>
        <w:spacing w:before="120" w:after="120" w:line="240" w:lineRule="auto"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>Members met as sub-committees to discuss and progress development of Report chapters</w:t>
      </w:r>
    </w:p>
    <w:p w14:paraId="455ADE30" w14:textId="6B00B9ED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</w:p>
    <w:p w14:paraId="3E2102A4" w14:textId="269702C6" w:rsidR="00FA0549" w:rsidRPr="00FA0549" w:rsidRDefault="00FA0549" w:rsidP="00FA0549">
      <w:pPr>
        <w:pStyle w:val="TblBdy"/>
        <w:spacing w:before="120" w:after="120" w:line="240" w:lineRule="auto"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 xml:space="preserve">5. </w:t>
      </w:r>
      <w:r w:rsidRPr="00FA0549">
        <w:rPr>
          <w:rFonts w:eastAsia="Times New Roman"/>
          <w:bCs/>
          <w:szCs w:val="20"/>
          <w:lang w:val="en-AU"/>
        </w:rPr>
        <w:t xml:space="preserve">Progress update to Ministers </w:t>
      </w:r>
    </w:p>
    <w:p w14:paraId="15E99C61" w14:textId="136F1969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  <w:r w:rsidRPr="00FA0549">
        <w:rPr>
          <w:bCs/>
          <w:szCs w:val="20"/>
        </w:rPr>
        <w:t>The Group received a draft letter to be sent from the Chair on its behalf, providing ministers with a progress update and requesting a meeting with them in October.</w:t>
      </w:r>
    </w:p>
    <w:p w14:paraId="415CCB59" w14:textId="382374D0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</w:p>
    <w:p w14:paraId="43451D90" w14:textId="465ADD0E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Action 3: </w:t>
      </w:r>
      <w:r w:rsidRPr="0059448D">
        <w:rPr>
          <w:bCs/>
          <w:szCs w:val="20"/>
        </w:rPr>
        <w:t>Chair to send</w:t>
      </w:r>
      <w:r w:rsidRPr="00FA0549">
        <w:rPr>
          <w:bCs/>
          <w:szCs w:val="20"/>
        </w:rPr>
        <w:t xml:space="preserve"> </w:t>
      </w:r>
      <w:r w:rsidRPr="0059448D">
        <w:rPr>
          <w:bCs/>
          <w:szCs w:val="20"/>
        </w:rPr>
        <w:t>letter to the Ministers</w:t>
      </w:r>
      <w:r>
        <w:rPr>
          <w:bCs/>
          <w:szCs w:val="20"/>
        </w:rPr>
        <w:t xml:space="preserve">. </w:t>
      </w:r>
      <w:r w:rsidRPr="00FA0549">
        <w:rPr>
          <w:bCs/>
          <w:szCs w:val="20"/>
        </w:rPr>
        <w:t>Owner: Chair</w:t>
      </w:r>
      <w:r>
        <w:rPr>
          <w:bCs/>
          <w:szCs w:val="20"/>
        </w:rPr>
        <w:t>.</w:t>
      </w:r>
      <w:bookmarkStart w:id="4" w:name="_GoBack"/>
      <w:bookmarkEnd w:id="4"/>
    </w:p>
    <w:p w14:paraId="1E2C6B46" w14:textId="1FCC05D9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  <w:r w:rsidRPr="00FA0549">
        <w:rPr>
          <w:bCs/>
          <w:szCs w:val="20"/>
        </w:rPr>
        <w:t xml:space="preserve">Action 4: </w:t>
      </w:r>
      <w:r w:rsidRPr="0059448D">
        <w:rPr>
          <w:bCs/>
          <w:szCs w:val="20"/>
        </w:rPr>
        <w:t>Secretariat to arrange a subsequent meeting with the Ministers, in consultation with Chair</w:t>
      </w:r>
      <w:r>
        <w:rPr>
          <w:bCs/>
          <w:szCs w:val="20"/>
        </w:rPr>
        <w:t xml:space="preserve">. </w:t>
      </w:r>
      <w:r w:rsidRPr="00FA0549">
        <w:rPr>
          <w:bCs/>
          <w:szCs w:val="20"/>
        </w:rPr>
        <w:t>Owner: Secretariat</w:t>
      </w:r>
      <w:r w:rsidRPr="00FA0549">
        <w:rPr>
          <w:bCs/>
          <w:szCs w:val="20"/>
        </w:rPr>
        <w:t>.</w:t>
      </w:r>
    </w:p>
    <w:p w14:paraId="71092A33" w14:textId="07A4D49A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</w:p>
    <w:p w14:paraId="6E867C22" w14:textId="7EAF19E0" w:rsidR="00FA0549" w:rsidRPr="00FA0549" w:rsidRDefault="00FA0549" w:rsidP="00FA0549">
      <w:pPr>
        <w:pStyle w:val="TblBdy"/>
        <w:spacing w:before="120" w:after="120" w:line="240" w:lineRule="auto"/>
        <w:rPr>
          <w:rFonts w:eastAsia="Times New Roman"/>
          <w:bCs/>
          <w:szCs w:val="20"/>
          <w:lang w:val="en-AU"/>
        </w:rPr>
      </w:pPr>
      <w:r w:rsidRPr="00FA0549">
        <w:rPr>
          <w:rFonts w:eastAsia="Times New Roman"/>
          <w:bCs/>
          <w:szCs w:val="20"/>
          <w:lang w:val="en-AU"/>
        </w:rPr>
        <w:t>6.</w:t>
      </w:r>
      <w:r w:rsidRPr="00FA0549">
        <w:rPr>
          <w:rFonts w:eastAsia="Times New Roman"/>
          <w:bCs/>
          <w:szCs w:val="20"/>
          <w:lang w:val="en-AU"/>
        </w:rPr>
        <w:t>Other business</w:t>
      </w:r>
    </w:p>
    <w:p w14:paraId="597CC4FA" w14:textId="38551E09" w:rsidR="00FA0549" w:rsidRPr="00FA0549" w:rsidRDefault="00FA0549" w:rsidP="00FA0549">
      <w:pPr>
        <w:pStyle w:val="Body"/>
        <w:spacing w:before="120" w:after="120" w:line="240" w:lineRule="auto"/>
        <w:contextualSpacing/>
        <w:rPr>
          <w:bCs/>
          <w:szCs w:val="20"/>
        </w:rPr>
      </w:pPr>
      <w:r w:rsidRPr="00FA0549">
        <w:rPr>
          <w:bCs/>
          <w:szCs w:val="20"/>
        </w:rPr>
        <w:t>The next meeting (Monday 7 October) will commence at 6:30 pm.</w:t>
      </w:r>
    </w:p>
    <w:p w14:paraId="07DD3DA0" w14:textId="214FA390" w:rsidR="009C20B0" w:rsidRDefault="009C20B0" w:rsidP="00580DFB">
      <w:pPr>
        <w:pStyle w:val="Pullout"/>
        <w:rPr>
          <w:rFonts w:ascii="Arial" w:eastAsia="Calibri" w:hAnsi="Arial"/>
        </w:rPr>
      </w:pPr>
    </w:p>
    <w:sectPr w:rsidR="009C20B0" w:rsidSect="00221DF8">
      <w:footerReference w:type="default" r:id="rId13"/>
      <w:headerReference w:type="first" r:id="rId14"/>
      <w:footerReference w:type="first" r:id="rId15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69800F54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2156E">
      <w:rPr>
        <w:rStyle w:val="zRptPgNum"/>
        <w:rFonts w:ascii="Calibri" w:hAnsi="Calibri" w:cs="Calibri"/>
        <w:color w:val="auto"/>
        <w:sz w:val="16"/>
        <w:szCs w:val="16"/>
      </w:rPr>
      <w:t>11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189381CA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2156E">
      <w:rPr>
        <w:rStyle w:val="zRptPgNum"/>
        <w:rFonts w:ascii="Calibri" w:hAnsi="Calibri" w:cs="Calibri"/>
        <w:color w:val="auto"/>
        <w:sz w:val="16"/>
        <w:szCs w:val="16"/>
      </w:rPr>
      <w:t>11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30F" w14:textId="39D500AA" w:rsidR="00D10B48" w:rsidRDefault="00D10B48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2EA6DC" wp14:editId="05C41AF8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53F"/>
    <w:multiLevelType w:val="hybridMultilevel"/>
    <w:tmpl w:val="3E10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E2803"/>
    <w:multiLevelType w:val="hybridMultilevel"/>
    <w:tmpl w:val="631C8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E6A"/>
    <w:multiLevelType w:val="hybridMultilevel"/>
    <w:tmpl w:val="173E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831"/>
    <w:multiLevelType w:val="hybridMultilevel"/>
    <w:tmpl w:val="985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C67E2"/>
    <w:multiLevelType w:val="hybridMultilevel"/>
    <w:tmpl w:val="1AF8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E31EE"/>
    <w:multiLevelType w:val="hybridMultilevel"/>
    <w:tmpl w:val="4484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5"/>
  </w:num>
  <w:num w:numId="13">
    <w:abstractNumId w:val="21"/>
  </w:num>
  <w:num w:numId="14">
    <w:abstractNumId w:val="12"/>
  </w:num>
  <w:num w:numId="15">
    <w:abstractNumId w:val="30"/>
  </w:num>
  <w:num w:numId="16">
    <w:abstractNumId w:val="11"/>
  </w:num>
  <w:num w:numId="17">
    <w:abstractNumId w:val="24"/>
  </w:num>
  <w:num w:numId="18">
    <w:abstractNumId w:val="20"/>
  </w:num>
  <w:num w:numId="19">
    <w:abstractNumId w:val="29"/>
  </w:num>
  <w:num w:numId="20">
    <w:abstractNumId w:val="18"/>
  </w:num>
  <w:num w:numId="21">
    <w:abstractNumId w:val="36"/>
  </w:num>
  <w:num w:numId="22">
    <w:abstractNumId w:val="13"/>
  </w:num>
  <w:num w:numId="23">
    <w:abstractNumId w:val="33"/>
  </w:num>
  <w:num w:numId="24">
    <w:abstractNumId w:val="22"/>
  </w:num>
  <w:num w:numId="25">
    <w:abstractNumId w:val="28"/>
  </w:num>
  <w:num w:numId="26">
    <w:abstractNumId w:val="34"/>
  </w:num>
  <w:num w:numId="27">
    <w:abstractNumId w:val="31"/>
  </w:num>
  <w:num w:numId="28">
    <w:abstractNumId w:val="38"/>
  </w:num>
  <w:num w:numId="29">
    <w:abstractNumId w:val="19"/>
  </w:num>
  <w:num w:numId="30">
    <w:abstractNumId w:val="26"/>
  </w:num>
  <w:num w:numId="31">
    <w:abstractNumId w:val="14"/>
  </w:num>
  <w:num w:numId="32">
    <w:abstractNumId w:val="27"/>
  </w:num>
  <w:num w:numId="33">
    <w:abstractNumId w:val="15"/>
  </w:num>
  <w:num w:numId="34">
    <w:abstractNumId w:val="23"/>
  </w:num>
  <w:num w:numId="35">
    <w:abstractNumId w:val="32"/>
  </w:num>
  <w:num w:numId="36">
    <w:abstractNumId w:val="25"/>
  </w:num>
  <w:num w:numId="37">
    <w:abstractNumId w:val="37"/>
  </w:num>
  <w:num w:numId="38">
    <w:abstractNumId w:val="10"/>
  </w:num>
  <w:num w:numId="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793"/>
    <w:rsid w:val="00013D7A"/>
    <w:rsid w:val="000141A9"/>
    <w:rsid w:val="00015AC0"/>
    <w:rsid w:val="0002448F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50F4"/>
    <w:rsid w:val="000B7630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DDD"/>
    <w:rsid w:val="0019512C"/>
    <w:rsid w:val="00197414"/>
    <w:rsid w:val="001A243B"/>
    <w:rsid w:val="001A4D8F"/>
    <w:rsid w:val="001A6E57"/>
    <w:rsid w:val="001B0500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672C2"/>
    <w:rsid w:val="00271B91"/>
    <w:rsid w:val="00272845"/>
    <w:rsid w:val="0027481D"/>
    <w:rsid w:val="002849B6"/>
    <w:rsid w:val="00285925"/>
    <w:rsid w:val="00285A41"/>
    <w:rsid w:val="002949F8"/>
    <w:rsid w:val="002B6194"/>
    <w:rsid w:val="002C1F4D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6DF6"/>
    <w:rsid w:val="003006D5"/>
    <w:rsid w:val="003047C5"/>
    <w:rsid w:val="00307E51"/>
    <w:rsid w:val="00310FD8"/>
    <w:rsid w:val="00314572"/>
    <w:rsid w:val="0031595D"/>
    <w:rsid w:val="00321D1B"/>
    <w:rsid w:val="00321F9E"/>
    <w:rsid w:val="00324151"/>
    <w:rsid w:val="00330679"/>
    <w:rsid w:val="00331358"/>
    <w:rsid w:val="00331A18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43DE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658A"/>
    <w:rsid w:val="00496564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3CE8"/>
    <w:rsid w:val="005B736C"/>
    <w:rsid w:val="005C1F56"/>
    <w:rsid w:val="005C2E3A"/>
    <w:rsid w:val="005C70F5"/>
    <w:rsid w:val="005D6A32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46BB9"/>
    <w:rsid w:val="00650AB9"/>
    <w:rsid w:val="00652840"/>
    <w:rsid w:val="00653641"/>
    <w:rsid w:val="00656186"/>
    <w:rsid w:val="0066158C"/>
    <w:rsid w:val="006643F2"/>
    <w:rsid w:val="0066648B"/>
    <w:rsid w:val="00672BE7"/>
    <w:rsid w:val="006741C5"/>
    <w:rsid w:val="00675636"/>
    <w:rsid w:val="006921BA"/>
    <w:rsid w:val="006923FF"/>
    <w:rsid w:val="0069559B"/>
    <w:rsid w:val="00697134"/>
    <w:rsid w:val="006B0EA2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62F8"/>
    <w:rsid w:val="007B6E26"/>
    <w:rsid w:val="007C135F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75650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C32D4"/>
    <w:rsid w:val="008E39E1"/>
    <w:rsid w:val="008E4869"/>
    <w:rsid w:val="008E5F51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425F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35C2"/>
    <w:rsid w:val="009B47C6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16F45"/>
    <w:rsid w:val="00A204EF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3078"/>
    <w:rsid w:val="00AA6401"/>
    <w:rsid w:val="00AB0B0A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6BC2"/>
    <w:rsid w:val="00AE7071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A07"/>
    <w:rsid w:val="00B35DEC"/>
    <w:rsid w:val="00B37D5F"/>
    <w:rsid w:val="00B42684"/>
    <w:rsid w:val="00B43132"/>
    <w:rsid w:val="00B475BF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4FB3"/>
    <w:rsid w:val="00BD716C"/>
    <w:rsid w:val="00BE2F75"/>
    <w:rsid w:val="00BE5AB2"/>
    <w:rsid w:val="00BF2B2A"/>
    <w:rsid w:val="00BF62F9"/>
    <w:rsid w:val="00C045EE"/>
    <w:rsid w:val="00C061DD"/>
    <w:rsid w:val="00C06353"/>
    <w:rsid w:val="00C10745"/>
    <w:rsid w:val="00C12A10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3C5E"/>
    <w:rsid w:val="00C545DF"/>
    <w:rsid w:val="00C651CE"/>
    <w:rsid w:val="00C654C5"/>
    <w:rsid w:val="00C73267"/>
    <w:rsid w:val="00C73FAF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C2FD1"/>
    <w:rsid w:val="00CC710B"/>
    <w:rsid w:val="00CC7402"/>
    <w:rsid w:val="00CD7934"/>
    <w:rsid w:val="00CD7F37"/>
    <w:rsid w:val="00CE10A1"/>
    <w:rsid w:val="00CE6471"/>
    <w:rsid w:val="00CE6945"/>
    <w:rsid w:val="00CF0831"/>
    <w:rsid w:val="00CF5E50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2133A"/>
    <w:rsid w:val="00D219B6"/>
    <w:rsid w:val="00D21DFF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7727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75EA"/>
    <w:rsid w:val="00EC4DCD"/>
    <w:rsid w:val="00EC6F19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0549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97aeec6-0273-40f2-ab3e-beee73212332" ContentTypeId="0x0101" PreviousValue="true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1863B-7B46-4FA0-9F5E-63276983AA67}">
  <ds:schemaRefs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72F4BA-BE71-4CF0-ADD7-6F22B2F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323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2019-10-01T01:24:00Z</dcterms:created>
  <dcterms:modified xsi:type="dcterms:W3CDTF">2019-10-01T03:44:00Z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