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28B2E" w14:textId="77777777" w:rsidR="009B1E11" w:rsidRDefault="009B1E11" w:rsidP="00CF150D">
      <w:pPr>
        <w:pStyle w:val="BodyText"/>
        <w:ind w:left="-567"/>
        <w:rPr>
          <w:noProof/>
        </w:rPr>
      </w:pPr>
    </w:p>
    <w:p w14:paraId="02B2BA02" w14:textId="497159F0" w:rsidR="005A2A5D" w:rsidRDefault="007E4CC0" w:rsidP="00CF150D">
      <w:pPr>
        <w:pStyle w:val="BodyText"/>
        <w:ind w:left="-567"/>
      </w:pPr>
      <w:r w:rsidRPr="00D55628">
        <w:rPr>
          <w:noProof/>
        </w:rPr>
        <mc:AlternateContent>
          <mc:Choice Requires="wps">
            <w:drawing>
              <wp:anchor distT="0" distB="0" distL="114300" distR="114300" simplePos="0" relativeHeight="251658240" behindDoc="1" locked="1" layoutInCell="1" allowOverlap="1" wp14:anchorId="1C942D5F" wp14:editId="7487EC8A">
                <wp:simplePos x="0" y="0"/>
                <wp:positionH relativeFrom="page">
                  <wp:align>left</wp:align>
                </wp:positionH>
                <wp:positionV relativeFrom="page">
                  <wp:posOffset>8567420</wp:posOffset>
                </wp:positionV>
                <wp:extent cx="5554800" cy="370800"/>
                <wp:effectExtent l="0" t="0" r="8255" b="10795"/>
                <wp:wrapNone/>
                <wp:docPr id="1515"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A7A6A" w14:textId="11C325B0" w:rsidR="007E4CC0" w:rsidRPr="00271B90" w:rsidRDefault="007E4CC0" w:rsidP="004D5A00">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42D5F" id="_x0000_t202" coordsize="21600,21600" o:spt="202" path="m,l,21600r21600,l21600,xe">
                <v:stroke joinstyle="miter"/>
                <v:path gradientshapeok="t" o:connecttype="rect"/>
              </v:shapetype>
              <v:shape id="CoverStatus" o:spid="_x0000_s1026" type="#_x0000_t202" alt="Title: Watermark Document Status" style="position:absolute;left:0;text-align:left;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" filled="f" stroked="f" strokeweight=".5pt">
                <v:textbox inset="20mm,0,1mm,0">
                  <w:txbxContent>
                    <w:p w14:paraId="102A7A6A" w14:textId="11C325B0" w:rsidR="007E4CC0" w:rsidRPr="00271B90" w:rsidRDefault="007E4CC0" w:rsidP="004D5A00">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7F6763">
        <w:rPr>
          <w:noProof/>
        </w:rPr>
        <mc:AlternateContent>
          <mc:Choice Requires="wps">
            <w:drawing>
              <wp:anchor distT="45720" distB="45720" distL="114300" distR="114300" simplePos="0" relativeHeight="251658402" behindDoc="0" locked="0" layoutInCell="1" allowOverlap="1" wp14:anchorId="1512BC58" wp14:editId="583BFA2E">
                <wp:simplePos x="0" y="0"/>
                <wp:positionH relativeFrom="column">
                  <wp:posOffset>3817562</wp:posOffset>
                </wp:positionH>
                <wp:positionV relativeFrom="paragraph">
                  <wp:posOffset>375920</wp:posOffset>
                </wp:positionV>
                <wp:extent cx="239522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1404620"/>
                        </a:xfrm>
                        <a:prstGeom prst="rect">
                          <a:avLst/>
                        </a:prstGeom>
                        <a:noFill/>
                        <a:ln w="9525">
                          <a:noFill/>
                          <a:miter lim="800000"/>
                          <a:headEnd/>
                          <a:tailEnd/>
                        </a:ln>
                      </wps:spPr>
                      <wps:txbx>
                        <w:txbxContent>
                          <w:p w14:paraId="139ED5BA" w14:textId="2EE2D7F2" w:rsidR="007F6763" w:rsidRPr="00295F48" w:rsidRDefault="007F6763" w:rsidP="007F6763">
                            <w:pPr>
                              <w:jc w:val="right"/>
                              <w:rPr>
                                <w:color w:val="FFFFFF" w:themeColor="background1"/>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12BC58" id="Text Box 2" o:spid="_x0000_s1027" type="#_x0000_t202" style="position:absolute;left:0;text-align:left;margin-left:300.6pt;margin-top:29.6pt;width:188.6pt;height:110.6pt;z-index:25165840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" filled="f" stroked="f">
                <v:textbox style="mso-fit-shape-to-text:t">
                  <w:txbxContent>
                    <w:p w14:paraId="139ED5BA" w14:textId="2EE2D7F2" w:rsidR="007F6763" w:rsidRPr="00295F48" w:rsidRDefault="007F6763" w:rsidP="007F6763">
                      <w:pPr>
                        <w:jc w:val="right"/>
                        <w:rPr>
                          <w:color w:val="FFFFFF" w:themeColor="background1"/>
                          <w:sz w:val="32"/>
                          <w:szCs w:val="32"/>
                        </w:rPr>
                      </w:pPr>
                    </w:p>
                  </w:txbxContent>
                </v:textbox>
              </v:shape>
            </w:pict>
          </mc:Fallback>
        </mc:AlternateContent>
      </w:r>
      <w:r w:rsidR="0039720E">
        <w:rPr>
          <w:noProof/>
        </w:rPr>
        <mc:AlternateContent>
          <mc:Choice Requires="wps">
            <w:drawing>
              <wp:anchor distT="0" distB="0" distL="114300" distR="114300" simplePos="0" relativeHeight="251658385" behindDoc="0" locked="1" layoutInCell="1" allowOverlap="1" wp14:anchorId="7815DF21" wp14:editId="7C9F8F17">
                <wp:simplePos x="0" y="0"/>
                <wp:positionH relativeFrom="page">
                  <wp:posOffset>2451735</wp:posOffset>
                </wp:positionH>
                <wp:positionV relativeFrom="page">
                  <wp:posOffset>1620520</wp:posOffset>
                </wp:positionV>
                <wp:extent cx="7880400" cy="3168000"/>
                <wp:effectExtent l="0" t="0" r="0" b="0"/>
                <wp:wrapNone/>
                <wp:docPr id="1"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93A98C1" id="LandscapeOverlayRight" o:spid="_x0000_s1026" style="position:absolute;margin-left:193.05pt;margin-top:127.6pt;width:620.5pt;height:249.45pt;z-index:25165838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rPr>
        <mc:AlternateContent>
          <mc:Choice Requires="wps">
            <w:drawing>
              <wp:anchor distT="0" distB="0" distL="114300" distR="114300" simplePos="0" relativeHeight="251658396" behindDoc="0" locked="1" layoutInCell="1" allowOverlap="1" wp14:anchorId="695A15B9" wp14:editId="400040EF">
                <wp:simplePos x="0" y="0"/>
                <wp:positionH relativeFrom="page">
                  <wp:posOffset>2451735</wp:posOffset>
                </wp:positionH>
                <wp:positionV relativeFrom="page">
                  <wp:posOffset>1620520</wp:posOffset>
                </wp:positionV>
                <wp:extent cx="7880400" cy="3168000"/>
                <wp:effectExtent l="0" t="0" r="0" b="0"/>
                <wp:wrapNone/>
                <wp:docPr id="2"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7948CD6" id="LandscapePicRight" o:spid="_x0000_s1026" style="position:absolute;margin-left:193.05pt;margin-top:127.6pt;width:620.5pt;height:249.45pt;z-index:2516583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rPr>
        <mc:AlternateContent>
          <mc:Choice Requires="wps">
            <w:drawing>
              <wp:anchor distT="0" distB="0" distL="114300" distR="114300" simplePos="0" relativeHeight="251658392" behindDoc="0" locked="1" layoutInCell="1" allowOverlap="1" wp14:anchorId="64C7EBC9" wp14:editId="64AD6B7D">
                <wp:simplePos x="0" y="0"/>
                <wp:positionH relativeFrom="page">
                  <wp:posOffset>363855</wp:posOffset>
                </wp:positionH>
                <wp:positionV relativeFrom="page">
                  <wp:posOffset>1620520</wp:posOffset>
                </wp:positionV>
                <wp:extent cx="2080800" cy="3168000"/>
                <wp:effectExtent l="0" t="0" r="0" b="0"/>
                <wp:wrapNone/>
                <wp:docPr id="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D912680" id="LandscapeOverlayLeft" o:spid="_x0000_s1026" style="position:absolute;margin-left:28.65pt;margin-top:127.6pt;width:163.85pt;height:249.45pt;z-index:251658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rPr>
        <mc:AlternateContent>
          <mc:Choice Requires="wps">
            <w:drawing>
              <wp:anchor distT="0" distB="0" distL="114300" distR="114300" simplePos="0" relativeHeight="251658399" behindDoc="0" locked="1" layoutInCell="1" allowOverlap="1" wp14:anchorId="6C0182B5" wp14:editId="13FECD61">
                <wp:simplePos x="0" y="0"/>
                <wp:positionH relativeFrom="page">
                  <wp:posOffset>3542030</wp:posOffset>
                </wp:positionH>
                <wp:positionV relativeFrom="page">
                  <wp:posOffset>2353945</wp:posOffset>
                </wp:positionV>
                <wp:extent cx="3657600" cy="4755600"/>
                <wp:effectExtent l="0" t="0" r="0" b="0"/>
                <wp:wrapNone/>
                <wp:docPr id="4"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E5FD9B9" id="Multi2" o:spid="_x0000_s1026" style="position:absolute;margin-left:278.9pt;margin-top:185.35pt;width:4in;height:374.45pt;z-index:25165839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rPr>
        <mc:AlternateContent>
          <mc:Choice Requires="wps">
            <w:drawing>
              <wp:anchor distT="0" distB="0" distL="114300" distR="114300" simplePos="0" relativeHeight="251658398" behindDoc="0" locked="1" layoutInCell="1" allowOverlap="1" wp14:anchorId="54A1E819" wp14:editId="4066F1F5">
                <wp:simplePos x="0" y="0"/>
                <wp:positionH relativeFrom="page">
                  <wp:posOffset>363220</wp:posOffset>
                </wp:positionH>
                <wp:positionV relativeFrom="page">
                  <wp:posOffset>2353945</wp:posOffset>
                </wp:positionV>
                <wp:extent cx="3182400" cy="4755600"/>
                <wp:effectExtent l="0" t="0" r="0" b="0"/>
                <wp:wrapNone/>
                <wp:docPr id="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183EF43" id="Multi1" o:spid="_x0000_s1026" style="position:absolute;margin-left:28.6pt;margin-top:185.35pt;width:250.6pt;height:374.45pt;z-index:25165839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rPr>
        <mc:AlternateContent>
          <mc:Choice Requires="wps">
            <w:drawing>
              <wp:anchor distT="0" distB="0" distL="114300" distR="114300" simplePos="0" relativeHeight="251658400" behindDoc="0" locked="1" layoutInCell="1" allowOverlap="1" wp14:anchorId="78D2BF0D" wp14:editId="4EBD2D27">
                <wp:simplePos x="0" y="0"/>
                <wp:positionH relativeFrom="page">
                  <wp:posOffset>359410</wp:posOffset>
                </wp:positionH>
                <wp:positionV relativeFrom="page">
                  <wp:posOffset>2310130</wp:posOffset>
                </wp:positionV>
                <wp:extent cx="3181985" cy="4717415"/>
                <wp:effectExtent l="0" t="0" r="0" b="6985"/>
                <wp:wrapNone/>
                <wp:docPr id="6"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7174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35A986E" id="OverlayLeft" o:spid="_x0000_s1026" style="position:absolute;margin-left:28.3pt;margin-top:181.9pt;width:250.55pt;height:371.45pt;z-index:2516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" path="m1747,l,,,8858r5941,l1747,xe" fillcolor="#201547" stroked="f">
                <v:fill opacity="39321f"/>
                <v:path arrowok="t" o:connecttype="custom" o:connectlocs="935689,0;0,0;0,4717415;3181985,4717415;935689,0" o:connectangles="0,0,0,0,0"/>
                <w10:wrap anchorx="page" anchory="page"/>
                <w10:anchorlock/>
              </v:shape>
            </w:pict>
          </mc:Fallback>
        </mc:AlternateContent>
      </w:r>
      <w:r w:rsidR="00CA2A66" w:rsidRPr="00812815">
        <w:rPr>
          <w:noProof/>
          <w:color w:val="CDDC29" w:themeColor="text2"/>
        </w:rPr>
        <mc:AlternateContent>
          <mc:Choice Requires="wps">
            <w:drawing>
              <wp:anchor distT="0" distB="0" distL="114300" distR="114300" simplePos="0" relativeHeight="251658401" behindDoc="0" locked="1" layoutInCell="1" allowOverlap="1" wp14:anchorId="1CF117AD" wp14:editId="454B5820">
                <wp:simplePos x="0" y="0"/>
                <wp:positionH relativeFrom="page">
                  <wp:posOffset>3566160</wp:posOffset>
                </wp:positionH>
                <wp:positionV relativeFrom="page">
                  <wp:posOffset>2319020</wp:posOffset>
                </wp:positionV>
                <wp:extent cx="3657600" cy="4724400"/>
                <wp:effectExtent l="0" t="0" r="0" b="0"/>
                <wp:wrapNone/>
                <wp:docPr id="7"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244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4D130A9" id="OverlayRight" o:spid="_x0000_s1026" style="position:absolute;margin-left:280.8pt;margin-top:182.6pt;width:4in;height:372pt;z-index:2516584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" path="m3536,l,7483r5762,l5762,,3536,xe" fillcolor="#cddc29 [3202]" stroked="f">
                <v:fill opacity="19789f"/>
                <v:path arrowok="t" o:connecttype="custom" o:connectlocs="2244581,0;0,4724400;3657600,4724400;3657600,0;2244581,0" o:connectangles="0,0,0,0,0"/>
                <w10:wrap anchorx="page" anchory="page"/>
                <w10:anchorlock/>
              </v:shape>
            </w:pict>
          </mc:Fallback>
        </mc:AlternateContent>
      </w:r>
      <w:r w:rsidR="001172B9" w:rsidRPr="00D55628">
        <w:rPr>
          <w:noProof/>
        </w:rPr>
        <mc:AlternateContent>
          <mc:Choice Requires="wps">
            <w:drawing>
              <wp:anchor distT="0" distB="0" distL="114300" distR="114300" simplePos="1" relativeHeight="251658394" behindDoc="0" locked="1" layoutInCell="1" allowOverlap="1" wp14:anchorId="1868DFD0" wp14:editId="5B63FEBA">
                <wp:simplePos x="3542030" y="7106285"/>
                <wp:positionH relativeFrom="page">
                  <wp:posOffset>3542030</wp:posOffset>
                </wp:positionH>
                <wp:positionV relativeFrom="page">
                  <wp:posOffset>7106285</wp:posOffset>
                </wp:positionV>
                <wp:extent cx="1890000" cy="1994400"/>
                <wp:effectExtent l="0" t="0" r="0" b="0"/>
                <wp:wrapNone/>
                <wp:docPr id="8"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4450C88" id="TriangleBottomACIMono" o:spid="_x0000_s1026" style="position:absolute;margin-left:278.9pt;margin-top:559.55pt;width:148.8pt;height:157.05pt;z-index:25165839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rPr>
        <mc:AlternateContent>
          <mc:Choice Requires="wps">
            <w:drawing>
              <wp:anchor distT="0" distB="0" distL="114300" distR="114300" simplePos="1" relativeHeight="251658395" behindDoc="0" locked="1" layoutInCell="1" allowOverlap="1" wp14:anchorId="76A7B911" wp14:editId="26301D62">
                <wp:simplePos x="3542030" y="7106285"/>
                <wp:positionH relativeFrom="page">
                  <wp:posOffset>3542030</wp:posOffset>
                </wp:positionH>
                <wp:positionV relativeFrom="page">
                  <wp:posOffset>7106285</wp:posOffset>
                </wp:positionV>
                <wp:extent cx="1890000" cy="1994400"/>
                <wp:effectExtent l="0" t="0" r="0" b="0"/>
                <wp:wrapNone/>
                <wp:docPr id="9"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175F61F" id="TriangleBottomSolar" o:spid="_x0000_s1026" style="position:absolute;margin-left:278.9pt;margin-top:559.55pt;width:148.8pt;height:157.05pt;z-index:25165839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rPr>
        <mc:AlternateContent>
          <mc:Choice Requires="wps">
            <w:drawing>
              <wp:anchor distT="0" distB="0" distL="114300" distR="114300" simplePos="0" relativeHeight="251658397" behindDoc="0" locked="1" layoutInCell="1" allowOverlap="1" wp14:anchorId="41E5A289" wp14:editId="5220BA81">
                <wp:simplePos x="0" y="0"/>
                <wp:positionH relativeFrom="page">
                  <wp:posOffset>3522980</wp:posOffset>
                </wp:positionH>
                <wp:positionV relativeFrom="page">
                  <wp:posOffset>7039610</wp:posOffset>
                </wp:positionV>
                <wp:extent cx="1889760" cy="1993900"/>
                <wp:effectExtent l="0" t="0" r="0" b="6350"/>
                <wp:wrapNone/>
                <wp:docPr id="10"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96521DF" id="TriangleBottomACI" o:spid="_x0000_s1026" style="position:absolute;margin-left:277.4pt;margin-top:554.3pt;width:148.8pt;height:157pt;z-index:2516583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" path="m1745,3697l,,3496,,1745,3697xe" stroked="f">
                <v:fill r:id="rId24" o:title="" recolor="t" rotate="t" type="frame"/>
                <v:path arrowok="t" o:connecttype="custom" o:connectlocs="943258,1993900;0,0;1889760,0;943258,1993900" o:connectangles="0,0,0,0"/>
                <w10:wrap anchorx="page" anchory="page"/>
                <w10:anchorlock/>
              </v:shape>
            </w:pict>
          </mc:Fallback>
        </mc:AlternateContent>
      </w:r>
      <w:r w:rsidR="009D0AFD" w:rsidRPr="00D55628">
        <w:rPr>
          <w:noProof/>
        </w:rPr>
        <mc:AlternateContent>
          <mc:Choice Requires="wps">
            <w:drawing>
              <wp:anchor distT="0" distB="0" distL="114300" distR="114300" simplePos="1" relativeHeight="251658391" behindDoc="0" locked="1" layoutInCell="1" allowOverlap="1" wp14:anchorId="0EDE3DDB" wp14:editId="2B710F95">
                <wp:simplePos x="3542030" y="7106285"/>
                <wp:positionH relativeFrom="page">
                  <wp:posOffset>3542030</wp:posOffset>
                </wp:positionH>
                <wp:positionV relativeFrom="page">
                  <wp:posOffset>7106285</wp:posOffset>
                </wp:positionV>
                <wp:extent cx="1890000" cy="1994400"/>
                <wp:effectExtent l="0" t="0" r="0" b="0"/>
                <wp:wrapNone/>
                <wp:docPr id="11"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3F17120" id="TriangleBottom" o:spid="_x0000_s1026" style="position:absolute;margin-left:278.9pt;margin-top:559.55pt;width:148.8pt;height:157.05pt;z-index:25165839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EOvQ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rPr>
        <mc:AlternateContent>
          <mc:Choice Requires="wps">
            <w:drawing>
              <wp:anchor distT="0" distB="0" distL="114300" distR="114300" simplePos="0" relativeHeight="251658390" behindDoc="0" locked="1" layoutInCell="1" allowOverlap="1" wp14:anchorId="7F5DBB1E" wp14:editId="2B6F91C2">
                <wp:simplePos x="0" y="0"/>
                <wp:positionH relativeFrom="page">
                  <wp:posOffset>359410</wp:posOffset>
                </wp:positionH>
                <wp:positionV relativeFrom="page">
                  <wp:posOffset>359410</wp:posOffset>
                </wp:positionV>
                <wp:extent cx="1890000" cy="1994400"/>
                <wp:effectExtent l="0" t="0" r="0" b="6350"/>
                <wp:wrapNone/>
                <wp:docPr id="12"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6DE6EF2" id="TriangleTop" o:spid="_x0000_s1026" style="position:absolute;margin-left:28.3pt;margin-top:28.3pt;width:148.8pt;height:157.05pt;z-index:251658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rPr>
        <mc:AlternateContent>
          <mc:Choice Requires="wps">
            <w:drawing>
              <wp:anchor distT="0" distB="0" distL="114300" distR="114300" simplePos="0" relativeHeight="251658389" behindDoc="0" locked="1" layoutInCell="1" allowOverlap="1" wp14:anchorId="42D2A2D9" wp14:editId="72379604">
                <wp:simplePos x="0" y="0"/>
                <wp:positionH relativeFrom="page">
                  <wp:posOffset>0</wp:posOffset>
                </wp:positionH>
                <wp:positionV relativeFrom="page">
                  <wp:align>bottom</wp:align>
                </wp:positionV>
                <wp:extent cx="3848400" cy="720000"/>
                <wp:effectExtent l="0" t="0" r="0" b="0"/>
                <wp:wrapNone/>
                <wp:docPr id="13"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5F7CE" w14:textId="77777777" w:rsidR="00C429CD" w:rsidRPr="009F69FA" w:rsidRDefault="00C429CD"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2A2D9" id="WebAddress" o:spid="_x0000_s1028" type="#_x0000_t202" style="position:absolute;left:0;text-align:left;margin-left:0;margin-top:0;width:303pt;height:56.7pt;z-index:25165838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LVtusVtAgAARQUAAA4AAAAAAAAAAAAAAAAALgIA&#10;AGRycy9lMm9Eb2MueG1sUEsBAi0AFAAGAAgAAAAhAPTKz6jaAAAABQEAAA8AAAAAAAAAAAAAAAAA&#10;xwQAAGRycy9kb3ducmV2LnhtbFBLBQYAAAAABAAEAPMAAADOBQAAAAA=&#10;" filled="f" stroked="f" strokeweight=".5pt">
                <v:textbox inset="20mm">
                  <w:txbxContent>
                    <w:p w14:paraId="28C5F7CE" w14:textId="77777777" w:rsidR="00C429CD" w:rsidRPr="009F69FA" w:rsidRDefault="00C429CD" w:rsidP="00606CDD">
                      <w:pPr>
                        <w:pStyle w:val="xWebCoverPage"/>
                      </w:pPr>
                      <w:r w:rsidRPr="009F69FA">
                        <w:t>de</w:t>
                      </w:r>
                      <w:r>
                        <w:t>lw</w:t>
                      </w:r>
                      <w:r w:rsidRPr="009F69FA">
                        <w:t>p.vic.gov.au</w:t>
                      </w:r>
                    </w:p>
                  </w:txbxContent>
                </v:textbox>
                <w10:wrap anchorx="page" anchory="page"/>
                <w10:anchorlock/>
              </v:shape>
            </w:pict>
          </mc:Fallback>
        </mc:AlternateContent>
      </w:r>
      <w:r w:rsidR="003A2D2C" w:rsidRPr="00D55628">
        <w:rPr>
          <w:noProof/>
        </w:rPr>
        <mc:AlternateContent>
          <mc:Choice Requires="wps">
            <w:drawing>
              <wp:anchor distT="0" distB="0" distL="114300" distR="114300" simplePos="1" relativeHeight="251658387" behindDoc="1" locked="1" layoutInCell="1" allowOverlap="1" wp14:anchorId="293EBAF6" wp14:editId="44370281">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B7E38" w14:textId="77777777" w:rsidR="00C429CD" w:rsidRPr="00455A7E" w:rsidRDefault="00C429CD"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EBAF6" id="CoverProjectBar" o:spid="_x0000_s1029" type="#_x0000_t202" alt="Title: Decorative Cover Shape" style="position:absolute;left:0;text-align:left;margin-left:28.3pt;margin-top:716.55pt;width:538.6pt;height:34pt;z-index:-25165809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" fillcolor="#cddc29 [3202]" stroked="f" strokeweight=".5pt">
                <v:textbox inset="10mm,0,10mm,0">
                  <w:txbxContent>
                    <w:p w14:paraId="1DEB7E38" w14:textId="77777777" w:rsidR="00C429CD" w:rsidRPr="00455A7E" w:rsidRDefault="00C429CD"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rPr>
        <mc:AlternateContent>
          <mc:Choice Requires="wps">
            <w:drawing>
              <wp:anchor distT="0" distB="0" distL="114300" distR="114300" simplePos="0" relativeHeight="251658393" behindDoc="1" locked="1" layoutInCell="1" allowOverlap="1" wp14:anchorId="524E058A" wp14:editId="19B57901">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7296513" id="LandscapePicSingle" o:spid="_x0000_s1026" alt="Title: Cover Image - Description: Cover Image" style="position:absolute;margin-left:28.35pt;margin-top:127.6pt;width:785.2pt;height:249.45pt;z-index:-25165808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6" o:title="Cover Image" recolor="t" rotate="t" type="frame"/>
                <w10:wrap anchorx="page" anchory="page"/>
                <w10:anchorlock/>
              </v:rect>
            </w:pict>
          </mc:Fallback>
        </mc:AlternateContent>
      </w:r>
      <w:r w:rsidR="00CF150D">
        <w:rPr>
          <w:noProof/>
        </w:rPr>
        <w:drawing>
          <wp:inline distT="0" distB="0" distL="0" distR="0" wp14:anchorId="335C0DCD" wp14:editId="7E36B3B3">
            <wp:extent cx="6839585" cy="4724305"/>
            <wp:effectExtent l="0" t="0" r="0" b="635"/>
            <wp:docPr id="1473" name="Picture 1473" descr="A picture containing tree, plant, outdoor,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Picture 1473" descr="A picture containing tree, plant, outdoor, forest&#10;&#10;Description automatically generated"/>
                    <pic:cNvPicPr/>
                  </pic:nvPicPr>
                  <pic:blipFill rotWithShape="1">
                    <a:blip r:embed="rId27" cstate="print">
                      <a:extLst>
                        <a:ext uri="{28A0092B-C50C-407E-A947-70E740481C1C}">
                          <a14:useLocalDpi xmlns:a14="http://schemas.microsoft.com/office/drawing/2010/main" val="0"/>
                        </a:ext>
                      </a:extLst>
                    </a:blip>
                    <a:srcRect t="38758" r="21973"/>
                    <a:stretch/>
                  </pic:blipFill>
                  <pic:spPr bwMode="auto">
                    <a:xfrm>
                      <a:off x="0" y="0"/>
                      <a:ext cx="6963613" cy="4809975"/>
                    </a:xfrm>
                    <a:prstGeom prst="rect">
                      <a:avLst/>
                    </a:prstGeom>
                    <a:ln>
                      <a:noFill/>
                    </a:ln>
                    <a:extLst>
                      <a:ext uri="{53640926-AAD7-44D8-BBD7-CCE9431645EC}">
                        <a14:shadowObscured xmlns:a14="http://schemas.microsoft.com/office/drawing/2010/main"/>
                      </a:ext>
                    </a:extLst>
                  </pic:spPr>
                </pic:pic>
              </a:graphicData>
            </a:graphic>
          </wp:inline>
        </w:drawing>
      </w:r>
      <w:r w:rsidR="007F6763" w:rsidRPr="007F6763">
        <w:rPr>
          <w:noProof/>
        </w:rPr>
        <w:t xml:space="preserve"> </w:t>
      </w:r>
      <w:r w:rsidR="007F6763" w:rsidRPr="00D55628">
        <w:rPr>
          <w:noProof/>
        </w:rPr>
        <w:t xml:space="preserve"> </w:t>
      </w:r>
      <w:r w:rsidR="005A2A5D" w:rsidRPr="00D55628">
        <w:rPr>
          <w:noProof/>
        </w:rPr>
        <mc:AlternateContent>
          <mc:Choice Requires="wps">
            <w:drawing>
              <wp:anchor distT="0" distB="0" distL="114300" distR="114300" simplePos="0" relativeHeight="251658386" behindDoc="1" locked="1" layoutInCell="1" allowOverlap="1" wp14:anchorId="64B9CD7F" wp14:editId="68247B23">
                <wp:simplePos x="0" y="0"/>
                <wp:positionH relativeFrom="page">
                  <wp:posOffset>360045</wp:posOffset>
                </wp:positionH>
                <wp:positionV relativeFrom="page">
                  <wp:posOffset>360045</wp:posOffset>
                </wp:positionV>
                <wp:extent cx="6840001" cy="8744400"/>
                <wp:effectExtent l="0" t="0" r="0" b="0"/>
                <wp:wrapNone/>
                <wp:docPr id="16"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B3971F" id="CoverRectangle" o:spid="_x0000_s1026" style="position:absolute;margin-left:28.35pt;margin-top:28.35pt;width:538.6pt;height:688.55pt;z-index:-251658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p>
    <w:p w14:paraId="1D968FA8" w14:textId="4B10FB5D"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7AA8F909" w14:textId="77777777" w:rsidTr="005968D6">
        <w:trPr>
          <w:trHeight w:hRule="exact" w:val="2948"/>
        </w:trPr>
        <w:tc>
          <w:tcPr>
            <w:tcW w:w="7370"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C605E9A6A44F44768F46EFDB8A62AC19"/>
              </w:placeholder>
            </w:sdtPr>
            <w:sdtContent>
              <w:p w14:paraId="745A4F1F" w14:textId="77777777" w:rsidR="0080713F" w:rsidRDefault="0080713F" w:rsidP="0080713F">
                <w:pPr>
                  <w:pStyle w:val="Title"/>
                </w:pPr>
                <w:r>
                  <w:t>Threatened Species and Communities Risk Assessment</w:t>
                </w:r>
                <w:bookmarkEnd w:id="0"/>
              </w:p>
              <w:p w14:paraId="066D5599" w14:textId="77777777" w:rsidR="00842356" w:rsidRDefault="00842356" w:rsidP="00842356">
                <w:pPr>
                  <w:pStyle w:val="Subtitle"/>
                </w:pPr>
                <w:r>
                  <w:t>Tranche 2 Risk Assessment and Interim Protections</w:t>
                </w:r>
              </w:p>
              <w:p w14:paraId="10828806" w14:textId="031F733C" w:rsidR="00512DFB" w:rsidRPr="00CB1FB7" w:rsidRDefault="00460D1B" w:rsidP="00CD4964">
                <w:pPr>
                  <w:pStyle w:val="Subtitle"/>
                </w:pPr>
              </w:p>
            </w:sdtContent>
          </w:sdt>
        </w:tc>
      </w:tr>
    </w:tbl>
    <w:p w14:paraId="3F66CA93" w14:textId="53464E2D" w:rsidR="00D73B6C" w:rsidRDefault="00D73B6C"/>
    <w:tbl>
      <w:tblPr>
        <w:tblStyle w:val="PullOutBoxTable"/>
        <w:tblpPr w:leftFromText="180" w:rightFromText="180" w:vertAnchor="text" w:horzAnchor="page" w:tblpX="1546" w:tblpY="559"/>
        <w:tblW w:w="1542" w:type="pct"/>
        <w:tblBorders>
          <w:top w:val="none" w:sz="0" w:space="0" w:color="auto"/>
          <w:left w:val="none" w:sz="0" w:space="0" w:color="auto"/>
          <w:bottom w:val="none" w:sz="0" w:space="0" w:color="auto"/>
          <w:right w:val="none" w:sz="0" w:space="0" w:color="auto"/>
        </w:tblBorders>
        <w:tblLook w:val="0600" w:firstRow="0" w:lastRow="0" w:firstColumn="0" w:lastColumn="0" w:noHBand="1" w:noVBand="1"/>
      </w:tblPr>
      <w:tblGrid>
        <w:gridCol w:w="2973"/>
      </w:tblGrid>
      <w:tr w:rsidR="009B1E11" w14:paraId="2472489C" w14:textId="77777777" w:rsidTr="009B1E11">
        <w:trPr>
          <w:trHeight w:val="360"/>
        </w:trPr>
        <w:tc>
          <w:tcPr>
            <w:tcW w:w="5000" w:type="pct"/>
          </w:tcPr>
          <w:p w14:paraId="02B2E7C6" w14:textId="77777777" w:rsidR="009B1E11" w:rsidRPr="009B1E11" w:rsidRDefault="009B1E11" w:rsidP="009B1E11">
            <w:pPr>
              <w:rPr>
                <w:sz w:val="36"/>
                <w:szCs w:val="36"/>
              </w:rPr>
            </w:pPr>
            <w:r w:rsidRPr="009B1E11">
              <w:rPr>
                <w:rFonts w:asciiTheme="majorHAnsi" w:eastAsiaTheme="majorEastAsia" w:hAnsiTheme="majorHAnsi" w:cstheme="majorBidi"/>
                <w:iCs/>
                <w:color w:val="FFFFFF" w:themeColor="background1"/>
                <w:sz w:val="36"/>
                <w:szCs w:val="36"/>
              </w:rPr>
              <w:t>September 2022</w:t>
            </w:r>
          </w:p>
        </w:tc>
      </w:tr>
    </w:tbl>
    <w:p w14:paraId="6576506D" w14:textId="11CC8154" w:rsidR="00D73B6C" w:rsidRPr="00D55628" w:rsidRDefault="008F0B33">
      <w:r w:rsidRPr="00D55628">
        <w:rPr>
          <w:noProof/>
        </w:rPr>
        <mc:AlternateContent>
          <mc:Choice Requires="wps">
            <w:drawing>
              <wp:anchor distT="0" distB="0" distL="114300" distR="114300" simplePos="0" relativeHeight="251658388" behindDoc="0" locked="0" layoutInCell="1" allowOverlap="1" wp14:anchorId="666ADA5C" wp14:editId="2C47F70E">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C429CD" w:rsidRPr="00AB780B" w14:paraId="08182BB1" w14:textId="77777777" w:rsidTr="00AA4BE4">
                              <w:trPr>
                                <w:trHeight w:hRule="exact" w:val="964"/>
                                <w:tblCellSpacing w:w="71" w:type="dxa"/>
                              </w:trPr>
                              <w:tc>
                                <w:tcPr>
                                  <w:tcW w:w="1204" w:type="dxa"/>
                                  <w:vAlign w:val="bottom"/>
                                </w:tcPr>
                                <w:p w14:paraId="743638E4" w14:textId="77777777" w:rsidR="00C429CD" w:rsidRPr="00D55628" w:rsidRDefault="00C429CD" w:rsidP="00D55628">
                                  <w:r w:rsidRPr="00D55628">
                                    <w:rPr>
                                      <w:noProof/>
                                    </w:rPr>
                                    <w:drawing>
                                      <wp:inline distT="0" distB="0" distL="0" distR="0" wp14:anchorId="14171DBE" wp14:editId="55DCCB87">
                                        <wp:extent cx="762000" cy="513685"/>
                                        <wp:effectExtent l="0" t="0" r="0"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F3179BD" w14:textId="77777777" w:rsidR="00C429CD" w:rsidRPr="00D55628" w:rsidRDefault="00C429CD" w:rsidP="00D55628">
                                  <w:r w:rsidRPr="00D55628">
                                    <w:rPr>
                                      <w:noProof/>
                                    </w:rPr>
                                    <w:drawing>
                                      <wp:inline distT="0" distB="0" distL="0" distR="0" wp14:anchorId="1278DB27" wp14:editId="417C2A3B">
                                        <wp:extent cx="2011680" cy="542544"/>
                                        <wp:effectExtent l="0" t="0" r="762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250EB96" w14:textId="77777777" w:rsidR="00C429CD" w:rsidRDefault="00C429CD"/>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ADA5C" id="CoverCoBranded" o:spid="_x0000_s1030" type="#_x0000_t202" alt="Title: CoBranding Logos" style="position:absolute;margin-left:0;margin-top:0;width:371.35pt;height:89pt;z-index:25165838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JPk44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C429CD" w:rsidRPr="00AB780B" w14:paraId="08182BB1" w14:textId="77777777" w:rsidTr="00AA4BE4">
                        <w:trPr>
                          <w:trHeight w:hRule="exact" w:val="964"/>
                          <w:tblCellSpacing w:w="71" w:type="dxa"/>
                        </w:trPr>
                        <w:tc>
                          <w:tcPr>
                            <w:tcW w:w="1204" w:type="dxa"/>
                            <w:vAlign w:val="bottom"/>
                          </w:tcPr>
                          <w:p w14:paraId="743638E4" w14:textId="77777777" w:rsidR="00C429CD" w:rsidRPr="00D55628" w:rsidRDefault="00C429CD" w:rsidP="00D55628">
                            <w:r w:rsidRPr="00D55628">
                              <w:rPr>
                                <w:noProof/>
                              </w:rPr>
                              <w:drawing>
                                <wp:inline distT="0" distB="0" distL="0" distR="0" wp14:anchorId="14171DBE" wp14:editId="55DCCB87">
                                  <wp:extent cx="762000" cy="513685"/>
                                  <wp:effectExtent l="0" t="0" r="0"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F3179BD" w14:textId="77777777" w:rsidR="00C429CD" w:rsidRPr="00D55628" w:rsidRDefault="00C429CD" w:rsidP="00D55628">
                            <w:r w:rsidRPr="00D55628">
                              <w:rPr>
                                <w:noProof/>
                              </w:rPr>
                              <w:drawing>
                                <wp:inline distT="0" distB="0" distL="0" distR="0" wp14:anchorId="1278DB27" wp14:editId="417C2A3B">
                                  <wp:extent cx="2011680" cy="542544"/>
                                  <wp:effectExtent l="0" t="0" r="762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250EB96" w14:textId="77777777" w:rsidR="00C429CD" w:rsidRDefault="00C429CD"/>
                  </w:txbxContent>
                </v:textbox>
                <w10:wrap anchorx="page" anchory="page"/>
              </v:shape>
            </w:pict>
          </mc:Fallback>
        </mc:AlternateContent>
      </w:r>
    </w:p>
    <w:p w14:paraId="06F85C70" w14:textId="03E1BAD6" w:rsidR="00D73B6C" w:rsidRPr="00D55628" w:rsidRDefault="00D73B6C">
      <w:pPr>
        <w:sectPr w:rsidR="00D73B6C" w:rsidRPr="00D55628" w:rsidSect="005968D6">
          <w:headerReference w:type="default" r:id="rId30"/>
          <w:footerReference w:type="even" r:id="rId31"/>
          <w:footerReference w:type="default" r:id="rId32"/>
          <w:footerReference w:type="first" r:id="rId33"/>
          <w:pgSz w:w="11907" w:h="16840" w:code="9"/>
          <w:pgMar w:top="2268" w:right="1134" w:bottom="1134" w:left="1134" w:header="284" w:footer="284" w:gutter="0"/>
          <w:cols w:space="708"/>
          <w:titlePg/>
          <w:docGrid w:linePitch="360"/>
        </w:sectPr>
      </w:pPr>
    </w:p>
    <w:p w14:paraId="39D4BE67" w14:textId="1EBE4873" w:rsidR="00BF162E" w:rsidRDefault="00BF162E" w:rsidP="00446920">
      <w:pPr>
        <w:pStyle w:val="SmallBodyText"/>
      </w:pPr>
    </w:p>
    <w:tbl>
      <w:tblPr>
        <w:tblStyle w:val="TableAsPlaceholder"/>
        <w:tblpPr w:leftFromText="181" w:rightFromText="181" w:vertAnchor="page" w:horzAnchor="margin" w:tblpY="8191"/>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91022" w14:paraId="15C5DBA0" w14:textId="77777777" w:rsidTr="00C91022">
        <w:tc>
          <w:tcPr>
            <w:tcW w:w="5000" w:type="pct"/>
            <w:shd w:val="clear" w:color="auto" w:fill="E5F7F6"/>
            <w:tcMar>
              <w:top w:w="0" w:type="dxa"/>
              <w:right w:w="0" w:type="dxa"/>
            </w:tcMar>
            <w:vAlign w:val="bottom"/>
          </w:tcPr>
          <w:p w14:paraId="36A8824C" w14:textId="77777777" w:rsidR="00C91022" w:rsidRPr="00035BAD" w:rsidRDefault="00C91022" w:rsidP="00C91022">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548" behindDoc="0" locked="1" layoutInCell="1" allowOverlap="1" wp14:anchorId="554D5082" wp14:editId="12167F38">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799B6829" w14:textId="77777777" w:rsidR="00C91022" w:rsidRDefault="00C91022" w:rsidP="00C91022">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practises. </w:t>
            </w:r>
          </w:p>
          <w:p w14:paraId="59F7E2D5" w14:textId="77777777" w:rsidR="00C91022" w:rsidRDefault="00C91022" w:rsidP="00C91022">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practises and their broader aspirations in the 21st century and beyond.</w:t>
            </w:r>
          </w:p>
        </w:tc>
      </w:tr>
      <w:tr w:rsidR="00C91022" w14:paraId="0C773C34" w14:textId="77777777" w:rsidTr="00C91022">
        <w:trPr>
          <w:trHeight w:val="4194"/>
        </w:trPr>
        <w:tc>
          <w:tcPr>
            <w:tcW w:w="5000" w:type="pct"/>
            <w:tcMar>
              <w:top w:w="227" w:type="dxa"/>
            </w:tcMar>
            <w:vAlign w:val="bottom"/>
          </w:tcPr>
          <w:p w14:paraId="62873F39" w14:textId="77777777" w:rsidR="00C91022" w:rsidRPr="00D55628" w:rsidRDefault="00C91022" w:rsidP="00C91022">
            <w:pPr>
              <w:pStyle w:val="xDisclaimertext3"/>
            </w:pPr>
            <w:r>
              <w:t>© The State of Victoria Department of Environment, Land, Water and Planning 2022</w:t>
            </w:r>
          </w:p>
          <w:p w14:paraId="79914D16" w14:textId="77777777" w:rsidR="00C91022" w:rsidRPr="00D55628" w:rsidRDefault="00C91022" w:rsidP="00C91022">
            <w:pPr>
              <w:pStyle w:val="xDisclaimertext3"/>
            </w:pPr>
            <w:bookmarkStart w:id="2" w:name="_CreativeCommonsMarker"/>
            <w:bookmarkEnd w:id="2"/>
            <w:r w:rsidRPr="00D55628">
              <w:rPr>
                <w:noProof/>
              </w:rPr>
              <w:drawing>
                <wp:anchor distT="0" distB="0" distL="114300" distR="114300" simplePos="0" relativeHeight="251658547" behindDoc="0" locked="1" layoutInCell="1" allowOverlap="1" wp14:anchorId="041B41B8" wp14:editId="24B4D011">
                  <wp:simplePos x="0" y="0"/>
                  <wp:positionH relativeFrom="column">
                    <wp:posOffset>0</wp:posOffset>
                  </wp:positionH>
                  <wp:positionV relativeFrom="paragraph">
                    <wp:posOffset>0</wp:posOffset>
                  </wp:positionV>
                  <wp:extent cx="658800" cy="237600"/>
                  <wp:effectExtent l="0" t="0" r="8255" b="0"/>
                  <wp:wrapSquare wrapText="bothSides"/>
                  <wp:docPr id="30"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6" w:history="1">
              <w:r w:rsidRPr="00D55628">
                <w:t>http://creativecommons.org/licenses/by/4.0/</w:t>
              </w:r>
            </w:hyperlink>
            <w:r w:rsidRPr="00D55628">
              <w:t xml:space="preserve"> </w:t>
            </w:r>
          </w:p>
          <w:p w14:paraId="56474DF6" w14:textId="77777777" w:rsidR="00C91022" w:rsidRPr="00D55628" w:rsidRDefault="00C91022" w:rsidP="00C91022">
            <w:pPr>
              <w:pStyle w:val="xDisclaimertext3"/>
            </w:pPr>
          </w:p>
          <w:p w14:paraId="0886B1B5" w14:textId="77777777" w:rsidR="00C91022" w:rsidRPr="00D55628" w:rsidRDefault="00C91022" w:rsidP="00C91022">
            <w:pPr>
              <w:pStyle w:val="xDisclaimertext3"/>
            </w:pPr>
            <w:r>
              <w:rPr>
                <w:rFonts w:ascii="Arial" w:hAnsi="Arial"/>
                <w:b/>
                <w:bCs/>
                <w:color w:val="000000"/>
              </w:rPr>
              <w:t xml:space="preserve">ISBN </w:t>
            </w:r>
            <w:r>
              <w:rPr>
                <w:rFonts w:ascii="Arial" w:hAnsi="Arial"/>
                <w:color w:val="000000"/>
              </w:rPr>
              <w:t xml:space="preserve">978-1-76136-070-1 </w:t>
            </w:r>
            <w:r>
              <w:rPr>
                <w:rFonts w:ascii="Arial" w:hAnsi="Arial"/>
                <w:b/>
                <w:bCs/>
                <w:color w:val="000000"/>
              </w:rPr>
              <w:t>(pdf/online/MS word)</w:t>
            </w:r>
          </w:p>
          <w:p w14:paraId="325C3057" w14:textId="77777777" w:rsidR="00C91022" w:rsidRPr="00D55628" w:rsidRDefault="00C91022" w:rsidP="00C91022">
            <w:pPr>
              <w:pStyle w:val="xDisclaimerHeading"/>
            </w:pPr>
            <w:r>
              <w:t>Disclaimer</w:t>
            </w:r>
          </w:p>
          <w:p w14:paraId="15B74D4E" w14:textId="77777777" w:rsidR="00C91022" w:rsidRPr="00D55628" w:rsidRDefault="00C91022" w:rsidP="00C91022">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41D58B1" w14:textId="77777777" w:rsidR="00C91022" w:rsidRPr="00D55628" w:rsidRDefault="00C91022" w:rsidP="00C91022">
            <w:pPr>
              <w:pStyle w:val="xAccessibilityHeading"/>
            </w:pPr>
            <w:r w:rsidRPr="0084503F">
              <w:t>Accessibility</w:t>
            </w:r>
          </w:p>
          <w:p w14:paraId="64E05058" w14:textId="77777777" w:rsidR="00C91022" w:rsidRPr="00D55628" w:rsidRDefault="00C91022" w:rsidP="00C91022">
            <w:pPr>
              <w:pStyle w:val="xAccessibilityText"/>
            </w:pPr>
            <w:r>
              <w:t>If you would like to receive this publication in an alternative format, please teleph</w:t>
            </w:r>
            <w:r w:rsidRPr="00D55628">
              <w:t>one the DELWP Customer Service Centre on 136186, email </w:t>
            </w:r>
            <w:hyperlink r:id="rId37" w:history="1">
              <w:r w:rsidRPr="00D55628">
                <w:t>customer.service@delwp.vic.gov.au</w:t>
              </w:r>
            </w:hyperlink>
            <w:r w:rsidRPr="00D55628">
              <w:t xml:space="preserve">, or via the National Relay Service on 133 677 </w:t>
            </w:r>
            <w:hyperlink r:id="rId38" w:history="1">
              <w:r w:rsidRPr="00D55628">
                <w:t>www.relayservice.com.au</w:t>
              </w:r>
            </w:hyperlink>
            <w:r w:rsidRPr="00D55628">
              <w:t xml:space="preserve">. This document is also available on the internet at </w:t>
            </w:r>
            <w:hyperlink r:id="rId39" w:history="1">
              <w:r w:rsidRPr="00D55628">
                <w:t>www.delwp.vic.gov.au</w:t>
              </w:r>
            </w:hyperlink>
            <w:r w:rsidRPr="00D55628">
              <w:t>.</w:t>
            </w:r>
          </w:p>
        </w:tc>
      </w:tr>
    </w:tbl>
    <w:p w14:paraId="3376A51C" w14:textId="77777777" w:rsidR="00AB780B" w:rsidRDefault="00AB780B"/>
    <w:p w14:paraId="69A8F07F" w14:textId="77777777" w:rsidR="004561E6" w:rsidRDefault="004561E6">
      <w:pPr>
        <w:sectPr w:rsidR="004561E6" w:rsidSect="005E59CF">
          <w:headerReference w:type="even" r:id="rId40"/>
          <w:footerReference w:type="even" r:id="rId41"/>
          <w:pgSz w:w="11907" w:h="16840" w:code="9"/>
          <w:pgMar w:top="2268" w:right="1134" w:bottom="1134" w:left="1134" w:header="284" w:footer="284" w:gutter="0"/>
          <w:cols w:space="708"/>
          <w:titlePg/>
          <w:docGrid w:linePitch="360"/>
        </w:sectPr>
      </w:pPr>
    </w:p>
    <w:p w14:paraId="0B42FA40" w14:textId="77777777" w:rsidR="00FB10BB" w:rsidRDefault="00FB10BB" w:rsidP="00FB10BB">
      <w:pPr>
        <w:pStyle w:val="TOCHeading"/>
        <w:framePr w:wrap="around"/>
      </w:pPr>
      <w:r>
        <w:br w:type="page"/>
      </w:r>
    </w:p>
    <w:sdt>
      <w:sdtPr>
        <w:rPr>
          <w:b w:val="0"/>
          <w:noProof/>
          <w:color w:val="auto"/>
          <w:sz w:val="20"/>
          <w:szCs w:val="20"/>
        </w:rPr>
        <w:id w:val="226117156"/>
        <w:docPartObj>
          <w:docPartGallery w:val="Table of Contents"/>
          <w:docPartUnique/>
        </w:docPartObj>
      </w:sdtPr>
      <w:sdtEndPr>
        <w:rPr>
          <w:b/>
          <w:sz w:val="24"/>
          <w:szCs w:val="24"/>
        </w:rPr>
      </w:sdtEndPr>
      <w:sdtContent>
        <w:bookmarkStart w:id="3" w:name="_TOCMarker" w:displacedByCustomXml="prev"/>
        <w:bookmarkEnd w:id="3" w:displacedByCustomXml="prev"/>
        <w:p w14:paraId="0BCBF7A8" w14:textId="1CB98869" w:rsidR="00FB10BB" w:rsidRDefault="00FB10BB" w:rsidP="00FB10BB">
          <w:pPr>
            <w:pStyle w:val="TOCHeading"/>
            <w:framePr w:h="1956" w:hRule="exact" w:wrap="around"/>
          </w:pPr>
          <w:r>
            <w:t>Contents</w:t>
          </w:r>
        </w:p>
        <w:p w14:paraId="5993A69D" w14:textId="3240CFC3" w:rsidR="00675EEE" w:rsidRDefault="00FB10BB">
          <w:pPr>
            <w:pStyle w:val="TOC1"/>
            <w:rPr>
              <w:rFonts w:eastAsiaTheme="minorEastAsia" w:cstheme="minorBidi"/>
              <w:b w:val="0"/>
              <w:color w:val="auto"/>
              <w:sz w:val="22"/>
              <w:szCs w:val="22"/>
            </w:rPr>
          </w:pPr>
          <w:r>
            <w:rPr>
              <w:b w:val="0"/>
            </w:rPr>
            <w:fldChar w:fldCharType="begin"/>
          </w:r>
          <w:r>
            <w:rPr>
              <w:b w:val="0"/>
            </w:rPr>
            <w:instrText xml:space="preserve"> TOC \o "1-2" \h \z \u </w:instrText>
          </w:r>
          <w:r>
            <w:rPr>
              <w:b w:val="0"/>
            </w:rPr>
            <w:fldChar w:fldCharType="separate"/>
          </w:r>
          <w:hyperlink w:anchor="_Toc113271006" w:history="1">
            <w:r w:rsidR="00675EEE" w:rsidRPr="000342AC">
              <w:rPr>
                <w:rStyle w:val="Hyperlink"/>
              </w:rPr>
              <w:t>1. Introduction</w:t>
            </w:r>
            <w:r w:rsidR="00675EEE">
              <w:rPr>
                <w:webHidden/>
              </w:rPr>
              <w:tab/>
            </w:r>
            <w:r w:rsidR="00675EEE">
              <w:rPr>
                <w:webHidden/>
              </w:rPr>
              <w:fldChar w:fldCharType="begin"/>
            </w:r>
            <w:r w:rsidR="00675EEE">
              <w:rPr>
                <w:webHidden/>
              </w:rPr>
              <w:instrText xml:space="preserve"> PAGEREF _Toc113271006 \h </w:instrText>
            </w:r>
            <w:r w:rsidR="00675EEE">
              <w:rPr>
                <w:webHidden/>
              </w:rPr>
            </w:r>
            <w:r w:rsidR="00675EEE">
              <w:rPr>
                <w:webHidden/>
              </w:rPr>
              <w:fldChar w:fldCharType="separate"/>
            </w:r>
            <w:r w:rsidR="00675EEE">
              <w:rPr>
                <w:webHidden/>
              </w:rPr>
              <w:t>4</w:t>
            </w:r>
            <w:r w:rsidR="00675EEE">
              <w:rPr>
                <w:webHidden/>
              </w:rPr>
              <w:fldChar w:fldCharType="end"/>
            </w:r>
          </w:hyperlink>
        </w:p>
        <w:p w14:paraId="106BBDB7" w14:textId="67D6BD13" w:rsidR="00675EEE" w:rsidRDefault="00460D1B">
          <w:pPr>
            <w:pStyle w:val="TOC2"/>
            <w:rPr>
              <w:rFonts w:eastAsiaTheme="minorEastAsia" w:cstheme="minorBidi"/>
              <w:b w:val="0"/>
              <w:color w:val="auto"/>
              <w:sz w:val="22"/>
              <w:szCs w:val="22"/>
            </w:rPr>
          </w:pPr>
          <w:hyperlink w:anchor="_Toc113271007" w:history="1">
            <w:r w:rsidR="00675EEE" w:rsidRPr="000342AC">
              <w:rPr>
                <w:rStyle w:val="Hyperlink"/>
              </w:rPr>
              <w:t>1.1 Assessing risk</w:t>
            </w:r>
            <w:r w:rsidR="00675EEE">
              <w:rPr>
                <w:webHidden/>
              </w:rPr>
              <w:tab/>
            </w:r>
            <w:r w:rsidR="00675EEE">
              <w:rPr>
                <w:webHidden/>
              </w:rPr>
              <w:fldChar w:fldCharType="begin"/>
            </w:r>
            <w:r w:rsidR="00675EEE">
              <w:rPr>
                <w:webHidden/>
              </w:rPr>
              <w:instrText xml:space="preserve"> PAGEREF _Toc113271007 \h </w:instrText>
            </w:r>
            <w:r w:rsidR="00675EEE">
              <w:rPr>
                <w:webHidden/>
              </w:rPr>
            </w:r>
            <w:r w:rsidR="00675EEE">
              <w:rPr>
                <w:webHidden/>
              </w:rPr>
              <w:fldChar w:fldCharType="separate"/>
            </w:r>
            <w:r w:rsidR="00675EEE">
              <w:rPr>
                <w:webHidden/>
              </w:rPr>
              <w:t>5</w:t>
            </w:r>
            <w:r w:rsidR="00675EEE">
              <w:rPr>
                <w:webHidden/>
              </w:rPr>
              <w:fldChar w:fldCharType="end"/>
            </w:r>
          </w:hyperlink>
        </w:p>
        <w:p w14:paraId="1059BF72" w14:textId="5AC23ECB" w:rsidR="00675EEE" w:rsidRDefault="00460D1B">
          <w:pPr>
            <w:pStyle w:val="TOC2"/>
            <w:rPr>
              <w:rFonts w:eastAsiaTheme="minorEastAsia" w:cstheme="minorBidi"/>
              <w:b w:val="0"/>
              <w:color w:val="auto"/>
              <w:sz w:val="22"/>
              <w:szCs w:val="22"/>
            </w:rPr>
          </w:pPr>
          <w:hyperlink w:anchor="_Toc113271008" w:history="1">
            <w:r w:rsidR="00675EEE" w:rsidRPr="000342AC">
              <w:rPr>
                <w:rStyle w:val="Hyperlink"/>
              </w:rPr>
              <w:t>1.2 Updated data</w:t>
            </w:r>
            <w:r w:rsidR="00675EEE">
              <w:rPr>
                <w:webHidden/>
              </w:rPr>
              <w:tab/>
            </w:r>
            <w:r w:rsidR="00675EEE">
              <w:rPr>
                <w:webHidden/>
              </w:rPr>
              <w:fldChar w:fldCharType="begin"/>
            </w:r>
            <w:r w:rsidR="00675EEE">
              <w:rPr>
                <w:webHidden/>
              </w:rPr>
              <w:instrText xml:space="preserve"> PAGEREF _Toc113271008 \h </w:instrText>
            </w:r>
            <w:r w:rsidR="00675EEE">
              <w:rPr>
                <w:webHidden/>
              </w:rPr>
            </w:r>
            <w:r w:rsidR="00675EEE">
              <w:rPr>
                <w:webHidden/>
              </w:rPr>
              <w:fldChar w:fldCharType="separate"/>
            </w:r>
            <w:r w:rsidR="00675EEE">
              <w:rPr>
                <w:webHidden/>
              </w:rPr>
              <w:t>5</w:t>
            </w:r>
            <w:r w:rsidR="00675EEE">
              <w:rPr>
                <w:webHidden/>
              </w:rPr>
              <w:fldChar w:fldCharType="end"/>
            </w:r>
          </w:hyperlink>
        </w:p>
        <w:p w14:paraId="5E122119" w14:textId="5616A07C" w:rsidR="00675EEE" w:rsidRDefault="00460D1B">
          <w:pPr>
            <w:pStyle w:val="TOC2"/>
            <w:rPr>
              <w:rFonts w:eastAsiaTheme="minorEastAsia" w:cstheme="minorBidi"/>
              <w:b w:val="0"/>
              <w:color w:val="auto"/>
              <w:sz w:val="22"/>
              <w:szCs w:val="22"/>
            </w:rPr>
          </w:pPr>
          <w:hyperlink w:anchor="_Toc113271009" w:history="1">
            <w:r w:rsidR="00675EEE" w:rsidRPr="000342AC">
              <w:rPr>
                <w:rStyle w:val="Hyperlink"/>
              </w:rPr>
              <w:t>1.3 Past risk assessments</w:t>
            </w:r>
            <w:r w:rsidR="00675EEE">
              <w:rPr>
                <w:webHidden/>
              </w:rPr>
              <w:tab/>
            </w:r>
            <w:r w:rsidR="00675EEE">
              <w:rPr>
                <w:webHidden/>
              </w:rPr>
              <w:fldChar w:fldCharType="begin"/>
            </w:r>
            <w:r w:rsidR="00675EEE">
              <w:rPr>
                <w:webHidden/>
              </w:rPr>
              <w:instrText xml:space="preserve"> PAGEREF _Toc113271009 \h </w:instrText>
            </w:r>
            <w:r w:rsidR="00675EEE">
              <w:rPr>
                <w:webHidden/>
              </w:rPr>
            </w:r>
            <w:r w:rsidR="00675EEE">
              <w:rPr>
                <w:webHidden/>
              </w:rPr>
              <w:fldChar w:fldCharType="separate"/>
            </w:r>
            <w:r w:rsidR="00675EEE">
              <w:rPr>
                <w:webHidden/>
              </w:rPr>
              <w:t>5</w:t>
            </w:r>
            <w:r w:rsidR="00675EEE">
              <w:rPr>
                <w:webHidden/>
              </w:rPr>
              <w:fldChar w:fldCharType="end"/>
            </w:r>
          </w:hyperlink>
        </w:p>
        <w:p w14:paraId="788CAE1F" w14:textId="4EEAC871" w:rsidR="00675EEE" w:rsidRDefault="00460D1B">
          <w:pPr>
            <w:pStyle w:val="TOC2"/>
            <w:rPr>
              <w:rFonts w:eastAsiaTheme="minorEastAsia" w:cstheme="minorBidi"/>
              <w:b w:val="0"/>
              <w:color w:val="auto"/>
              <w:sz w:val="22"/>
              <w:szCs w:val="22"/>
            </w:rPr>
          </w:pPr>
          <w:hyperlink w:anchor="_Toc113271010" w:history="1">
            <w:r w:rsidR="00675EEE" w:rsidRPr="000342AC">
              <w:rPr>
                <w:rStyle w:val="Hyperlink"/>
              </w:rPr>
              <w:t>1.4 Requirement for interim or permanent protections</w:t>
            </w:r>
            <w:r w:rsidR="00675EEE">
              <w:rPr>
                <w:webHidden/>
              </w:rPr>
              <w:tab/>
            </w:r>
            <w:r w:rsidR="00675EEE">
              <w:rPr>
                <w:webHidden/>
              </w:rPr>
              <w:fldChar w:fldCharType="begin"/>
            </w:r>
            <w:r w:rsidR="00675EEE">
              <w:rPr>
                <w:webHidden/>
              </w:rPr>
              <w:instrText xml:space="preserve"> PAGEREF _Toc113271010 \h </w:instrText>
            </w:r>
            <w:r w:rsidR="00675EEE">
              <w:rPr>
                <w:webHidden/>
              </w:rPr>
            </w:r>
            <w:r w:rsidR="00675EEE">
              <w:rPr>
                <w:webHidden/>
              </w:rPr>
              <w:fldChar w:fldCharType="separate"/>
            </w:r>
            <w:r w:rsidR="00675EEE">
              <w:rPr>
                <w:webHidden/>
              </w:rPr>
              <w:t>5</w:t>
            </w:r>
            <w:r w:rsidR="00675EEE">
              <w:rPr>
                <w:webHidden/>
              </w:rPr>
              <w:fldChar w:fldCharType="end"/>
            </w:r>
          </w:hyperlink>
        </w:p>
        <w:p w14:paraId="4800C6A2" w14:textId="66A3D5FF" w:rsidR="00675EEE" w:rsidRDefault="00460D1B">
          <w:pPr>
            <w:pStyle w:val="TOC2"/>
            <w:rPr>
              <w:rFonts w:eastAsiaTheme="minorEastAsia" w:cstheme="minorBidi"/>
              <w:b w:val="0"/>
              <w:color w:val="auto"/>
              <w:sz w:val="22"/>
              <w:szCs w:val="22"/>
            </w:rPr>
          </w:pPr>
          <w:hyperlink w:anchor="_Toc113271011" w:history="1">
            <w:r w:rsidR="00675EEE" w:rsidRPr="000342AC">
              <w:rPr>
                <w:rStyle w:val="Hyperlink"/>
              </w:rPr>
              <w:t>1.5 Next steps</w:t>
            </w:r>
            <w:r w:rsidR="00675EEE">
              <w:rPr>
                <w:webHidden/>
              </w:rPr>
              <w:tab/>
            </w:r>
            <w:r w:rsidR="00675EEE">
              <w:rPr>
                <w:webHidden/>
              </w:rPr>
              <w:fldChar w:fldCharType="begin"/>
            </w:r>
            <w:r w:rsidR="00675EEE">
              <w:rPr>
                <w:webHidden/>
              </w:rPr>
              <w:instrText xml:space="preserve"> PAGEREF _Toc113271011 \h </w:instrText>
            </w:r>
            <w:r w:rsidR="00675EEE">
              <w:rPr>
                <w:webHidden/>
              </w:rPr>
            </w:r>
            <w:r w:rsidR="00675EEE">
              <w:rPr>
                <w:webHidden/>
              </w:rPr>
              <w:fldChar w:fldCharType="separate"/>
            </w:r>
            <w:r w:rsidR="00675EEE">
              <w:rPr>
                <w:webHidden/>
              </w:rPr>
              <w:t>6</w:t>
            </w:r>
            <w:r w:rsidR="00675EEE">
              <w:rPr>
                <w:webHidden/>
              </w:rPr>
              <w:fldChar w:fldCharType="end"/>
            </w:r>
          </w:hyperlink>
        </w:p>
        <w:p w14:paraId="60D119EE" w14:textId="08A41357" w:rsidR="00675EEE" w:rsidRDefault="00460D1B">
          <w:pPr>
            <w:pStyle w:val="TOC1"/>
            <w:rPr>
              <w:rFonts w:eastAsiaTheme="minorEastAsia" w:cstheme="minorBidi"/>
              <w:b w:val="0"/>
              <w:color w:val="auto"/>
              <w:sz w:val="22"/>
              <w:szCs w:val="22"/>
            </w:rPr>
          </w:pPr>
          <w:hyperlink w:anchor="_Toc113271012" w:history="1">
            <w:r w:rsidR="00675EEE" w:rsidRPr="000342AC">
              <w:rPr>
                <w:rStyle w:val="Hyperlink"/>
              </w:rPr>
              <w:t>2. Summary of Interim Protections</w:t>
            </w:r>
            <w:r w:rsidR="00675EEE">
              <w:rPr>
                <w:webHidden/>
              </w:rPr>
              <w:tab/>
            </w:r>
            <w:r w:rsidR="00675EEE">
              <w:rPr>
                <w:webHidden/>
              </w:rPr>
              <w:fldChar w:fldCharType="begin"/>
            </w:r>
            <w:r w:rsidR="00675EEE">
              <w:rPr>
                <w:webHidden/>
              </w:rPr>
              <w:instrText xml:space="preserve"> PAGEREF _Toc113271012 \h </w:instrText>
            </w:r>
            <w:r w:rsidR="00675EEE">
              <w:rPr>
                <w:webHidden/>
              </w:rPr>
            </w:r>
            <w:r w:rsidR="00675EEE">
              <w:rPr>
                <w:webHidden/>
              </w:rPr>
              <w:fldChar w:fldCharType="separate"/>
            </w:r>
            <w:r w:rsidR="00675EEE">
              <w:rPr>
                <w:webHidden/>
              </w:rPr>
              <w:t>7</w:t>
            </w:r>
            <w:r w:rsidR="00675EEE">
              <w:rPr>
                <w:webHidden/>
              </w:rPr>
              <w:fldChar w:fldCharType="end"/>
            </w:r>
          </w:hyperlink>
        </w:p>
        <w:p w14:paraId="50DC9A93" w14:textId="5B5D61CD" w:rsidR="00675EEE" w:rsidRDefault="00460D1B">
          <w:pPr>
            <w:pStyle w:val="TOC2"/>
            <w:rPr>
              <w:rFonts w:eastAsiaTheme="minorEastAsia" w:cstheme="minorBidi"/>
              <w:b w:val="0"/>
              <w:color w:val="auto"/>
              <w:sz w:val="22"/>
              <w:szCs w:val="22"/>
            </w:rPr>
          </w:pPr>
          <w:hyperlink w:anchor="_Toc113271013" w:history="1">
            <w:r w:rsidR="00675EEE" w:rsidRPr="000342AC">
              <w:rPr>
                <w:rStyle w:val="Hyperlink"/>
              </w:rPr>
              <w:t>2.1 Aquatic Species</w:t>
            </w:r>
            <w:r w:rsidR="00675EEE">
              <w:rPr>
                <w:webHidden/>
              </w:rPr>
              <w:tab/>
            </w:r>
            <w:r w:rsidR="00675EEE">
              <w:rPr>
                <w:webHidden/>
              </w:rPr>
              <w:fldChar w:fldCharType="begin"/>
            </w:r>
            <w:r w:rsidR="00675EEE">
              <w:rPr>
                <w:webHidden/>
              </w:rPr>
              <w:instrText xml:space="preserve"> PAGEREF _Toc113271013 \h </w:instrText>
            </w:r>
            <w:r w:rsidR="00675EEE">
              <w:rPr>
                <w:webHidden/>
              </w:rPr>
            </w:r>
            <w:r w:rsidR="00675EEE">
              <w:rPr>
                <w:webHidden/>
              </w:rPr>
              <w:fldChar w:fldCharType="separate"/>
            </w:r>
            <w:r w:rsidR="00675EEE">
              <w:rPr>
                <w:webHidden/>
              </w:rPr>
              <w:t>7</w:t>
            </w:r>
            <w:r w:rsidR="00675EEE">
              <w:rPr>
                <w:webHidden/>
              </w:rPr>
              <w:fldChar w:fldCharType="end"/>
            </w:r>
          </w:hyperlink>
        </w:p>
        <w:p w14:paraId="3A22CE72" w14:textId="016F54BC" w:rsidR="00675EEE" w:rsidRDefault="00460D1B">
          <w:pPr>
            <w:pStyle w:val="TOC2"/>
            <w:rPr>
              <w:rFonts w:eastAsiaTheme="minorEastAsia" w:cstheme="minorBidi"/>
              <w:b w:val="0"/>
              <w:color w:val="auto"/>
              <w:sz w:val="22"/>
              <w:szCs w:val="22"/>
            </w:rPr>
          </w:pPr>
          <w:hyperlink w:anchor="_Toc113271014" w:history="1">
            <w:r w:rsidR="00675EEE" w:rsidRPr="000342AC">
              <w:rPr>
                <w:rStyle w:val="Hyperlink"/>
              </w:rPr>
              <w:t>2.2 Rainforest Affiliated Species</w:t>
            </w:r>
            <w:r w:rsidR="00675EEE">
              <w:rPr>
                <w:webHidden/>
              </w:rPr>
              <w:tab/>
            </w:r>
            <w:r w:rsidR="00675EEE">
              <w:rPr>
                <w:webHidden/>
              </w:rPr>
              <w:fldChar w:fldCharType="begin"/>
            </w:r>
            <w:r w:rsidR="00675EEE">
              <w:rPr>
                <w:webHidden/>
              </w:rPr>
              <w:instrText xml:space="preserve"> PAGEREF _Toc113271014 \h </w:instrText>
            </w:r>
            <w:r w:rsidR="00675EEE">
              <w:rPr>
                <w:webHidden/>
              </w:rPr>
            </w:r>
            <w:r w:rsidR="00675EEE">
              <w:rPr>
                <w:webHidden/>
              </w:rPr>
              <w:fldChar w:fldCharType="separate"/>
            </w:r>
            <w:r w:rsidR="00675EEE">
              <w:rPr>
                <w:webHidden/>
              </w:rPr>
              <w:t>10</w:t>
            </w:r>
            <w:r w:rsidR="00675EEE">
              <w:rPr>
                <w:webHidden/>
              </w:rPr>
              <w:fldChar w:fldCharType="end"/>
            </w:r>
          </w:hyperlink>
        </w:p>
        <w:p w14:paraId="6456CB78" w14:textId="0545CEBB" w:rsidR="00675EEE" w:rsidRDefault="00460D1B">
          <w:pPr>
            <w:pStyle w:val="TOC2"/>
            <w:rPr>
              <w:rFonts w:eastAsiaTheme="minorEastAsia" w:cstheme="minorBidi"/>
              <w:b w:val="0"/>
              <w:color w:val="auto"/>
              <w:sz w:val="22"/>
              <w:szCs w:val="22"/>
            </w:rPr>
          </w:pPr>
          <w:hyperlink w:anchor="_Toc113271015" w:history="1">
            <w:r w:rsidR="00675EEE" w:rsidRPr="000342AC">
              <w:rPr>
                <w:rStyle w:val="Hyperlink"/>
              </w:rPr>
              <w:t>2.3 Limited or Restricted Range Flora</w:t>
            </w:r>
            <w:r w:rsidR="00675EEE">
              <w:rPr>
                <w:webHidden/>
              </w:rPr>
              <w:tab/>
            </w:r>
            <w:r w:rsidR="00675EEE">
              <w:rPr>
                <w:webHidden/>
              </w:rPr>
              <w:fldChar w:fldCharType="begin"/>
            </w:r>
            <w:r w:rsidR="00675EEE">
              <w:rPr>
                <w:webHidden/>
              </w:rPr>
              <w:instrText xml:space="preserve"> PAGEREF _Toc113271015 \h </w:instrText>
            </w:r>
            <w:r w:rsidR="00675EEE">
              <w:rPr>
                <w:webHidden/>
              </w:rPr>
            </w:r>
            <w:r w:rsidR="00675EEE">
              <w:rPr>
                <w:webHidden/>
              </w:rPr>
              <w:fldChar w:fldCharType="separate"/>
            </w:r>
            <w:r w:rsidR="00675EEE">
              <w:rPr>
                <w:webHidden/>
              </w:rPr>
              <w:t>11</w:t>
            </w:r>
            <w:r w:rsidR="00675EEE">
              <w:rPr>
                <w:webHidden/>
              </w:rPr>
              <w:fldChar w:fldCharType="end"/>
            </w:r>
          </w:hyperlink>
        </w:p>
        <w:p w14:paraId="70C8B58C" w14:textId="632FD1A8" w:rsidR="00675EEE" w:rsidRDefault="00460D1B">
          <w:pPr>
            <w:pStyle w:val="TOC1"/>
            <w:rPr>
              <w:rFonts w:eastAsiaTheme="minorEastAsia" w:cstheme="minorBidi"/>
              <w:b w:val="0"/>
              <w:color w:val="auto"/>
              <w:sz w:val="22"/>
              <w:szCs w:val="22"/>
            </w:rPr>
          </w:pPr>
          <w:hyperlink w:anchor="_Toc113271016" w:history="1">
            <w:r w:rsidR="00675EEE" w:rsidRPr="000342AC">
              <w:rPr>
                <w:rStyle w:val="Hyperlink"/>
              </w:rPr>
              <w:t>3. Key hazards identified in this risk assessment</w:t>
            </w:r>
            <w:r w:rsidR="00675EEE">
              <w:rPr>
                <w:webHidden/>
              </w:rPr>
              <w:tab/>
            </w:r>
            <w:r w:rsidR="00675EEE">
              <w:rPr>
                <w:webHidden/>
              </w:rPr>
              <w:fldChar w:fldCharType="begin"/>
            </w:r>
            <w:r w:rsidR="00675EEE">
              <w:rPr>
                <w:webHidden/>
              </w:rPr>
              <w:instrText xml:space="preserve"> PAGEREF _Toc113271016 \h </w:instrText>
            </w:r>
            <w:r w:rsidR="00675EEE">
              <w:rPr>
                <w:webHidden/>
              </w:rPr>
            </w:r>
            <w:r w:rsidR="00675EEE">
              <w:rPr>
                <w:webHidden/>
              </w:rPr>
              <w:fldChar w:fldCharType="separate"/>
            </w:r>
            <w:r w:rsidR="00675EEE">
              <w:rPr>
                <w:webHidden/>
              </w:rPr>
              <w:t>13</w:t>
            </w:r>
            <w:r w:rsidR="00675EEE">
              <w:rPr>
                <w:webHidden/>
              </w:rPr>
              <w:fldChar w:fldCharType="end"/>
            </w:r>
          </w:hyperlink>
        </w:p>
        <w:p w14:paraId="5EE9BED5" w14:textId="3ACB9766" w:rsidR="00675EEE" w:rsidRDefault="00460D1B">
          <w:pPr>
            <w:pStyle w:val="TOC2"/>
            <w:rPr>
              <w:rFonts w:eastAsiaTheme="minorEastAsia" w:cstheme="minorBidi"/>
              <w:b w:val="0"/>
              <w:color w:val="auto"/>
              <w:sz w:val="22"/>
              <w:szCs w:val="22"/>
            </w:rPr>
          </w:pPr>
          <w:hyperlink w:anchor="_Toc113271017" w:history="1">
            <w:r w:rsidR="00675EEE" w:rsidRPr="000342AC">
              <w:rPr>
                <w:rStyle w:val="Hyperlink"/>
              </w:rPr>
              <w:t>3.1 Climate change</w:t>
            </w:r>
            <w:r w:rsidR="00675EEE">
              <w:rPr>
                <w:webHidden/>
              </w:rPr>
              <w:tab/>
            </w:r>
            <w:r w:rsidR="00675EEE">
              <w:rPr>
                <w:webHidden/>
              </w:rPr>
              <w:fldChar w:fldCharType="begin"/>
            </w:r>
            <w:r w:rsidR="00675EEE">
              <w:rPr>
                <w:webHidden/>
              </w:rPr>
              <w:instrText xml:space="preserve"> PAGEREF _Toc113271017 \h </w:instrText>
            </w:r>
            <w:r w:rsidR="00675EEE">
              <w:rPr>
                <w:webHidden/>
              </w:rPr>
            </w:r>
            <w:r w:rsidR="00675EEE">
              <w:rPr>
                <w:webHidden/>
              </w:rPr>
              <w:fldChar w:fldCharType="separate"/>
            </w:r>
            <w:r w:rsidR="00675EEE">
              <w:rPr>
                <w:webHidden/>
              </w:rPr>
              <w:t>13</w:t>
            </w:r>
            <w:r w:rsidR="00675EEE">
              <w:rPr>
                <w:webHidden/>
              </w:rPr>
              <w:fldChar w:fldCharType="end"/>
            </w:r>
          </w:hyperlink>
        </w:p>
        <w:p w14:paraId="484ADEB3" w14:textId="4188FA38" w:rsidR="00675EEE" w:rsidRDefault="00460D1B">
          <w:pPr>
            <w:pStyle w:val="TOC2"/>
            <w:rPr>
              <w:rFonts w:eastAsiaTheme="minorEastAsia" w:cstheme="minorBidi"/>
              <w:b w:val="0"/>
              <w:color w:val="auto"/>
              <w:sz w:val="22"/>
              <w:szCs w:val="22"/>
            </w:rPr>
          </w:pPr>
          <w:hyperlink w:anchor="_Toc113271018" w:history="1">
            <w:r w:rsidR="00675EEE" w:rsidRPr="000342AC">
              <w:rPr>
                <w:rStyle w:val="Hyperlink"/>
              </w:rPr>
              <w:t>3.2 Fire</w:t>
            </w:r>
            <w:r w:rsidR="00675EEE">
              <w:rPr>
                <w:webHidden/>
              </w:rPr>
              <w:tab/>
            </w:r>
            <w:r w:rsidR="00675EEE">
              <w:rPr>
                <w:webHidden/>
              </w:rPr>
              <w:fldChar w:fldCharType="begin"/>
            </w:r>
            <w:r w:rsidR="00675EEE">
              <w:rPr>
                <w:webHidden/>
              </w:rPr>
              <w:instrText xml:space="preserve"> PAGEREF _Toc113271018 \h </w:instrText>
            </w:r>
            <w:r w:rsidR="00675EEE">
              <w:rPr>
                <w:webHidden/>
              </w:rPr>
            </w:r>
            <w:r w:rsidR="00675EEE">
              <w:rPr>
                <w:webHidden/>
              </w:rPr>
              <w:fldChar w:fldCharType="separate"/>
            </w:r>
            <w:r w:rsidR="00675EEE">
              <w:rPr>
                <w:webHidden/>
              </w:rPr>
              <w:t>14</w:t>
            </w:r>
            <w:r w:rsidR="00675EEE">
              <w:rPr>
                <w:webHidden/>
              </w:rPr>
              <w:fldChar w:fldCharType="end"/>
            </w:r>
          </w:hyperlink>
        </w:p>
        <w:p w14:paraId="7B4E5363" w14:textId="339C5291" w:rsidR="00675EEE" w:rsidRDefault="00460D1B">
          <w:pPr>
            <w:pStyle w:val="TOC2"/>
            <w:rPr>
              <w:rFonts w:eastAsiaTheme="minorEastAsia" w:cstheme="minorBidi"/>
              <w:b w:val="0"/>
              <w:color w:val="auto"/>
              <w:sz w:val="22"/>
              <w:szCs w:val="22"/>
            </w:rPr>
          </w:pPr>
          <w:hyperlink w:anchor="_Toc113271019" w:history="1">
            <w:r w:rsidR="00675EEE" w:rsidRPr="000342AC">
              <w:rPr>
                <w:rStyle w:val="Hyperlink"/>
              </w:rPr>
              <w:t>3.3 Forestry operations</w:t>
            </w:r>
            <w:r w:rsidR="00675EEE">
              <w:rPr>
                <w:webHidden/>
              </w:rPr>
              <w:tab/>
            </w:r>
            <w:r w:rsidR="00675EEE">
              <w:rPr>
                <w:webHidden/>
              </w:rPr>
              <w:fldChar w:fldCharType="begin"/>
            </w:r>
            <w:r w:rsidR="00675EEE">
              <w:rPr>
                <w:webHidden/>
              </w:rPr>
              <w:instrText xml:space="preserve"> PAGEREF _Toc113271019 \h </w:instrText>
            </w:r>
            <w:r w:rsidR="00675EEE">
              <w:rPr>
                <w:webHidden/>
              </w:rPr>
            </w:r>
            <w:r w:rsidR="00675EEE">
              <w:rPr>
                <w:webHidden/>
              </w:rPr>
              <w:fldChar w:fldCharType="separate"/>
            </w:r>
            <w:r w:rsidR="00675EEE">
              <w:rPr>
                <w:webHidden/>
              </w:rPr>
              <w:t>15</w:t>
            </w:r>
            <w:r w:rsidR="00675EEE">
              <w:rPr>
                <w:webHidden/>
              </w:rPr>
              <w:fldChar w:fldCharType="end"/>
            </w:r>
          </w:hyperlink>
        </w:p>
        <w:p w14:paraId="06E1FF6B" w14:textId="33E92B65" w:rsidR="00675EEE" w:rsidRDefault="00460D1B">
          <w:pPr>
            <w:pStyle w:val="TOC2"/>
            <w:rPr>
              <w:rFonts w:eastAsiaTheme="minorEastAsia" w:cstheme="minorBidi"/>
              <w:b w:val="0"/>
              <w:color w:val="auto"/>
              <w:sz w:val="22"/>
              <w:szCs w:val="22"/>
            </w:rPr>
          </w:pPr>
          <w:hyperlink w:anchor="_Toc113271020" w:history="1">
            <w:r w:rsidR="00675EEE" w:rsidRPr="000342AC">
              <w:rPr>
                <w:rStyle w:val="Hyperlink"/>
              </w:rPr>
              <w:t>3.4 Habitat loss, degradation, and fragmentation</w:t>
            </w:r>
            <w:r w:rsidR="00675EEE">
              <w:rPr>
                <w:webHidden/>
              </w:rPr>
              <w:tab/>
            </w:r>
            <w:r w:rsidR="00675EEE">
              <w:rPr>
                <w:webHidden/>
              </w:rPr>
              <w:fldChar w:fldCharType="begin"/>
            </w:r>
            <w:r w:rsidR="00675EEE">
              <w:rPr>
                <w:webHidden/>
              </w:rPr>
              <w:instrText xml:space="preserve"> PAGEREF _Toc113271020 \h </w:instrText>
            </w:r>
            <w:r w:rsidR="00675EEE">
              <w:rPr>
                <w:webHidden/>
              </w:rPr>
            </w:r>
            <w:r w:rsidR="00675EEE">
              <w:rPr>
                <w:webHidden/>
              </w:rPr>
              <w:fldChar w:fldCharType="separate"/>
            </w:r>
            <w:r w:rsidR="00675EEE">
              <w:rPr>
                <w:webHidden/>
              </w:rPr>
              <w:t>16</w:t>
            </w:r>
            <w:r w:rsidR="00675EEE">
              <w:rPr>
                <w:webHidden/>
              </w:rPr>
              <w:fldChar w:fldCharType="end"/>
            </w:r>
          </w:hyperlink>
        </w:p>
        <w:p w14:paraId="2710687D" w14:textId="1629B1BB" w:rsidR="00675EEE" w:rsidRDefault="00460D1B">
          <w:pPr>
            <w:pStyle w:val="TOC2"/>
            <w:rPr>
              <w:rFonts w:eastAsiaTheme="minorEastAsia" w:cstheme="minorBidi"/>
              <w:b w:val="0"/>
              <w:color w:val="auto"/>
              <w:sz w:val="22"/>
              <w:szCs w:val="22"/>
            </w:rPr>
          </w:pPr>
          <w:hyperlink w:anchor="_Toc113271021" w:history="1">
            <w:r w:rsidR="00675EEE" w:rsidRPr="000342AC">
              <w:rPr>
                <w:rStyle w:val="Hyperlink"/>
              </w:rPr>
              <w:t>3.5 Invasive species</w:t>
            </w:r>
            <w:r w:rsidR="00675EEE">
              <w:rPr>
                <w:webHidden/>
              </w:rPr>
              <w:tab/>
            </w:r>
            <w:r w:rsidR="00675EEE">
              <w:rPr>
                <w:webHidden/>
              </w:rPr>
              <w:fldChar w:fldCharType="begin"/>
            </w:r>
            <w:r w:rsidR="00675EEE">
              <w:rPr>
                <w:webHidden/>
              </w:rPr>
              <w:instrText xml:space="preserve"> PAGEREF _Toc113271021 \h </w:instrText>
            </w:r>
            <w:r w:rsidR="00675EEE">
              <w:rPr>
                <w:webHidden/>
              </w:rPr>
            </w:r>
            <w:r w:rsidR="00675EEE">
              <w:rPr>
                <w:webHidden/>
              </w:rPr>
              <w:fldChar w:fldCharType="separate"/>
            </w:r>
            <w:r w:rsidR="00675EEE">
              <w:rPr>
                <w:webHidden/>
              </w:rPr>
              <w:t>18</w:t>
            </w:r>
            <w:r w:rsidR="00675EEE">
              <w:rPr>
                <w:webHidden/>
              </w:rPr>
              <w:fldChar w:fldCharType="end"/>
            </w:r>
          </w:hyperlink>
        </w:p>
        <w:p w14:paraId="3B855B3A" w14:textId="41B29CB9" w:rsidR="00675EEE" w:rsidRDefault="00460D1B">
          <w:pPr>
            <w:pStyle w:val="TOC2"/>
            <w:rPr>
              <w:rFonts w:eastAsiaTheme="minorEastAsia" w:cstheme="minorBidi"/>
              <w:b w:val="0"/>
              <w:color w:val="auto"/>
              <w:sz w:val="22"/>
              <w:szCs w:val="22"/>
            </w:rPr>
          </w:pPr>
          <w:hyperlink w:anchor="_Toc113271022" w:history="1">
            <w:r w:rsidR="00675EEE" w:rsidRPr="000342AC">
              <w:rPr>
                <w:rStyle w:val="Hyperlink"/>
              </w:rPr>
              <w:t>3.6 Threats to population health and resilience</w:t>
            </w:r>
            <w:r w:rsidR="00675EEE">
              <w:rPr>
                <w:webHidden/>
              </w:rPr>
              <w:tab/>
            </w:r>
            <w:r w:rsidR="00675EEE">
              <w:rPr>
                <w:webHidden/>
              </w:rPr>
              <w:fldChar w:fldCharType="begin"/>
            </w:r>
            <w:r w:rsidR="00675EEE">
              <w:rPr>
                <w:webHidden/>
              </w:rPr>
              <w:instrText xml:space="preserve"> PAGEREF _Toc113271022 \h </w:instrText>
            </w:r>
            <w:r w:rsidR="00675EEE">
              <w:rPr>
                <w:webHidden/>
              </w:rPr>
            </w:r>
            <w:r w:rsidR="00675EEE">
              <w:rPr>
                <w:webHidden/>
              </w:rPr>
              <w:fldChar w:fldCharType="separate"/>
            </w:r>
            <w:r w:rsidR="00675EEE">
              <w:rPr>
                <w:webHidden/>
              </w:rPr>
              <w:t>19</w:t>
            </w:r>
            <w:r w:rsidR="00675EEE">
              <w:rPr>
                <w:webHidden/>
              </w:rPr>
              <w:fldChar w:fldCharType="end"/>
            </w:r>
          </w:hyperlink>
        </w:p>
        <w:p w14:paraId="0609956B" w14:textId="5388323B" w:rsidR="00675EEE" w:rsidRDefault="00460D1B">
          <w:pPr>
            <w:pStyle w:val="TOC1"/>
            <w:rPr>
              <w:rFonts w:eastAsiaTheme="minorEastAsia" w:cstheme="minorBidi"/>
              <w:b w:val="0"/>
              <w:color w:val="auto"/>
              <w:sz w:val="22"/>
              <w:szCs w:val="22"/>
            </w:rPr>
          </w:pPr>
          <w:hyperlink w:anchor="_Toc113271023" w:history="1">
            <w:r w:rsidR="00675EEE" w:rsidRPr="000342AC">
              <w:rPr>
                <w:rStyle w:val="Hyperlink"/>
              </w:rPr>
              <w:t>4. Species assessments</w:t>
            </w:r>
            <w:r w:rsidR="00675EEE">
              <w:rPr>
                <w:webHidden/>
              </w:rPr>
              <w:tab/>
            </w:r>
            <w:r w:rsidR="00675EEE">
              <w:rPr>
                <w:webHidden/>
              </w:rPr>
              <w:fldChar w:fldCharType="begin"/>
            </w:r>
            <w:r w:rsidR="00675EEE">
              <w:rPr>
                <w:webHidden/>
              </w:rPr>
              <w:instrText xml:space="preserve"> PAGEREF _Toc113271023 \h </w:instrText>
            </w:r>
            <w:r w:rsidR="00675EEE">
              <w:rPr>
                <w:webHidden/>
              </w:rPr>
            </w:r>
            <w:r w:rsidR="00675EEE">
              <w:rPr>
                <w:webHidden/>
              </w:rPr>
              <w:fldChar w:fldCharType="separate"/>
            </w:r>
            <w:r w:rsidR="00675EEE">
              <w:rPr>
                <w:webHidden/>
              </w:rPr>
              <w:t>21</w:t>
            </w:r>
            <w:r w:rsidR="00675EEE">
              <w:rPr>
                <w:webHidden/>
              </w:rPr>
              <w:fldChar w:fldCharType="end"/>
            </w:r>
          </w:hyperlink>
        </w:p>
        <w:p w14:paraId="38B5D914" w14:textId="1CB00BBD" w:rsidR="00675EEE" w:rsidRDefault="00460D1B">
          <w:pPr>
            <w:pStyle w:val="TOC2"/>
            <w:rPr>
              <w:rFonts w:eastAsiaTheme="minorEastAsia" w:cstheme="minorBidi"/>
              <w:b w:val="0"/>
              <w:color w:val="auto"/>
              <w:sz w:val="22"/>
              <w:szCs w:val="22"/>
            </w:rPr>
          </w:pPr>
          <w:hyperlink w:anchor="_Toc113271024" w:history="1">
            <w:r w:rsidR="00675EEE" w:rsidRPr="000342AC">
              <w:rPr>
                <w:rStyle w:val="Hyperlink"/>
              </w:rPr>
              <w:t>4.1 Lace Monitor </w:t>
            </w:r>
            <w:r w:rsidR="00675EEE" w:rsidRPr="000342AC">
              <w:rPr>
                <w:rStyle w:val="Hyperlink"/>
                <w:i/>
                <w:iCs/>
              </w:rPr>
              <w:t>(Varanus varius)</w:t>
            </w:r>
            <w:r w:rsidR="00675EEE">
              <w:rPr>
                <w:webHidden/>
              </w:rPr>
              <w:tab/>
            </w:r>
            <w:r w:rsidR="00675EEE">
              <w:rPr>
                <w:webHidden/>
              </w:rPr>
              <w:fldChar w:fldCharType="begin"/>
            </w:r>
            <w:r w:rsidR="00675EEE">
              <w:rPr>
                <w:webHidden/>
              </w:rPr>
              <w:instrText xml:space="preserve"> PAGEREF _Toc113271024 \h </w:instrText>
            </w:r>
            <w:r w:rsidR="00675EEE">
              <w:rPr>
                <w:webHidden/>
              </w:rPr>
            </w:r>
            <w:r w:rsidR="00675EEE">
              <w:rPr>
                <w:webHidden/>
              </w:rPr>
              <w:fldChar w:fldCharType="separate"/>
            </w:r>
            <w:r w:rsidR="00675EEE">
              <w:rPr>
                <w:webHidden/>
              </w:rPr>
              <w:t>21</w:t>
            </w:r>
            <w:r w:rsidR="00675EEE">
              <w:rPr>
                <w:webHidden/>
              </w:rPr>
              <w:fldChar w:fldCharType="end"/>
            </w:r>
          </w:hyperlink>
        </w:p>
        <w:p w14:paraId="33559860" w14:textId="476DB0C3" w:rsidR="00675EEE" w:rsidRDefault="00460D1B">
          <w:pPr>
            <w:pStyle w:val="TOC2"/>
            <w:rPr>
              <w:rFonts w:eastAsiaTheme="minorEastAsia" w:cstheme="minorBidi"/>
              <w:b w:val="0"/>
              <w:color w:val="auto"/>
              <w:sz w:val="22"/>
              <w:szCs w:val="22"/>
            </w:rPr>
          </w:pPr>
          <w:hyperlink w:anchor="_Toc113271025" w:history="1">
            <w:r w:rsidR="00675EEE" w:rsidRPr="000342AC">
              <w:rPr>
                <w:rStyle w:val="Hyperlink"/>
              </w:rPr>
              <w:t>4.2 Claytons Spiny Crayfish </w:t>
            </w:r>
            <w:r w:rsidR="00675EEE" w:rsidRPr="000342AC">
              <w:rPr>
                <w:rStyle w:val="Hyperlink"/>
                <w:i/>
                <w:iCs/>
              </w:rPr>
              <w:t>(Euastacus claytoni)</w:t>
            </w:r>
            <w:r w:rsidR="00675EEE">
              <w:rPr>
                <w:webHidden/>
              </w:rPr>
              <w:tab/>
            </w:r>
            <w:r w:rsidR="00675EEE">
              <w:rPr>
                <w:webHidden/>
              </w:rPr>
              <w:fldChar w:fldCharType="begin"/>
            </w:r>
            <w:r w:rsidR="00675EEE">
              <w:rPr>
                <w:webHidden/>
              </w:rPr>
              <w:instrText xml:space="preserve"> PAGEREF _Toc113271025 \h </w:instrText>
            </w:r>
            <w:r w:rsidR="00675EEE">
              <w:rPr>
                <w:webHidden/>
              </w:rPr>
            </w:r>
            <w:r w:rsidR="00675EEE">
              <w:rPr>
                <w:webHidden/>
              </w:rPr>
              <w:fldChar w:fldCharType="separate"/>
            </w:r>
            <w:r w:rsidR="00675EEE">
              <w:rPr>
                <w:webHidden/>
              </w:rPr>
              <w:t>28</w:t>
            </w:r>
            <w:r w:rsidR="00675EEE">
              <w:rPr>
                <w:webHidden/>
              </w:rPr>
              <w:fldChar w:fldCharType="end"/>
            </w:r>
          </w:hyperlink>
        </w:p>
        <w:p w14:paraId="75C378FB" w14:textId="15DA7987" w:rsidR="00675EEE" w:rsidRDefault="00460D1B">
          <w:pPr>
            <w:pStyle w:val="TOC2"/>
            <w:rPr>
              <w:rFonts w:eastAsiaTheme="minorEastAsia" w:cstheme="minorBidi"/>
              <w:b w:val="0"/>
              <w:color w:val="auto"/>
              <w:sz w:val="22"/>
              <w:szCs w:val="22"/>
            </w:rPr>
          </w:pPr>
          <w:hyperlink w:anchor="_Toc113271026" w:history="1">
            <w:r w:rsidR="00675EEE" w:rsidRPr="000342AC">
              <w:rPr>
                <w:rStyle w:val="Hyperlink"/>
              </w:rPr>
              <w:t>4.3 East Gippsland Spiny Crayfish </w:t>
            </w:r>
            <w:r w:rsidR="00675EEE" w:rsidRPr="000342AC">
              <w:rPr>
                <w:rStyle w:val="Hyperlink"/>
                <w:i/>
                <w:iCs/>
              </w:rPr>
              <w:t>(Euastacus bidawalus)</w:t>
            </w:r>
            <w:r w:rsidR="00675EEE">
              <w:rPr>
                <w:webHidden/>
              </w:rPr>
              <w:tab/>
            </w:r>
            <w:r w:rsidR="00675EEE">
              <w:rPr>
                <w:webHidden/>
              </w:rPr>
              <w:fldChar w:fldCharType="begin"/>
            </w:r>
            <w:r w:rsidR="00675EEE">
              <w:rPr>
                <w:webHidden/>
              </w:rPr>
              <w:instrText xml:space="preserve"> PAGEREF _Toc113271026 \h </w:instrText>
            </w:r>
            <w:r w:rsidR="00675EEE">
              <w:rPr>
                <w:webHidden/>
              </w:rPr>
            </w:r>
            <w:r w:rsidR="00675EEE">
              <w:rPr>
                <w:webHidden/>
              </w:rPr>
              <w:fldChar w:fldCharType="separate"/>
            </w:r>
            <w:r w:rsidR="00675EEE">
              <w:rPr>
                <w:webHidden/>
              </w:rPr>
              <w:t>33</w:t>
            </w:r>
            <w:r w:rsidR="00675EEE">
              <w:rPr>
                <w:webHidden/>
              </w:rPr>
              <w:fldChar w:fldCharType="end"/>
            </w:r>
          </w:hyperlink>
        </w:p>
        <w:p w14:paraId="67053AC7" w14:textId="14F5AF3B" w:rsidR="00675EEE" w:rsidRDefault="00460D1B">
          <w:pPr>
            <w:pStyle w:val="TOC2"/>
            <w:rPr>
              <w:rFonts w:eastAsiaTheme="minorEastAsia" w:cstheme="minorBidi"/>
              <w:b w:val="0"/>
              <w:color w:val="auto"/>
              <w:sz w:val="22"/>
              <w:szCs w:val="22"/>
            </w:rPr>
          </w:pPr>
          <w:hyperlink w:anchor="_Toc113271027" w:history="1">
            <w:r w:rsidR="00675EEE" w:rsidRPr="000342AC">
              <w:rPr>
                <w:rStyle w:val="Hyperlink"/>
              </w:rPr>
              <w:t>4.4 Tubercle Burrowing Crayfish </w:t>
            </w:r>
            <w:r w:rsidR="00675EEE" w:rsidRPr="000342AC">
              <w:rPr>
                <w:rStyle w:val="Hyperlink"/>
                <w:i/>
                <w:iCs/>
              </w:rPr>
              <w:t>(Engaeus tuberculatus)</w:t>
            </w:r>
            <w:r w:rsidR="00675EEE">
              <w:rPr>
                <w:webHidden/>
              </w:rPr>
              <w:tab/>
            </w:r>
            <w:r w:rsidR="00675EEE">
              <w:rPr>
                <w:webHidden/>
              </w:rPr>
              <w:fldChar w:fldCharType="begin"/>
            </w:r>
            <w:r w:rsidR="00675EEE">
              <w:rPr>
                <w:webHidden/>
              </w:rPr>
              <w:instrText xml:space="preserve"> PAGEREF _Toc113271027 \h </w:instrText>
            </w:r>
            <w:r w:rsidR="00675EEE">
              <w:rPr>
                <w:webHidden/>
              </w:rPr>
            </w:r>
            <w:r w:rsidR="00675EEE">
              <w:rPr>
                <w:webHidden/>
              </w:rPr>
              <w:fldChar w:fldCharType="separate"/>
            </w:r>
            <w:r w:rsidR="00675EEE">
              <w:rPr>
                <w:webHidden/>
              </w:rPr>
              <w:t>37</w:t>
            </w:r>
            <w:r w:rsidR="00675EEE">
              <w:rPr>
                <w:webHidden/>
              </w:rPr>
              <w:fldChar w:fldCharType="end"/>
            </w:r>
          </w:hyperlink>
        </w:p>
        <w:p w14:paraId="4EACDF66" w14:textId="0FBD211C" w:rsidR="00675EEE" w:rsidRDefault="00460D1B">
          <w:pPr>
            <w:pStyle w:val="TOC2"/>
            <w:rPr>
              <w:rFonts w:eastAsiaTheme="minorEastAsia" w:cstheme="minorBidi"/>
              <w:b w:val="0"/>
              <w:color w:val="auto"/>
              <w:sz w:val="22"/>
              <w:szCs w:val="22"/>
            </w:rPr>
          </w:pPr>
          <w:hyperlink w:anchor="_Toc113271028" w:history="1">
            <w:r w:rsidR="00675EEE" w:rsidRPr="000342AC">
              <w:rPr>
                <w:rStyle w:val="Hyperlink"/>
              </w:rPr>
              <w:t>4.5 Variable Spiny Crayfish </w:t>
            </w:r>
            <w:r w:rsidR="00675EEE" w:rsidRPr="000342AC">
              <w:rPr>
                <w:rStyle w:val="Hyperlink"/>
                <w:i/>
                <w:iCs/>
              </w:rPr>
              <w:t>(Euastacus yanga)</w:t>
            </w:r>
            <w:r w:rsidR="00675EEE">
              <w:rPr>
                <w:webHidden/>
              </w:rPr>
              <w:tab/>
            </w:r>
            <w:r w:rsidR="00675EEE">
              <w:rPr>
                <w:webHidden/>
              </w:rPr>
              <w:fldChar w:fldCharType="begin"/>
            </w:r>
            <w:r w:rsidR="00675EEE">
              <w:rPr>
                <w:webHidden/>
              </w:rPr>
              <w:instrText xml:space="preserve"> PAGEREF _Toc113271028 \h </w:instrText>
            </w:r>
            <w:r w:rsidR="00675EEE">
              <w:rPr>
                <w:webHidden/>
              </w:rPr>
            </w:r>
            <w:r w:rsidR="00675EEE">
              <w:rPr>
                <w:webHidden/>
              </w:rPr>
              <w:fldChar w:fldCharType="separate"/>
            </w:r>
            <w:r w:rsidR="00675EEE">
              <w:rPr>
                <w:webHidden/>
              </w:rPr>
              <w:t>39</w:t>
            </w:r>
            <w:r w:rsidR="00675EEE">
              <w:rPr>
                <w:webHidden/>
              </w:rPr>
              <w:fldChar w:fldCharType="end"/>
            </w:r>
          </w:hyperlink>
        </w:p>
        <w:p w14:paraId="5903369A" w14:textId="0D9E91EE" w:rsidR="00675EEE" w:rsidRDefault="00460D1B">
          <w:pPr>
            <w:pStyle w:val="TOC2"/>
            <w:rPr>
              <w:rFonts w:eastAsiaTheme="minorEastAsia" w:cstheme="minorBidi"/>
              <w:b w:val="0"/>
              <w:color w:val="auto"/>
              <w:sz w:val="22"/>
              <w:szCs w:val="22"/>
            </w:rPr>
          </w:pPr>
          <w:hyperlink w:anchor="_Toc113271029" w:history="1">
            <w:r w:rsidR="00675EEE" w:rsidRPr="000342AC">
              <w:rPr>
                <w:rStyle w:val="Hyperlink"/>
              </w:rPr>
              <w:t xml:space="preserve">4.6 Baw Baw Berry </w:t>
            </w:r>
            <w:r w:rsidR="00675EEE" w:rsidRPr="000342AC">
              <w:rPr>
                <w:rStyle w:val="Hyperlink"/>
                <w:i/>
                <w:iCs/>
              </w:rPr>
              <w:t>(Wittsteinia vacciniacea)</w:t>
            </w:r>
            <w:r w:rsidR="00675EEE">
              <w:rPr>
                <w:webHidden/>
              </w:rPr>
              <w:tab/>
            </w:r>
            <w:r w:rsidR="00675EEE">
              <w:rPr>
                <w:webHidden/>
              </w:rPr>
              <w:fldChar w:fldCharType="begin"/>
            </w:r>
            <w:r w:rsidR="00675EEE">
              <w:rPr>
                <w:webHidden/>
              </w:rPr>
              <w:instrText xml:space="preserve"> PAGEREF _Toc113271029 \h </w:instrText>
            </w:r>
            <w:r w:rsidR="00675EEE">
              <w:rPr>
                <w:webHidden/>
              </w:rPr>
            </w:r>
            <w:r w:rsidR="00675EEE">
              <w:rPr>
                <w:webHidden/>
              </w:rPr>
              <w:fldChar w:fldCharType="separate"/>
            </w:r>
            <w:r w:rsidR="00675EEE">
              <w:rPr>
                <w:webHidden/>
              </w:rPr>
              <w:t>42</w:t>
            </w:r>
            <w:r w:rsidR="00675EEE">
              <w:rPr>
                <w:webHidden/>
              </w:rPr>
              <w:fldChar w:fldCharType="end"/>
            </w:r>
          </w:hyperlink>
        </w:p>
        <w:p w14:paraId="6B529705" w14:textId="1AB5EF85" w:rsidR="00675EEE" w:rsidRDefault="00460D1B">
          <w:pPr>
            <w:pStyle w:val="TOC2"/>
            <w:rPr>
              <w:rFonts w:eastAsiaTheme="minorEastAsia" w:cstheme="minorBidi"/>
              <w:b w:val="0"/>
              <w:color w:val="auto"/>
              <w:sz w:val="22"/>
              <w:szCs w:val="22"/>
            </w:rPr>
          </w:pPr>
          <w:hyperlink w:anchor="_Toc113271030" w:history="1">
            <w:r w:rsidR="00675EEE" w:rsidRPr="000342AC">
              <w:rPr>
                <w:rStyle w:val="Hyperlink"/>
              </w:rPr>
              <w:t>4.7 Beech Finger-fern </w:t>
            </w:r>
            <w:r w:rsidR="00675EEE" w:rsidRPr="000342AC">
              <w:rPr>
                <w:rStyle w:val="Hyperlink"/>
                <w:i/>
                <w:iCs/>
              </w:rPr>
              <w:t>(Notogrammitis angustifolia</w:t>
            </w:r>
            <w:r w:rsidR="00675EEE" w:rsidRPr="000342AC">
              <w:rPr>
                <w:rStyle w:val="Hyperlink"/>
              </w:rPr>
              <w:t xml:space="preserve"> subsp. </w:t>
            </w:r>
            <w:r w:rsidR="00675EEE" w:rsidRPr="000342AC">
              <w:rPr>
                <w:rStyle w:val="Hyperlink"/>
                <w:i/>
                <w:iCs/>
              </w:rPr>
              <w:t>nothofageti)</w:t>
            </w:r>
            <w:r w:rsidR="00675EEE">
              <w:rPr>
                <w:webHidden/>
              </w:rPr>
              <w:tab/>
            </w:r>
            <w:r w:rsidR="00675EEE">
              <w:rPr>
                <w:webHidden/>
              </w:rPr>
              <w:fldChar w:fldCharType="begin"/>
            </w:r>
            <w:r w:rsidR="00675EEE">
              <w:rPr>
                <w:webHidden/>
              </w:rPr>
              <w:instrText xml:space="preserve"> PAGEREF _Toc113271030 \h </w:instrText>
            </w:r>
            <w:r w:rsidR="00675EEE">
              <w:rPr>
                <w:webHidden/>
              </w:rPr>
            </w:r>
            <w:r w:rsidR="00675EEE">
              <w:rPr>
                <w:webHidden/>
              </w:rPr>
              <w:fldChar w:fldCharType="separate"/>
            </w:r>
            <w:r w:rsidR="00675EEE">
              <w:rPr>
                <w:webHidden/>
              </w:rPr>
              <w:t>45</w:t>
            </w:r>
            <w:r w:rsidR="00675EEE">
              <w:rPr>
                <w:webHidden/>
              </w:rPr>
              <w:fldChar w:fldCharType="end"/>
            </w:r>
          </w:hyperlink>
        </w:p>
        <w:p w14:paraId="5A789C4B" w14:textId="6862AAFC" w:rsidR="00675EEE" w:rsidRDefault="00460D1B">
          <w:pPr>
            <w:pStyle w:val="TOC2"/>
            <w:rPr>
              <w:rFonts w:eastAsiaTheme="minorEastAsia" w:cstheme="minorBidi"/>
              <w:b w:val="0"/>
              <w:color w:val="auto"/>
              <w:sz w:val="22"/>
              <w:szCs w:val="22"/>
            </w:rPr>
          </w:pPr>
          <w:hyperlink w:anchor="_Toc113271031" w:history="1">
            <w:r w:rsidR="00675EEE" w:rsidRPr="000342AC">
              <w:rPr>
                <w:rStyle w:val="Hyperlink"/>
              </w:rPr>
              <w:t>4.8 Black Bog-sedge (</w:t>
            </w:r>
            <w:r w:rsidR="00675EEE" w:rsidRPr="000342AC">
              <w:rPr>
                <w:rStyle w:val="Hyperlink"/>
                <w:i/>
                <w:iCs/>
              </w:rPr>
              <w:t>Schoenus melanostachys</w:t>
            </w:r>
            <w:r w:rsidR="00675EEE" w:rsidRPr="000342AC">
              <w:rPr>
                <w:rStyle w:val="Hyperlink"/>
              </w:rPr>
              <w:t>)</w:t>
            </w:r>
            <w:r w:rsidR="00675EEE">
              <w:rPr>
                <w:webHidden/>
              </w:rPr>
              <w:tab/>
            </w:r>
            <w:r w:rsidR="00675EEE">
              <w:rPr>
                <w:webHidden/>
              </w:rPr>
              <w:fldChar w:fldCharType="begin"/>
            </w:r>
            <w:r w:rsidR="00675EEE">
              <w:rPr>
                <w:webHidden/>
              </w:rPr>
              <w:instrText xml:space="preserve"> PAGEREF _Toc113271031 \h </w:instrText>
            </w:r>
            <w:r w:rsidR="00675EEE">
              <w:rPr>
                <w:webHidden/>
              </w:rPr>
            </w:r>
            <w:r w:rsidR="00675EEE">
              <w:rPr>
                <w:webHidden/>
              </w:rPr>
              <w:fldChar w:fldCharType="separate"/>
            </w:r>
            <w:r w:rsidR="00675EEE">
              <w:rPr>
                <w:webHidden/>
              </w:rPr>
              <w:t>49</w:t>
            </w:r>
            <w:r w:rsidR="00675EEE">
              <w:rPr>
                <w:webHidden/>
              </w:rPr>
              <w:fldChar w:fldCharType="end"/>
            </w:r>
          </w:hyperlink>
        </w:p>
        <w:p w14:paraId="6010BE4A" w14:textId="2829EC90" w:rsidR="00675EEE" w:rsidRDefault="00460D1B">
          <w:pPr>
            <w:pStyle w:val="TOC2"/>
            <w:rPr>
              <w:rFonts w:eastAsiaTheme="minorEastAsia" w:cstheme="minorBidi"/>
              <w:b w:val="0"/>
              <w:color w:val="auto"/>
              <w:sz w:val="22"/>
              <w:szCs w:val="22"/>
            </w:rPr>
          </w:pPr>
          <w:hyperlink w:anchor="_Toc113271032" w:history="1">
            <w:r w:rsidR="00675EEE" w:rsidRPr="000342AC">
              <w:rPr>
                <w:rStyle w:val="Hyperlink"/>
              </w:rPr>
              <w:t>4.9 Bog Saw-sedge </w:t>
            </w:r>
            <w:r w:rsidR="00675EEE" w:rsidRPr="000342AC">
              <w:rPr>
                <w:rStyle w:val="Hyperlink"/>
                <w:i/>
                <w:iCs/>
              </w:rPr>
              <w:t>(Gahnia subaequiglumis)</w:t>
            </w:r>
            <w:r w:rsidR="00675EEE">
              <w:rPr>
                <w:webHidden/>
              </w:rPr>
              <w:tab/>
            </w:r>
            <w:r w:rsidR="00675EEE">
              <w:rPr>
                <w:webHidden/>
              </w:rPr>
              <w:fldChar w:fldCharType="begin"/>
            </w:r>
            <w:r w:rsidR="00675EEE">
              <w:rPr>
                <w:webHidden/>
              </w:rPr>
              <w:instrText xml:space="preserve"> PAGEREF _Toc113271032 \h </w:instrText>
            </w:r>
            <w:r w:rsidR="00675EEE">
              <w:rPr>
                <w:webHidden/>
              </w:rPr>
            </w:r>
            <w:r w:rsidR="00675EEE">
              <w:rPr>
                <w:webHidden/>
              </w:rPr>
              <w:fldChar w:fldCharType="separate"/>
            </w:r>
            <w:r w:rsidR="00675EEE">
              <w:rPr>
                <w:webHidden/>
              </w:rPr>
              <w:t>51</w:t>
            </w:r>
            <w:r w:rsidR="00675EEE">
              <w:rPr>
                <w:webHidden/>
              </w:rPr>
              <w:fldChar w:fldCharType="end"/>
            </w:r>
          </w:hyperlink>
        </w:p>
        <w:p w14:paraId="7D60FCF0" w14:textId="1FC1D1DD" w:rsidR="00675EEE" w:rsidRDefault="00460D1B">
          <w:pPr>
            <w:pStyle w:val="TOC2"/>
            <w:rPr>
              <w:rFonts w:eastAsiaTheme="minorEastAsia" w:cstheme="minorBidi"/>
              <w:b w:val="0"/>
              <w:color w:val="auto"/>
              <w:sz w:val="22"/>
              <w:szCs w:val="22"/>
            </w:rPr>
          </w:pPr>
          <w:hyperlink w:anchor="_Toc113271033" w:history="1">
            <w:r w:rsidR="00675EEE" w:rsidRPr="000342AC">
              <w:rPr>
                <w:rStyle w:val="Hyperlink"/>
              </w:rPr>
              <w:t>4.10 Bolwarra</w:t>
            </w:r>
            <w:r w:rsidR="00675EEE" w:rsidRPr="000342AC">
              <w:rPr>
                <w:rStyle w:val="Hyperlink"/>
                <w:i/>
                <w:iCs/>
              </w:rPr>
              <w:t xml:space="preserve"> (Eupomatia laurina)</w:t>
            </w:r>
            <w:r w:rsidR="00675EEE">
              <w:rPr>
                <w:webHidden/>
              </w:rPr>
              <w:tab/>
            </w:r>
            <w:r w:rsidR="00675EEE">
              <w:rPr>
                <w:webHidden/>
              </w:rPr>
              <w:fldChar w:fldCharType="begin"/>
            </w:r>
            <w:r w:rsidR="00675EEE">
              <w:rPr>
                <w:webHidden/>
              </w:rPr>
              <w:instrText xml:space="preserve"> PAGEREF _Toc113271033 \h </w:instrText>
            </w:r>
            <w:r w:rsidR="00675EEE">
              <w:rPr>
                <w:webHidden/>
              </w:rPr>
            </w:r>
            <w:r w:rsidR="00675EEE">
              <w:rPr>
                <w:webHidden/>
              </w:rPr>
              <w:fldChar w:fldCharType="separate"/>
            </w:r>
            <w:r w:rsidR="00675EEE">
              <w:rPr>
                <w:webHidden/>
              </w:rPr>
              <w:t>53</w:t>
            </w:r>
            <w:r w:rsidR="00675EEE">
              <w:rPr>
                <w:webHidden/>
              </w:rPr>
              <w:fldChar w:fldCharType="end"/>
            </w:r>
          </w:hyperlink>
        </w:p>
        <w:p w14:paraId="0CD47E26" w14:textId="40966AC0" w:rsidR="00675EEE" w:rsidRDefault="00460D1B">
          <w:pPr>
            <w:pStyle w:val="TOC2"/>
            <w:rPr>
              <w:rFonts w:eastAsiaTheme="minorEastAsia" w:cstheme="minorBidi"/>
              <w:b w:val="0"/>
              <w:color w:val="auto"/>
              <w:sz w:val="22"/>
              <w:szCs w:val="22"/>
            </w:rPr>
          </w:pPr>
          <w:hyperlink w:anchor="_Toc113271034" w:history="1">
            <w:r w:rsidR="00675EEE" w:rsidRPr="000342AC">
              <w:rPr>
                <w:rStyle w:val="Hyperlink"/>
              </w:rPr>
              <w:t>4.11 Brackish Plains Buttercup </w:t>
            </w:r>
            <w:r w:rsidR="00675EEE" w:rsidRPr="000342AC">
              <w:rPr>
                <w:rStyle w:val="Hyperlink"/>
                <w:i/>
                <w:iCs/>
              </w:rPr>
              <w:t>(Ranunculus diminutus)</w:t>
            </w:r>
            <w:r w:rsidR="00675EEE">
              <w:rPr>
                <w:webHidden/>
              </w:rPr>
              <w:tab/>
            </w:r>
            <w:r w:rsidR="00675EEE">
              <w:rPr>
                <w:webHidden/>
              </w:rPr>
              <w:fldChar w:fldCharType="begin"/>
            </w:r>
            <w:r w:rsidR="00675EEE">
              <w:rPr>
                <w:webHidden/>
              </w:rPr>
              <w:instrText xml:space="preserve"> PAGEREF _Toc113271034 \h </w:instrText>
            </w:r>
            <w:r w:rsidR="00675EEE">
              <w:rPr>
                <w:webHidden/>
              </w:rPr>
            </w:r>
            <w:r w:rsidR="00675EEE">
              <w:rPr>
                <w:webHidden/>
              </w:rPr>
              <w:fldChar w:fldCharType="separate"/>
            </w:r>
            <w:r w:rsidR="00675EEE">
              <w:rPr>
                <w:webHidden/>
              </w:rPr>
              <w:t>57</w:t>
            </w:r>
            <w:r w:rsidR="00675EEE">
              <w:rPr>
                <w:webHidden/>
              </w:rPr>
              <w:fldChar w:fldCharType="end"/>
            </w:r>
          </w:hyperlink>
        </w:p>
        <w:p w14:paraId="4EF82E21" w14:textId="7D09C89D" w:rsidR="00675EEE" w:rsidRDefault="00460D1B">
          <w:pPr>
            <w:pStyle w:val="TOC2"/>
            <w:rPr>
              <w:rFonts w:eastAsiaTheme="minorEastAsia" w:cstheme="minorBidi"/>
              <w:b w:val="0"/>
              <w:color w:val="auto"/>
              <w:sz w:val="22"/>
              <w:szCs w:val="22"/>
            </w:rPr>
          </w:pPr>
          <w:hyperlink w:anchor="_Toc113271035" w:history="1">
            <w:r w:rsidR="00675EEE" w:rsidRPr="000342AC">
              <w:rPr>
                <w:rStyle w:val="Hyperlink"/>
              </w:rPr>
              <w:t>4.12 Bristly Shield-fern </w:t>
            </w:r>
            <w:r w:rsidR="00675EEE" w:rsidRPr="000342AC">
              <w:rPr>
                <w:rStyle w:val="Hyperlink"/>
                <w:i/>
                <w:iCs/>
              </w:rPr>
              <w:t>(Lastreopsis hispida)</w:t>
            </w:r>
            <w:r w:rsidR="00675EEE">
              <w:rPr>
                <w:webHidden/>
              </w:rPr>
              <w:tab/>
            </w:r>
            <w:r w:rsidR="00675EEE">
              <w:rPr>
                <w:webHidden/>
              </w:rPr>
              <w:fldChar w:fldCharType="begin"/>
            </w:r>
            <w:r w:rsidR="00675EEE">
              <w:rPr>
                <w:webHidden/>
              </w:rPr>
              <w:instrText xml:space="preserve"> PAGEREF _Toc113271035 \h </w:instrText>
            </w:r>
            <w:r w:rsidR="00675EEE">
              <w:rPr>
                <w:webHidden/>
              </w:rPr>
            </w:r>
            <w:r w:rsidR="00675EEE">
              <w:rPr>
                <w:webHidden/>
              </w:rPr>
              <w:fldChar w:fldCharType="separate"/>
            </w:r>
            <w:r w:rsidR="00675EEE">
              <w:rPr>
                <w:webHidden/>
              </w:rPr>
              <w:t>61</w:t>
            </w:r>
            <w:r w:rsidR="00675EEE">
              <w:rPr>
                <w:webHidden/>
              </w:rPr>
              <w:fldChar w:fldCharType="end"/>
            </w:r>
          </w:hyperlink>
        </w:p>
        <w:p w14:paraId="220E75EA" w14:textId="7FBE1449" w:rsidR="00675EEE" w:rsidRDefault="00460D1B">
          <w:pPr>
            <w:pStyle w:val="TOC2"/>
            <w:rPr>
              <w:rFonts w:eastAsiaTheme="minorEastAsia" w:cstheme="minorBidi"/>
              <w:b w:val="0"/>
              <w:color w:val="auto"/>
              <w:sz w:val="22"/>
              <w:szCs w:val="22"/>
            </w:rPr>
          </w:pPr>
          <w:hyperlink w:anchor="_Toc113271036" w:history="1">
            <w:r w:rsidR="00675EEE" w:rsidRPr="000342AC">
              <w:rPr>
                <w:rStyle w:val="Hyperlink"/>
              </w:rPr>
              <w:t>4.13 Creeping Shield-fern </w:t>
            </w:r>
            <w:r w:rsidR="00675EEE" w:rsidRPr="000342AC">
              <w:rPr>
                <w:rStyle w:val="Hyperlink"/>
                <w:i/>
                <w:iCs/>
              </w:rPr>
              <w:t xml:space="preserve">(Lastreopsis microsora </w:t>
            </w:r>
            <w:r w:rsidR="00675EEE" w:rsidRPr="000342AC">
              <w:rPr>
                <w:rStyle w:val="Hyperlink"/>
              </w:rPr>
              <w:t xml:space="preserve">subsp. </w:t>
            </w:r>
            <w:r w:rsidR="00675EEE" w:rsidRPr="000342AC">
              <w:rPr>
                <w:rStyle w:val="Hyperlink"/>
                <w:i/>
                <w:iCs/>
              </w:rPr>
              <w:t>microsora)</w:t>
            </w:r>
            <w:r w:rsidR="00675EEE">
              <w:rPr>
                <w:webHidden/>
              </w:rPr>
              <w:tab/>
            </w:r>
            <w:r w:rsidR="00675EEE">
              <w:rPr>
                <w:webHidden/>
              </w:rPr>
              <w:fldChar w:fldCharType="begin"/>
            </w:r>
            <w:r w:rsidR="00675EEE">
              <w:rPr>
                <w:webHidden/>
              </w:rPr>
              <w:instrText xml:space="preserve"> PAGEREF _Toc113271036 \h </w:instrText>
            </w:r>
            <w:r w:rsidR="00675EEE">
              <w:rPr>
                <w:webHidden/>
              </w:rPr>
            </w:r>
            <w:r w:rsidR="00675EEE">
              <w:rPr>
                <w:webHidden/>
              </w:rPr>
              <w:fldChar w:fldCharType="separate"/>
            </w:r>
            <w:r w:rsidR="00675EEE">
              <w:rPr>
                <w:webHidden/>
              </w:rPr>
              <w:t>65</w:t>
            </w:r>
            <w:r w:rsidR="00675EEE">
              <w:rPr>
                <w:webHidden/>
              </w:rPr>
              <w:fldChar w:fldCharType="end"/>
            </w:r>
          </w:hyperlink>
        </w:p>
        <w:p w14:paraId="1FCE6841" w14:textId="0B5487CA" w:rsidR="00675EEE" w:rsidRDefault="00460D1B">
          <w:pPr>
            <w:pStyle w:val="TOC2"/>
            <w:rPr>
              <w:rFonts w:eastAsiaTheme="minorEastAsia" w:cstheme="minorBidi"/>
              <w:b w:val="0"/>
              <w:color w:val="auto"/>
              <w:sz w:val="22"/>
              <w:szCs w:val="22"/>
            </w:rPr>
          </w:pPr>
          <w:hyperlink w:anchor="_Toc113271037" w:history="1">
            <w:r w:rsidR="00675EEE" w:rsidRPr="000342AC">
              <w:rPr>
                <w:rStyle w:val="Hyperlink"/>
              </w:rPr>
              <w:t xml:space="preserve">4.14 Eastern Pomaderris </w:t>
            </w:r>
            <w:r w:rsidR="00675EEE" w:rsidRPr="000342AC">
              <w:rPr>
                <w:rStyle w:val="Hyperlink"/>
                <w:i/>
                <w:iCs/>
              </w:rPr>
              <w:t>(Pomaderris discolor)</w:t>
            </w:r>
            <w:r w:rsidR="00675EEE">
              <w:rPr>
                <w:webHidden/>
              </w:rPr>
              <w:tab/>
            </w:r>
            <w:r w:rsidR="00675EEE">
              <w:rPr>
                <w:webHidden/>
              </w:rPr>
              <w:fldChar w:fldCharType="begin"/>
            </w:r>
            <w:r w:rsidR="00675EEE">
              <w:rPr>
                <w:webHidden/>
              </w:rPr>
              <w:instrText xml:space="preserve"> PAGEREF _Toc113271037 \h </w:instrText>
            </w:r>
            <w:r w:rsidR="00675EEE">
              <w:rPr>
                <w:webHidden/>
              </w:rPr>
            </w:r>
            <w:r w:rsidR="00675EEE">
              <w:rPr>
                <w:webHidden/>
              </w:rPr>
              <w:fldChar w:fldCharType="separate"/>
            </w:r>
            <w:r w:rsidR="00675EEE">
              <w:rPr>
                <w:webHidden/>
              </w:rPr>
              <w:t>69</w:t>
            </w:r>
            <w:r w:rsidR="00675EEE">
              <w:rPr>
                <w:webHidden/>
              </w:rPr>
              <w:fldChar w:fldCharType="end"/>
            </w:r>
          </w:hyperlink>
        </w:p>
        <w:p w14:paraId="4C823BB6" w14:textId="5F750E2C" w:rsidR="00675EEE" w:rsidRDefault="00460D1B">
          <w:pPr>
            <w:pStyle w:val="TOC2"/>
            <w:rPr>
              <w:rFonts w:eastAsiaTheme="minorEastAsia" w:cstheme="minorBidi"/>
              <w:b w:val="0"/>
              <w:color w:val="auto"/>
              <w:sz w:val="22"/>
              <w:szCs w:val="22"/>
            </w:rPr>
          </w:pPr>
          <w:hyperlink w:anchor="_Toc113271038" w:history="1">
            <w:r w:rsidR="00675EEE" w:rsidRPr="000342AC">
              <w:rPr>
                <w:rStyle w:val="Hyperlink"/>
              </w:rPr>
              <w:t>4.15 Errinundra Pepper </w:t>
            </w:r>
            <w:r w:rsidR="00675EEE" w:rsidRPr="000342AC">
              <w:rPr>
                <w:rStyle w:val="Hyperlink"/>
                <w:i/>
                <w:iCs/>
              </w:rPr>
              <w:t>(Tasmannia xerophila</w:t>
            </w:r>
            <w:r w:rsidR="00675EEE" w:rsidRPr="000342AC">
              <w:rPr>
                <w:rStyle w:val="Hyperlink"/>
              </w:rPr>
              <w:t xml:space="preserve"> subsp</w:t>
            </w:r>
            <w:r w:rsidR="00675EEE" w:rsidRPr="000342AC">
              <w:rPr>
                <w:rStyle w:val="Hyperlink"/>
                <w:i/>
                <w:iCs/>
              </w:rPr>
              <w:t>. robusta)</w:t>
            </w:r>
            <w:r w:rsidR="00675EEE">
              <w:rPr>
                <w:webHidden/>
              </w:rPr>
              <w:tab/>
            </w:r>
            <w:r w:rsidR="00675EEE">
              <w:rPr>
                <w:webHidden/>
              </w:rPr>
              <w:fldChar w:fldCharType="begin"/>
            </w:r>
            <w:r w:rsidR="00675EEE">
              <w:rPr>
                <w:webHidden/>
              </w:rPr>
              <w:instrText xml:space="preserve"> PAGEREF _Toc113271038 \h </w:instrText>
            </w:r>
            <w:r w:rsidR="00675EEE">
              <w:rPr>
                <w:webHidden/>
              </w:rPr>
            </w:r>
            <w:r w:rsidR="00675EEE">
              <w:rPr>
                <w:webHidden/>
              </w:rPr>
              <w:fldChar w:fldCharType="separate"/>
            </w:r>
            <w:r w:rsidR="00675EEE">
              <w:rPr>
                <w:webHidden/>
              </w:rPr>
              <w:t>71</w:t>
            </w:r>
            <w:r w:rsidR="00675EEE">
              <w:rPr>
                <w:webHidden/>
              </w:rPr>
              <w:fldChar w:fldCharType="end"/>
            </w:r>
          </w:hyperlink>
        </w:p>
        <w:p w14:paraId="3B399480" w14:textId="25CA499C" w:rsidR="00675EEE" w:rsidRDefault="00460D1B">
          <w:pPr>
            <w:pStyle w:val="TOC2"/>
            <w:rPr>
              <w:rFonts w:eastAsiaTheme="minorEastAsia" w:cstheme="minorBidi"/>
              <w:b w:val="0"/>
              <w:color w:val="auto"/>
              <w:sz w:val="22"/>
              <w:szCs w:val="22"/>
            </w:rPr>
          </w:pPr>
          <w:hyperlink w:anchor="_Toc113271039" w:history="1">
            <w:r w:rsidR="00675EEE" w:rsidRPr="000342AC">
              <w:rPr>
                <w:rStyle w:val="Hyperlink"/>
              </w:rPr>
              <w:t>4.16 Errinundra Shining Gum </w:t>
            </w:r>
            <w:r w:rsidR="00675EEE" w:rsidRPr="000342AC">
              <w:rPr>
                <w:rStyle w:val="Hyperlink"/>
                <w:i/>
                <w:iCs/>
              </w:rPr>
              <w:t>(Eucalyptus denticulata)</w:t>
            </w:r>
            <w:r w:rsidR="00675EEE">
              <w:rPr>
                <w:webHidden/>
              </w:rPr>
              <w:tab/>
            </w:r>
            <w:r w:rsidR="00675EEE">
              <w:rPr>
                <w:webHidden/>
              </w:rPr>
              <w:fldChar w:fldCharType="begin"/>
            </w:r>
            <w:r w:rsidR="00675EEE">
              <w:rPr>
                <w:webHidden/>
              </w:rPr>
              <w:instrText xml:space="preserve"> PAGEREF _Toc113271039 \h </w:instrText>
            </w:r>
            <w:r w:rsidR="00675EEE">
              <w:rPr>
                <w:webHidden/>
              </w:rPr>
            </w:r>
            <w:r w:rsidR="00675EEE">
              <w:rPr>
                <w:webHidden/>
              </w:rPr>
              <w:fldChar w:fldCharType="separate"/>
            </w:r>
            <w:r w:rsidR="00675EEE">
              <w:rPr>
                <w:webHidden/>
              </w:rPr>
              <w:t>74</w:t>
            </w:r>
            <w:r w:rsidR="00675EEE">
              <w:rPr>
                <w:webHidden/>
              </w:rPr>
              <w:fldChar w:fldCharType="end"/>
            </w:r>
          </w:hyperlink>
        </w:p>
        <w:p w14:paraId="2B02D51B" w14:textId="4E6DA680" w:rsidR="00675EEE" w:rsidRDefault="00460D1B">
          <w:pPr>
            <w:pStyle w:val="TOC2"/>
            <w:rPr>
              <w:rFonts w:eastAsiaTheme="minorEastAsia" w:cstheme="minorBidi"/>
              <w:b w:val="0"/>
              <w:color w:val="auto"/>
              <w:sz w:val="22"/>
              <w:szCs w:val="22"/>
            </w:rPr>
          </w:pPr>
          <w:hyperlink w:anchor="_Toc113271040" w:history="1">
            <w:r w:rsidR="00675EEE" w:rsidRPr="000342AC">
              <w:rPr>
                <w:rStyle w:val="Hyperlink"/>
              </w:rPr>
              <w:t>4.17 Finger Hakea </w:t>
            </w:r>
            <w:r w:rsidR="00675EEE" w:rsidRPr="000342AC">
              <w:rPr>
                <w:rStyle w:val="Hyperlink"/>
                <w:i/>
                <w:iCs/>
              </w:rPr>
              <w:t>(Hakea dactyloides)</w:t>
            </w:r>
            <w:r w:rsidR="00675EEE">
              <w:rPr>
                <w:webHidden/>
              </w:rPr>
              <w:tab/>
            </w:r>
            <w:r w:rsidR="00675EEE">
              <w:rPr>
                <w:webHidden/>
              </w:rPr>
              <w:fldChar w:fldCharType="begin"/>
            </w:r>
            <w:r w:rsidR="00675EEE">
              <w:rPr>
                <w:webHidden/>
              </w:rPr>
              <w:instrText xml:space="preserve"> PAGEREF _Toc113271040 \h </w:instrText>
            </w:r>
            <w:r w:rsidR="00675EEE">
              <w:rPr>
                <w:webHidden/>
              </w:rPr>
            </w:r>
            <w:r w:rsidR="00675EEE">
              <w:rPr>
                <w:webHidden/>
              </w:rPr>
              <w:fldChar w:fldCharType="separate"/>
            </w:r>
            <w:r w:rsidR="00675EEE">
              <w:rPr>
                <w:webHidden/>
              </w:rPr>
              <w:t>77</w:t>
            </w:r>
            <w:r w:rsidR="00675EEE">
              <w:rPr>
                <w:webHidden/>
              </w:rPr>
              <w:fldChar w:fldCharType="end"/>
            </w:r>
          </w:hyperlink>
        </w:p>
        <w:p w14:paraId="26B64826" w14:textId="18E57588" w:rsidR="00675EEE" w:rsidRDefault="00460D1B">
          <w:pPr>
            <w:pStyle w:val="TOC2"/>
            <w:rPr>
              <w:rFonts w:eastAsiaTheme="minorEastAsia" w:cstheme="minorBidi"/>
              <w:b w:val="0"/>
              <w:color w:val="auto"/>
              <w:sz w:val="22"/>
              <w:szCs w:val="22"/>
            </w:rPr>
          </w:pPr>
          <w:hyperlink w:anchor="_Toc113271041" w:history="1">
            <w:r w:rsidR="00675EEE" w:rsidRPr="000342AC">
              <w:rPr>
                <w:rStyle w:val="Hyperlink"/>
              </w:rPr>
              <w:t>4.18</w:t>
            </w:r>
            <w:r w:rsidR="00675EEE" w:rsidRPr="000342AC">
              <w:rPr>
                <w:rStyle w:val="Hyperlink"/>
                <w:iCs/>
              </w:rPr>
              <w:t xml:space="preserve"> Fingerwort</w:t>
            </w:r>
            <w:r w:rsidR="00675EEE" w:rsidRPr="000342AC">
              <w:rPr>
                <w:rStyle w:val="Hyperlink"/>
                <w:i/>
              </w:rPr>
              <w:t xml:space="preserve"> (Lepidozia procera)</w:t>
            </w:r>
            <w:r w:rsidR="00675EEE">
              <w:rPr>
                <w:webHidden/>
              </w:rPr>
              <w:tab/>
            </w:r>
            <w:r w:rsidR="00675EEE">
              <w:rPr>
                <w:webHidden/>
              </w:rPr>
              <w:fldChar w:fldCharType="begin"/>
            </w:r>
            <w:r w:rsidR="00675EEE">
              <w:rPr>
                <w:webHidden/>
              </w:rPr>
              <w:instrText xml:space="preserve"> PAGEREF _Toc113271041 \h </w:instrText>
            </w:r>
            <w:r w:rsidR="00675EEE">
              <w:rPr>
                <w:webHidden/>
              </w:rPr>
            </w:r>
            <w:r w:rsidR="00675EEE">
              <w:rPr>
                <w:webHidden/>
              </w:rPr>
              <w:fldChar w:fldCharType="separate"/>
            </w:r>
            <w:r w:rsidR="00675EEE">
              <w:rPr>
                <w:webHidden/>
              </w:rPr>
              <w:t>81</w:t>
            </w:r>
            <w:r w:rsidR="00675EEE">
              <w:rPr>
                <w:webHidden/>
              </w:rPr>
              <w:fldChar w:fldCharType="end"/>
            </w:r>
          </w:hyperlink>
        </w:p>
        <w:p w14:paraId="39FA9D64" w14:textId="1CF9F92F" w:rsidR="00675EEE" w:rsidRDefault="00460D1B">
          <w:pPr>
            <w:pStyle w:val="TOC2"/>
            <w:rPr>
              <w:rFonts w:eastAsiaTheme="minorEastAsia" w:cstheme="minorBidi"/>
              <w:b w:val="0"/>
              <w:color w:val="auto"/>
              <w:sz w:val="22"/>
              <w:szCs w:val="22"/>
            </w:rPr>
          </w:pPr>
          <w:hyperlink w:anchor="_Toc113271042" w:history="1">
            <w:r w:rsidR="00675EEE" w:rsidRPr="000342AC">
              <w:rPr>
                <w:rStyle w:val="Hyperlink"/>
              </w:rPr>
              <w:t xml:space="preserve">4.19 Flat Raspwort </w:t>
            </w:r>
            <w:r w:rsidR="00675EEE" w:rsidRPr="000342AC">
              <w:rPr>
                <w:rStyle w:val="Hyperlink"/>
                <w:i/>
                <w:iCs/>
              </w:rPr>
              <w:t>(Gonocarpus serpyllifolius)</w:t>
            </w:r>
            <w:r w:rsidR="00675EEE">
              <w:rPr>
                <w:webHidden/>
              </w:rPr>
              <w:tab/>
            </w:r>
            <w:r w:rsidR="00675EEE">
              <w:rPr>
                <w:webHidden/>
              </w:rPr>
              <w:fldChar w:fldCharType="begin"/>
            </w:r>
            <w:r w:rsidR="00675EEE">
              <w:rPr>
                <w:webHidden/>
              </w:rPr>
              <w:instrText xml:space="preserve"> PAGEREF _Toc113271042 \h </w:instrText>
            </w:r>
            <w:r w:rsidR="00675EEE">
              <w:rPr>
                <w:webHidden/>
              </w:rPr>
            </w:r>
            <w:r w:rsidR="00675EEE">
              <w:rPr>
                <w:webHidden/>
              </w:rPr>
              <w:fldChar w:fldCharType="separate"/>
            </w:r>
            <w:r w:rsidR="00675EEE">
              <w:rPr>
                <w:webHidden/>
              </w:rPr>
              <w:t>84</w:t>
            </w:r>
            <w:r w:rsidR="00675EEE">
              <w:rPr>
                <w:webHidden/>
              </w:rPr>
              <w:fldChar w:fldCharType="end"/>
            </w:r>
          </w:hyperlink>
        </w:p>
        <w:p w14:paraId="5E74D906" w14:textId="73705BD5" w:rsidR="00675EEE" w:rsidRDefault="00460D1B">
          <w:pPr>
            <w:pStyle w:val="TOC2"/>
            <w:rPr>
              <w:rFonts w:eastAsiaTheme="minorEastAsia" w:cstheme="minorBidi"/>
              <w:b w:val="0"/>
              <w:color w:val="auto"/>
              <w:sz w:val="22"/>
              <w:szCs w:val="22"/>
            </w:rPr>
          </w:pPr>
          <w:hyperlink w:anchor="_Toc113271043" w:history="1">
            <w:r w:rsidR="00675EEE" w:rsidRPr="000342AC">
              <w:rPr>
                <w:rStyle w:val="Hyperlink"/>
              </w:rPr>
              <w:t xml:space="preserve">4.20 Floodplain Violet </w:t>
            </w:r>
            <w:r w:rsidR="00675EEE" w:rsidRPr="000342AC">
              <w:rPr>
                <w:rStyle w:val="Hyperlink"/>
                <w:i/>
                <w:iCs/>
              </w:rPr>
              <w:t>(Viola betonicifolia</w:t>
            </w:r>
            <w:r w:rsidR="00675EEE" w:rsidRPr="000342AC">
              <w:rPr>
                <w:rStyle w:val="Hyperlink"/>
              </w:rPr>
              <w:t xml:space="preserve"> subsp. </w:t>
            </w:r>
            <w:r w:rsidR="00675EEE" w:rsidRPr="000342AC">
              <w:rPr>
                <w:rStyle w:val="Hyperlink"/>
                <w:i/>
                <w:iCs/>
              </w:rPr>
              <w:t>novaguineensis)</w:t>
            </w:r>
            <w:r w:rsidR="00675EEE">
              <w:rPr>
                <w:webHidden/>
              </w:rPr>
              <w:tab/>
            </w:r>
            <w:r w:rsidR="00675EEE">
              <w:rPr>
                <w:webHidden/>
              </w:rPr>
              <w:fldChar w:fldCharType="begin"/>
            </w:r>
            <w:r w:rsidR="00675EEE">
              <w:rPr>
                <w:webHidden/>
              </w:rPr>
              <w:instrText xml:space="preserve"> PAGEREF _Toc113271043 \h </w:instrText>
            </w:r>
            <w:r w:rsidR="00675EEE">
              <w:rPr>
                <w:webHidden/>
              </w:rPr>
            </w:r>
            <w:r w:rsidR="00675EEE">
              <w:rPr>
                <w:webHidden/>
              </w:rPr>
              <w:fldChar w:fldCharType="separate"/>
            </w:r>
            <w:r w:rsidR="00675EEE">
              <w:rPr>
                <w:webHidden/>
              </w:rPr>
              <w:t>86</w:t>
            </w:r>
            <w:r w:rsidR="00675EEE">
              <w:rPr>
                <w:webHidden/>
              </w:rPr>
              <w:fldChar w:fldCharType="end"/>
            </w:r>
          </w:hyperlink>
        </w:p>
        <w:p w14:paraId="43B690E6" w14:textId="1E6FB277" w:rsidR="00675EEE" w:rsidRDefault="00460D1B">
          <w:pPr>
            <w:pStyle w:val="TOC2"/>
            <w:rPr>
              <w:rFonts w:eastAsiaTheme="minorEastAsia" w:cstheme="minorBidi"/>
              <w:b w:val="0"/>
              <w:color w:val="auto"/>
              <w:sz w:val="22"/>
              <w:szCs w:val="22"/>
            </w:rPr>
          </w:pPr>
          <w:hyperlink w:anchor="_Toc113271044" w:history="1">
            <w:r w:rsidR="00675EEE" w:rsidRPr="000342AC">
              <w:rPr>
                <w:rStyle w:val="Hyperlink"/>
              </w:rPr>
              <w:t>4.21</w:t>
            </w:r>
            <w:r w:rsidR="00675EEE" w:rsidRPr="000342AC">
              <w:rPr>
                <w:rStyle w:val="Hyperlink"/>
                <w:i/>
                <w:iCs/>
              </w:rPr>
              <w:t xml:space="preserve"> </w:t>
            </w:r>
            <w:r w:rsidR="00675EEE" w:rsidRPr="000342AC">
              <w:rPr>
                <w:rStyle w:val="Hyperlink"/>
              </w:rPr>
              <w:t>Forest Geebung </w:t>
            </w:r>
            <w:r w:rsidR="00675EEE" w:rsidRPr="000342AC">
              <w:rPr>
                <w:rStyle w:val="Hyperlink"/>
                <w:i/>
                <w:iCs/>
              </w:rPr>
              <w:t>(Persoonia silvatica)</w:t>
            </w:r>
            <w:r w:rsidR="00675EEE">
              <w:rPr>
                <w:webHidden/>
              </w:rPr>
              <w:tab/>
            </w:r>
            <w:r w:rsidR="00675EEE">
              <w:rPr>
                <w:webHidden/>
              </w:rPr>
              <w:fldChar w:fldCharType="begin"/>
            </w:r>
            <w:r w:rsidR="00675EEE">
              <w:rPr>
                <w:webHidden/>
              </w:rPr>
              <w:instrText xml:space="preserve"> PAGEREF _Toc113271044 \h </w:instrText>
            </w:r>
            <w:r w:rsidR="00675EEE">
              <w:rPr>
                <w:webHidden/>
              </w:rPr>
            </w:r>
            <w:r w:rsidR="00675EEE">
              <w:rPr>
                <w:webHidden/>
              </w:rPr>
              <w:fldChar w:fldCharType="separate"/>
            </w:r>
            <w:r w:rsidR="00675EEE">
              <w:rPr>
                <w:webHidden/>
              </w:rPr>
              <w:t>91</w:t>
            </w:r>
            <w:r w:rsidR="00675EEE">
              <w:rPr>
                <w:webHidden/>
              </w:rPr>
              <w:fldChar w:fldCharType="end"/>
            </w:r>
          </w:hyperlink>
        </w:p>
        <w:p w14:paraId="4DE1999A" w14:textId="29B122BA" w:rsidR="00675EEE" w:rsidRDefault="00460D1B">
          <w:pPr>
            <w:pStyle w:val="TOC2"/>
            <w:rPr>
              <w:rFonts w:eastAsiaTheme="minorEastAsia" w:cstheme="minorBidi"/>
              <w:b w:val="0"/>
              <w:color w:val="auto"/>
              <w:sz w:val="22"/>
              <w:szCs w:val="22"/>
            </w:rPr>
          </w:pPr>
          <w:hyperlink w:anchor="_Toc113271045" w:history="1">
            <w:r w:rsidR="00675EEE" w:rsidRPr="000342AC">
              <w:rPr>
                <w:rStyle w:val="Hyperlink"/>
              </w:rPr>
              <w:t>4.22 Forest Phebalium </w:t>
            </w:r>
            <w:r w:rsidR="00675EEE" w:rsidRPr="000342AC">
              <w:rPr>
                <w:rStyle w:val="Hyperlink"/>
                <w:i/>
                <w:iCs/>
              </w:rPr>
              <w:t>(Phebalium squamulosum</w:t>
            </w:r>
            <w:r w:rsidR="00675EEE" w:rsidRPr="000342AC">
              <w:rPr>
                <w:rStyle w:val="Hyperlink"/>
              </w:rPr>
              <w:t xml:space="preserve"> subsp. </w:t>
            </w:r>
            <w:r w:rsidR="00675EEE" w:rsidRPr="000342AC">
              <w:rPr>
                <w:rStyle w:val="Hyperlink"/>
                <w:i/>
                <w:iCs/>
              </w:rPr>
              <w:t>squamulosum)</w:t>
            </w:r>
            <w:r w:rsidR="00675EEE">
              <w:rPr>
                <w:webHidden/>
              </w:rPr>
              <w:tab/>
            </w:r>
            <w:r w:rsidR="00675EEE">
              <w:rPr>
                <w:webHidden/>
              </w:rPr>
              <w:fldChar w:fldCharType="begin"/>
            </w:r>
            <w:r w:rsidR="00675EEE">
              <w:rPr>
                <w:webHidden/>
              </w:rPr>
              <w:instrText xml:space="preserve"> PAGEREF _Toc113271045 \h </w:instrText>
            </w:r>
            <w:r w:rsidR="00675EEE">
              <w:rPr>
                <w:webHidden/>
              </w:rPr>
            </w:r>
            <w:r w:rsidR="00675EEE">
              <w:rPr>
                <w:webHidden/>
              </w:rPr>
              <w:fldChar w:fldCharType="separate"/>
            </w:r>
            <w:r w:rsidR="00675EEE">
              <w:rPr>
                <w:webHidden/>
              </w:rPr>
              <w:t>95</w:t>
            </w:r>
            <w:r w:rsidR="00675EEE">
              <w:rPr>
                <w:webHidden/>
              </w:rPr>
              <w:fldChar w:fldCharType="end"/>
            </w:r>
          </w:hyperlink>
        </w:p>
        <w:p w14:paraId="62CE7ED0" w14:textId="618077DD" w:rsidR="00675EEE" w:rsidRDefault="00460D1B">
          <w:pPr>
            <w:pStyle w:val="TOC2"/>
            <w:rPr>
              <w:rFonts w:eastAsiaTheme="minorEastAsia" w:cstheme="minorBidi"/>
              <w:b w:val="0"/>
              <w:color w:val="auto"/>
              <w:sz w:val="22"/>
              <w:szCs w:val="22"/>
            </w:rPr>
          </w:pPr>
          <w:hyperlink w:anchor="_Toc113271046" w:history="1">
            <w:r w:rsidR="00675EEE" w:rsidRPr="000342AC">
              <w:rPr>
                <w:rStyle w:val="Hyperlink"/>
              </w:rPr>
              <w:t xml:space="preserve">4.23 Forest Sedge </w:t>
            </w:r>
            <w:r w:rsidR="00675EEE" w:rsidRPr="000342AC">
              <w:rPr>
                <w:rStyle w:val="Hyperlink"/>
                <w:i/>
                <w:iCs/>
              </w:rPr>
              <w:t>(Carex alsophila)</w:t>
            </w:r>
            <w:r w:rsidR="00675EEE">
              <w:rPr>
                <w:webHidden/>
              </w:rPr>
              <w:tab/>
            </w:r>
            <w:r w:rsidR="00675EEE">
              <w:rPr>
                <w:webHidden/>
              </w:rPr>
              <w:fldChar w:fldCharType="begin"/>
            </w:r>
            <w:r w:rsidR="00675EEE">
              <w:rPr>
                <w:webHidden/>
              </w:rPr>
              <w:instrText xml:space="preserve"> PAGEREF _Toc113271046 \h </w:instrText>
            </w:r>
            <w:r w:rsidR="00675EEE">
              <w:rPr>
                <w:webHidden/>
              </w:rPr>
            </w:r>
            <w:r w:rsidR="00675EEE">
              <w:rPr>
                <w:webHidden/>
              </w:rPr>
              <w:fldChar w:fldCharType="separate"/>
            </w:r>
            <w:r w:rsidR="00675EEE">
              <w:rPr>
                <w:webHidden/>
              </w:rPr>
              <w:t>97</w:t>
            </w:r>
            <w:r w:rsidR="00675EEE">
              <w:rPr>
                <w:webHidden/>
              </w:rPr>
              <w:fldChar w:fldCharType="end"/>
            </w:r>
          </w:hyperlink>
        </w:p>
        <w:p w14:paraId="26E3D18C" w14:textId="7CDFBDB3" w:rsidR="00675EEE" w:rsidRDefault="00460D1B">
          <w:pPr>
            <w:pStyle w:val="TOC2"/>
            <w:rPr>
              <w:rFonts w:eastAsiaTheme="minorEastAsia" w:cstheme="minorBidi"/>
              <w:b w:val="0"/>
              <w:color w:val="auto"/>
              <w:sz w:val="22"/>
              <w:szCs w:val="22"/>
            </w:rPr>
          </w:pPr>
          <w:hyperlink w:anchor="_Toc113271047" w:history="1">
            <w:r w:rsidR="00675EEE" w:rsidRPr="000342AC">
              <w:rPr>
                <w:rStyle w:val="Hyperlink"/>
              </w:rPr>
              <w:t>4.24 Gippsland Stringybark </w:t>
            </w:r>
            <w:r w:rsidR="00675EEE" w:rsidRPr="000342AC">
              <w:rPr>
                <w:rStyle w:val="Hyperlink"/>
                <w:i/>
                <w:iCs/>
              </w:rPr>
              <w:t>(Eucalyptus mackintii)</w:t>
            </w:r>
            <w:r w:rsidR="00675EEE">
              <w:rPr>
                <w:webHidden/>
              </w:rPr>
              <w:tab/>
            </w:r>
            <w:r w:rsidR="00675EEE">
              <w:rPr>
                <w:webHidden/>
              </w:rPr>
              <w:fldChar w:fldCharType="begin"/>
            </w:r>
            <w:r w:rsidR="00675EEE">
              <w:rPr>
                <w:webHidden/>
              </w:rPr>
              <w:instrText xml:space="preserve"> PAGEREF _Toc113271047 \h </w:instrText>
            </w:r>
            <w:r w:rsidR="00675EEE">
              <w:rPr>
                <w:webHidden/>
              </w:rPr>
            </w:r>
            <w:r w:rsidR="00675EEE">
              <w:rPr>
                <w:webHidden/>
              </w:rPr>
              <w:fldChar w:fldCharType="separate"/>
            </w:r>
            <w:r w:rsidR="00675EEE">
              <w:rPr>
                <w:webHidden/>
              </w:rPr>
              <w:t>99</w:t>
            </w:r>
            <w:r w:rsidR="00675EEE">
              <w:rPr>
                <w:webHidden/>
              </w:rPr>
              <w:fldChar w:fldCharType="end"/>
            </w:r>
          </w:hyperlink>
        </w:p>
        <w:p w14:paraId="0CEAB57D" w14:textId="1C423592" w:rsidR="00675EEE" w:rsidRDefault="00460D1B">
          <w:pPr>
            <w:pStyle w:val="TOC2"/>
            <w:rPr>
              <w:rFonts w:eastAsiaTheme="minorEastAsia" w:cstheme="minorBidi"/>
              <w:b w:val="0"/>
              <w:color w:val="auto"/>
              <w:sz w:val="22"/>
              <w:szCs w:val="22"/>
            </w:rPr>
          </w:pPr>
          <w:hyperlink w:anchor="_Toc113271048" w:history="1">
            <w:r w:rsidR="00675EEE" w:rsidRPr="000342AC">
              <w:rPr>
                <w:rStyle w:val="Hyperlink"/>
              </w:rPr>
              <w:t>4.25 Jungle Bristle-fern </w:t>
            </w:r>
            <w:r w:rsidR="00675EEE" w:rsidRPr="000342AC">
              <w:rPr>
                <w:rStyle w:val="Hyperlink"/>
                <w:i/>
                <w:iCs/>
              </w:rPr>
              <w:t>(Abrodictyum caudatum)</w:t>
            </w:r>
            <w:r w:rsidR="00675EEE">
              <w:rPr>
                <w:webHidden/>
              </w:rPr>
              <w:tab/>
            </w:r>
            <w:r w:rsidR="00675EEE">
              <w:rPr>
                <w:webHidden/>
              </w:rPr>
              <w:fldChar w:fldCharType="begin"/>
            </w:r>
            <w:r w:rsidR="00675EEE">
              <w:rPr>
                <w:webHidden/>
              </w:rPr>
              <w:instrText xml:space="preserve"> PAGEREF _Toc113271048 \h </w:instrText>
            </w:r>
            <w:r w:rsidR="00675EEE">
              <w:rPr>
                <w:webHidden/>
              </w:rPr>
            </w:r>
            <w:r w:rsidR="00675EEE">
              <w:rPr>
                <w:webHidden/>
              </w:rPr>
              <w:fldChar w:fldCharType="separate"/>
            </w:r>
            <w:r w:rsidR="00675EEE">
              <w:rPr>
                <w:webHidden/>
              </w:rPr>
              <w:t>101</w:t>
            </w:r>
            <w:r w:rsidR="00675EEE">
              <w:rPr>
                <w:webHidden/>
              </w:rPr>
              <w:fldChar w:fldCharType="end"/>
            </w:r>
          </w:hyperlink>
        </w:p>
        <w:p w14:paraId="234136C8" w14:textId="347D1DDC" w:rsidR="00675EEE" w:rsidRDefault="00460D1B">
          <w:pPr>
            <w:pStyle w:val="TOC2"/>
            <w:rPr>
              <w:rFonts w:eastAsiaTheme="minorEastAsia" w:cstheme="minorBidi"/>
              <w:b w:val="0"/>
              <w:color w:val="auto"/>
              <w:sz w:val="22"/>
              <w:szCs w:val="22"/>
            </w:rPr>
          </w:pPr>
          <w:hyperlink w:anchor="_Toc113271049" w:history="1">
            <w:r w:rsidR="00675EEE" w:rsidRPr="000342AC">
              <w:rPr>
                <w:rStyle w:val="Hyperlink"/>
              </w:rPr>
              <w:t xml:space="preserve">4.26 Lacey River Buttercup </w:t>
            </w:r>
            <w:r w:rsidR="00675EEE" w:rsidRPr="000342AC">
              <w:rPr>
                <w:rStyle w:val="Hyperlink"/>
                <w:i/>
                <w:iCs/>
              </w:rPr>
              <w:t>(Ranunculus amplus)</w:t>
            </w:r>
            <w:r w:rsidR="00675EEE">
              <w:rPr>
                <w:webHidden/>
              </w:rPr>
              <w:tab/>
            </w:r>
            <w:r w:rsidR="00675EEE">
              <w:rPr>
                <w:webHidden/>
              </w:rPr>
              <w:fldChar w:fldCharType="begin"/>
            </w:r>
            <w:r w:rsidR="00675EEE">
              <w:rPr>
                <w:webHidden/>
              </w:rPr>
              <w:instrText xml:space="preserve"> PAGEREF _Toc113271049 \h </w:instrText>
            </w:r>
            <w:r w:rsidR="00675EEE">
              <w:rPr>
                <w:webHidden/>
              </w:rPr>
            </w:r>
            <w:r w:rsidR="00675EEE">
              <w:rPr>
                <w:webHidden/>
              </w:rPr>
              <w:fldChar w:fldCharType="separate"/>
            </w:r>
            <w:r w:rsidR="00675EEE">
              <w:rPr>
                <w:webHidden/>
              </w:rPr>
              <w:t>105</w:t>
            </w:r>
            <w:r w:rsidR="00675EEE">
              <w:rPr>
                <w:webHidden/>
              </w:rPr>
              <w:fldChar w:fldCharType="end"/>
            </w:r>
          </w:hyperlink>
        </w:p>
        <w:p w14:paraId="17DF5D3E" w14:textId="7D99B21B" w:rsidR="00675EEE" w:rsidRDefault="00460D1B">
          <w:pPr>
            <w:pStyle w:val="TOC2"/>
            <w:rPr>
              <w:rFonts w:eastAsiaTheme="minorEastAsia" w:cstheme="minorBidi"/>
              <w:b w:val="0"/>
              <w:color w:val="auto"/>
              <w:sz w:val="22"/>
              <w:szCs w:val="22"/>
            </w:rPr>
          </w:pPr>
          <w:hyperlink w:anchor="_Toc113271050" w:history="1">
            <w:r w:rsidR="00675EEE" w:rsidRPr="000342AC">
              <w:rPr>
                <w:rStyle w:val="Hyperlink"/>
              </w:rPr>
              <w:t>4.27 Lake Mountain Grevillea (</w:t>
            </w:r>
            <w:r w:rsidR="00675EEE" w:rsidRPr="000342AC">
              <w:rPr>
                <w:rStyle w:val="Hyperlink"/>
                <w:i/>
                <w:iCs/>
              </w:rPr>
              <w:t>Grevillea monslacana</w:t>
            </w:r>
            <w:r w:rsidR="00675EEE" w:rsidRPr="000342AC">
              <w:rPr>
                <w:rStyle w:val="Hyperlink"/>
              </w:rPr>
              <w:t>)</w:t>
            </w:r>
            <w:r w:rsidR="00675EEE">
              <w:rPr>
                <w:webHidden/>
              </w:rPr>
              <w:tab/>
            </w:r>
            <w:r w:rsidR="00675EEE">
              <w:rPr>
                <w:webHidden/>
              </w:rPr>
              <w:fldChar w:fldCharType="begin"/>
            </w:r>
            <w:r w:rsidR="00675EEE">
              <w:rPr>
                <w:webHidden/>
              </w:rPr>
              <w:instrText xml:space="preserve"> PAGEREF _Toc113271050 \h </w:instrText>
            </w:r>
            <w:r w:rsidR="00675EEE">
              <w:rPr>
                <w:webHidden/>
              </w:rPr>
            </w:r>
            <w:r w:rsidR="00675EEE">
              <w:rPr>
                <w:webHidden/>
              </w:rPr>
              <w:fldChar w:fldCharType="separate"/>
            </w:r>
            <w:r w:rsidR="00675EEE">
              <w:rPr>
                <w:webHidden/>
              </w:rPr>
              <w:t>109</w:t>
            </w:r>
            <w:r w:rsidR="00675EEE">
              <w:rPr>
                <w:webHidden/>
              </w:rPr>
              <w:fldChar w:fldCharType="end"/>
            </w:r>
          </w:hyperlink>
        </w:p>
        <w:p w14:paraId="6F08CB0B" w14:textId="5BB307B2" w:rsidR="00675EEE" w:rsidRDefault="00460D1B">
          <w:pPr>
            <w:pStyle w:val="TOC2"/>
            <w:rPr>
              <w:rFonts w:eastAsiaTheme="minorEastAsia" w:cstheme="minorBidi"/>
              <w:b w:val="0"/>
              <w:color w:val="auto"/>
              <w:sz w:val="22"/>
              <w:szCs w:val="22"/>
            </w:rPr>
          </w:pPr>
          <w:hyperlink w:anchor="_Toc113271051" w:history="1">
            <w:r w:rsidR="00675EEE" w:rsidRPr="000342AC">
              <w:rPr>
                <w:rStyle w:val="Hyperlink"/>
              </w:rPr>
              <w:t xml:space="preserve">4.28 Lax Twig-sedge </w:t>
            </w:r>
            <w:r w:rsidR="00675EEE" w:rsidRPr="000342AC">
              <w:rPr>
                <w:rStyle w:val="Hyperlink"/>
                <w:i/>
                <w:iCs/>
              </w:rPr>
              <w:t>(Baumea laxa)</w:t>
            </w:r>
            <w:r w:rsidR="00675EEE">
              <w:rPr>
                <w:webHidden/>
              </w:rPr>
              <w:tab/>
            </w:r>
            <w:r w:rsidR="00675EEE">
              <w:rPr>
                <w:webHidden/>
              </w:rPr>
              <w:fldChar w:fldCharType="begin"/>
            </w:r>
            <w:r w:rsidR="00675EEE">
              <w:rPr>
                <w:webHidden/>
              </w:rPr>
              <w:instrText xml:space="preserve"> PAGEREF _Toc113271051 \h </w:instrText>
            </w:r>
            <w:r w:rsidR="00675EEE">
              <w:rPr>
                <w:webHidden/>
              </w:rPr>
            </w:r>
            <w:r w:rsidR="00675EEE">
              <w:rPr>
                <w:webHidden/>
              </w:rPr>
              <w:fldChar w:fldCharType="separate"/>
            </w:r>
            <w:r w:rsidR="00675EEE">
              <w:rPr>
                <w:webHidden/>
              </w:rPr>
              <w:t>111</w:t>
            </w:r>
            <w:r w:rsidR="00675EEE">
              <w:rPr>
                <w:webHidden/>
              </w:rPr>
              <w:fldChar w:fldCharType="end"/>
            </w:r>
          </w:hyperlink>
        </w:p>
        <w:p w14:paraId="3F6255B0" w14:textId="3CFB5DF0" w:rsidR="00675EEE" w:rsidRDefault="00460D1B">
          <w:pPr>
            <w:pStyle w:val="TOC2"/>
            <w:rPr>
              <w:rFonts w:eastAsiaTheme="minorEastAsia" w:cstheme="minorBidi"/>
              <w:b w:val="0"/>
              <w:color w:val="auto"/>
              <w:sz w:val="22"/>
              <w:szCs w:val="22"/>
            </w:rPr>
          </w:pPr>
          <w:hyperlink w:anchor="_Toc113271052" w:history="1">
            <w:r w:rsidR="00675EEE" w:rsidRPr="000342AC">
              <w:rPr>
                <w:rStyle w:val="Hyperlink"/>
              </w:rPr>
              <w:t>4.29 Leafless Pink-bells </w:t>
            </w:r>
            <w:r w:rsidR="00675EEE" w:rsidRPr="000342AC">
              <w:rPr>
                <w:rStyle w:val="Hyperlink"/>
                <w:i/>
                <w:iCs/>
              </w:rPr>
              <w:t>(Tetratheca subaphylla)</w:t>
            </w:r>
            <w:r w:rsidR="00675EEE">
              <w:rPr>
                <w:webHidden/>
              </w:rPr>
              <w:tab/>
            </w:r>
            <w:r w:rsidR="00675EEE">
              <w:rPr>
                <w:webHidden/>
              </w:rPr>
              <w:fldChar w:fldCharType="begin"/>
            </w:r>
            <w:r w:rsidR="00675EEE">
              <w:rPr>
                <w:webHidden/>
              </w:rPr>
              <w:instrText xml:space="preserve"> PAGEREF _Toc113271052 \h </w:instrText>
            </w:r>
            <w:r w:rsidR="00675EEE">
              <w:rPr>
                <w:webHidden/>
              </w:rPr>
            </w:r>
            <w:r w:rsidR="00675EEE">
              <w:rPr>
                <w:webHidden/>
              </w:rPr>
              <w:fldChar w:fldCharType="separate"/>
            </w:r>
            <w:r w:rsidR="00675EEE">
              <w:rPr>
                <w:webHidden/>
              </w:rPr>
              <w:t>114</w:t>
            </w:r>
            <w:r w:rsidR="00675EEE">
              <w:rPr>
                <w:webHidden/>
              </w:rPr>
              <w:fldChar w:fldCharType="end"/>
            </w:r>
          </w:hyperlink>
        </w:p>
        <w:p w14:paraId="3A7E21F8" w14:textId="131F8CDB" w:rsidR="00675EEE" w:rsidRDefault="00460D1B">
          <w:pPr>
            <w:pStyle w:val="TOC2"/>
            <w:rPr>
              <w:rFonts w:eastAsiaTheme="minorEastAsia" w:cstheme="minorBidi"/>
              <w:b w:val="0"/>
              <w:color w:val="auto"/>
              <w:sz w:val="22"/>
              <w:szCs w:val="22"/>
            </w:rPr>
          </w:pPr>
          <w:hyperlink w:anchor="_Toc113271053" w:history="1">
            <w:r w:rsidR="00675EEE" w:rsidRPr="000342AC">
              <w:rPr>
                <w:rStyle w:val="Hyperlink"/>
              </w:rPr>
              <w:t>4.30 Long Pink-bells </w:t>
            </w:r>
            <w:r w:rsidR="00675EEE" w:rsidRPr="000342AC">
              <w:rPr>
                <w:rStyle w:val="Hyperlink"/>
                <w:i/>
                <w:iCs/>
              </w:rPr>
              <w:t>(Tetratheca stenocarpa)</w:t>
            </w:r>
            <w:r w:rsidR="00675EEE">
              <w:rPr>
                <w:webHidden/>
              </w:rPr>
              <w:tab/>
            </w:r>
            <w:r w:rsidR="00675EEE">
              <w:rPr>
                <w:webHidden/>
              </w:rPr>
              <w:fldChar w:fldCharType="begin"/>
            </w:r>
            <w:r w:rsidR="00675EEE">
              <w:rPr>
                <w:webHidden/>
              </w:rPr>
              <w:instrText xml:space="preserve"> PAGEREF _Toc113271053 \h </w:instrText>
            </w:r>
            <w:r w:rsidR="00675EEE">
              <w:rPr>
                <w:webHidden/>
              </w:rPr>
            </w:r>
            <w:r w:rsidR="00675EEE">
              <w:rPr>
                <w:webHidden/>
              </w:rPr>
              <w:fldChar w:fldCharType="separate"/>
            </w:r>
            <w:r w:rsidR="00675EEE">
              <w:rPr>
                <w:webHidden/>
              </w:rPr>
              <w:t>118</w:t>
            </w:r>
            <w:r w:rsidR="00675EEE">
              <w:rPr>
                <w:webHidden/>
              </w:rPr>
              <w:fldChar w:fldCharType="end"/>
            </w:r>
          </w:hyperlink>
        </w:p>
        <w:p w14:paraId="13EA098D" w14:textId="7F95DB01" w:rsidR="00675EEE" w:rsidRDefault="00460D1B">
          <w:pPr>
            <w:pStyle w:val="TOC2"/>
            <w:rPr>
              <w:rFonts w:eastAsiaTheme="minorEastAsia" w:cstheme="minorBidi"/>
              <w:b w:val="0"/>
              <w:color w:val="auto"/>
              <w:sz w:val="22"/>
              <w:szCs w:val="22"/>
            </w:rPr>
          </w:pPr>
          <w:hyperlink w:anchor="_Toc113271054" w:history="1">
            <w:r w:rsidR="00675EEE" w:rsidRPr="000342AC">
              <w:rPr>
                <w:rStyle w:val="Hyperlink"/>
              </w:rPr>
              <w:t xml:space="preserve">4.31 Mountain Bird-orchid </w:t>
            </w:r>
            <w:r w:rsidR="00675EEE" w:rsidRPr="000342AC">
              <w:rPr>
                <w:rStyle w:val="Hyperlink"/>
                <w:i/>
                <w:iCs/>
              </w:rPr>
              <w:t>(Chiloglottis jeanesii)</w:t>
            </w:r>
            <w:r w:rsidR="00675EEE">
              <w:rPr>
                <w:webHidden/>
              </w:rPr>
              <w:tab/>
            </w:r>
            <w:r w:rsidR="00675EEE">
              <w:rPr>
                <w:webHidden/>
              </w:rPr>
              <w:fldChar w:fldCharType="begin"/>
            </w:r>
            <w:r w:rsidR="00675EEE">
              <w:rPr>
                <w:webHidden/>
              </w:rPr>
              <w:instrText xml:space="preserve"> PAGEREF _Toc113271054 \h </w:instrText>
            </w:r>
            <w:r w:rsidR="00675EEE">
              <w:rPr>
                <w:webHidden/>
              </w:rPr>
            </w:r>
            <w:r w:rsidR="00675EEE">
              <w:rPr>
                <w:webHidden/>
              </w:rPr>
              <w:fldChar w:fldCharType="separate"/>
            </w:r>
            <w:r w:rsidR="00675EEE">
              <w:rPr>
                <w:webHidden/>
              </w:rPr>
              <w:t>122</w:t>
            </w:r>
            <w:r w:rsidR="00675EEE">
              <w:rPr>
                <w:webHidden/>
              </w:rPr>
              <w:fldChar w:fldCharType="end"/>
            </w:r>
          </w:hyperlink>
        </w:p>
        <w:p w14:paraId="147D33A0" w14:textId="184F7D21" w:rsidR="00675EEE" w:rsidRDefault="00460D1B">
          <w:pPr>
            <w:pStyle w:val="TOC2"/>
            <w:rPr>
              <w:rFonts w:eastAsiaTheme="minorEastAsia" w:cstheme="minorBidi"/>
              <w:b w:val="0"/>
              <w:color w:val="auto"/>
              <w:sz w:val="22"/>
              <w:szCs w:val="22"/>
            </w:rPr>
          </w:pPr>
          <w:hyperlink w:anchor="_Toc113271055" w:history="1">
            <w:r w:rsidR="00675EEE" w:rsidRPr="000342AC">
              <w:rPr>
                <w:rStyle w:val="Hyperlink"/>
              </w:rPr>
              <w:t xml:space="preserve">4.32 Naked Sun-orchid </w:t>
            </w:r>
            <w:r w:rsidR="00675EEE" w:rsidRPr="000342AC">
              <w:rPr>
                <w:rStyle w:val="Hyperlink"/>
                <w:i/>
              </w:rPr>
              <w:t>(Thelymitra circumsepta)</w:t>
            </w:r>
            <w:r w:rsidR="00675EEE">
              <w:rPr>
                <w:webHidden/>
              </w:rPr>
              <w:tab/>
            </w:r>
            <w:r w:rsidR="00675EEE">
              <w:rPr>
                <w:webHidden/>
              </w:rPr>
              <w:fldChar w:fldCharType="begin"/>
            </w:r>
            <w:r w:rsidR="00675EEE">
              <w:rPr>
                <w:webHidden/>
              </w:rPr>
              <w:instrText xml:space="preserve"> PAGEREF _Toc113271055 \h </w:instrText>
            </w:r>
            <w:r w:rsidR="00675EEE">
              <w:rPr>
                <w:webHidden/>
              </w:rPr>
            </w:r>
            <w:r w:rsidR="00675EEE">
              <w:rPr>
                <w:webHidden/>
              </w:rPr>
              <w:fldChar w:fldCharType="separate"/>
            </w:r>
            <w:r w:rsidR="00675EEE">
              <w:rPr>
                <w:webHidden/>
              </w:rPr>
              <w:t>124</w:t>
            </w:r>
            <w:r w:rsidR="00675EEE">
              <w:rPr>
                <w:webHidden/>
              </w:rPr>
              <w:fldChar w:fldCharType="end"/>
            </w:r>
          </w:hyperlink>
        </w:p>
        <w:p w14:paraId="22324CF4" w14:textId="1B5DF2E0" w:rsidR="00675EEE" w:rsidRDefault="00460D1B">
          <w:pPr>
            <w:pStyle w:val="TOC2"/>
            <w:rPr>
              <w:rFonts w:eastAsiaTheme="minorEastAsia" w:cstheme="minorBidi"/>
              <w:b w:val="0"/>
              <w:color w:val="auto"/>
              <w:sz w:val="22"/>
              <w:szCs w:val="22"/>
            </w:rPr>
          </w:pPr>
          <w:hyperlink w:anchor="_Toc113271056" w:history="1">
            <w:r w:rsidR="00675EEE" w:rsidRPr="000342AC">
              <w:rPr>
                <w:rStyle w:val="Hyperlink"/>
              </w:rPr>
              <w:t xml:space="preserve">4.33 Native Hemp </w:t>
            </w:r>
            <w:r w:rsidR="00675EEE" w:rsidRPr="000342AC">
              <w:rPr>
                <w:rStyle w:val="Hyperlink"/>
                <w:i/>
                <w:iCs/>
              </w:rPr>
              <w:t>(Androcalva rossii)</w:t>
            </w:r>
            <w:r w:rsidR="00675EEE">
              <w:rPr>
                <w:webHidden/>
              </w:rPr>
              <w:tab/>
            </w:r>
            <w:r w:rsidR="00675EEE">
              <w:rPr>
                <w:webHidden/>
              </w:rPr>
              <w:fldChar w:fldCharType="begin"/>
            </w:r>
            <w:r w:rsidR="00675EEE">
              <w:rPr>
                <w:webHidden/>
              </w:rPr>
              <w:instrText xml:space="preserve"> PAGEREF _Toc113271056 \h </w:instrText>
            </w:r>
            <w:r w:rsidR="00675EEE">
              <w:rPr>
                <w:webHidden/>
              </w:rPr>
            </w:r>
            <w:r w:rsidR="00675EEE">
              <w:rPr>
                <w:webHidden/>
              </w:rPr>
              <w:fldChar w:fldCharType="separate"/>
            </w:r>
            <w:r w:rsidR="00675EEE">
              <w:rPr>
                <w:webHidden/>
              </w:rPr>
              <w:t>128</w:t>
            </w:r>
            <w:r w:rsidR="00675EEE">
              <w:rPr>
                <w:webHidden/>
              </w:rPr>
              <w:fldChar w:fldCharType="end"/>
            </w:r>
          </w:hyperlink>
        </w:p>
        <w:p w14:paraId="7EBEFF95" w14:textId="3FF14DD3" w:rsidR="00675EEE" w:rsidRDefault="00460D1B">
          <w:pPr>
            <w:pStyle w:val="TOC2"/>
            <w:rPr>
              <w:rFonts w:eastAsiaTheme="minorEastAsia" w:cstheme="minorBidi"/>
              <w:b w:val="0"/>
              <w:color w:val="auto"/>
              <w:sz w:val="22"/>
              <w:szCs w:val="22"/>
            </w:rPr>
          </w:pPr>
          <w:hyperlink w:anchor="_Toc113271057" w:history="1">
            <w:r w:rsidR="00675EEE" w:rsidRPr="000342AC">
              <w:rPr>
                <w:rStyle w:val="Hyperlink"/>
              </w:rPr>
              <w:t>4.34 Oval Fork-fern </w:t>
            </w:r>
            <w:r w:rsidR="00675EEE" w:rsidRPr="000342AC">
              <w:rPr>
                <w:rStyle w:val="Hyperlink"/>
                <w:i/>
                <w:iCs/>
              </w:rPr>
              <w:t>(Tmesipteris ovata)</w:t>
            </w:r>
            <w:r w:rsidR="00675EEE">
              <w:rPr>
                <w:webHidden/>
              </w:rPr>
              <w:tab/>
            </w:r>
            <w:r w:rsidR="00675EEE">
              <w:rPr>
                <w:webHidden/>
              </w:rPr>
              <w:fldChar w:fldCharType="begin"/>
            </w:r>
            <w:r w:rsidR="00675EEE">
              <w:rPr>
                <w:webHidden/>
              </w:rPr>
              <w:instrText xml:space="preserve"> PAGEREF _Toc113271057 \h </w:instrText>
            </w:r>
            <w:r w:rsidR="00675EEE">
              <w:rPr>
                <w:webHidden/>
              </w:rPr>
            </w:r>
            <w:r w:rsidR="00675EEE">
              <w:rPr>
                <w:webHidden/>
              </w:rPr>
              <w:fldChar w:fldCharType="separate"/>
            </w:r>
            <w:r w:rsidR="00675EEE">
              <w:rPr>
                <w:webHidden/>
              </w:rPr>
              <w:t>131</w:t>
            </w:r>
            <w:r w:rsidR="00675EEE">
              <w:rPr>
                <w:webHidden/>
              </w:rPr>
              <w:fldChar w:fldCharType="end"/>
            </w:r>
          </w:hyperlink>
        </w:p>
        <w:p w14:paraId="005FFA42" w14:textId="60408DA3" w:rsidR="00675EEE" w:rsidRDefault="00460D1B">
          <w:pPr>
            <w:pStyle w:val="TOC2"/>
            <w:rPr>
              <w:rFonts w:eastAsiaTheme="minorEastAsia" w:cstheme="minorBidi"/>
              <w:b w:val="0"/>
              <w:color w:val="auto"/>
              <w:sz w:val="22"/>
              <w:szCs w:val="22"/>
            </w:rPr>
          </w:pPr>
          <w:hyperlink w:anchor="_Toc113271058" w:history="1">
            <w:r w:rsidR="00675EEE" w:rsidRPr="000342AC">
              <w:rPr>
                <w:rStyle w:val="Hyperlink"/>
              </w:rPr>
              <w:t xml:space="preserve">4.35 Pale Hickory-wattle </w:t>
            </w:r>
            <w:r w:rsidR="00675EEE" w:rsidRPr="000342AC">
              <w:rPr>
                <w:rStyle w:val="Hyperlink"/>
                <w:i/>
                <w:iCs/>
              </w:rPr>
              <w:t>(Acacia sporadica)</w:t>
            </w:r>
            <w:r w:rsidR="00675EEE">
              <w:rPr>
                <w:webHidden/>
              </w:rPr>
              <w:tab/>
            </w:r>
            <w:r w:rsidR="00675EEE">
              <w:rPr>
                <w:webHidden/>
              </w:rPr>
              <w:fldChar w:fldCharType="begin"/>
            </w:r>
            <w:r w:rsidR="00675EEE">
              <w:rPr>
                <w:webHidden/>
              </w:rPr>
              <w:instrText xml:space="preserve"> PAGEREF _Toc113271058 \h </w:instrText>
            </w:r>
            <w:r w:rsidR="00675EEE">
              <w:rPr>
                <w:webHidden/>
              </w:rPr>
            </w:r>
            <w:r w:rsidR="00675EEE">
              <w:rPr>
                <w:webHidden/>
              </w:rPr>
              <w:fldChar w:fldCharType="separate"/>
            </w:r>
            <w:r w:rsidR="00675EEE">
              <w:rPr>
                <w:webHidden/>
              </w:rPr>
              <w:t>136</w:t>
            </w:r>
            <w:r w:rsidR="00675EEE">
              <w:rPr>
                <w:webHidden/>
              </w:rPr>
              <w:fldChar w:fldCharType="end"/>
            </w:r>
          </w:hyperlink>
        </w:p>
        <w:p w14:paraId="7D1064A7" w14:textId="6D9AEE60" w:rsidR="00675EEE" w:rsidRDefault="00460D1B">
          <w:pPr>
            <w:pStyle w:val="TOC2"/>
            <w:rPr>
              <w:rFonts w:eastAsiaTheme="minorEastAsia" w:cstheme="minorBidi"/>
              <w:b w:val="0"/>
              <w:color w:val="auto"/>
              <w:sz w:val="22"/>
              <w:szCs w:val="22"/>
            </w:rPr>
          </w:pPr>
          <w:hyperlink w:anchor="_Toc113271059" w:history="1">
            <w:r w:rsidR="00675EEE" w:rsidRPr="000342AC">
              <w:rPr>
                <w:rStyle w:val="Hyperlink"/>
              </w:rPr>
              <w:t xml:space="preserve">4.36 Purple Coopernookia </w:t>
            </w:r>
            <w:r w:rsidR="00675EEE" w:rsidRPr="000342AC">
              <w:rPr>
                <w:rStyle w:val="Hyperlink"/>
                <w:i/>
                <w:iCs/>
              </w:rPr>
              <w:t>(Coopernookia barbata)</w:t>
            </w:r>
            <w:r w:rsidR="00675EEE">
              <w:rPr>
                <w:webHidden/>
              </w:rPr>
              <w:tab/>
            </w:r>
            <w:r w:rsidR="00675EEE">
              <w:rPr>
                <w:webHidden/>
              </w:rPr>
              <w:fldChar w:fldCharType="begin"/>
            </w:r>
            <w:r w:rsidR="00675EEE">
              <w:rPr>
                <w:webHidden/>
              </w:rPr>
              <w:instrText xml:space="preserve"> PAGEREF _Toc113271059 \h </w:instrText>
            </w:r>
            <w:r w:rsidR="00675EEE">
              <w:rPr>
                <w:webHidden/>
              </w:rPr>
            </w:r>
            <w:r w:rsidR="00675EEE">
              <w:rPr>
                <w:webHidden/>
              </w:rPr>
              <w:fldChar w:fldCharType="separate"/>
            </w:r>
            <w:r w:rsidR="00675EEE">
              <w:rPr>
                <w:webHidden/>
              </w:rPr>
              <w:t>138</w:t>
            </w:r>
            <w:r w:rsidR="00675EEE">
              <w:rPr>
                <w:webHidden/>
              </w:rPr>
              <w:fldChar w:fldCharType="end"/>
            </w:r>
          </w:hyperlink>
        </w:p>
        <w:p w14:paraId="78F26116" w14:textId="0709E646" w:rsidR="00675EEE" w:rsidRDefault="00460D1B">
          <w:pPr>
            <w:pStyle w:val="TOC2"/>
            <w:rPr>
              <w:rFonts w:eastAsiaTheme="minorEastAsia" w:cstheme="minorBidi"/>
              <w:b w:val="0"/>
              <w:color w:val="auto"/>
              <w:sz w:val="22"/>
              <w:szCs w:val="22"/>
            </w:rPr>
          </w:pPr>
          <w:hyperlink w:anchor="_Toc113271060" w:history="1">
            <w:r w:rsidR="00675EEE" w:rsidRPr="000342AC">
              <w:rPr>
                <w:rStyle w:val="Hyperlink"/>
              </w:rPr>
              <w:t xml:space="preserve">4.37 Rough-barked Apple </w:t>
            </w:r>
            <w:r w:rsidR="00675EEE" w:rsidRPr="000342AC">
              <w:rPr>
                <w:rStyle w:val="Hyperlink"/>
                <w:i/>
                <w:iCs/>
              </w:rPr>
              <w:t>(Angophora floribunda)</w:t>
            </w:r>
            <w:r w:rsidR="00675EEE">
              <w:rPr>
                <w:webHidden/>
              </w:rPr>
              <w:tab/>
            </w:r>
            <w:r w:rsidR="00675EEE">
              <w:rPr>
                <w:webHidden/>
              </w:rPr>
              <w:fldChar w:fldCharType="begin"/>
            </w:r>
            <w:r w:rsidR="00675EEE">
              <w:rPr>
                <w:webHidden/>
              </w:rPr>
              <w:instrText xml:space="preserve"> PAGEREF _Toc113271060 \h </w:instrText>
            </w:r>
            <w:r w:rsidR="00675EEE">
              <w:rPr>
                <w:webHidden/>
              </w:rPr>
            </w:r>
            <w:r w:rsidR="00675EEE">
              <w:rPr>
                <w:webHidden/>
              </w:rPr>
              <w:fldChar w:fldCharType="separate"/>
            </w:r>
            <w:r w:rsidR="00675EEE">
              <w:rPr>
                <w:webHidden/>
              </w:rPr>
              <w:t>141</w:t>
            </w:r>
            <w:r w:rsidR="00675EEE">
              <w:rPr>
                <w:webHidden/>
              </w:rPr>
              <w:fldChar w:fldCharType="end"/>
            </w:r>
          </w:hyperlink>
        </w:p>
        <w:p w14:paraId="05839257" w14:textId="5588C258" w:rsidR="00675EEE" w:rsidRDefault="00460D1B">
          <w:pPr>
            <w:pStyle w:val="TOC2"/>
            <w:rPr>
              <w:rFonts w:eastAsiaTheme="minorEastAsia" w:cstheme="minorBidi"/>
              <w:b w:val="0"/>
              <w:color w:val="auto"/>
              <w:sz w:val="22"/>
              <w:szCs w:val="22"/>
            </w:rPr>
          </w:pPr>
          <w:hyperlink w:anchor="_Toc113271061" w:history="1">
            <w:r w:rsidR="00675EEE" w:rsidRPr="000342AC">
              <w:rPr>
                <w:rStyle w:val="Hyperlink"/>
              </w:rPr>
              <w:t>4.38 Sandfly Zieria (</w:t>
            </w:r>
            <w:r w:rsidR="00675EEE" w:rsidRPr="000342AC">
              <w:rPr>
                <w:rStyle w:val="Hyperlink"/>
                <w:i/>
                <w:iCs/>
              </w:rPr>
              <w:t>Zieria smithii</w:t>
            </w:r>
            <w:r w:rsidR="00675EEE" w:rsidRPr="000342AC">
              <w:rPr>
                <w:rStyle w:val="Hyperlink"/>
              </w:rPr>
              <w:t>)</w:t>
            </w:r>
            <w:r w:rsidR="00675EEE">
              <w:rPr>
                <w:webHidden/>
              </w:rPr>
              <w:tab/>
            </w:r>
            <w:r w:rsidR="00675EEE">
              <w:rPr>
                <w:webHidden/>
              </w:rPr>
              <w:fldChar w:fldCharType="begin"/>
            </w:r>
            <w:r w:rsidR="00675EEE">
              <w:rPr>
                <w:webHidden/>
              </w:rPr>
              <w:instrText xml:space="preserve"> PAGEREF _Toc113271061 \h </w:instrText>
            </w:r>
            <w:r w:rsidR="00675EEE">
              <w:rPr>
                <w:webHidden/>
              </w:rPr>
            </w:r>
            <w:r w:rsidR="00675EEE">
              <w:rPr>
                <w:webHidden/>
              </w:rPr>
              <w:fldChar w:fldCharType="separate"/>
            </w:r>
            <w:r w:rsidR="00675EEE">
              <w:rPr>
                <w:webHidden/>
              </w:rPr>
              <w:t>142</w:t>
            </w:r>
            <w:r w:rsidR="00675EEE">
              <w:rPr>
                <w:webHidden/>
              </w:rPr>
              <w:fldChar w:fldCharType="end"/>
            </w:r>
          </w:hyperlink>
        </w:p>
        <w:p w14:paraId="2391C523" w14:textId="32B33E48" w:rsidR="00675EEE" w:rsidRDefault="00460D1B">
          <w:pPr>
            <w:pStyle w:val="TOC2"/>
            <w:rPr>
              <w:rFonts w:eastAsiaTheme="minorEastAsia" w:cstheme="minorBidi"/>
              <w:b w:val="0"/>
              <w:color w:val="auto"/>
              <w:sz w:val="22"/>
              <w:szCs w:val="22"/>
            </w:rPr>
          </w:pPr>
          <w:hyperlink w:anchor="_Toc113271062" w:history="1">
            <w:r w:rsidR="00675EEE" w:rsidRPr="000342AC">
              <w:rPr>
                <w:rStyle w:val="Hyperlink"/>
              </w:rPr>
              <w:t>4.39 Satinwood </w:t>
            </w:r>
            <w:r w:rsidR="00675EEE" w:rsidRPr="000342AC">
              <w:rPr>
                <w:rStyle w:val="Hyperlink"/>
                <w:i/>
                <w:iCs/>
              </w:rPr>
              <w:t>(Nematolepsis squamea</w:t>
            </w:r>
            <w:r w:rsidR="00675EEE" w:rsidRPr="000342AC">
              <w:rPr>
                <w:rStyle w:val="Hyperlink"/>
              </w:rPr>
              <w:t xml:space="preserve"> subsp. </w:t>
            </w:r>
            <w:r w:rsidR="00675EEE" w:rsidRPr="000342AC">
              <w:rPr>
                <w:rStyle w:val="Hyperlink"/>
                <w:i/>
                <w:iCs/>
              </w:rPr>
              <w:t>squamea)</w:t>
            </w:r>
            <w:r w:rsidR="00675EEE">
              <w:rPr>
                <w:webHidden/>
              </w:rPr>
              <w:tab/>
            </w:r>
            <w:r w:rsidR="00675EEE">
              <w:rPr>
                <w:webHidden/>
              </w:rPr>
              <w:fldChar w:fldCharType="begin"/>
            </w:r>
            <w:r w:rsidR="00675EEE">
              <w:rPr>
                <w:webHidden/>
              </w:rPr>
              <w:instrText xml:space="preserve"> PAGEREF _Toc113271062 \h </w:instrText>
            </w:r>
            <w:r w:rsidR="00675EEE">
              <w:rPr>
                <w:webHidden/>
              </w:rPr>
            </w:r>
            <w:r w:rsidR="00675EEE">
              <w:rPr>
                <w:webHidden/>
              </w:rPr>
              <w:fldChar w:fldCharType="separate"/>
            </w:r>
            <w:r w:rsidR="00675EEE">
              <w:rPr>
                <w:webHidden/>
              </w:rPr>
              <w:t>145</w:t>
            </w:r>
            <w:r w:rsidR="00675EEE">
              <w:rPr>
                <w:webHidden/>
              </w:rPr>
              <w:fldChar w:fldCharType="end"/>
            </w:r>
          </w:hyperlink>
        </w:p>
        <w:p w14:paraId="2A4485AA" w14:textId="57639100" w:rsidR="00675EEE" w:rsidRDefault="00460D1B">
          <w:pPr>
            <w:pStyle w:val="TOC2"/>
            <w:rPr>
              <w:rFonts w:eastAsiaTheme="minorEastAsia" w:cstheme="minorBidi"/>
              <w:b w:val="0"/>
              <w:color w:val="auto"/>
              <w:sz w:val="22"/>
              <w:szCs w:val="22"/>
            </w:rPr>
          </w:pPr>
          <w:hyperlink w:anchor="_Toc113271063" w:history="1">
            <w:r w:rsidR="00675EEE" w:rsidRPr="000342AC">
              <w:rPr>
                <w:rStyle w:val="Hyperlink"/>
              </w:rPr>
              <w:t xml:space="preserve">4.40 Selma Saddle Grevillea </w:t>
            </w:r>
            <w:r w:rsidR="00675EEE" w:rsidRPr="000342AC">
              <w:rPr>
                <w:rStyle w:val="Hyperlink"/>
                <w:i/>
                <w:iCs/>
              </w:rPr>
              <w:t xml:space="preserve">(Grevillea miqueliana </w:t>
            </w:r>
            <w:r w:rsidR="00675EEE" w:rsidRPr="000342AC">
              <w:rPr>
                <w:rStyle w:val="Hyperlink"/>
              </w:rPr>
              <w:t xml:space="preserve">subsp. </w:t>
            </w:r>
            <w:r w:rsidR="00675EEE" w:rsidRPr="000342AC">
              <w:rPr>
                <w:rStyle w:val="Hyperlink"/>
                <w:i/>
                <w:iCs/>
              </w:rPr>
              <w:t>cincta)</w:t>
            </w:r>
            <w:r w:rsidR="00675EEE">
              <w:rPr>
                <w:webHidden/>
              </w:rPr>
              <w:tab/>
            </w:r>
            <w:r w:rsidR="00675EEE">
              <w:rPr>
                <w:webHidden/>
              </w:rPr>
              <w:fldChar w:fldCharType="begin"/>
            </w:r>
            <w:r w:rsidR="00675EEE">
              <w:rPr>
                <w:webHidden/>
              </w:rPr>
              <w:instrText xml:space="preserve"> PAGEREF _Toc113271063 \h </w:instrText>
            </w:r>
            <w:r w:rsidR="00675EEE">
              <w:rPr>
                <w:webHidden/>
              </w:rPr>
            </w:r>
            <w:r w:rsidR="00675EEE">
              <w:rPr>
                <w:webHidden/>
              </w:rPr>
              <w:fldChar w:fldCharType="separate"/>
            </w:r>
            <w:r w:rsidR="00675EEE">
              <w:rPr>
                <w:webHidden/>
              </w:rPr>
              <w:t>149</w:t>
            </w:r>
            <w:r w:rsidR="00675EEE">
              <w:rPr>
                <w:webHidden/>
              </w:rPr>
              <w:fldChar w:fldCharType="end"/>
            </w:r>
          </w:hyperlink>
        </w:p>
        <w:p w14:paraId="21C89C35" w14:textId="28F0CD9E" w:rsidR="00675EEE" w:rsidRDefault="00460D1B">
          <w:pPr>
            <w:pStyle w:val="TOC2"/>
            <w:rPr>
              <w:rFonts w:eastAsiaTheme="minorEastAsia" w:cstheme="minorBidi"/>
              <w:b w:val="0"/>
              <w:color w:val="auto"/>
              <w:sz w:val="22"/>
              <w:szCs w:val="22"/>
            </w:rPr>
          </w:pPr>
          <w:hyperlink w:anchor="_Toc113271064" w:history="1">
            <w:r w:rsidR="00675EEE" w:rsidRPr="000342AC">
              <w:rPr>
                <w:rStyle w:val="Hyperlink"/>
              </w:rPr>
              <w:t xml:space="preserve">4.41 Slender Fork-fern </w:t>
            </w:r>
            <w:r w:rsidR="00675EEE" w:rsidRPr="000342AC">
              <w:rPr>
                <w:rStyle w:val="Hyperlink"/>
                <w:i/>
                <w:iCs/>
              </w:rPr>
              <w:t>(Tmesipteris elongata)</w:t>
            </w:r>
            <w:r w:rsidR="00675EEE">
              <w:rPr>
                <w:webHidden/>
              </w:rPr>
              <w:tab/>
            </w:r>
            <w:r w:rsidR="00675EEE">
              <w:rPr>
                <w:webHidden/>
              </w:rPr>
              <w:fldChar w:fldCharType="begin"/>
            </w:r>
            <w:r w:rsidR="00675EEE">
              <w:rPr>
                <w:webHidden/>
              </w:rPr>
              <w:instrText xml:space="preserve"> PAGEREF _Toc113271064 \h </w:instrText>
            </w:r>
            <w:r w:rsidR="00675EEE">
              <w:rPr>
                <w:webHidden/>
              </w:rPr>
            </w:r>
            <w:r w:rsidR="00675EEE">
              <w:rPr>
                <w:webHidden/>
              </w:rPr>
              <w:fldChar w:fldCharType="separate"/>
            </w:r>
            <w:r w:rsidR="00675EEE">
              <w:rPr>
                <w:webHidden/>
              </w:rPr>
              <w:t>151</w:t>
            </w:r>
            <w:r w:rsidR="00675EEE">
              <w:rPr>
                <w:webHidden/>
              </w:rPr>
              <w:fldChar w:fldCharType="end"/>
            </w:r>
          </w:hyperlink>
        </w:p>
        <w:p w14:paraId="281D61BD" w14:textId="42A0F7E7" w:rsidR="00675EEE" w:rsidRDefault="00460D1B">
          <w:pPr>
            <w:pStyle w:val="TOC2"/>
            <w:rPr>
              <w:rFonts w:eastAsiaTheme="minorEastAsia" w:cstheme="minorBidi"/>
              <w:b w:val="0"/>
              <w:color w:val="auto"/>
              <w:sz w:val="22"/>
              <w:szCs w:val="22"/>
            </w:rPr>
          </w:pPr>
          <w:hyperlink w:anchor="_Toc113271065" w:history="1">
            <w:r w:rsidR="00675EEE" w:rsidRPr="000342AC">
              <w:rPr>
                <w:rStyle w:val="Hyperlink"/>
              </w:rPr>
              <w:t xml:space="preserve">4.42 Small Autumn Greenhood </w:t>
            </w:r>
            <w:r w:rsidR="00675EEE" w:rsidRPr="000342AC">
              <w:rPr>
                <w:rStyle w:val="Hyperlink"/>
                <w:i/>
                <w:iCs/>
              </w:rPr>
              <w:t>(Pterostylis reflexa)</w:t>
            </w:r>
            <w:r w:rsidR="00675EEE">
              <w:rPr>
                <w:webHidden/>
              </w:rPr>
              <w:tab/>
            </w:r>
            <w:r w:rsidR="00675EEE">
              <w:rPr>
                <w:webHidden/>
              </w:rPr>
              <w:fldChar w:fldCharType="begin"/>
            </w:r>
            <w:r w:rsidR="00675EEE">
              <w:rPr>
                <w:webHidden/>
              </w:rPr>
              <w:instrText xml:space="preserve"> PAGEREF _Toc113271065 \h </w:instrText>
            </w:r>
            <w:r w:rsidR="00675EEE">
              <w:rPr>
                <w:webHidden/>
              </w:rPr>
            </w:r>
            <w:r w:rsidR="00675EEE">
              <w:rPr>
                <w:webHidden/>
              </w:rPr>
              <w:fldChar w:fldCharType="separate"/>
            </w:r>
            <w:r w:rsidR="00675EEE">
              <w:rPr>
                <w:webHidden/>
              </w:rPr>
              <w:t>154</w:t>
            </w:r>
            <w:r w:rsidR="00675EEE">
              <w:rPr>
                <w:webHidden/>
              </w:rPr>
              <w:fldChar w:fldCharType="end"/>
            </w:r>
          </w:hyperlink>
        </w:p>
        <w:p w14:paraId="0A3B6A41" w14:textId="751FE18B" w:rsidR="00675EEE" w:rsidRDefault="00460D1B">
          <w:pPr>
            <w:pStyle w:val="TOC2"/>
            <w:rPr>
              <w:rFonts w:eastAsiaTheme="minorEastAsia" w:cstheme="minorBidi"/>
              <w:b w:val="0"/>
              <w:color w:val="auto"/>
              <w:sz w:val="22"/>
              <w:szCs w:val="22"/>
            </w:rPr>
          </w:pPr>
          <w:hyperlink w:anchor="_Toc113271066" w:history="1">
            <w:r w:rsidR="00675EEE" w:rsidRPr="000342AC">
              <w:rPr>
                <w:rStyle w:val="Hyperlink"/>
              </w:rPr>
              <w:t>4.43 Small Fork-fern </w:t>
            </w:r>
            <w:r w:rsidR="00675EEE" w:rsidRPr="000342AC">
              <w:rPr>
                <w:rStyle w:val="Hyperlink"/>
                <w:i/>
                <w:iCs/>
              </w:rPr>
              <w:t>(Tmesipteris parva)</w:t>
            </w:r>
            <w:r w:rsidR="00675EEE">
              <w:rPr>
                <w:webHidden/>
              </w:rPr>
              <w:tab/>
            </w:r>
            <w:r w:rsidR="00675EEE">
              <w:rPr>
                <w:webHidden/>
              </w:rPr>
              <w:fldChar w:fldCharType="begin"/>
            </w:r>
            <w:r w:rsidR="00675EEE">
              <w:rPr>
                <w:webHidden/>
              </w:rPr>
              <w:instrText xml:space="preserve"> PAGEREF _Toc113271066 \h </w:instrText>
            </w:r>
            <w:r w:rsidR="00675EEE">
              <w:rPr>
                <w:webHidden/>
              </w:rPr>
            </w:r>
            <w:r w:rsidR="00675EEE">
              <w:rPr>
                <w:webHidden/>
              </w:rPr>
              <w:fldChar w:fldCharType="separate"/>
            </w:r>
            <w:r w:rsidR="00675EEE">
              <w:rPr>
                <w:webHidden/>
              </w:rPr>
              <w:t>156</w:t>
            </w:r>
            <w:r w:rsidR="00675EEE">
              <w:rPr>
                <w:webHidden/>
              </w:rPr>
              <w:fldChar w:fldCharType="end"/>
            </w:r>
          </w:hyperlink>
        </w:p>
        <w:p w14:paraId="2467E3E1" w14:textId="5AA3CB0C" w:rsidR="00675EEE" w:rsidRDefault="00460D1B">
          <w:pPr>
            <w:pStyle w:val="TOC2"/>
            <w:rPr>
              <w:rFonts w:eastAsiaTheme="minorEastAsia" w:cstheme="minorBidi"/>
              <w:b w:val="0"/>
              <w:color w:val="auto"/>
              <w:sz w:val="22"/>
              <w:szCs w:val="22"/>
            </w:rPr>
          </w:pPr>
          <w:hyperlink w:anchor="_Toc113271067" w:history="1">
            <w:r w:rsidR="00675EEE" w:rsidRPr="000342AC">
              <w:rPr>
                <w:rStyle w:val="Hyperlink"/>
              </w:rPr>
              <w:t xml:space="preserve">4.44 Small-leaf Star-hair </w:t>
            </w:r>
            <w:r w:rsidR="00675EEE" w:rsidRPr="000342AC">
              <w:rPr>
                <w:rStyle w:val="Hyperlink"/>
                <w:i/>
                <w:iCs/>
              </w:rPr>
              <w:t>(Astrotricha parvifolia</w:t>
            </w:r>
            <w:r w:rsidR="00675EEE" w:rsidRPr="000342AC">
              <w:rPr>
                <w:rStyle w:val="Hyperlink"/>
              </w:rPr>
              <w:t xml:space="preserve"> subsp. 1</w:t>
            </w:r>
            <w:r w:rsidR="00675EEE" w:rsidRPr="000342AC">
              <w:rPr>
                <w:rStyle w:val="Hyperlink"/>
                <w:i/>
                <w:iCs/>
              </w:rPr>
              <w:t>)</w:t>
            </w:r>
            <w:r w:rsidR="00675EEE">
              <w:rPr>
                <w:webHidden/>
              </w:rPr>
              <w:tab/>
            </w:r>
            <w:r w:rsidR="00675EEE">
              <w:rPr>
                <w:webHidden/>
              </w:rPr>
              <w:fldChar w:fldCharType="begin"/>
            </w:r>
            <w:r w:rsidR="00675EEE">
              <w:rPr>
                <w:webHidden/>
              </w:rPr>
              <w:instrText xml:space="preserve"> PAGEREF _Toc113271067 \h </w:instrText>
            </w:r>
            <w:r w:rsidR="00675EEE">
              <w:rPr>
                <w:webHidden/>
              </w:rPr>
            </w:r>
            <w:r w:rsidR="00675EEE">
              <w:rPr>
                <w:webHidden/>
              </w:rPr>
              <w:fldChar w:fldCharType="separate"/>
            </w:r>
            <w:r w:rsidR="00675EEE">
              <w:rPr>
                <w:webHidden/>
              </w:rPr>
              <w:t>160</w:t>
            </w:r>
            <w:r w:rsidR="00675EEE">
              <w:rPr>
                <w:webHidden/>
              </w:rPr>
              <w:fldChar w:fldCharType="end"/>
            </w:r>
          </w:hyperlink>
        </w:p>
        <w:p w14:paraId="409E0548" w14:textId="2BDFA088" w:rsidR="00675EEE" w:rsidRDefault="00460D1B">
          <w:pPr>
            <w:pStyle w:val="TOC2"/>
            <w:rPr>
              <w:rFonts w:eastAsiaTheme="minorEastAsia" w:cstheme="minorBidi"/>
              <w:b w:val="0"/>
              <w:color w:val="auto"/>
              <w:sz w:val="22"/>
              <w:szCs w:val="22"/>
            </w:rPr>
          </w:pPr>
          <w:hyperlink w:anchor="_Toc113271068" w:history="1">
            <w:r w:rsidR="00675EEE" w:rsidRPr="000342AC">
              <w:rPr>
                <w:rStyle w:val="Hyperlink"/>
              </w:rPr>
              <w:t xml:space="preserve">4.45 Snowdrop Wood-sorrel </w:t>
            </w:r>
            <w:r w:rsidR="00675EEE" w:rsidRPr="000342AC">
              <w:rPr>
                <w:rStyle w:val="Hyperlink"/>
                <w:i/>
                <w:iCs/>
              </w:rPr>
              <w:t>(Oxalis magellanica)</w:t>
            </w:r>
            <w:r w:rsidR="00675EEE">
              <w:rPr>
                <w:webHidden/>
              </w:rPr>
              <w:tab/>
            </w:r>
            <w:r w:rsidR="00675EEE">
              <w:rPr>
                <w:webHidden/>
              </w:rPr>
              <w:fldChar w:fldCharType="begin"/>
            </w:r>
            <w:r w:rsidR="00675EEE">
              <w:rPr>
                <w:webHidden/>
              </w:rPr>
              <w:instrText xml:space="preserve"> PAGEREF _Toc113271068 \h </w:instrText>
            </w:r>
            <w:r w:rsidR="00675EEE">
              <w:rPr>
                <w:webHidden/>
              </w:rPr>
            </w:r>
            <w:r w:rsidR="00675EEE">
              <w:rPr>
                <w:webHidden/>
              </w:rPr>
              <w:fldChar w:fldCharType="separate"/>
            </w:r>
            <w:r w:rsidR="00675EEE">
              <w:rPr>
                <w:webHidden/>
              </w:rPr>
              <w:t>162</w:t>
            </w:r>
            <w:r w:rsidR="00675EEE">
              <w:rPr>
                <w:webHidden/>
              </w:rPr>
              <w:fldChar w:fldCharType="end"/>
            </w:r>
          </w:hyperlink>
        </w:p>
        <w:p w14:paraId="093D6D22" w14:textId="4FDEBA39" w:rsidR="00675EEE" w:rsidRDefault="00460D1B">
          <w:pPr>
            <w:pStyle w:val="TOC2"/>
            <w:rPr>
              <w:rFonts w:eastAsiaTheme="minorEastAsia" w:cstheme="minorBidi"/>
              <w:b w:val="0"/>
              <w:color w:val="auto"/>
              <w:sz w:val="22"/>
              <w:szCs w:val="22"/>
            </w:rPr>
          </w:pPr>
          <w:hyperlink w:anchor="_Toc113271069" w:history="1">
            <w:r w:rsidR="00675EEE" w:rsidRPr="000342AC">
              <w:rPr>
                <w:rStyle w:val="Hyperlink"/>
              </w:rPr>
              <w:t>4.46 Soft Skullcap </w:t>
            </w:r>
            <w:r w:rsidR="00675EEE" w:rsidRPr="000342AC">
              <w:rPr>
                <w:rStyle w:val="Hyperlink"/>
                <w:i/>
                <w:iCs/>
              </w:rPr>
              <w:t>(Scutellaria mollis)</w:t>
            </w:r>
            <w:r w:rsidR="00675EEE">
              <w:rPr>
                <w:webHidden/>
              </w:rPr>
              <w:tab/>
            </w:r>
            <w:r w:rsidR="00675EEE">
              <w:rPr>
                <w:webHidden/>
              </w:rPr>
              <w:fldChar w:fldCharType="begin"/>
            </w:r>
            <w:r w:rsidR="00675EEE">
              <w:rPr>
                <w:webHidden/>
              </w:rPr>
              <w:instrText xml:space="preserve"> PAGEREF _Toc113271069 \h </w:instrText>
            </w:r>
            <w:r w:rsidR="00675EEE">
              <w:rPr>
                <w:webHidden/>
              </w:rPr>
            </w:r>
            <w:r w:rsidR="00675EEE">
              <w:rPr>
                <w:webHidden/>
              </w:rPr>
              <w:fldChar w:fldCharType="separate"/>
            </w:r>
            <w:r w:rsidR="00675EEE">
              <w:rPr>
                <w:webHidden/>
              </w:rPr>
              <w:t>164</w:t>
            </w:r>
            <w:r w:rsidR="00675EEE">
              <w:rPr>
                <w:webHidden/>
              </w:rPr>
              <w:fldChar w:fldCharType="end"/>
            </w:r>
          </w:hyperlink>
        </w:p>
        <w:p w14:paraId="149059E4" w14:textId="0B023E40" w:rsidR="00675EEE" w:rsidRDefault="00460D1B">
          <w:pPr>
            <w:pStyle w:val="TOC2"/>
            <w:rPr>
              <w:rFonts w:eastAsiaTheme="minorEastAsia" w:cstheme="minorBidi"/>
              <w:b w:val="0"/>
              <w:color w:val="auto"/>
              <w:sz w:val="22"/>
              <w:szCs w:val="22"/>
            </w:rPr>
          </w:pPr>
          <w:hyperlink w:anchor="_Toc113271070" w:history="1">
            <w:r w:rsidR="00675EEE" w:rsidRPr="000342AC">
              <w:rPr>
                <w:rStyle w:val="Hyperlink"/>
              </w:rPr>
              <w:t>4.47 Spicy Everlasting</w:t>
            </w:r>
            <w:r w:rsidR="00675EEE" w:rsidRPr="000342AC">
              <w:rPr>
                <w:rStyle w:val="Hyperlink"/>
                <w:i/>
                <w:iCs/>
              </w:rPr>
              <w:t> (Ozothamnus argophyllus)</w:t>
            </w:r>
            <w:r w:rsidR="00675EEE">
              <w:rPr>
                <w:webHidden/>
              </w:rPr>
              <w:tab/>
            </w:r>
            <w:r w:rsidR="00675EEE">
              <w:rPr>
                <w:webHidden/>
              </w:rPr>
              <w:fldChar w:fldCharType="begin"/>
            </w:r>
            <w:r w:rsidR="00675EEE">
              <w:rPr>
                <w:webHidden/>
              </w:rPr>
              <w:instrText xml:space="preserve"> PAGEREF _Toc113271070 \h </w:instrText>
            </w:r>
            <w:r w:rsidR="00675EEE">
              <w:rPr>
                <w:webHidden/>
              </w:rPr>
            </w:r>
            <w:r w:rsidR="00675EEE">
              <w:rPr>
                <w:webHidden/>
              </w:rPr>
              <w:fldChar w:fldCharType="separate"/>
            </w:r>
            <w:r w:rsidR="00675EEE">
              <w:rPr>
                <w:webHidden/>
              </w:rPr>
              <w:t>166</w:t>
            </w:r>
            <w:r w:rsidR="00675EEE">
              <w:rPr>
                <w:webHidden/>
              </w:rPr>
              <w:fldChar w:fldCharType="end"/>
            </w:r>
          </w:hyperlink>
        </w:p>
        <w:p w14:paraId="00D53D93" w14:textId="4E872F99" w:rsidR="00675EEE" w:rsidRDefault="00460D1B">
          <w:pPr>
            <w:pStyle w:val="TOC2"/>
            <w:rPr>
              <w:rFonts w:eastAsiaTheme="minorEastAsia" w:cstheme="minorBidi"/>
              <w:b w:val="0"/>
              <w:color w:val="auto"/>
              <w:sz w:val="22"/>
              <w:szCs w:val="22"/>
            </w:rPr>
          </w:pPr>
          <w:hyperlink w:anchor="_Toc113271071" w:history="1">
            <w:r w:rsidR="00675EEE" w:rsidRPr="000342AC">
              <w:rPr>
                <w:rStyle w:val="Hyperlink"/>
              </w:rPr>
              <w:t xml:space="preserve">4.48 Sticky Wattle </w:t>
            </w:r>
            <w:r w:rsidR="00675EEE" w:rsidRPr="000342AC">
              <w:rPr>
                <w:rStyle w:val="Hyperlink"/>
                <w:i/>
                <w:iCs/>
              </w:rPr>
              <w:t>(Acacia howittii)</w:t>
            </w:r>
            <w:r w:rsidR="00675EEE">
              <w:rPr>
                <w:webHidden/>
              </w:rPr>
              <w:tab/>
            </w:r>
            <w:r w:rsidR="00675EEE">
              <w:rPr>
                <w:webHidden/>
              </w:rPr>
              <w:fldChar w:fldCharType="begin"/>
            </w:r>
            <w:r w:rsidR="00675EEE">
              <w:rPr>
                <w:webHidden/>
              </w:rPr>
              <w:instrText xml:space="preserve"> PAGEREF _Toc113271071 \h </w:instrText>
            </w:r>
            <w:r w:rsidR="00675EEE">
              <w:rPr>
                <w:webHidden/>
              </w:rPr>
            </w:r>
            <w:r w:rsidR="00675EEE">
              <w:rPr>
                <w:webHidden/>
              </w:rPr>
              <w:fldChar w:fldCharType="separate"/>
            </w:r>
            <w:r w:rsidR="00675EEE">
              <w:rPr>
                <w:webHidden/>
              </w:rPr>
              <w:t>168</w:t>
            </w:r>
            <w:r w:rsidR="00675EEE">
              <w:rPr>
                <w:webHidden/>
              </w:rPr>
              <w:fldChar w:fldCharType="end"/>
            </w:r>
          </w:hyperlink>
        </w:p>
        <w:p w14:paraId="0FA7D74B" w14:textId="4CFEB899" w:rsidR="00675EEE" w:rsidRDefault="00460D1B">
          <w:pPr>
            <w:pStyle w:val="TOC2"/>
            <w:rPr>
              <w:rFonts w:eastAsiaTheme="minorEastAsia" w:cstheme="minorBidi"/>
              <w:b w:val="0"/>
              <w:color w:val="auto"/>
              <w:sz w:val="22"/>
              <w:szCs w:val="22"/>
            </w:rPr>
          </w:pPr>
          <w:hyperlink w:anchor="_Toc113271072" w:history="1">
            <w:r w:rsidR="00675EEE" w:rsidRPr="000342AC">
              <w:rPr>
                <w:rStyle w:val="Hyperlink"/>
              </w:rPr>
              <w:t xml:space="preserve">4.49 Tall Plume-grass </w:t>
            </w:r>
            <w:r w:rsidR="00675EEE" w:rsidRPr="000342AC">
              <w:rPr>
                <w:rStyle w:val="Hyperlink"/>
                <w:i/>
                <w:iCs/>
              </w:rPr>
              <w:t>(Dichelachne robusta)</w:t>
            </w:r>
            <w:r w:rsidR="00675EEE">
              <w:rPr>
                <w:webHidden/>
              </w:rPr>
              <w:tab/>
            </w:r>
            <w:r w:rsidR="00675EEE">
              <w:rPr>
                <w:webHidden/>
              </w:rPr>
              <w:fldChar w:fldCharType="begin"/>
            </w:r>
            <w:r w:rsidR="00675EEE">
              <w:rPr>
                <w:webHidden/>
              </w:rPr>
              <w:instrText xml:space="preserve"> PAGEREF _Toc113271072 \h </w:instrText>
            </w:r>
            <w:r w:rsidR="00675EEE">
              <w:rPr>
                <w:webHidden/>
              </w:rPr>
            </w:r>
            <w:r w:rsidR="00675EEE">
              <w:rPr>
                <w:webHidden/>
              </w:rPr>
              <w:fldChar w:fldCharType="separate"/>
            </w:r>
            <w:r w:rsidR="00675EEE">
              <w:rPr>
                <w:webHidden/>
              </w:rPr>
              <w:t>171</w:t>
            </w:r>
            <w:r w:rsidR="00675EEE">
              <w:rPr>
                <w:webHidden/>
              </w:rPr>
              <w:fldChar w:fldCharType="end"/>
            </w:r>
          </w:hyperlink>
        </w:p>
        <w:p w14:paraId="34FB1624" w14:textId="0ED916CB" w:rsidR="00675EEE" w:rsidRDefault="00460D1B">
          <w:pPr>
            <w:pStyle w:val="TOC2"/>
            <w:rPr>
              <w:rFonts w:eastAsiaTheme="minorEastAsia" w:cstheme="minorBidi"/>
              <w:b w:val="0"/>
              <w:color w:val="auto"/>
              <w:sz w:val="22"/>
              <w:szCs w:val="22"/>
            </w:rPr>
          </w:pPr>
          <w:hyperlink w:anchor="_Toc113271073" w:history="1">
            <w:r w:rsidR="00675EEE" w:rsidRPr="000342AC">
              <w:rPr>
                <w:rStyle w:val="Hyperlink"/>
              </w:rPr>
              <w:t>4.50 Tasmanian Wax-flower </w:t>
            </w:r>
            <w:r w:rsidR="00675EEE" w:rsidRPr="000342AC">
              <w:rPr>
                <w:rStyle w:val="Hyperlink"/>
                <w:i/>
                <w:iCs/>
              </w:rPr>
              <w:t>(Philotheca virgata)</w:t>
            </w:r>
            <w:r w:rsidR="00675EEE">
              <w:rPr>
                <w:webHidden/>
              </w:rPr>
              <w:tab/>
            </w:r>
            <w:r w:rsidR="00675EEE">
              <w:rPr>
                <w:webHidden/>
              </w:rPr>
              <w:fldChar w:fldCharType="begin"/>
            </w:r>
            <w:r w:rsidR="00675EEE">
              <w:rPr>
                <w:webHidden/>
              </w:rPr>
              <w:instrText xml:space="preserve"> PAGEREF _Toc113271073 \h </w:instrText>
            </w:r>
            <w:r w:rsidR="00675EEE">
              <w:rPr>
                <w:webHidden/>
              </w:rPr>
            </w:r>
            <w:r w:rsidR="00675EEE">
              <w:rPr>
                <w:webHidden/>
              </w:rPr>
              <w:fldChar w:fldCharType="separate"/>
            </w:r>
            <w:r w:rsidR="00675EEE">
              <w:rPr>
                <w:webHidden/>
              </w:rPr>
              <w:t>173</w:t>
            </w:r>
            <w:r w:rsidR="00675EEE">
              <w:rPr>
                <w:webHidden/>
              </w:rPr>
              <w:fldChar w:fldCharType="end"/>
            </w:r>
          </w:hyperlink>
        </w:p>
        <w:p w14:paraId="1F8D2368" w14:textId="3626FB1B" w:rsidR="00675EEE" w:rsidRDefault="00460D1B">
          <w:pPr>
            <w:pStyle w:val="TOC2"/>
            <w:rPr>
              <w:rFonts w:eastAsiaTheme="minorEastAsia" w:cstheme="minorBidi"/>
              <w:b w:val="0"/>
              <w:color w:val="auto"/>
              <w:sz w:val="22"/>
              <w:szCs w:val="22"/>
            </w:rPr>
          </w:pPr>
          <w:hyperlink w:anchor="_Toc113271074" w:history="1">
            <w:r w:rsidR="00675EEE" w:rsidRPr="000342AC">
              <w:rPr>
                <w:rStyle w:val="Hyperlink"/>
              </w:rPr>
              <w:t>4.51 Tree Geebung </w:t>
            </w:r>
            <w:r w:rsidR="00675EEE" w:rsidRPr="000342AC">
              <w:rPr>
                <w:rStyle w:val="Hyperlink"/>
                <w:i/>
                <w:iCs/>
              </w:rPr>
              <w:t>(Persoonia arborea)</w:t>
            </w:r>
            <w:r w:rsidR="00675EEE">
              <w:rPr>
                <w:webHidden/>
              </w:rPr>
              <w:tab/>
            </w:r>
            <w:r w:rsidR="00675EEE">
              <w:rPr>
                <w:webHidden/>
              </w:rPr>
              <w:fldChar w:fldCharType="begin"/>
            </w:r>
            <w:r w:rsidR="00675EEE">
              <w:rPr>
                <w:webHidden/>
              </w:rPr>
              <w:instrText xml:space="preserve"> PAGEREF _Toc113271074 \h </w:instrText>
            </w:r>
            <w:r w:rsidR="00675EEE">
              <w:rPr>
                <w:webHidden/>
              </w:rPr>
            </w:r>
            <w:r w:rsidR="00675EEE">
              <w:rPr>
                <w:webHidden/>
              </w:rPr>
              <w:fldChar w:fldCharType="separate"/>
            </w:r>
            <w:r w:rsidR="00675EEE">
              <w:rPr>
                <w:webHidden/>
              </w:rPr>
              <w:t>177</w:t>
            </w:r>
            <w:r w:rsidR="00675EEE">
              <w:rPr>
                <w:webHidden/>
              </w:rPr>
              <w:fldChar w:fldCharType="end"/>
            </w:r>
          </w:hyperlink>
        </w:p>
        <w:p w14:paraId="04941115" w14:textId="0364B3A7" w:rsidR="00675EEE" w:rsidRDefault="00460D1B">
          <w:pPr>
            <w:pStyle w:val="TOC2"/>
            <w:rPr>
              <w:rFonts w:eastAsiaTheme="minorEastAsia" w:cstheme="minorBidi"/>
              <w:b w:val="0"/>
              <w:color w:val="auto"/>
              <w:sz w:val="22"/>
              <w:szCs w:val="22"/>
            </w:rPr>
          </w:pPr>
          <w:hyperlink w:anchor="_Toc113271075" w:history="1">
            <w:r w:rsidR="00675EEE" w:rsidRPr="000342AC">
              <w:rPr>
                <w:rStyle w:val="Hyperlink"/>
              </w:rPr>
              <w:t>4.52 Tullach Ard Grevillea </w:t>
            </w:r>
            <w:r w:rsidR="00675EEE" w:rsidRPr="000342AC">
              <w:rPr>
                <w:rStyle w:val="Hyperlink"/>
                <w:i/>
                <w:iCs/>
              </w:rPr>
              <w:t>(Grevillea polychroma)</w:t>
            </w:r>
            <w:r w:rsidR="00675EEE">
              <w:rPr>
                <w:webHidden/>
              </w:rPr>
              <w:tab/>
            </w:r>
            <w:r w:rsidR="00675EEE">
              <w:rPr>
                <w:webHidden/>
              </w:rPr>
              <w:fldChar w:fldCharType="begin"/>
            </w:r>
            <w:r w:rsidR="00675EEE">
              <w:rPr>
                <w:webHidden/>
              </w:rPr>
              <w:instrText xml:space="preserve"> PAGEREF _Toc113271075 \h </w:instrText>
            </w:r>
            <w:r w:rsidR="00675EEE">
              <w:rPr>
                <w:webHidden/>
              </w:rPr>
            </w:r>
            <w:r w:rsidR="00675EEE">
              <w:rPr>
                <w:webHidden/>
              </w:rPr>
              <w:fldChar w:fldCharType="separate"/>
            </w:r>
            <w:r w:rsidR="00675EEE">
              <w:rPr>
                <w:webHidden/>
              </w:rPr>
              <w:t>181</w:t>
            </w:r>
            <w:r w:rsidR="00675EEE">
              <w:rPr>
                <w:webHidden/>
              </w:rPr>
              <w:fldChar w:fldCharType="end"/>
            </w:r>
          </w:hyperlink>
        </w:p>
        <w:p w14:paraId="3F60089D" w14:textId="20EAF67F" w:rsidR="00675EEE" w:rsidRDefault="00460D1B">
          <w:pPr>
            <w:pStyle w:val="TOC2"/>
            <w:rPr>
              <w:rFonts w:eastAsiaTheme="minorEastAsia" w:cstheme="minorBidi"/>
              <w:b w:val="0"/>
              <w:color w:val="auto"/>
              <w:sz w:val="22"/>
              <w:szCs w:val="22"/>
            </w:rPr>
          </w:pPr>
          <w:hyperlink w:anchor="_Toc113271076" w:history="1">
            <w:r w:rsidR="00675EEE" w:rsidRPr="000342AC">
              <w:rPr>
                <w:rStyle w:val="Hyperlink"/>
              </w:rPr>
              <w:t>4.53 Upright Pomaderris </w:t>
            </w:r>
            <w:r w:rsidR="00675EEE" w:rsidRPr="000342AC">
              <w:rPr>
                <w:rStyle w:val="Hyperlink"/>
                <w:i/>
                <w:iCs/>
              </w:rPr>
              <w:t>(Pomaderris virgata)</w:t>
            </w:r>
            <w:r w:rsidR="00675EEE">
              <w:rPr>
                <w:webHidden/>
              </w:rPr>
              <w:tab/>
            </w:r>
            <w:r w:rsidR="00675EEE">
              <w:rPr>
                <w:webHidden/>
              </w:rPr>
              <w:fldChar w:fldCharType="begin"/>
            </w:r>
            <w:r w:rsidR="00675EEE">
              <w:rPr>
                <w:webHidden/>
              </w:rPr>
              <w:instrText xml:space="preserve"> PAGEREF _Toc113271076 \h </w:instrText>
            </w:r>
            <w:r w:rsidR="00675EEE">
              <w:rPr>
                <w:webHidden/>
              </w:rPr>
            </w:r>
            <w:r w:rsidR="00675EEE">
              <w:rPr>
                <w:webHidden/>
              </w:rPr>
              <w:fldChar w:fldCharType="separate"/>
            </w:r>
            <w:r w:rsidR="00675EEE">
              <w:rPr>
                <w:webHidden/>
              </w:rPr>
              <w:t>184</w:t>
            </w:r>
            <w:r w:rsidR="00675EEE">
              <w:rPr>
                <w:webHidden/>
              </w:rPr>
              <w:fldChar w:fldCharType="end"/>
            </w:r>
          </w:hyperlink>
        </w:p>
        <w:p w14:paraId="62375725" w14:textId="0569AF01" w:rsidR="00675EEE" w:rsidRDefault="00460D1B">
          <w:pPr>
            <w:pStyle w:val="TOC2"/>
            <w:rPr>
              <w:rFonts w:eastAsiaTheme="minorEastAsia" w:cstheme="minorBidi"/>
              <w:b w:val="0"/>
              <w:color w:val="auto"/>
              <w:sz w:val="22"/>
              <w:szCs w:val="22"/>
            </w:rPr>
          </w:pPr>
          <w:hyperlink w:anchor="_Toc113271077" w:history="1">
            <w:r w:rsidR="00675EEE" w:rsidRPr="000342AC">
              <w:rPr>
                <w:rStyle w:val="Hyperlink"/>
              </w:rPr>
              <w:t>4.54 Veined Pomaderris </w:t>
            </w:r>
            <w:r w:rsidR="00675EEE" w:rsidRPr="000342AC">
              <w:rPr>
                <w:rStyle w:val="Hyperlink"/>
                <w:i/>
                <w:iCs/>
              </w:rPr>
              <w:t>(Pomaderris costata)</w:t>
            </w:r>
            <w:r w:rsidR="00675EEE">
              <w:rPr>
                <w:webHidden/>
              </w:rPr>
              <w:tab/>
            </w:r>
            <w:r w:rsidR="00675EEE">
              <w:rPr>
                <w:webHidden/>
              </w:rPr>
              <w:fldChar w:fldCharType="begin"/>
            </w:r>
            <w:r w:rsidR="00675EEE">
              <w:rPr>
                <w:webHidden/>
              </w:rPr>
              <w:instrText xml:space="preserve"> PAGEREF _Toc113271077 \h </w:instrText>
            </w:r>
            <w:r w:rsidR="00675EEE">
              <w:rPr>
                <w:webHidden/>
              </w:rPr>
            </w:r>
            <w:r w:rsidR="00675EEE">
              <w:rPr>
                <w:webHidden/>
              </w:rPr>
              <w:fldChar w:fldCharType="separate"/>
            </w:r>
            <w:r w:rsidR="00675EEE">
              <w:rPr>
                <w:webHidden/>
              </w:rPr>
              <w:t>187</w:t>
            </w:r>
            <w:r w:rsidR="00675EEE">
              <w:rPr>
                <w:webHidden/>
              </w:rPr>
              <w:fldChar w:fldCharType="end"/>
            </w:r>
          </w:hyperlink>
        </w:p>
        <w:p w14:paraId="00172261" w14:textId="2E9741A4" w:rsidR="00675EEE" w:rsidRDefault="00460D1B">
          <w:pPr>
            <w:pStyle w:val="TOC2"/>
            <w:rPr>
              <w:rFonts w:eastAsiaTheme="minorEastAsia" w:cstheme="minorBidi"/>
              <w:b w:val="0"/>
              <w:color w:val="auto"/>
              <w:sz w:val="22"/>
              <w:szCs w:val="22"/>
            </w:rPr>
          </w:pPr>
          <w:hyperlink w:anchor="_Toc113271078" w:history="1">
            <w:r w:rsidR="00675EEE" w:rsidRPr="000342AC">
              <w:rPr>
                <w:rStyle w:val="Hyperlink"/>
              </w:rPr>
              <w:t xml:space="preserve">4.55 Velvety Geebung </w:t>
            </w:r>
            <w:r w:rsidR="00675EEE" w:rsidRPr="000342AC">
              <w:rPr>
                <w:rStyle w:val="Hyperlink"/>
                <w:i/>
                <w:iCs/>
              </w:rPr>
              <w:t>(Persoonia subvelutina)</w:t>
            </w:r>
            <w:r w:rsidR="00675EEE">
              <w:rPr>
                <w:webHidden/>
              </w:rPr>
              <w:tab/>
            </w:r>
            <w:r w:rsidR="00675EEE">
              <w:rPr>
                <w:webHidden/>
              </w:rPr>
              <w:fldChar w:fldCharType="begin"/>
            </w:r>
            <w:r w:rsidR="00675EEE">
              <w:rPr>
                <w:webHidden/>
              </w:rPr>
              <w:instrText xml:space="preserve"> PAGEREF _Toc113271078 \h </w:instrText>
            </w:r>
            <w:r w:rsidR="00675EEE">
              <w:rPr>
                <w:webHidden/>
              </w:rPr>
            </w:r>
            <w:r w:rsidR="00675EEE">
              <w:rPr>
                <w:webHidden/>
              </w:rPr>
              <w:fldChar w:fldCharType="separate"/>
            </w:r>
            <w:r w:rsidR="00675EEE">
              <w:rPr>
                <w:webHidden/>
              </w:rPr>
              <w:t>190</w:t>
            </w:r>
            <w:r w:rsidR="00675EEE">
              <w:rPr>
                <w:webHidden/>
              </w:rPr>
              <w:fldChar w:fldCharType="end"/>
            </w:r>
          </w:hyperlink>
        </w:p>
        <w:p w14:paraId="128E80FD" w14:textId="420D5A4A" w:rsidR="00675EEE" w:rsidRDefault="00460D1B">
          <w:pPr>
            <w:pStyle w:val="TOC2"/>
            <w:rPr>
              <w:rFonts w:eastAsiaTheme="minorEastAsia" w:cstheme="minorBidi"/>
              <w:b w:val="0"/>
              <w:color w:val="auto"/>
              <w:sz w:val="22"/>
              <w:szCs w:val="22"/>
            </w:rPr>
          </w:pPr>
          <w:hyperlink w:anchor="_Toc113271079" w:history="1">
            <w:r w:rsidR="00675EEE" w:rsidRPr="000342AC">
              <w:rPr>
                <w:rStyle w:val="Hyperlink"/>
              </w:rPr>
              <w:t>4.56 Violet Bladderwort</w:t>
            </w:r>
            <w:r w:rsidR="00675EEE" w:rsidRPr="000342AC">
              <w:rPr>
                <w:rStyle w:val="Hyperlink"/>
                <w:i/>
                <w:iCs/>
              </w:rPr>
              <w:t> (Utricularia violacea)</w:t>
            </w:r>
            <w:r w:rsidR="00675EEE">
              <w:rPr>
                <w:webHidden/>
              </w:rPr>
              <w:tab/>
            </w:r>
            <w:r w:rsidR="00675EEE">
              <w:rPr>
                <w:webHidden/>
              </w:rPr>
              <w:fldChar w:fldCharType="begin"/>
            </w:r>
            <w:r w:rsidR="00675EEE">
              <w:rPr>
                <w:webHidden/>
              </w:rPr>
              <w:instrText xml:space="preserve"> PAGEREF _Toc113271079 \h </w:instrText>
            </w:r>
            <w:r w:rsidR="00675EEE">
              <w:rPr>
                <w:webHidden/>
              </w:rPr>
            </w:r>
            <w:r w:rsidR="00675EEE">
              <w:rPr>
                <w:webHidden/>
              </w:rPr>
              <w:fldChar w:fldCharType="separate"/>
            </w:r>
            <w:r w:rsidR="00675EEE">
              <w:rPr>
                <w:webHidden/>
              </w:rPr>
              <w:t>193</w:t>
            </w:r>
            <w:r w:rsidR="00675EEE">
              <w:rPr>
                <w:webHidden/>
              </w:rPr>
              <w:fldChar w:fldCharType="end"/>
            </w:r>
          </w:hyperlink>
        </w:p>
        <w:p w14:paraId="7FF721A8" w14:textId="5CA7F90D" w:rsidR="00675EEE" w:rsidRDefault="00460D1B">
          <w:pPr>
            <w:pStyle w:val="TOC2"/>
            <w:rPr>
              <w:rFonts w:eastAsiaTheme="minorEastAsia" w:cstheme="minorBidi"/>
              <w:b w:val="0"/>
              <w:color w:val="auto"/>
              <w:sz w:val="22"/>
              <w:szCs w:val="22"/>
            </w:rPr>
          </w:pPr>
          <w:hyperlink w:anchor="_Toc113271080" w:history="1">
            <w:r w:rsidR="00675EEE" w:rsidRPr="000342AC">
              <w:rPr>
                <w:rStyle w:val="Hyperlink"/>
              </w:rPr>
              <w:t>4.57 Wallaby-bush </w:t>
            </w:r>
            <w:r w:rsidR="00675EEE" w:rsidRPr="000342AC">
              <w:rPr>
                <w:rStyle w:val="Hyperlink"/>
                <w:i/>
                <w:iCs/>
              </w:rPr>
              <w:t>(Beyeria lasiocarpa)</w:t>
            </w:r>
            <w:r w:rsidR="00675EEE">
              <w:rPr>
                <w:webHidden/>
              </w:rPr>
              <w:tab/>
            </w:r>
            <w:r w:rsidR="00675EEE">
              <w:rPr>
                <w:webHidden/>
              </w:rPr>
              <w:fldChar w:fldCharType="begin"/>
            </w:r>
            <w:r w:rsidR="00675EEE">
              <w:rPr>
                <w:webHidden/>
              </w:rPr>
              <w:instrText xml:space="preserve"> PAGEREF _Toc113271080 \h </w:instrText>
            </w:r>
            <w:r w:rsidR="00675EEE">
              <w:rPr>
                <w:webHidden/>
              </w:rPr>
            </w:r>
            <w:r w:rsidR="00675EEE">
              <w:rPr>
                <w:webHidden/>
              </w:rPr>
              <w:fldChar w:fldCharType="separate"/>
            </w:r>
            <w:r w:rsidR="00675EEE">
              <w:rPr>
                <w:webHidden/>
              </w:rPr>
              <w:t>196</w:t>
            </w:r>
            <w:r w:rsidR="00675EEE">
              <w:rPr>
                <w:webHidden/>
              </w:rPr>
              <w:fldChar w:fldCharType="end"/>
            </w:r>
          </w:hyperlink>
        </w:p>
        <w:p w14:paraId="46D316EC" w14:textId="2FCC1195" w:rsidR="00675EEE" w:rsidRDefault="00460D1B">
          <w:pPr>
            <w:pStyle w:val="TOC2"/>
            <w:rPr>
              <w:rFonts w:eastAsiaTheme="minorEastAsia" w:cstheme="minorBidi"/>
              <w:b w:val="0"/>
              <w:color w:val="auto"/>
              <w:sz w:val="22"/>
              <w:szCs w:val="22"/>
            </w:rPr>
          </w:pPr>
          <w:hyperlink w:anchor="_Toc113271081" w:history="1">
            <w:r w:rsidR="00675EEE" w:rsidRPr="000342AC">
              <w:rPr>
                <w:rStyle w:val="Hyperlink"/>
              </w:rPr>
              <w:t>4.58 Wavy Swamp Wallaby-grass</w:t>
            </w:r>
            <w:r w:rsidR="00675EEE" w:rsidRPr="000342AC">
              <w:rPr>
                <w:rStyle w:val="Hyperlink"/>
                <w:i/>
                <w:iCs/>
              </w:rPr>
              <w:t> (Amphibromus sinuatus)</w:t>
            </w:r>
            <w:r w:rsidR="00675EEE">
              <w:rPr>
                <w:webHidden/>
              </w:rPr>
              <w:tab/>
            </w:r>
            <w:r w:rsidR="00675EEE">
              <w:rPr>
                <w:webHidden/>
              </w:rPr>
              <w:fldChar w:fldCharType="begin"/>
            </w:r>
            <w:r w:rsidR="00675EEE">
              <w:rPr>
                <w:webHidden/>
              </w:rPr>
              <w:instrText xml:space="preserve"> PAGEREF _Toc113271081 \h </w:instrText>
            </w:r>
            <w:r w:rsidR="00675EEE">
              <w:rPr>
                <w:webHidden/>
              </w:rPr>
            </w:r>
            <w:r w:rsidR="00675EEE">
              <w:rPr>
                <w:webHidden/>
              </w:rPr>
              <w:fldChar w:fldCharType="separate"/>
            </w:r>
            <w:r w:rsidR="00675EEE">
              <w:rPr>
                <w:webHidden/>
              </w:rPr>
              <w:t>198</w:t>
            </w:r>
            <w:r w:rsidR="00675EEE">
              <w:rPr>
                <w:webHidden/>
              </w:rPr>
              <w:fldChar w:fldCharType="end"/>
            </w:r>
          </w:hyperlink>
        </w:p>
        <w:p w14:paraId="2B232AEF" w14:textId="0E28B0DF" w:rsidR="00675EEE" w:rsidRDefault="00460D1B">
          <w:pPr>
            <w:pStyle w:val="TOC2"/>
            <w:rPr>
              <w:rFonts w:eastAsiaTheme="minorEastAsia" w:cstheme="minorBidi"/>
              <w:b w:val="0"/>
              <w:color w:val="auto"/>
              <w:sz w:val="22"/>
              <w:szCs w:val="22"/>
            </w:rPr>
          </w:pPr>
          <w:hyperlink w:anchor="_Toc113271082" w:history="1">
            <w:r w:rsidR="00675EEE" w:rsidRPr="000342AC">
              <w:rPr>
                <w:rStyle w:val="Hyperlink"/>
              </w:rPr>
              <w:t>4.59 White Supplejack </w:t>
            </w:r>
            <w:r w:rsidR="00675EEE" w:rsidRPr="000342AC">
              <w:rPr>
                <w:rStyle w:val="Hyperlink"/>
                <w:i/>
                <w:iCs/>
              </w:rPr>
              <w:t>(Ripogonum album)</w:t>
            </w:r>
            <w:r w:rsidR="00675EEE">
              <w:rPr>
                <w:webHidden/>
              </w:rPr>
              <w:tab/>
            </w:r>
            <w:r w:rsidR="00675EEE">
              <w:rPr>
                <w:webHidden/>
              </w:rPr>
              <w:fldChar w:fldCharType="begin"/>
            </w:r>
            <w:r w:rsidR="00675EEE">
              <w:rPr>
                <w:webHidden/>
              </w:rPr>
              <w:instrText xml:space="preserve"> PAGEREF _Toc113271082 \h </w:instrText>
            </w:r>
            <w:r w:rsidR="00675EEE">
              <w:rPr>
                <w:webHidden/>
              </w:rPr>
            </w:r>
            <w:r w:rsidR="00675EEE">
              <w:rPr>
                <w:webHidden/>
              </w:rPr>
              <w:fldChar w:fldCharType="separate"/>
            </w:r>
            <w:r w:rsidR="00675EEE">
              <w:rPr>
                <w:webHidden/>
              </w:rPr>
              <w:t>203</w:t>
            </w:r>
            <w:r w:rsidR="00675EEE">
              <w:rPr>
                <w:webHidden/>
              </w:rPr>
              <w:fldChar w:fldCharType="end"/>
            </w:r>
          </w:hyperlink>
        </w:p>
        <w:p w14:paraId="7F32EC6F" w14:textId="4E783D94" w:rsidR="00675EEE" w:rsidRDefault="00460D1B">
          <w:pPr>
            <w:pStyle w:val="TOC2"/>
            <w:rPr>
              <w:rFonts w:eastAsiaTheme="minorEastAsia" w:cstheme="minorBidi"/>
              <w:b w:val="0"/>
              <w:color w:val="auto"/>
              <w:sz w:val="22"/>
              <w:szCs w:val="22"/>
            </w:rPr>
          </w:pPr>
          <w:hyperlink w:anchor="_Toc113271083" w:history="1">
            <w:r w:rsidR="00675EEE" w:rsidRPr="000342AC">
              <w:rPr>
                <w:rStyle w:val="Hyperlink"/>
              </w:rPr>
              <w:t>4.60 Whiteroot </w:t>
            </w:r>
            <w:r w:rsidR="00675EEE" w:rsidRPr="000342AC">
              <w:rPr>
                <w:rStyle w:val="Hyperlink"/>
                <w:i/>
                <w:iCs/>
              </w:rPr>
              <w:t>(Lobelia purpurascens)</w:t>
            </w:r>
            <w:r w:rsidR="00675EEE">
              <w:rPr>
                <w:webHidden/>
              </w:rPr>
              <w:tab/>
            </w:r>
            <w:r w:rsidR="00675EEE">
              <w:rPr>
                <w:webHidden/>
              </w:rPr>
              <w:fldChar w:fldCharType="begin"/>
            </w:r>
            <w:r w:rsidR="00675EEE">
              <w:rPr>
                <w:webHidden/>
              </w:rPr>
              <w:instrText xml:space="preserve"> PAGEREF _Toc113271083 \h </w:instrText>
            </w:r>
            <w:r w:rsidR="00675EEE">
              <w:rPr>
                <w:webHidden/>
              </w:rPr>
            </w:r>
            <w:r w:rsidR="00675EEE">
              <w:rPr>
                <w:webHidden/>
              </w:rPr>
              <w:fldChar w:fldCharType="separate"/>
            </w:r>
            <w:r w:rsidR="00675EEE">
              <w:rPr>
                <w:webHidden/>
              </w:rPr>
              <w:t>207</w:t>
            </w:r>
            <w:r w:rsidR="00675EEE">
              <w:rPr>
                <w:webHidden/>
              </w:rPr>
              <w:fldChar w:fldCharType="end"/>
            </w:r>
          </w:hyperlink>
        </w:p>
        <w:p w14:paraId="5FA567D1" w14:textId="0D6706D9" w:rsidR="00675EEE" w:rsidRDefault="00460D1B">
          <w:pPr>
            <w:pStyle w:val="TOC2"/>
            <w:rPr>
              <w:rFonts w:eastAsiaTheme="minorEastAsia" w:cstheme="minorBidi"/>
              <w:b w:val="0"/>
              <w:color w:val="auto"/>
              <w:sz w:val="22"/>
              <w:szCs w:val="22"/>
            </w:rPr>
          </w:pPr>
          <w:hyperlink w:anchor="_Toc113271084" w:history="1">
            <w:r w:rsidR="00675EEE" w:rsidRPr="000342AC">
              <w:rPr>
                <w:rStyle w:val="Hyperlink"/>
              </w:rPr>
              <w:t>4.61 Wiry Bog-sedge </w:t>
            </w:r>
            <w:r w:rsidR="00675EEE" w:rsidRPr="000342AC">
              <w:rPr>
                <w:rStyle w:val="Hyperlink"/>
                <w:i/>
                <w:iCs/>
              </w:rPr>
              <w:t>(Schoenus carsei)</w:t>
            </w:r>
            <w:r w:rsidR="00675EEE">
              <w:rPr>
                <w:webHidden/>
              </w:rPr>
              <w:tab/>
            </w:r>
            <w:r w:rsidR="00675EEE">
              <w:rPr>
                <w:webHidden/>
              </w:rPr>
              <w:fldChar w:fldCharType="begin"/>
            </w:r>
            <w:r w:rsidR="00675EEE">
              <w:rPr>
                <w:webHidden/>
              </w:rPr>
              <w:instrText xml:space="preserve"> PAGEREF _Toc113271084 \h </w:instrText>
            </w:r>
            <w:r w:rsidR="00675EEE">
              <w:rPr>
                <w:webHidden/>
              </w:rPr>
            </w:r>
            <w:r w:rsidR="00675EEE">
              <w:rPr>
                <w:webHidden/>
              </w:rPr>
              <w:fldChar w:fldCharType="separate"/>
            </w:r>
            <w:r w:rsidR="00675EEE">
              <w:rPr>
                <w:webHidden/>
              </w:rPr>
              <w:t>210</w:t>
            </w:r>
            <w:r w:rsidR="00675EEE">
              <w:rPr>
                <w:webHidden/>
              </w:rPr>
              <w:fldChar w:fldCharType="end"/>
            </w:r>
          </w:hyperlink>
        </w:p>
        <w:p w14:paraId="678CA2C0" w14:textId="403EB556" w:rsidR="00675EEE" w:rsidRDefault="00460D1B">
          <w:pPr>
            <w:pStyle w:val="TOC1"/>
            <w:rPr>
              <w:rFonts w:eastAsiaTheme="minorEastAsia" w:cstheme="minorBidi"/>
              <w:b w:val="0"/>
              <w:color w:val="auto"/>
              <w:sz w:val="22"/>
              <w:szCs w:val="22"/>
            </w:rPr>
          </w:pPr>
          <w:hyperlink w:anchor="_Toc113271085" w:history="1">
            <w:r w:rsidR="00675EEE" w:rsidRPr="000342AC">
              <w:rPr>
                <w:rStyle w:val="Hyperlink"/>
              </w:rPr>
              <w:t>5. References</w:t>
            </w:r>
            <w:r w:rsidR="00675EEE">
              <w:rPr>
                <w:webHidden/>
              </w:rPr>
              <w:tab/>
            </w:r>
            <w:r w:rsidR="00675EEE">
              <w:rPr>
                <w:webHidden/>
              </w:rPr>
              <w:fldChar w:fldCharType="begin"/>
            </w:r>
            <w:r w:rsidR="00675EEE">
              <w:rPr>
                <w:webHidden/>
              </w:rPr>
              <w:instrText xml:space="preserve"> PAGEREF _Toc113271085 \h </w:instrText>
            </w:r>
            <w:r w:rsidR="00675EEE">
              <w:rPr>
                <w:webHidden/>
              </w:rPr>
            </w:r>
            <w:r w:rsidR="00675EEE">
              <w:rPr>
                <w:webHidden/>
              </w:rPr>
              <w:fldChar w:fldCharType="separate"/>
            </w:r>
            <w:r w:rsidR="00675EEE">
              <w:rPr>
                <w:webHidden/>
              </w:rPr>
              <w:t>212</w:t>
            </w:r>
            <w:r w:rsidR="00675EEE">
              <w:rPr>
                <w:webHidden/>
              </w:rPr>
              <w:fldChar w:fldCharType="end"/>
            </w:r>
          </w:hyperlink>
        </w:p>
        <w:p w14:paraId="194C9A2F" w14:textId="0E1274C5" w:rsidR="00675EEE" w:rsidRDefault="00460D1B">
          <w:pPr>
            <w:pStyle w:val="TOC1"/>
            <w:rPr>
              <w:rFonts w:eastAsiaTheme="minorEastAsia" w:cstheme="minorBidi"/>
              <w:b w:val="0"/>
              <w:color w:val="auto"/>
              <w:sz w:val="22"/>
              <w:szCs w:val="22"/>
            </w:rPr>
          </w:pPr>
          <w:hyperlink w:anchor="_Toc113271086" w:history="1">
            <w:r w:rsidR="00675EEE" w:rsidRPr="000342AC">
              <w:rPr>
                <w:rStyle w:val="Hyperlink"/>
              </w:rPr>
              <w:t>Appendix 1</w:t>
            </w:r>
            <w:r w:rsidR="00114EB3">
              <w:rPr>
                <w:rStyle w:val="Hyperlink"/>
              </w:rPr>
              <w:t xml:space="preserve"> – Hazards rated Significant or High</w:t>
            </w:r>
            <w:r w:rsidR="00675EEE">
              <w:rPr>
                <w:webHidden/>
              </w:rPr>
              <w:tab/>
            </w:r>
            <w:r w:rsidR="00675EEE">
              <w:rPr>
                <w:webHidden/>
              </w:rPr>
              <w:fldChar w:fldCharType="begin"/>
            </w:r>
            <w:r w:rsidR="00675EEE">
              <w:rPr>
                <w:webHidden/>
              </w:rPr>
              <w:instrText xml:space="preserve"> PAGEREF _Toc113271086 \h </w:instrText>
            </w:r>
            <w:r w:rsidR="00675EEE">
              <w:rPr>
                <w:webHidden/>
              </w:rPr>
            </w:r>
            <w:r w:rsidR="00675EEE">
              <w:rPr>
                <w:webHidden/>
              </w:rPr>
              <w:fldChar w:fldCharType="separate"/>
            </w:r>
            <w:r w:rsidR="00675EEE">
              <w:rPr>
                <w:webHidden/>
              </w:rPr>
              <w:t>214</w:t>
            </w:r>
            <w:r w:rsidR="00675EEE">
              <w:rPr>
                <w:webHidden/>
              </w:rPr>
              <w:fldChar w:fldCharType="end"/>
            </w:r>
          </w:hyperlink>
        </w:p>
        <w:p w14:paraId="2AC3CF46" w14:textId="7566C764" w:rsidR="00675EEE" w:rsidRDefault="00460D1B">
          <w:pPr>
            <w:pStyle w:val="TOC1"/>
            <w:rPr>
              <w:rFonts w:eastAsiaTheme="minorEastAsia" w:cstheme="minorBidi"/>
              <w:b w:val="0"/>
              <w:color w:val="auto"/>
              <w:sz w:val="22"/>
              <w:szCs w:val="22"/>
            </w:rPr>
          </w:pPr>
          <w:hyperlink w:anchor="_Toc113271087" w:history="1">
            <w:r w:rsidR="00675EEE" w:rsidRPr="000342AC">
              <w:rPr>
                <w:rStyle w:val="Hyperlink"/>
              </w:rPr>
              <w:t>Appendix 2</w:t>
            </w:r>
            <w:r w:rsidR="00114EB3">
              <w:rPr>
                <w:rStyle w:val="Hyperlink"/>
              </w:rPr>
              <w:t xml:space="preserve"> – Methods</w:t>
            </w:r>
            <w:r w:rsidR="00675EEE">
              <w:rPr>
                <w:webHidden/>
              </w:rPr>
              <w:tab/>
            </w:r>
            <w:r w:rsidR="00675EEE">
              <w:rPr>
                <w:webHidden/>
              </w:rPr>
              <w:fldChar w:fldCharType="begin"/>
            </w:r>
            <w:r w:rsidR="00675EEE">
              <w:rPr>
                <w:webHidden/>
              </w:rPr>
              <w:instrText xml:space="preserve"> PAGEREF _Toc113271087 \h </w:instrText>
            </w:r>
            <w:r w:rsidR="00675EEE">
              <w:rPr>
                <w:webHidden/>
              </w:rPr>
            </w:r>
            <w:r w:rsidR="00675EEE">
              <w:rPr>
                <w:webHidden/>
              </w:rPr>
              <w:fldChar w:fldCharType="separate"/>
            </w:r>
            <w:r w:rsidR="00675EEE">
              <w:rPr>
                <w:webHidden/>
              </w:rPr>
              <w:t>218</w:t>
            </w:r>
            <w:r w:rsidR="00675EEE">
              <w:rPr>
                <w:webHidden/>
              </w:rPr>
              <w:fldChar w:fldCharType="end"/>
            </w:r>
          </w:hyperlink>
        </w:p>
        <w:p w14:paraId="03F4EF17" w14:textId="20E41A17" w:rsidR="00675EEE" w:rsidRDefault="00460D1B">
          <w:pPr>
            <w:pStyle w:val="TOC1"/>
            <w:rPr>
              <w:rFonts w:eastAsiaTheme="minorEastAsia" w:cstheme="minorBidi"/>
              <w:b w:val="0"/>
              <w:color w:val="auto"/>
              <w:sz w:val="22"/>
              <w:szCs w:val="22"/>
            </w:rPr>
          </w:pPr>
          <w:hyperlink w:anchor="_Toc113271098" w:history="1">
            <w:r w:rsidR="00675EEE" w:rsidRPr="000342AC">
              <w:rPr>
                <w:rStyle w:val="Hyperlink"/>
              </w:rPr>
              <w:t>Appendix 3</w:t>
            </w:r>
            <w:r w:rsidR="00114EB3">
              <w:rPr>
                <w:rStyle w:val="Hyperlink"/>
              </w:rPr>
              <w:t xml:space="preserve"> – Soil absorption of EVCs</w:t>
            </w:r>
            <w:r w:rsidR="00675EEE">
              <w:rPr>
                <w:webHidden/>
              </w:rPr>
              <w:tab/>
            </w:r>
            <w:r w:rsidR="00675EEE">
              <w:rPr>
                <w:webHidden/>
              </w:rPr>
              <w:fldChar w:fldCharType="begin"/>
            </w:r>
            <w:r w:rsidR="00675EEE">
              <w:rPr>
                <w:webHidden/>
              </w:rPr>
              <w:instrText xml:space="preserve"> PAGEREF _Toc113271098 \h </w:instrText>
            </w:r>
            <w:r w:rsidR="00675EEE">
              <w:rPr>
                <w:webHidden/>
              </w:rPr>
            </w:r>
            <w:r w:rsidR="00675EEE">
              <w:rPr>
                <w:webHidden/>
              </w:rPr>
              <w:fldChar w:fldCharType="separate"/>
            </w:r>
            <w:r w:rsidR="00675EEE">
              <w:rPr>
                <w:webHidden/>
              </w:rPr>
              <w:t>224</w:t>
            </w:r>
            <w:r w:rsidR="00675EEE">
              <w:rPr>
                <w:webHidden/>
              </w:rPr>
              <w:fldChar w:fldCharType="end"/>
            </w:r>
          </w:hyperlink>
        </w:p>
        <w:p w14:paraId="6684F6A8" w14:textId="77F7B659" w:rsidR="00675EEE" w:rsidRDefault="00460D1B">
          <w:pPr>
            <w:pStyle w:val="TOC1"/>
            <w:rPr>
              <w:rFonts w:eastAsiaTheme="minorEastAsia" w:cstheme="minorBidi"/>
              <w:b w:val="0"/>
              <w:color w:val="auto"/>
              <w:sz w:val="22"/>
              <w:szCs w:val="22"/>
            </w:rPr>
          </w:pPr>
          <w:hyperlink w:anchor="_Toc113271099" w:history="1">
            <w:r w:rsidR="00675EEE" w:rsidRPr="000342AC">
              <w:rPr>
                <w:rStyle w:val="Hyperlink"/>
              </w:rPr>
              <w:t>Appendix 4</w:t>
            </w:r>
            <w:r w:rsidR="00114EB3">
              <w:rPr>
                <w:rStyle w:val="Hyperlink"/>
              </w:rPr>
              <w:t xml:space="preserve"> – Maps</w:t>
            </w:r>
            <w:r w:rsidR="00675EEE">
              <w:rPr>
                <w:webHidden/>
              </w:rPr>
              <w:tab/>
            </w:r>
            <w:r w:rsidR="00675EEE">
              <w:rPr>
                <w:webHidden/>
              </w:rPr>
              <w:fldChar w:fldCharType="begin"/>
            </w:r>
            <w:r w:rsidR="00675EEE">
              <w:rPr>
                <w:webHidden/>
              </w:rPr>
              <w:instrText xml:space="preserve"> PAGEREF _Toc113271099 \h </w:instrText>
            </w:r>
            <w:r w:rsidR="00675EEE">
              <w:rPr>
                <w:webHidden/>
              </w:rPr>
            </w:r>
            <w:r w:rsidR="00675EEE">
              <w:rPr>
                <w:webHidden/>
              </w:rPr>
              <w:fldChar w:fldCharType="separate"/>
            </w:r>
            <w:r w:rsidR="00675EEE">
              <w:rPr>
                <w:webHidden/>
              </w:rPr>
              <w:t>225</w:t>
            </w:r>
            <w:r w:rsidR="00675EEE">
              <w:rPr>
                <w:webHidden/>
              </w:rPr>
              <w:fldChar w:fldCharType="end"/>
            </w:r>
          </w:hyperlink>
        </w:p>
        <w:p w14:paraId="577CF923" w14:textId="15F778CE" w:rsidR="00FB10BB" w:rsidRDefault="00FB10BB" w:rsidP="00442EF7">
          <w:pPr>
            <w:pStyle w:val="TOC1"/>
          </w:pPr>
          <w:r>
            <w:rPr>
              <w:szCs w:val="28"/>
            </w:rPr>
            <w:fldChar w:fldCharType="end"/>
          </w:r>
        </w:p>
      </w:sdtContent>
    </w:sdt>
    <w:p w14:paraId="706E9D70" w14:textId="77777777" w:rsidR="00FB10BB" w:rsidRDefault="00FB10BB" w:rsidP="00FB10BB">
      <w:pPr>
        <w:pStyle w:val="BodyText"/>
      </w:pPr>
    </w:p>
    <w:p w14:paraId="253E1432" w14:textId="5E9AB6D7" w:rsidR="00FB10BB" w:rsidRDefault="00FB10BB">
      <w:pPr>
        <w:rPr>
          <w:b/>
          <w:bCs/>
          <w:color w:val="00B2A9" w:themeColor="accent1"/>
          <w:kern w:val="32"/>
          <w:sz w:val="28"/>
          <w:szCs w:val="22"/>
        </w:rPr>
      </w:pPr>
    </w:p>
    <w:p w14:paraId="07C4E85A" w14:textId="77777777" w:rsidR="00A169C6" w:rsidRDefault="00A169C6">
      <w:pPr>
        <w:rPr>
          <w:b/>
          <w:bCs/>
          <w:color w:val="00B2A9" w:themeColor="accent1"/>
          <w:kern w:val="32"/>
          <w:sz w:val="28"/>
          <w:szCs w:val="22"/>
        </w:rPr>
      </w:pPr>
      <w:r>
        <w:br w:type="page"/>
      </w:r>
    </w:p>
    <w:p w14:paraId="43B15FBE" w14:textId="7741111D" w:rsidR="00260F74" w:rsidRPr="00485C3F" w:rsidRDefault="0008243F" w:rsidP="00A0496F">
      <w:pPr>
        <w:pStyle w:val="Heading1"/>
      </w:pPr>
      <w:bookmarkStart w:id="4" w:name="_Toc113271006"/>
      <w:r>
        <w:t>Introduction</w:t>
      </w:r>
      <w:bookmarkEnd w:id="4"/>
    </w:p>
    <w:p w14:paraId="2D25E81D" w14:textId="20AC8607" w:rsidR="00A54E96" w:rsidRPr="005511D4" w:rsidRDefault="00A54E96" w:rsidP="00A54E96">
      <w:pPr>
        <w:pStyle w:val="BodyText"/>
      </w:pPr>
      <w:r>
        <w:t xml:space="preserve">Under Victoria’s modernised Regional Forest Agreements (RFAs), the Department of Environment, Land, Water and Planning (DELWP) must undertake a risk assessment for species or communities that are potentially at risk from forestry operations, within six months of a species or ecological community being listed as threatened under the Victorian </w:t>
      </w:r>
      <w:r w:rsidRPr="006C0385">
        <w:rPr>
          <w:i/>
          <w:iCs/>
        </w:rPr>
        <w:t>Flora and Fauna Guarantee Act 1988</w:t>
      </w:r>
      <w:r>
        <w:t xml:space="preserve"> (FFG Act) or the Commonwealth </w:t>
      </w:r>
      <w:r w:rsidRPr="006C0385">
        <w:rPr>
          <w:i/>
          <w:iCs/>
        </w:rPr>
        <w:t xml:space="preserve">Environment Protection and Biodiversity Conservation </w:t>
      </w:r>
      <w:r w:rsidRPr="005511D4">
        <w:rPr>
          <w:i/>
          <w:iCs/>
        </w:rPr>
        <w:t>Act 1999</w:t>
      </w:r>
      <w:r w:rsidRPr="005511D4">
        <w:t xml:space="preserve"> (EPBC Act).  D</w:t>
      </w:r>
      <w:r w:rsidRPr="00BF2FBB">
        <w:t>ELWP must also determine whether additional interim or permanent protections and management actions are necessary</w:t>
      </w:r>
      <w:r w:rsidR="007E3BF4" w:rsidRPr="00BF2FBB">
        <w:t xml:space="preserve"> and</w:t>
      </w:r>
      <w:r w:rsidRPr="00BF2FBB">
        <w:t xml:space="preserve"> implement interim protections and actions where relevant. More information on the details of this requirement can be found in the </w:t>
      </w:r>
      <w:hyperlink r:id="rId42" w:history="1">
        <w:r w:rsidRPr="00915D82">
          <w:rPr>
            <w:rStyle w:val="Hyperlink"/>
            <w:color w:val="363534" w:themeColor="text1"/>
          </w:rPr>
          <w:t>October 2020 Threatened Species and Communities Risk Assessment document</w:t>
        </w:r>
      </w:hyperlink>
      <w:r w:rsidRPr="005511D4">
        <w:t>.</w:t>
      </w:r>
    </w:p>
    <w:p w14:paraId="22465D27" w14:textId="7029BF0F" w:rsidR="00A54E96" w:rsidRDefault="00A54E96" w:rsidP="00A54E96">
      <w:pPr>
        <w:pStyle w:val="BodyText"/>
      </w:pPr>
      <w:r w:rsidRPr="00BF2FBB">
        <w:t xml:space="preserve">DELWP has completed a second substantial risk assessment of threatened species </w:t>
      </w:r>
      <w:r w:rsidR="00F40DA5">
        <w:t>(Tranche 2)</w:t>
      </w:r>
      <w:r w:rsidRPr="00BF2FBB">
        <w:t xml:space="preserve"> in accordance with the RFA requirements. The trigger for this risk assessment was the listing of more than 1</w:t>
      </w:r>
      <w:r w:rsidR="00355BEB" w:rsidRPr="00BF2FBB">
        <w:t>,</w:t>
      </w:r>
      <w:r w:rsidRPr="00BF2FBB">
        <w:t xml:space="preserve">300 species as threatened under the FFG Act in May 2021. The risk assessment was informed by input from scientific </w:t>
      </w:r>
      <w:r>
        <w:t xml:space="preserve">experts, combined with other information sources including published literature and spatial analysis. The consequence and likelihood of each </w:t>
      </w:r>
      <w:r w:rsidR="00D901FC">
        <w:t xml:space="preserve">assessed </w:t>
      </w:r>
      <w:r w:rsidR="00121AA0">
        <w:t>hazard</w:t>
      </w:r>
      <w:r>
        <w:t xml:space="preserve"> was determined to assess the overall level of risk posed to each listed species over the next 20 years</w:t>
      </w:r>
      <w:r w:rsidR="00456E64">
        <w:t>,</w:t>
      </w:r>
      <w:r>
        <w:t xml:space="preserve"> as they variously apply across the five Victorian RFA regions (Central Highlands, Gippsland, East Gippsland, North East and West), including consideration of the effectiveness of existing controls. The assessment considers whether any of the identified </w:t>
      </w:r>
      <w:r w:rsidR="004F366C">
        <w:t>residual</w:t>
      </w:r>
      <w:r>
        <w:t xml:space="preserve"> risks (those ranked significant or high) represent an immediate risk of serious or irreversible harm in the short term (by mid-2023). Finally, it states whether permanent protections may be required to mitigate the identified significant or high risks in the longer term, with hazards that are rated as a medium risk or higher recommended for consideration in future management planning.</w:t>
      </w:r>
    </w:p>
    <w:p w14:paraId="007078FD" w14:textId="4E6FEDC3" w:rsidR="00260F74" w:rsidRDefault="00250221" w:rsidP="0065368C">
      <w:pPr>
        <w:pStyle w:val="BodyText"/>
      </w:pPr>
      <w:r>
        <w:t>Of the</w:t>
      </w:r>
      <w:r w:rsidR="00260F74" w:rsidRPr="00DD67CD">
        <w:t xml:space="preserve"> species listed </w:t>
      </w:r>
      <w:r w:rsidR="00E26C02" w:rsidRPr="00E26C02">
        <w:t>under the</w:t>
      </w:r>
      <w:r w:rsidR="00073597">
        <w:t xml:space="preserve"> FFG Act</w:t>
      </w:r>
      <w:r w:rsidR="00E26C02" w:rsidRPr="00E26C02">
        <w:t xml:space="preserve"> </w:t>
      </w:r>
      <w:r w:rsidR="00260F74" w:rsidRPr="00E26C02">
        <w:t>in May 2021</w:t>
      </w:r>
      <w:r w:rsidR="00E26C02">
        <w:t>,</w:t>
      </w:r>
      <w:r w:rsidR="00FE245B">
        <w:t xml:space="preserve"> </w:t>
      </w:r>
      <w:r w:rsidR="00453F14">
        <w:t>t</w:t>
      </w:r>
      <w:r w:rsidR="640824BF">
        <w:t xml:space="preserve">here are </w:t>
      </w:r>
      <w:r w:rsidR="00260F74" w:rsidRPr="00E26C02">
        <w:t xml:space="preserve">62 species </w:t>
      </w:r>
      <w:r w:rsidR="009B2C92" w:rsidRPr="00E26C02">
        <w:t>in</w:t>
      </w:r>
      <w:r w:rsidR="00260F74" w:rsidRPr="00E26C02">
        <w:t xml:space="preserve"> this risk assessment</w:t>
      </w:r>
      <w:r w:rsidR="00260F74">
        <w:t xml:space="preserve"> </w:t>
      </w:r>
      <w:r w:rsidR="640824BF">
        <w:t xml:space="preserve">that are </w:t>
      </w:r>
      <w:r w:rsidR="00260F74">
        <w:t xml:space="preserve">considered to be, or have the </w:t>
      </w:r>
      <w:r w:rsidR="640824BF">
        <w:t xml:space="preserve">potential </w:t>
      </w:r>
      <w:r>
        <w:t>to</w:t>
      </w:r>
      <w:r w:rsidR="00260F74">
        <w:t xml:space="preserve"> be, impacted by forestry operations</w:t>
      </w:r>
      <w:r w:rsidR="00294FC8">
        <w:t>.</w:t>
      </w:r>
      <w:r w:rsidR="00260F74">
        <w:t xml:space="preserve"> O</w:t>
      </w:r>
      <w:r w:rsidR="00260F74" w:rsidRPr="00DD67CD">
        <w:t>ne of these species has since been removed</w:t>
      </w:r>
      <w:r w:rsidR="640824BF">
        <w:t>. This decision was</w:t>
      </w:r>
      <w:r w:rsidR="00260F74" w:rsidRPr="00DD67CD">
        <w:t xml:space="preserve"> based on advice from experts</w:t>
      </w:r>
      <w:r w:rsidR="640824BF">
        <w:t>,</w:t>
      </w:r>
      <w:r w:rsidR="00260F74" w:rsidRPr="00DD67CD">
        <w:t xml:space="preserve"> that records </w:t>
      </w:r>
      <w:r w:rsidR="00A54E96">
        <w:t xml:space="preserve">of this species </w:t>
      </w:r>
      <w:r w:rsidR="00260F74" w:rsidRPr="00DD67CD">
        <w:t>in merchantable areas were mis-identified and therefore not at risk from forestry operations</w:t>
      </w:r>
      <w:r w:rsidR="640824BF">
        <w:t>. There are now</w:t>
      </w:r>
      <w:r w:rsidR="00260F74" w:rsidRPr="00DD67CD">
        <w:t xml:space="preserve"> 61 species</w:t>
      </w:r>
      <w:r w:rsidR="640824BF">
        <w:t xml:space="preserve"> in the final group.</w:t>
      </w:r>
      <w:r w:rsidR="00260F74" w:rsidRPr="00DD67CD">
        <w:t xml:space="preserve"> </w:t>
      </w:r>
      <w:r w:rsidR="004D1CB0">
        <w:t>The rest of the species listed in May were not deemed to require a risk assessment under the RFAs.</w:t>
      </w:r>
    </w:p>
    <w:p w14:paraId="7C0599CD" w14:textId="0A1BADD9" w:rsidR="008F0DF0" w:rsidRDefault="008F0DF0" w:rsidP="0065368C">
      <w:pPr>
        <w:pStyle w:val="BodyText"/>
      </w:pPr>
      <w:r>
        <w:rPr>
          <w:rStyle w:val="normaltextrun"/>
        </w:rPr>
        <w:t>Of the 61 species assessed, a</w:t>
      </w:r>
      <w:r w:rsidRPr="00DD67CD">
        <w:rPr>
          <w:rStyle w:val="normaltextrun"/>
        </w:rPr>
        <w:t xml:space="preserve"> total of </w:t>
      </w:r>
      <w:r w:rsidRPr="008F0DF0">
        <w:rPr>
          <w:rStyle w:val="normaltextrun"/>
          <w:bCs/>
        </w:rPr>
        <w:t>19</w:t>
      </w:r>
      <w:r w:rsidRPr="00DD67CD">
        <w:rPr>
          <w:rStyle w:val="normaltextrun"/>
        </w:rPr>
        <w:t xml:space="preserve"> species have been recommended for interim protections relating to forestry operations</w:t>
      </w:r>
      <w:r>
        <w:rPr>
          <w:rStyle w:val="normaltextrun"/>
        </w:rPr>
        <w:t>, including three Spiny Crayfish, seven rainforest affiliated species, and nine restricted and limited range plants.</w:t>
      </w:r>
    </w:p>
    <w:p w14:paraId="75DE30E3" w14:textId="6D7DE4DF" w:rsidR="00260F74" w:rsidRDefault="00260F74" w:rsidP="0065368C">
      <w:pPr>
        <w:pStyle w:val="BodyText"/>
      </w:pPr>
      <w:r>
        <w:t xml:space="preserve">The following key hazard themes were assessed across the </w:t>
      </w:r>
      <w:r w:rsidR="00A54E96">
        <w:t>61 species:</w:t>
      </w:r>
    </w:p>
    <w:p w14:paraId="68067065" w14:textId="11C229B6" w:rsidR="00260F74" w:rsidRDefault="00260F74" w:rsidP="00B23CC0">
      <w:pPr>
        <w:pStyle w:val="ListBullet2"/>
        <w:ind w:left="709"/>
      </w:pPr>
      <w:r>
        <w:t>Climate change</w:t>
      </w:r>
    </w:p>
    <w:p w14:paraId="5A12C8B4" w14:textId="60C6F7C4" w:rsidR="00260F74" w:rsidRDefault="00260F74" w:rsidP="00B23CC0">
      <w:pPr>
        <w:pStyle w:val="ListBullet2"/>
        <w:ind w:left="709"/>
      </w:pPr>
      <w:r>
        <w:t>Fire</w:t>
      </w:r>
    </w:p>
    <w:p w14:paraId="1DAA7E74" w14:textId="4C1C1370" w:rsidR="00260F74" w:rsidRDefault="00260F74" w:rsidP="00B23CC0">
      <w:pPr>
        <w:pStyle w:val="ListBullet2"/>
        <w:ind w:left="709"/>
      </w:pPr>
      <w:r>
        <w:t>Forestry operations</w:t>
      </w:r>
    </w:p>
    <w:p w14:paraId="30C1F28C" w14:textId="6C22857A" w:rsidR="00260F74" w:rsidRDefault="00260F74" w:rsidP="00B23CC0">
      <w:pPr>
        <w:pStyle w:val="ListBullet2"/>
        <w:ind w:left="709"/>
      </w:pPr>
      <w:r>
        <w:t>Habitat modification</w:t>
      </w:r>
    </w:p>
    <w:p w14:paraId="1B82A680" w14:textId="036798B4" w:rsidR="00260F74" w:rsidRDefault="00CB3199" w:rsidP="00B23CC0">
      <w:pPr>
        <w:pStyle w:val="ListBullet2"/>
        <w:ind w:left="709"/>
      </w:pPr>
      <w:r>
        <w:t>Invasive species</w:t>
      </w:r>
    </w:p>
    <w:p w14:paraId="7E3A3478" w14:textId="3859DCC6" w:rsidR="00260F74" w:rsidRDefault="00BB7C39" w:rsidP="00B23CC0">
      <w:pPr>
        <w:pStyle w:val="ListBullet2"/>
        <w:ind w:left="709"/>
      </w:pPr>
      <w:r>
        <w:t>Threats</w:t>
      </w:r>
      <w:r w:rsidR="00260F74">
        <w:t xml:space="preserve"> to population health and resilience</w:t>
      </w:r>
    </w:p>
    <w:p w14:paraId="50A54957" w14:textId="0A54AD1D" w:rsidR="00A055B2" w:rsidRDefault="00A055B2" w:rsidP="00915D82">
      <w:pPr>
        <w:pStyle w:val="BodyText"/>
      </w:pPr>
      <w:r>
        <w:t>Appendix 1 includes a table of the 61 species</w:t>
      </w:r>
      <w:r w:rsidR="00E65067">
        <w:t xml:space="preserve"> and </w:t>
      </w:r>
      <w:r>
        <w:t>the hazard themes per RFA region that were assessed as significant or high</w:t>
      </w:r>
      <w:r w:rsidR="008C4425">
        <w:t xml:space="preserve"> for each species</w:t>
      </w:r>
      <w:r>
        <w:t>.</w:t>
      </w:r>
    </w:p>
    <w:p w14:paraId="282524EC" w14:textId="07F39F35" w:rsidR="00260F74" w:rsidRDefault="001173DE" w:rsidP="0065368C">
      <w:pPr>
        <w:pStyle w:val="BodyText"/>
        <w:rPr>
          <w:rStyle w:val="normaltextrun"/>
          <w:rFonts w:ascii="Arial" w:hAnsi="Arial"/>
        </w:rPr>
      </w:pPr>
      <w:r>
        <w:t xml:space="preserve">Note: </w:t>
      </w:r>
      <w:r w:rsidR="00260F74">
        <w:t>Not all hazards were assessed for every species</w:t>
      </w:r>
      <w:r w:rsidR="00A84011">
        <w:t>. E</w:t>
      </w:r>
      <w:r w:rsidR="00A54E96">
        <w:t>xperts</w:t>
      </w:r>
      <w:r w:rsidR="00260F74">
        <w:t xml:space="preserve"> were asked to assess the hazards that were likely to have the biggest impacts, as well as to assess </w:t>
      </w:r>
      <w:r w:rsidR="00A54E96">
        <w:t xml:space="preserve">potential threats posed by </w:t>
      </w:r>
      <w:r w:rsidR="00260F74">
        <w:t>forestry operations for each species</w:t>
      </w:r>
      <w:r w:rsidR="001E388E">
        <w:t xml:space="preserve"> </w:t>
      </w:r>
      <w:r w:rsidR="0052172C">
        <w:t xml:space="preserve">for </w:t>
      </w:r>
      <w:r w:rsidR="001E388E">
        <w:t>which they had expertise</w:t>
      </w:r>
      <w:r w:rsidR="00ED763D">
        <w:t>.</w:t>
      </w:r>
      <w:r w:rsidR="00260F74" w:rsidRPr="00DD67CD">
        <w:rPr>
          <w:rStyle w:val="normaltextrun"/>
          <w:rFonts w:ascii="Arial" w:hAnsi="Arial"/>
        </w:rPr>
        <w:t xml:space="preserve"> </w:t>
      </w:r>
      <w:r w:rsidR="009B4747">
        <w:rPr>
          <w:rStyle w:val="normaltextrun"/>
          <w:rFonts w:ascii="Arial" w:hAnsi="Arial"/>
        </w:rPr>
        <w:t>In some cases</w:t>
      </w:r>
      <w:r w:rsidR="0090226C">
        <w:rPr>
          <w:rStyle w:val="normaltextrun"/>
          <w:rFonts w:ascii="Arial" w:hAnsi="Arial"/>
        </w:rPr>
        <w:t>,</w:t>
      </w:r>
      <w:r w:rsidR="00B050BF">
        <w:rPr>
          <w:rStyle w:val="normaltextrun"/>
          <w:rFonts w:ascii="Arial" w:hAnsi="Arial"/>
        </w:rPr>
        <w:t xml:space="preserve"> however,</w:t>
      </w:r>
      <w:r w:rsidR="0090226C">
        <w:rPr>
          <w:rStyle w:val="normaltextrun"/>
          <w:rFonts w:ascii="Arial" w:hAnsi="Arial"/>
        </w:rPr>
        <w:t xml:space="preserve"> </w:t>
      </w:r>
      <w:r w:rsidR="009B4747">
        <w:rPr>
          <w:rStyle w:val="normaltextrun"/>
          <w:rFonts w:ascii="Arial" w:hAnsi="Arial"/>
        </w:rPr>
        <w:t xml:space="preserve">hazards </w:t>
      </w:r>
      <w:r w:rsidR="0082310A">
        <w:rPr>
          <w:rStyle w:val="normaltextrun"/>
          <w:rFonts w:ascii="Arial" w:hAnsi="Arial"/>
        </w:rPr>
        <w:t xml:space="preserve">not related to forestry operations </w:t>
      </w:r>
      <w:r w:rsidR="009B4747">
        <w:rPr>
          <w:rStyle w:val="normaltextrun"/>
          <w:rFonts w:ascii="Arial" w:hAnsi="Arial"/>
        </w:rPr>
        <w:t xml:space="preserve">that </w:t>
      </w:r>
      <w:r w:rsidR="00E8612A">
        <w:rPr>
          <w:rStyle w:val="normaltextrun"/>
          <w:rFonts w:ascii="Arial" w:hAnsi="Arial"/>
        </w:rPr>
        <w:t>were</w:t>
      </w:r>
      <w:r w:rsidR="00E31338">
        <w:rPr>
          <w:rStyle w:val="normaltextrun"/>
          <w:rFonts w:ascii="Arial" w:hAnsi="Arial"/>
        </w:rPr>
        <w:t xml:space="preserve"> likely to have significant impacts </w:t>
      </w:r>
      <w:r w:rsidR="00EC6F64">
        <w:rPr>
          <w:rStyle w:val="normaltextrun"/>
          <w:rFonts w:ascii="Arial" w:hAnsi="Arial"/>
        </w:rPr>
        <w:t>on</w:t>
      </w:r>
      <w:r w:rsidR="0090226C">
        <w:rPr>
          <w:rStyle w:val="normaltextrun"/>
          <w:rFonts w:ascii="Arial" w:hAnsi="Arial"/>
        </w:rPr>
        <w:t xml:space="preserve"> specie</w:t>
      </w:r>
      <w:r w:rsidR="006D519F">
        <w:rPr>
          <w:rStyle w:val="normaltextrun"/>
          <w:rFonts w:ascii="Arial" w:hAnsi="Arial"/>
        </w:rPr>
        <w:t>s</w:t>
      </w:r>
      <w:r w:rsidR="00694BD3">
        <w:rPr>
          <w:rStyle w:val="normaltextrun"/>
          <w:rFonts w:ascii="Arial" w:hAnsi="Arial"/>
        </w:rPr>
        <w:t xml:space="preserve"> </w:t>
      </w:r>
      <w:r w:rsidR="009B4747">
        <w:rPr>
          <w:rStyle w:val="normaltextrun"/>
          <w:rFonts w:ascii="Arial" w:hAnsi="Arial"/>
        </w:rPr>
        <w:t>were not assessed by experts</w:t>
      </w:r>
      <w:r w:rsidR="00EC6F64">
        <w:rPr>
          <w:rStyle w:val="normaltextrun"/>
          <w:rFonts w:ascii="Arial" w:hAnsi="Arial"/>
        </w:rPr>
        <w:t xml:space="preserve"> during this process</w:t>
      </w:r>
      <w:r w:rsidR="0090226C">
        <w:rPr>
          <w:rStyle w:val="normaltextrun"/>
          <w:rFonts w:ascii="Arial" w:hAnsi="Arial"/>
        </w:rPr>
        <w:t>.</w:t>
      </w:r>
    </w:p>
    <w:p w14:paraId="6735CDA8" w14:textId="77777777" w:rsidR="007C24A1" w:rsidRDefault="007C24A1">
      <w:pPr>
        <w:rPr>
          <w:b/>
          <w:bCs/>
          <w:sz w:val="16"/>
        </w:rPr>
      </w:pPr>
      <w:r>
        <w:br w:type="page"/>
      </w:r>
    </w:p>
    <w:p w14:paraId="34062789" w14:textId="57A2E546" w:rsidR="00260F74" w:rsidRPr="00485C3F" w:rsidRDefault="00AB1C9D" w:rsidP="00675EEE">
      <w:pPr>
        <w:pStyle w:val="Heading2"/>
        <w:ind w:left="0"/>
      </w:pPr>
      <w:r w:rsidRPr="007845E8">
        <w:rPr>
          <w:b w:val="0"/>
          <w:bCs w:val="0"/>
          <w:sz w:val="16"/>
          <w:szCs w:val="16"/>
        </w:rPr>
        <w:fldChar w:fldCharType="begin"/>
      </w:r>
      <w:r w:rsidR="00460D1B">
        <w:rPr>
          <w:b w:val="0"/>
          <w:bCs w:val="0"/>
          <w:sz w:val="16"/>
          <w:szCs w:val="16"/>
        </w:rPr>
        <w:fldChar w:fldCharType="separate"/>
      </w:r>
      <w:r w:rsidRPr="007845E8">
        <w:rPr>
          <w:b w:val="0"/>
          <w:bCs w:val="0"/>
          <w:sz w:val="16"/>
          <w:szCs w:val="16"/>
        </w:rPr>
        <w:fldChar w:fldCharType="end"/>
      </w:r>
      <w:bookmarkStart w:id="5" w:name="_Toc101352099"/>
      <w:bookmarkStart w:id="6" w:name="_Toc101352353"/>
      <w:bookmarkStart w:id="7" w:name="_Toc101352100"/>
      <w:bookmarkStart w:id="8" w:name="_Toc101352354"/>
      <w:bookmarkStart w:id="9" w:name="_Toc101352101"/>
      <w:bookmarkStart w:id="10" w:name="_Toc101352355"/>
      <w:bookmarkStart w:id="11" w:name="_Toc113271007"/>
      <w:bookmarkEnd w:id="5"/>
      <w:bookmarkEnd w:id="6"/>
      <w:bookmarkEnd w:id="7"/>
      <w:bookmarkEnd w:id="8"/>
      <w:bookmarkEnd w:id="9"/>
      <w:bookmarkEnd w:id="10"/>
      <w:r w:rsidR="00260F74">
        <w:t>Assessing risk</w:t>
      </w:r>
      <w:bookmarkEnd w:id="11"/>
    </w:p>
    <w:p w14:paraId="6B277647" w14:textId="6E1BF066" w:rsidR="00260F74" w:rsidRDefault="001934E4" w:rsidP="003C4AC5">
      <w:pPr>
        <w:pStyle w:val="BodyText"/>
      </w:pPr>
      <w:r>
        <w:t>In 2021, t</w:t>
      </w:r>
      <w:r w:rsidR="00CF7364">
        <w:t>went</w:t>
      </w:r>
      <w:r w:rsidR="00315842">
        <w:t>y</w:t>
      </w:r>
      <w:r w:rsidR="00814F50">
        <w:t>-</w:t>
      </w:r>
      <w:r w:rsidR="00CF7364">
        <w:t xml:space="preserve">one </w:t>
      </w:r>
      <w:r w:rsidR="00260F74" w:rsidRPr="00DD67CD">
        <w:t>species experts, including staff from DELWP, the Royal Botanic Gardens Victoria,</w:t>
      </w:r>
      <w:r w:rsidR="002D0E77">
        <w:t xml:space="preserve"> </w:t>
      </w:r>
      <w:r w:rsidR="00260F74" w:rsidRPr="00DD67CD">
        <w:t>Country Fire Authority and seven independent environmental consultants, were asked to assess the level of risk posed to species for which they had expertise, by hazards over the next 20 years as they variously apply across the five Victorian RFA regions. They determined the consequence and likelihood of each hazard, as well as considering the effectiveness of existing controls. The</w:t>
      </w:r>
      <w:r w:rsidR="00FD765B">
        <w:t xml:space="preserve"> experts</w:t>
      </w:r>
      <w:r w:rsidR="00260F74" w:rsidRPr="00DD67CD">
        <w:t xml:space="preserve"> were asked to assess whether any of the identified risks (those ranked significant or high) represent an immediate risk of serious or irreversible harm in the short term (</w:t>
      </w:r>
      <w:r w:rsidR="00FD765B">
        <w:t xml:space="preserve">the </w:t>
      </w:r>
      <w:r w:rsidR="00260F74" w:rsidRPr="00DD67CD">
        <w:t xml:space="preserve">next 18 months). </w:t>
      </w:r>
      <w:r w:rsidR="00FD765B">
        <w:t>T</w:t>
      </w:r>
      <w:r w:rsidR="00260F74" w:rsidRPr="00DD67CD">
        <w:t xml:space="preserve">hey were </w:t>
      </w:r>
      <w:r w:rsidR="00FD765B">
        <w:t xml:space="preserve">also </w:t>
      </w:r>
      <w:r w:rsidR="00260F74" w:rsidRPr="00DD67CD">
        <w:t xml:space="preserve">asked to propose feasible, realistic measures (including regulatory controls, active management and/or further knowledge acquisition) that should be considered to mitigate </w:t>
      </w:r>
      <w:r w:rsidR="00260F74" w:rsidRPr="003F2869">
        <w:t xml:space="preserve">the identified significant or high risks over the longer term. A description of the risk assessment method is provided in </w:t>
      </w:r>
      <w:r w:rsidR="00260F74" w:rsidRPr="00915D82">
        <w:t xml:space="preserve">Appendix </w:t>
      </w:r>
      <w:r w:rsidR="003F2869" w:rsidRPr="00915D82">
        <w:t>2.</w:t>
      </w:r>
    </w:p>
    <w:p w14:paraId="1D7AC3CF" w14:textId="103C9242" w:rsidR="00F9236C" w:rsidRDefault="007004D6" w:rsidP="00675EEE">
      <w:pPr>
        <w:pStyle w:val="Heading2"/>
        <w:ind w:left="0"/>
      </w:pPr>
      <w:bookmarkStart w:id="12" w:name="_Toc113271008"/>
      <w:r>
        <w:t>Updated data</w:t>
      </w:r>
      <w:bookmarkEnd w:id="12"/>
    </w:p>
    <w:p w14:paraId="50713FFA" w14:textId="3A0DF711" w:rsidR="0020466A" w:rsidRDefault="0020466A" w:rsidP="00C96274">
      <w:pPr>
        <w:pStyle w:val="BodyText"/>
      </w:pPr>
      <w:r w:rsidRPr="0020466A">
        <w:t>The original risk assessment was based on the 2015 forestry operations “net harvest area” spatial layer, which identified ~400,000 ha of available and merchantable forest across eastern Victoria. Estimates of each species’ potential “exposure” to timber harvesting was based on this data. New data, the 2022 “operable area” spatial layer, refined the potential suitable area for forestry operations to ~160,000 ha across eastern Victoria, based on forest type and forest age. DELWP has re-assessed the potential exposure to species from forestry operations using this layer. The risk rating from the original 202</w:t>
      </w:r>
      <w:r w:rsidR="009D358B">
        <w:t>1</w:t>
      </w:r>
      <w:r w:rsidRPr="0020466A">
        <w:t xml:space="preserve"> assessment has not been amended,</w:t>
      </w:r>
      <w:r w:rsidR="000D0477">
        <w:t xml:space="preserve"> ex</w:t>
      </w:r>
      <w:r w:rsidR="00734C16">
        <w:t>c</w:t>
      </w:r>
      <w:r w:rsidR="000D0477">
        <w:t>ept for seven rainforest affiliated species</w:t>
      </w:r>
      <w:r w:rsidR="00734C16">
        <w:t>.</w:t>
      </w:r>
      <w:r w:rsidRPr="0020466A">
        <w:t xml:space="preserve"> </w:t>
      </w:r>
      <w:r w:rsidR="00734C16">
        <w:t>I</w:t>
      </w:r>
      <w:r w:rsidRPr="0020466A">
        <w:t>nstead</w:t>
      </w:r>
      <w:r w:rsidR="00CD2D2F" w:rsidRPr="0020466A">
        <w:t>,</w:t>
      </w:r>
      <w:r w:rsidRPr="0020466A">
        <w:t xml:space="preserve"> we have reconsidered whether additional protections, either interim or permanent, are still required given the updated exposure information.</w:t>
      </w:r>
      <w:r w:rsidR="002C2DF7" w:rsidRPr="002C2DF7">
        <w:t xml:space="preserve"> </w:t>
      </w:r>
      <w:r w:rsidR="002C2DF7">
        <w:t xml:space="preserve">Additional detail on the reassessment of </w:t>
      </w:r>
      <w:r w:rsidR="009D358B">
        <w:t xml:space="preserve">the </w:t>
      </w:r>
      <w:r w:rsidR="002C2DF7">
        <w:t xml:space="preserve">risk </w:t>
      </w:r>
      <w:r w:rsidR="002C2DF7" w:rsidRPr="00B74439">
        <w:t xml:space="preserve">of forestry operations to </w:t>
      </w:r>
      <w:r w:rsidR="00734C16">
        <w:t xml:space="preserve">the </w:t>
      </w:r>
      <w:r w:rsidR="002C2DF7">
        <w:t>seven rainforest affiliated species</w:t>
      </w:r>
      <w:r w:rsidR="002C2DF7" w:rsidRPr="00B74439">
        <w:t xml:space="preserve"> (</w:t>
      </w:r>
      <w:r w:rsidR="002C2DF7">
        <w:t>Bolwarra, Bristly Shield-fern, Creeping Shield-fern, Jungle Bristle-fern, Oval Fork-fern, Small Fork-fern</w:t>
      </w:r>
      <w:r w:rsidR="00326F6E">
        <w:t>,</w:t>
      </w:r>
      <w:r w:rsidR="002C2DF7">
        <w:t xml:space="preserve"> and White Supplejack) is provided in Appendix 2.</w:t>
      </w:r>
    </w:p>
    <w:p w14:paraId="57210DDA" w14:textId="6D137220" w:rsidR="00EB0F31" w:rsidRDefault="00964CB4" w:rsidP="00675EEE">
      <w:pPr>
        <w:pStyle w:val="Heading2"/>
        <w:ind w:left="0"/>
      </w:pPr>
      <w:bookmarkStart w:id="13" w:name="_Toc113271009"/>
      <w:r>
        <w:t>Past risk assessments</w:t>
      </w:r>
      <w:bookmarkEnd w:id="13"/>
    </w:p>
    <w:p w14:paraId="2C997573" w14:textId="3EBF3631" w:rsidR="00C96274" w:rsidRPr="00C96274" w:rsidRDefault="00544037" w:rsidP="0099130D">
      <w:pPr>
        <w:pStyle w:val="BodyText"/>
        <w:rPr>
          <w:lang w:eastAsia="en-AU"/>
        </w:rPr>
      </w:pPr>
      <w:r>
        <w:t>The “Tranche 1”</w:t>
      </w:r>
      <w:r w:rsidR="00D45644">
        <w:t xml:space="preserve"> risk assessment</w:t>
      </w:r>
      <w:r>
        <w:t xml:space="preserve"> </w:t>
      </w:r>
      <w:r w:rsidR="00D45644">
        <w:t xml:space="preserve">comprised of </w:t>
      </w:r>
      <w:r w:rsidR="00547455" w:rsidRPr="00B74439">
        <w:t xml:space="preserve">79 species and communities that were listed under Victoria’s </w:t>
      </w:r>
      <w:r w:rsidR="009D358B">
        <w:t xml:space="preserve">FFG </w:t>
      </w:r>
      <w:r w:rsidR="00547455" w:rsidRPr="00F73CA5">
        <w:t>Act or the Commonwealth</w:t>
      </w:r>
      <w:r w:rsidR="00547455" w:rsidRPr="001C22CD">
        <w:t xml:space="preserve"> </w:t>
      </w:r>
      <w:r w:rsidR="00547455" w:rsidRPr="00F73CA5">
        <w:t>EPBC Act,</w:t>
      </w:r>
      <w:r w:rsidR="00547455" w:rsidRPr="001C22CD">
        <w:t xml:space="preserve"> at the time of the commencement of the modernised </w:t>
      </w:r>
      <w:r w:rsidR="002E64DB">
        <w:t>RFAs</w:t>
      </w:r>
      <w:r w:rsidR="00547455" w:rsidRPr="001C22CD">
        <w:t>. It include</w:t>
      </w:r>
      <w:r w:rsidR="00D45644">
        <w:t>d</w:t>
      </w:r>
      <w:r w:rsidR="00547455" w:rsidRPr="001C22CD">
        <w:t xml:space="preserve"> many high-profile species and communities including Leadbeater’s Possum; Southern Greater Glider; large forest owls; Long-footed Potoroo; Giant Burrowing Frog; Cool Temperate Rainforest; and aquatic species – freshwater crayfish and </w:t>
      </w:r>
      <w:r w:rsidR="00547455" w:rsidRPr="00B74439">
        <w:t xml:space="preserve">Galaxiids (small native fish).  </w:t>
      </w:r>
      <w:r w:rsidRPr="00B74439">
        <w:t xml:space="preserve">A risk assessment was completed for these species and communities in October 2020. Where required, interim protections were approved in April 2021. Permanent protections and management actions </w:t>
      </w:r>
      <w:r>
        <w:t xml:space="preserve">are being implemented concurrently with </w:t>
      </w:r>
      <w:r w:rsidR="00B62431">
        <w:t>“</w:t>
      </w:r>
      <w:r>
        <w:t>Tranche 2</w:t>
      </w:r>
      <w:r w:rsidR="00B62431">
        <w:t>”</w:t>
      </w:r>
      <w:r>
        <w:t xml:space="preserve"> interim protections</w:t>
      </w:r>
      <w:r w:rsidR="002C436D">
        <w:t xml:space="preserve">, with </w:t>
      </w:r>
      <w:r w:rsidR="002C436D">
        <w:rPr>
          <w:rFonts w:eastAsia="Calibri"/>
        </w:rPr>
        <w:t>permanent protections recommended for two Warm Temperate Rainforest communities in East Gippsland (</w:t>
      </w:r>
      <w:r w:rsidR="002C436D" w:rsidRPr="00474773">
        <w:t xml:space="preserve">Warm Temperate Rainforest </w:t>
      </w:r>
      <w:r w:rsidR="002C436D">
        <w:t xml:space="preserve">- </w:t>
      </w:r>
      <w:r w:rsidR="002C436D" w:rsidRPr="00474773">
        <w:t xml:space="preserve">East Gippsland Alluvial Terraces and Warm Temperate Rainforest </w:t>
      </w:r>
      <w:r w:rsidR="002C436D">
        <w:t xml:space="preserve">- </w:t>
      </w:r>
      <w:r w:rsidR="002C436D" w:rsidRPr="00474773">
        <w:t>Far East Gippsland</w:t>
      </w:r>
      <w:r w:rsidR="002C436D">
        <w:t>) which</w:t>
      </w:r>
      <w:r w:rsidR="002C436D">
        <w:rPr>
          <w:rFonts w:eastAsia="Calibri"/>
        </w:rPr>
        <w:t xml:space="preserve"> may also provide additional protection and may overlap with the rainforest affiliated species with recommended interim protections </w:t>
      </w:r>
      <w:r w:rsidR="00B62431">
        <w:rPr>
          <w:rFonts w:eastAsia="Calibri"/>
        </w:rPr>
        <w:t>in section 2.</w:t>
      </w:r>
    </w:p>
    <w:p w14:paraId="63F174E2" w14:textId="77777777" w:rsidR="00260F74" w:rsidRPr="00DD67CD" w:rsidRDefault="00260F74" w:rsidP="00675EEE">
      <w:pPr>
        <w:pStyle w:val="Heading2"/>
        <w:ind w:left="0"/>
      </w:pPr>
      <w:bookmarkStart w:id="14" w:name="_Toc113271010"/>
      <w:r w:rsidRPr="00DD67CD">
        <w:t>Requirement for interim or permanent protections</w:t>
      </w:r>
      <w:bookmarkEnd w:id="14"/>
    </w:p>
    <w:p w14:paraId="411DDBF1" w14:textId="0C9147B5" w:rsidR="00260F74" w:rsidRPr="00DD67CD" w:rsidRDefault="00260F74" w:rsidP="0065368C">
      <w:pPr>
        <w:pStyle w:val="BodyText"/>
        <w:rPr>
          <w:rStyle w:val="normaltextrun"/>
          <w:b/>
          <w:color w:val="494847"/>
        </w:rPr>
      </w:pPr>
      <w:r w:rsidRPr="00DD67CD">
        <w:rPr>
          <w:rStyle w:val="normaltextrun"/>
        </w:rPr>
        <w:t>The RFAs require Victoria to use reasonable endeavours to implement interim enforceable protections and priority management actions</w:t>
      </w:r>
      <w:r w:rsidR="00EA3AC6">
        <w:rPr>
          <w:rStyle w:val="normaltextrun"/>
        </w:rPr>
        <w:t xml:space="preserve">, </w:t>
      </w:r>
      <w:r w:rsidRPr="00DD67CD">
        <w:rPr>
          <w:rStyle w:val="normaltextrun"/>
        </w:rPr>
        <w:t xml:space="preserve">for those species for which this is necessary. </w:t>
      </w:r>
    </w:p>
    <w:p w14:paraId="29ECC1CB" w14:textId="77777777" w:rsidR="002A10F6" w:rsidRPr="00867646" w:rsidRDefault="002A10F6" w:rsidP="002A10F6">
      <w:pPr>
        <w:pStyle w:val="BodyText"/>
        <w:rPr>
          <w:rStyle w:val="Strong"/>
          <w:rFonts w:eastAsia="Courier New"/>
          <w:color w:val="auto"/>
        </w:rPr>
      </w:pPr>
      <w:r w:rsidRPr="00867646">
        <w:rPr>
          <w:rStyle w:val="Strong"/>
        </w:rPr>
        <w:t>Species with a high or significant risk from forestry operations:</w:t>
      </w:r>
    </w:p>
    <w:p w14:paraId="7AD36235" w14:textId="77777777" w:rsidR="002A10F6" w:rsidRPr="003C0D45" w:rsidRDefault="002A10F6" w:rsidP="002A10F6">
      <w:pPr>
        <w:pStyle w:val="BodyText"/>
      </w:pPr>
      <w:r w:rsidRPr="005511D4">
        <w:rPr>
          <w:rStyle w:val="normaltextrun"/>
        </w:rPr>
        <w:t xml:space="preserve">A total of </w:t>
      </w:r>
      <w:r w:rsidRPr="003C0D45">
        <w:rPr>
          <w:rStyle w:val="normaltextrun"/>
          <w:b/>
        </w:rPr>
        <w:t>3</w:t>
      </w:r>
      <w:r w:rsidRPr="00915D82">
        <w:rPr>
          <w:rStyle w:val="normaltextrun"/>
          <w:b/>
        </w:rPr>
        <w:t>2</w:t>
      </w:r>
      <w:r w:rsidRPr="003C0D45">
        <w:rPr>
          <w:rStyle w:val="normaltextrun"/>
        </w:rPr>
        <w:t xml:space="preserve"> species have been identified to be at high or significant risk from forestry operations, including </w:t>
      </w:r>
      <w:r>
        <w:rPr>
          <w:rStyle w:val="normaltextrun"/>
          <w:b/>
        </w:rPr>
        <w:t>9</w:t>
      </w:r>
      <w:r w:rsidRPr="003C0D45">
        <w:rPr>
          <w:rStyle w:val="normaltextrun"/>
          <w:b/>
        </w:rPr>
        <w:t xml:space="preserve"> </w:t>
      </w:r>
      <w:r w:rsidRPr="003C0D45">
        <w:rPr>
          <w:rStyle w:val="normaltextrun"/>
        </w:rPr>
        <w:t xml:space="preserve">species related to plantations and </w:t>
      </w:r>
      <w:r w:rsidRPr="003C0D45">
        <w:rPr>
          <w:rStyle w:val="normaltextrun"/>
          <w:b/>
        </w:rPr>
        <w:t>2</w:t>
      </w:r>
      <w:r w:rsidRPr="00915D82">
        <w:rPr>
          <w:rStyle w:val="normaltextrun"/>
          <w:b/>
        </w:rPr>
        <w:t>3</w:t>
      </w:r>
      <w:r w:rsidRPr="003C0D45">
        <w:rPr>
          <w:rStyle w:val="normaltextrun"/>
          <w:b/>
        </w:rPr>
        <w:t xml:space="preserve"> species</w:t>
      </w:r>
      <w:r w:rsidRPr="003C0D45">
        <w:rPr>
          <w:rStyle w:val="normaltextrun"/>
        </w:rPr>
        <w:t xml:space="preserve"> related to native forestry operations. </w:t>
      </w:r>
    </w:p>
    <w:p w14:paraId="1A6B86D0" w14:textId="77777777" w:rsidR="002A10F6" w:rsidRPr="00DD67CD" w:rsidRDefault="002A10F6" w:rsidP="002A10F6">
      <w:pPr>
        <w:pStyle w:val="BodyText"/>
      </w:pPr>
      <w:r>
        <w:t>P</w:t>
      </w:r>
      <w:r w:rsidRPr="00DD67CD">
        <w:t>rotections and active management will be required to mitigate the impact of any hazard identified a</w:t>
      </w:r>
      <w:r>
        <w:t>s</w:t>
      </w:r>
      <w:r w:rsidRPr="00DD67CD">
        <w:t xml:space="preserve"> a significant or high risk, and all hazards rated a</w:t>
      </w:r>
      <w:r>
        <w:t xml:space="preserve">s </w:t>
      </w:r>
      <w:r w:rsidRPr="00DD67CD">
        <w:t xml:space="preserve">a medium risk or higher will </w:t>
      </w:r>
      <w:r>
        <w:t xml:space="preserve">need to </w:t>
      </w:r>
      <w:r w:rsidRPr="00DD67CD">
        <w:t>be considered in future management</w:t>
      </w:r>
      <w:r w:rsidRPr="00DD67CD" w:rsidDel="00903CFF">
        <w:t>.</w:t>
      </w:r>
      <w:r w:rsidRPr="00DD67CD">
        <w:t xml:space="preserve"> In many cases, this will involve the maintenance of existing controls; in some cases, further augmentation or adjustment may be required, subject to appropriate evaluation. In a few cases, new protection measures and/or programs of active management may be required. </w:t>
      </w:r>
    </w:p>
    <w:p w14:paraId="318B7E39" w14:textId="77777777" w:rsidR="00260F74" w:rsidRPr="00867646" w:rsidRDefault="00260F74" w:rsidP="0065368C">
      <w:pPr>
        <w:pStyle w:val="BodyText"/>
        <w:rPr>
          <w:b/>
        </w:rPr>
      </w:pPr>
      <w:r w:rsidRPr="00867646">
        <w:rPr>
          <w:b/>
        </w:rPr>
        <w:t xml:space="preserve">Species recommended for forestry operations interim protections: </w:t>
      </w:r>
    </w:p>
    <w:p w14:paraId="4F762A19" w14:textId="15705544" w:rsidR="00260F74" w:rsidRPr="00DD67CD" w:rsidRDefault="000D64A9" w:rsidP="0065368C">
      <w:pPr>
        <w:pStyle w:val="BodyText"/>
        <w:rPr>
          <w:rStyle w:val="normaltextrun"/>
        </w:rPr>
      </w:pPr>
      <w:r>
        <w:rPr>
          <w:rStyle w:val="normaltextrun"/>
        </w:rPr>
        <w:t>Of the 61 species assessed, a</w:t>
      </w:r>
      <w:r w:rsidR="00260F74" w:rsidRPr="00DD67CD">
        <w:rPr>
          <w:rStyle w:val="normaltextrun"/>
        </w:rPr>
        <w:t xml:space="preserve"> total of </w:t>
      </w:r>
      <w:r w:rsidR="00260F74" w:rsidRPr="00DD67CD">
        <w:rPr>
          <w:rStyle w:val="normaltextrun"/>
          <w:b/>
        </w:rPr>
        <w:t>19</w:t>
      </w:r>
      <w:r w:rsidR="00260F74" w:rsidRPr="00DD67CD">
        <w:rPr>
          <w:rStyle w:val="normaltextrun"/>
        </w:rPr>
        <w:t xml:space="preserve"> species have been recommended for interim protections relating to forestry operations. DELWP </w:t>
      </w:r>
      <w:r w:rsidR="00FD765B">
        <w:rPr>
          <w:rStyle w:val="normaltextrun"/>
        </w:rPr>
        <w:t>has con</w:t>
      </w:r>
      <w:r w:rsidR="00205C19">
        <w:rPr>
          <w:rStyle w:val="normaltextrun"/>
        </w:rPr>
        <w:t>ducted</w:t>
      </w:r>
      <w:r w:rsidR="00260F74" w:rsidRPr="00DD67CD">
        <w:rPr>
          <w:rStyle w:val="normaltextrun"/>
        </w:rPr>
        <w:t xml:space="preserve"> a moderation and peer review process to review differences in expert opinion and to ensure consistency </w:t>
      </w:r>
      <w:r w:rsidR="00205C19">
        <w:rPr>
          <w:rStyle w:val="normaltextrun"/>
        </w:rPr>
        <w:t>in the</w:t>
      </w:r>
      <w:r w:rsidR="00260F74" w:rsidRPr="00DD67CD">
        <w:rPr>
          <w:rStyle w:val="normaltextrun"/>
        </w:rPr>
        <w:t xml:space="preserve"> application of ratings. ​</w:t>
      </w:r>
      <w:r w:rsidR="00C42A2A">
        <w:rPr>
          <w:rStyle w:val="normaltextrun"/>
        </w:rPr>
        <w:t xml:space="preserve">Maps for these species are shown in Appendix </w:t>
      </w:r>
      <w:r w:rsidR="00114EB3">
        <w:rPr>
          <w:rStyle w:val="normaltextrun"/>
        </w:rPr>
        <w:t>4</w:t>
      </w:r>
      <w:r w:rsidR="00C42A2A">
        <w:rPr>
          <w:rStyle w:val="normaltextrun"/>
        </w:rPr>
        <w:t>.</w:t>
      </w:r>
    </w:p>
    <w:p w14:paraId="0339CF50" w14:textId="77777777" w:rsidR="00260F74" w:rsidRPr="00DD67CD" w:rsidRDefault="00260F74" w:rsidP="0065368C">
      <w:pPr>
        <w:pStyle w:val="BodyText"/>
        <w:rPr>
          <w:rStyle w:val="normaltextrun"/>
        </w:rPr>
      </w:pPr>
      <w:r w:rsidRPr="00DD67CD">
        <w:rPr>
          <w:rStyle w:val="normaltextrun"/>
        </w:rPr>
        <w:t xml:space="preserve">These species are grouped in three themes as follows: </w:t>
      </w:r>
    </w:p>
    <w:p w14:paraId="5BD2D573" w14:textId="77777777" w:rsidR="00260F74" w:rsidRPr="00485C3F" w:rsidRDefault="00260F74" w:rsidP="00A0496F">
      <w:pPr>
        <w:pStyle w:val="ListBullet"/>
        <w:numPr>
          <w:ilvl w:val="0"/>
          <w:numId w:val="19"/>
        </w:numPr>
        <w:ind w:left="714" w:hanging="357"/>
        <w:rPr>
          <w:rStyle w:val="normaltextrun"/>
        </w:rPr>
      </w:pPr>
      <w:r w:rsidRPr="00485C3F">
        <w:rPr>
          <w:rStyle w:val="normaltextrun"/>
        </w:rPr>
        <w:t>Spiny Crayfish in East Gippsland (three species) – provide interim protections through the application of enhanced buffers in core catchments.</w:t>
      </w:r>
    </w:p>
    <w:p w14:paraId="42538F1F" w14:textId="300562EA" w:rsidR="00260F74" w:rsidRPr="00485C3F" w:rsidRDefault="00260F74" w:rsidP="00A0496F">
      <w:pPr>
        <w:pStyle w:val="ListBullet"/>
        <w:numPr>
          <w:ilvl w:val="0"/>
          <w:numId w:val="19"/>
        </w:numPr>
        <w:ind w:left="714" w:hanging="357"/>
        <w:rPr>
          <w:rStyle w:val="normaltextrun"/>
        </w:rPr>
      </w:pPr>
      <w:r w:rsidRPr="00485C3F">
        <w:rPr>
          <w:rStyle w:val="normaltextrun"/>
        </w:rPr>
        <w:t>Rainforest</w:t>
      </w:r>
      <w:r w:rsidR="002A10F6">
        <w:rPr>
          <w:rStyle w:val="normaltextrun"/>
        </w:rPr>
        <w:t xml:space="preserve"> affiliated</w:t>
      </w:r>
      <w:r w:rsidRPr="00485C3F">
        <w:rPr>
          <w:rStyle w:val="normaltextrun"/>
        </w:rPr>
        <w:t xml:space="preserve"> species (seven species) – improve protection for the rainforest habitat of these species in bushfire-affected areas where correct recognition and buffering of rainforest might be less reliable due to the removal or partial removal of the rainforest canopy</w:t>
      </w:r>
      <w:r w:rsidR="008572F6">
        <w:rPr>
          <w:rStyle w:val="normaltextrun"/>
        </w:rPr>
        <w:t>,</w:t>
      </w:r>
      <w:r w:rsidR="006B408D">
        <w:rPr>
          <w:rStyle w:val="normaltextrun"/>
        </w:rPr>
        <w:t xml:space="preserve"> as well as improve protections where these species may occur outside of already protected areas. </w:t>
      </w:r>
      <w:r w:rsidR="008572F6">
        <w:rPr>
          <w:rStyle w:val="normaltextrun"/>
        </w:rPr>
        <w:t xml:space="preserve"> </w:t>
      </w:r>
    </w:p>
    <w:p w14:paraId="1AA669C9" w14:textId="77777777" w:rsidR="00260F74" w:rsidRDefault="00260F74" w:rsidP="00A0496F">
      <w:pPr>
        <w:pStyle w:val="ListBullet"/>
        <w:numPr>
          <w:ilvl w:val="0"/>
          <w:numId w:val="19"/>
        </w:numPr>
        <w:ind w:left="714" w:hanging="357"/>
        <w:rPr>
          <w:rStyle w:val="normaltextrun"/>
        </w:rPr>
      </w:pPr>
      <w:r w:rsidRPr="00485C3F">
        <w:rPr>
          <w:rStyle w:val="normaltextrun"/>
        </w:rPr>
        <w:t>Restricted and Limited range plants (including long-lived understorey species) (nine species) – improve protection in areas lacking Code prescriptions.</w:t>
      </w:r>
    </w:p>
    <w:p w14:paraId="3FE4DE88" w14:textId="091D1B62" w:rsidR="00BF66FD" w:rsidRPr="00485C3F" w:rsidRDefault="00BB3726" w:rsidP="00BF66FD">
      <w:pPr>
        <w:pStyle w:val="ListBullet"/>
        <w:numPr>
          <w:ilvl w:val="0"/>
          <w:numId w:val="0"/>
        </w:numPr>
        <w:rPr>
          <w:rStyle w:val="normaltextrun"/>
        </w:rPr>
      </w:pPr>
      <w:r>
        <w:rPr>
          <w:rStyle w:val="normaltextrun"/>
        </w:rPr>
        <w:t xml:space="preserve">Section 2 </w:t>
      </w:r>
      <w:r w:rsidR="00181EFE">
        <w:rPr>
          <w:rStyle w:val="normaltextrun"/>
        </w:rPr>
        <w:t>details</w:t>
      </w:r>
      <w:r>
        <w:rPr>
          <w:rStyle w:val="normaltextrun"/>
        </w:rPr>
        <w:t xml:space="preserve"> the recommended interim protections for these species.</w:t>
      </w:r>
    </w:p>
    <w:p w14:paraId="198E377C" w14:textId="488EC334" w:rsidR="00AF4F7D" w:rsidRPr="00DD67CD" w:rsidRDefault="00AF4F7D" w:rsidP="0065368C">
      <w:pPr>
        <w:pStyle w:val="BodyText"/>
      </w:pPr>
      <w:r w:rsidRPr="006C4869">
        <w:t xml:space="preserve">In the detailed risk assessments below, information is provided on the interim protections to be implemented immediately and the priority management actions </w:t>
      </w:r>
      <w:r w:rsidR="001513EA" w:rsidRPr="006C4869">
        <w:t xml:space="preserve">to be implemented as soon as possible to mitigate the short-term risks. Information is also provided as to whether </w:t>
      </w:r>
      <w:r w:rsidR="005A13A4" w:rsidRPr="006C4869">
        <w:t>additional</w:t>
      </w:r>
      <w:r w:rsidR="001513EA" w:rsidRPr="006C4869">
        <w:t xml:space="preserve"> permanent protections may be required; finally, potential management actions </w:t>
      </w:r>
      <w:r w:rsidR="002D0412" w:rsidRPr="006C4869">
        <w:t xml:space="preserve">based on the advice of the species assessors </w:t>
      </w:r>
      <w:r w:rsidR="001513EA" w:rsidRPr="006C4869">
        <w:t>are listed</w:t>
      </w:r>
      <w:r w:rsidR="002D0412" w:rsidRPr="006C4869">
        <w:t xml:space="preserve"> – these would be considered for inclusion in action statements and management plans when </w:t>
      </w:r>
      <w:r w:rsidR="005A13A4" w:rsidRPr="006C4869">
        <w:t>the</w:t>
      </w:r>
      <w:r w:rsidR="002229FF">
        <w:t>y</w:t>
      </w:r>
      <w:r w:rsidR="005A13A4" w:rsidRPr="006C4869">
        <w:t xml:space="preserve"> are prepared or updated.</w:t>
      </w:r>
    </w:p>
    <w:p w14:paraId="3AA849C8" w14:textId="48A37362" w:rsidR="00260F74" w:rsidRPr="00554562" w:rsidRDefault="00087DFC" w:rsidP="00675EEE">
      <w:pPr>
        <w:pStyle w:val="Heading2"/>
        <w:ind w:left="0"/>
      </w:pPr>
      <w:bookmarkStart w:id="15" w:name="_Toc113271011"/>
      <w:r w:rsidRPr="00554562">
        <w:t>N</w:t>
      </w:r>
      <w:r w:rsidR="00260F74" w:rsidRPr="00554562">
        <w:t>ext steps</w:t>
      </w:r>
      <w:bookmarkEnd w:id="15"/>
    </w:p>
    <w:p w14:paraId="6523601C" w14:textId="537CCAC3" w:rsidR="00260F74" w:rsidRPr="00DD67CD" w:rsidRDefault="00260F74" w:rsidP="0065368C">
      <w:pPr>
        <w:pStyle w:val="BodyText"/>
      </w:pPr>
      <w:r w:rsidRPr="00DD67CD">
        <w:rPr>
          <w:lang w:val="en-US"/>
        </w:rPr>
        <w:t xml:space="preserve">This risk assessment will be followed by the preparation </w:t>
      </w:r>
      <w:r w:rsidR="001244A6">
        <w:rPr>
          <w:lang w:val="en-US"/>
        </w:rPr>
        <w:t xml:space="preserve">or update </w:t>
      </w:r>
      <w:r w:rsidR="004F4BFB">
        <w:rPr>
          <w:lang w:val="en-US"/>
        </w:rPr>
        <w:t xml:space="preserve">of </w:t>
      </w:r>
      <w:r w:rsidR="00C20756">
        <w:rPr>
          <w:lang w:val="en-US"/>
        </w:rPr>
        <w:t>a</w:t>
      </w:r>
      <w:r w:rsidRPr="00DD67CD">
        <w:rPr>
          <w:lang w:val="en-US"/>
        </w:rPr>
        <w:t xml:space="preserve">ction </w:t>
      </w:r>
      <w:r w:rsidR="00C20756">
        <w:rPr>
          <w:lang w:val="en-US"/>
        </w:rPr>
        <w:t>s</w:t>
      </w:r>
      <w:r w:rsidRPr="00DD67CD">
        <w:rPr>
          <w:lang w:val="en-US"/>
        </w:rPr>
        <w:t>tatements</w:t>
      </w:r>
      <w:r w:rsidR="00B90323">
        <w:rPr>
          <w:lang w:val="en-US"/>
        </w:rPr>
        <w:t xml:space="preserve"> </w:t>
      </w:r>
      <w:r w:rsidRPr="00DD67CD">
        <w:rPr>
          <w:lang w:val="en-US"/>
        </w:rPr>
        <w:t xml:space="preserve">for each species </w:t>
      </w:r>
      <w:r w:rsidRPr="00DD67CD">
        <w:t xml:space="preserve">under the </w:t>
      </w:r>
      <w:r w:rsidR="00392120" w:rsidRPr="000C4CC3">
        <w:t>FFG</w:t>
      </w:r>
      <w:r w:rsidRPr="000C4CC3">
        <w:t xml:space="preserve"> Act</w:t>
      </w:r>
      <w:r w:rsidR="007D649C">
        <w:t>, as required by the RFAs</w:t>
      </w:r>
      <w:r w:rsidRPr="00DD67CD">
        <w:t xml:space="preserve">. These action statements will be based on a detailed assessment of the management actions necessary for the conservation of each species. All relevant social and economic factors will be considered in their preparation, and further consultation with relevant government agencies will be undertaken prior to their completion to ensure that the intended management actions are feasible and proportionate to the level of risk posed by the various hazards identified in this document. </w:t>
      </w:r>
      <w:r w:rsidR="0084262A">
        <w:t>An</w:t>
      </w:r>
      <w:r w:rsidR="00FD57DB">
        <w:t>y</w:t>
      </w:r>
      <w:r w:rsidR="0084262A">
        <w:t xml:space="preserve"> required permanent protections are due to be in place by May 2023</w:t>
      </w:r>
      <w:r w:rsidR="008D0469">
        <w:t>.</w:t>
      </w:r>
    </w:p>
    <w:p w14:paraId="5ED43D9D" w14:textId="434F8574" w:rsidR="00BC7BD7" w:rsidRDefault="00A93BBB" w:rsidP="00A0496F">
      <w:pPr>
        <w:pStyle w:val="Heading1"/>
        <w:pageBreakBefore/>
      </w:pPr>
      <w:bookmarkStart w:id="16" w:name="_Toc113271012"/>
      <w:r>
        <w:t xml:space="preserve">Summary of </w:t>
      </w:r>
      <w:r w:rsidR="00BC7BD7">
        <w:t>Interim Protections</w:t>
      </w:r>
      <w:bookmarkEnd w:id="16"/>
    </w:p>
    <w:p w14:paraId="069724F2" w14:textId="1B73DEEF" w:rsidR="00BC7BD7" w:rsidRDefault="00BC7BD7" w:rsidP="00675EEE">
      <w:pPr>
        <w:pStyle w:val="Heading2"/>
        <w:ind w:left="0"/>
      </w:pPr>
      <w:bookmarkStart w:id="17" w:name="_Toc113271013"/>
      <w:r>
        <w:t>Aquatic Species</w:t>
      </w:r>
      <w:bookmarkEnd w:id="17"/>
    </w:p>
    <w:p w14:paraId="69FD85FE" w14:textId="043FFBC7" w:rsidR="00A2692B" w:rsidRPr="00FD57DB" w:rsidRDefault="0081332D" w:rsidP="006670D2">
      <w:pPr>
        <w:pStyle w:val="Caption"/>
        <w:rPr>
          <w:bCs/>
        </w:rPr>
      </w:pPr>
      <w:r w:rsidRPr="00FF310C">
        <w:t xml:space="preserve">Table </w:t>
      </w:r>
      <w:r w:rsidR="000B6788" w:rsidRPr="00B846FE">
        <w:fldChar w:fldCharType="begin"/>
      </w:r>
      <w:r w:rsidR="000B6788" w:rsidRPr="00FD57DB">
        <w:rPr>
          <w:bCs/>
        </w:rPr>
        <w:instrText xml:space="preserve"> SEQ Table \* ARABIC  </w:instrText>
      </w:r>
      <w:r w:rsidR="000B6788" w:rsidRPr="00B846FE">
        <w:fldChar w:fldCharType="separate"/>
      </w:r>
      <w:r w:rsidR="00692F0D">
        <w:rPr>
          <w:bCs/>
          <w:noProof/>
        </w:rPr>
        <w:t>1</w:t>
      </w:r>
      <w:r w:rsidR="000B6788" w:rsidRPr="00B846FE">
        <w:fldChar w:fldCharType="end"/>
      </w:r>
      <w:r w:rsidR="00271000" w:rsidRPr="00FF310C">
        <w:t>.</w:t>
      </w:r>
      <w:r w:rsidRPr="00FF310C">
        <w:t xml:space="preserve"> </w:t>
      </w:r>
      <w:r w:rsidR="006441D9" w:rsidRPr="00FF310C">
        <w:t xml:space="preserve">Interim </w:t>
      </w:r>
      <w:r w:rsidR="00C35DA1">
        <w:t>p</w:t>
      </w:r>
      <w:r w:rsidR="006441D9" w:rsidRPr="00FF310C">
        <w:t xml:space="preserve">rotections for </w:t>
      </w:r>
      <w:r w:rsidR="00C35DA1">
        <w:t>a</w:t>
      </w:r>
      <w:r w:rsidR="006441D9" w:rsidRPr="00FF310C">
        <w:t>quatic species</w:t>
      </w:r>
    </w:p>
    <w:tbl>
      <w:tblPr>
        <w:tblStyle w:val="TableGrid"/>
        <w:tblW w:w="4633" w:type="pct"/>
        <w:tblLook w:val="0220" w:firstRow="1" w:lastRow="0" w:firstColumn="0" w:lastColumn="0" w:noHBand="1" w:noVBand="0"/>
      </w:tblPr>
      <w:tblGrid>
        <w:gridCol w:w="2552"/>
        <w:gridCol w:w="6379"/>
      </w:tblGrid>
      <w:tr w:rsidR="006F5709" w14:paraId="7BE8776B" w14:textId="77777777" w:rsidTr="006F5709">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1429" w:type="pct"/>
          </w:tcPr>
          <w:p w14:paraId="5675940E" w14:textId="30CAA64F" w:rsidR="006F5709" w:rsidRDefault="006F5709" w:rsidP="0081332D">
            <w:pPr>
              <w:pStyle w:val="TableHeadingLeft"/>
            </w:pPr>
            <w:r>
              <w:t>Species Name</w:t>
            </w:r>
          </w:p>
        </w:tc>
        <w:tc>
          <w:tcPr>
            <w:tcW w:w="3571" w:type="pct"/>
          </w:tcPr>
          <w:p w14:paraId="77BDB32D" w14:textId="1A0137D4" w:rsidR="006F5709" w:rsidRDefault="006F5709" w:rsidP="0081332D">
            <w:pPr>
              <w:pStyle w:val="TableHeadingLeft"/>
              <w:cnfStyle w:val="100000000000" w:firstRow="1" w:lastRow="0" w:firstColumn="0" w:lastColumn="0" w:oddVBand="0" w:evenVBand="0" w:oddHBand="0" w:evenHBand="0" w:firstRowFirstColumn="0" w:firstRowLastColumn="0" w:lastRowFirstColumn="0" w:lastRowLastColumn="0"/>
            </w:pPr>
            <w:r>
              <w:t>Interim Protection</w:t>
            </w:r>
          </w:p>
        </w:tc>
      </w:tr>
      <w:tr w:rsidR="006F5709" w14:paraId="7132213F" w14:textId="77777777" w:rsidTr="006F5709">
        <w:trPr>
          <w:cantSplit/>
        </w:trPr>
        <w:tc>
          <w:tcPr>
            <w:cnfStyle w:val="000010000000" w:firstRow="0" w:lastRow="0" w:firstColumn="0" w:lastColumn="0" w:oddVBand="1" w:evenVBand="0" w:oddHBand="0" w:evenHBand="0" w:firstRowFirstColumn="0" w:firstRowLastColumn="0" w:lastRowFirstColumn="0" w:lastRowLastColumn="0"/>
            <w:tcW w:w="1429" w:type="pct"/>
          </w:tcPr>
          <w:p w14:paraId="7DAEB95F" w14:textId="77777777" w:rsidR="006F5709" w:rsidRDefault="006F5709" w:rsidP="000031FC">
            <w:pPr>
              <w:pStyle w:val="BodyText"/>
            </w:pPr>
            <w:r>
              <w:t>Claytons Spiny Crayfish</w:t>
            </w:r>
          </w:p>
          <w:p w14:paraId="0101EBD8" w14:textId="48CCEF6B" w:rsidR="006F5709" w:rsidRPr="006F5709" w:rsidRDefault="006F5709" w:rsidP="000031FC">
            <w:pPr>
              <w:pStyle w:val="BodyText"/>
              <w:rPr>
                <w:i/>
                <w:iCs/>
              </w:rPr>
            </w:pPr>
            <w:r>
              <w:rPr>
                <w:i/>
                <w:iCs/>
              </w:rPr>
              <w:t>Euastacus claytoni</w:t>
            </w:r>
          </w:p>
        </w:tc>
        <w:tc>
          <w:tcPr>
            <w:tcW w:w="3571" w:type="pct"/>
          </w:tcPr>
          <w:p w14:paraId="007C299C" w14:textId="4CA5A996" w:rsidR="00532780" w:rsidRPr="00486957" w:rsidRDefault="00532780" w:rsidP="000031FC">
            <w:pPr>
              <w:pStyle w:val="BodyTex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A10F6">
              <w:rPr>
                <w:rFonts w:ascii="Arial" w:eastAsia="Calibri" w:hAnsi="Arial" w:cs="Arial"/>
              </w:rPr>
              <w:t xml:space="preserve">Within </w:t>
            </w:r>
            <w:r w:rsidR="00486957" w:rsidRPr="00486957">
              <w:rPr>
                <w:rFonts w:ascii="Arial" w:eastAsia="Calibri" w:hAnsi="Arial" w:cs="Arial"/>
              </w:rPr>
              <w:t xml:space="preserve">the </w:t>
            </w:r>
            <w:r w:rsidRPr="00486957">
              <w:rPr>
                <w:rFonts w:ascii="Arial" w:eastAsia="Calibri" w:hAnsi="Arial" w:cs="Arial"/>
              </w:rPr>
              <w:t>East Gippsland RFA</w:t>
            </w:r>
            <w:r w:rsidR="00CE412B">
              <w:rPr>
                <w:rFonts w:ascii="Arial" w:eastAsia="Calibri" w:hAnsi="Arial" w:cs="Arial"/>
              </w:rPr>
              <w:t xml:space="preserve"> region</w:t>
            </w:r>
            <w:r w:rsidRPr="00486957">
              <w:rPr>
                <w:rFonts w:ascii="Arial" w:eastAsia="Calibri" w:hAnsi="Arial" w:cs="Arial"/>
              </w:rPr>
              <w:t xml:space="preserve">, the </w:t>
            </w:r>
            <w:r w:rsidRPr="00FD57DB">
              <w:rPr>
                <w:rFonts w:ascii="Arial" w:eastAsia="Calibri" w:hAnsi="Arial" w:cs="Arial"/>
              </w:rPr>
              <w:t xml:space="preserve">Secretary </w:t>
            </w:r>
            <w:r w:rsidRPr="002A10F6">
              <w:rPr>
                <w:rFonts w:ascii="Arial" w:eastAsia="Calibri" w:hAnsi="Arial" w:cs="Arial"/>
              </w:rPr>
              <w:t xml:space="preserve">will establish </w:t>
            </w:r>
            <w:r w:rsidRPr="00FD57DB">
              <w:rPr>
                <w:rFonts w:ascii="Arial" w:eastAsia="Calibri" w:hAnsi="Arial" w:cs="Arial"/>
              </w:rPr>
              <w:t>Special Management Zone(s)</w:t>
            </w:r>
            <w:r w:rsidR="00CC2D8F">
              <w:rPr>
                <w:rFonts w:ascii="Arial" w:eastAsia="Calibri" w:hAnsi="Arial" w:cs="Arial"/>
              </w:rPr>
              <w:t xml:space="preserve"> (SMZ)</w:t>
            </w:r>
            <w:r w:rsidRPr="002A10F6">
              <w:rPr>
                <w:rFonts w:ascii="Arial" w:eastAsia="Calibri" w:hAnsi="Arial" w:cs="Arial"/>
              </w:rPr>
              <w:t xml:space="preserve"> to the</w:t>
            </w:r>
            <w:r w:rsidRPr="00486957">
              <w:rPr>
                <w:rFonts w:ascii="Arial" w:eastAsia="Calibri" w:hAnsi="Arial" w:cs="Arial"/>
              </w:rPr>
              <w:t xml:space="preserve"> catchment of the Claytons Spiny Crayfish with the following conditions: </w:t>
            </w:r>
          </w:p>
          <w:p w14:paraId="55299991" w14:textId="41C05050" w:rsidR="003906D7" w:rsidRDefault="003906D7" w:rsidP="003906D7">
            <w:pPr>
              <w:pStyle w:val="BodyText"/>
              <w:spacing w:line="240" w:lineRule="auto"/>
              <w:cnfStyle w:val="000000000000" w:firstRow="0" w:lastRow="0" w:firstColumn="0" w:lastColumn="0" w:oddVBand="0" w:evenVBand="0" w:oddHBand="0" w:evenHBand="0" w:firstRowFirstColumn="0" w:firstRowLastColumn="0" w:lastRowFirstColumn="0" w:lastRowLastColumn="0"/>
            </w:pPr>
            <w:r w:rsidRPr="00BF3332">
              <w:t xml:space="preserve">Where one or more individuals of </w:t>
            </w:r>
            <w:r>
              <w:t>Clayton’s Spiny Crayfish</w:t>
            </w:r>
            <w:r w:rsidRPr="00BF3332">
              <w:t xml:space="preserve"> have been verified:</w:t>
            </w:r>
          </w:p>
          <w:p w14:paraId="3F5A3A38" w14:textId="42A584CF" w:rsidR="00E738DC" w:rsidRPr="00330A6C" w:rsidRDefault="00E738DC" w:rsidP="006670D2">
            <w:pPr>
              <w:pStyle w:val="PullOutBoxBullet"/>
              <w:cnfStyle w:val="000000000000" w:firstRow="0" w:lastRow="0" w:firstColumn="0" w:lastColumn="0" w:oddVBand="0" w:evenVBand="0" w:oddHBand="0" w:evenHBand="0" w:firstRowFirstColumn="0" w:firstRowLastColumn="0" w:lastRowFirstColumn="0" w:lastRowLastColumn="0"/>
            </w:pPr>
            <w:r>
              <w:t xml:space="preserve">Environments with high soil absorption capacity </w:t>
            </w:r>
            <w:r w:rsidRPr="00330A6C">
              <w:t xml:space="preserve">(refer to Appendix </w:t>
            </w:r>
            <w:r w:rsidR="00F64DB7">
              <w:t>3</w:t>
            </w:r>
            <w:r w:rsidRPr="00330A6C">
              <w:t>)</w:t>
            </w:r>
            <w:r>
              <w:t>:</w:t>
            </w:r>
          </w:p>
          <w:p w14:paraId="0378597A" w14:textId="2C6237A7" w:rsidR="00E738DC" w:rsidRPr="00603FA2" w:rsidRDefault="00E738DC" w:rsidP="0029709B">
            <w:pPr>
              <w:pStyle w:val="PullOutBoxBullet2"/>
              <w:cnfStyle w:val="000000000000" w:firstRow="0" w:lastRow="0" w:firstColumn="0" w:lastColumn="0" w:oddVBand="0" w:evenVBand="0" w:oddHBand="0" w:evenHBand="0" w:firstRowFirstColumn="0" w:firstRowLastColumn="0" w:lastRowFirstColumn="0" w:lastRowLastColumn="0"/>
            </w:pPr>
            <w:r w:rsidRPr="00603FA2">
              <w:t xml:space="preserve">Apply </w:t>
            </w:r>
            <w:r w:rsidR="000D243B">
              <w:t>40</w:t>
            </w:r>
            <w:r w:rsidRPr="00603FA2">
              <w:t xml:space="preserve"> metre (m) buffers either side of all mapped and unmapped permanent streams and temporary streams upstream and downstream of the value to the watershed boundary (on average 1km but responsive to local </w:t>
            </w:r>
            <w:r>
              <w:t xml:space="preserve">topography; see Figure </w:t>
            </w:r>
            <w:r w:rsidR="000D243B">
              <w:t>1</w:t>
            </w:r>
            <w:r w:rsidRPr="00603FA2">
              <w:t xml:space="preserve">); </w:t>
            </w:r>
          </w:p>
          <w:p w14:paraId="3B0D5CB6" w14:textId="77777777" w:rsidR="00E738DC" w:rsidRPr="00603FA2" w:rsidRDefault="00E738DC" w:rsidP="0029709B">
            <w:pPr>
              <w:pStyle w:val="PullOutBoxBullet2"/>
              <w:cnfStyle w:val="000000000000" w:firstRow="0" w:lastRow="0" w:firstColumn="0" w:lastColumn="0" w:oddVBand="0" w:evenVBand="0" w:oddHBand="0" w:evenHBand="0" w:firstRowFirstColumn="0" w:firstRowLastColumn="0" w:lastRowFirstColumn="0" w:lastRowLastColumn="0"/>
            </w:pPr>
            <w:r w:rsidRPr="00603FA2">
              <w:t xml:space="preserve">Apply </w:t>
            </w:r>
            <w:r>
              <w:t>30</w:t>
            </w:r>
            <w:r w:rsidRPr="00603FA2">
              <w:t xml:space="preserve"> metre (m) buffers </w:t>
            </w:r>
            <w:r>
              <w:t xml:space="preserve">plus 10 metre (m) filter strips </w:t>
            </w:r>
            <w:r w:rsidRPr="00603FA2">
              <w:t xml:space="preserve">to either side of drainage lines upstream and downstream of the value to the watershed boundary (on average 1km but responsive to local </w:t>
            </w:r>
            <w:r>
              <w:t>topography</w:t>
            </w:r>
            <w:r w:rsidRPr="00603FA2">
              <w:t>);</w:t>
            </w:r>
          </w:p>
          <w:p w14:paraId="0AAA7F39" w14:textId="7DDA6B50" w:rsidR="00E738DC" w:rsidRPr="00330A6C" w:rsidRDefault="00E738DC" w:rsidP="006670D2">
            <w:pPr>
              <w:pStyle w:val="PullOutBoxBullet"/>
              <w:cnfStyle w:val="000000000000" w:firstRow="0" w:lastRow="0" w:firstColumn="0" w:lastColumn="0" w:oddVBand="0" w:evenVBand="0" w:oddHBand="0" w:evenHBand="0" w:firstRowFirstColumn="0" w:firstRowLastColumn="0" w:lastRowFirstColumn="0" w:lastRowLastColumn="0"/>
            </w:pPr>
            <w:r>
              <w:t xml:space="preserve">Environments with low soil absorption capacity </w:t>
            </w:r>
            <w:r w:rsidRPr="00330A6C">
              <w:t xml:space="preserve">(refer to Appendix </w:t>
            </w:r>
            <w:r w:rsidR="00F64DB7">
              <w:t>3</w:t>
            </w:r>
            <w:r w:rsidRPr="00330A6C">
              <w:t>)</w:t>
            </w:r>
            <w:r>
              <w:t>:</w:t>
            </w:r>
          </w:p>
          <w:p w14:paraId="49DF5DA9" w14:textId="77777777" w:rsidR="00E738DC" w:rsidRPr="00603FA2" w:rsidRDefault="00E738DC" w:rsidP="0029709B">
            <w:pPr>
              <w:pStyle w:val="PullOutBoxBullet2"/>
              <w:cnfStyle w:val="000000000000" w:firstRow="0" w:lastRow="0" w:firstColumn="0" w:lastColumn="0" w:oddVBand="0" w:evenVBand="0" w:oddHBand="0" w:evenHBand="0" w:firstRowFirstColumn="0" w:firstRowLastColumn="0" w:lastRowFirstColumn="0" w:lastRowLastColumn="0"/>
            </w:pPr>
            <w:r w:rsidRPr="00603FA2">
              <w:t xml:space="preserve">Apply </w:t>
            </w:r>
            <w:r>
              <w:t>60</w:t>
            </w:r>
            <w:r w:rsidRPr="00603FA2">
              <w:t xml:space="preserve"> metre (m) buffers either side of all mapped and unmapped permanent streams and temporary streams upstream and downstream of the value to the watershed boundary (on average 1km but responsive to local </w:t>
            </w:r>
            <w:r>
              <w:t>topography</w:t>
            </w:r>
            <w:r w:rsidRPr="00603FA2">
              <w:t xml:space="preserve">); </w:t>
            </w:r>
          </w:p>
          <w:p w14:paraId="1918FFD4" w14:textId="77777777" w:rsidR="00E738DC" w:rsidRPr="00603FA2" w:rsidRDefault="00E738DC" w:rsidP="0029709B">
            <w:pPr>
              <w:pStyle w:val="PullOutBoxBullet2"/>
              <w:cnfStyle w:val="000000000000" w:firstRow="0" w:lastRow="0" w:firstColumn="0" w:lastColumn="0" w:oddVBand="0" w:evenVBand="0" w:oddHBand="0" w:evenHBand="0" w:firstRowFirstColumn="0" w:firstRowLastColumn="0" w:lastRowFirstColumn="0" w:lastRowLastColumn="0"/>
            </w:pPr>
            <w:r w:rsidRPr="00603FA2">
              <w:t xml:space="preserve">Apply </w:t>
            </w:r>
            <w:r>
              <w:t>40</w:t>
            </w:r>
            <w:r w:rsidRPr="00603FA2">
              <w:t xml:space="preserve"> metre (m) buffers </w:t>
            </w:r>
            <w:r>
              <w:t xml:space="preserve">plus 20 metre (m) filter strips </w:t>
            </w:r>
            <w:r w:rsidRPr="00603FA2">
              <w:t xml:space="preserve">to either side of drainage lines upstream and downstream of the value to the watershed boundary (on average 1km but responsive to local </w:t>
            </w:r>
            <w:r>
              <w:t>topography</w:t>
            </w:r>
            <w:r w:rsidRPr="00603FA2">
              <w:t>);</w:t>
            </w:r>
          </w:p>
          <w:p w14:paraId="41C1681A" w14:textId="27E36DB8" w:rsidR="006F5709" w:rsidRPr="000D243B" w:rsidRDefault="00532780" w:rsidP="006670D2">
            <w:pPr>
              <w:pStyle w:val="PullOutBoxBullet"/>
              <w:cnfStyle w:val="000000000000" w:firstRow="0" w:lastRow="0" w:firstColumn="0" w:lastColumn="0" w:oddVBand="0" w:evenVBand="0" w:oddHBand="0" w:evenHBand="0" w:firstRowFirstColumn="0" w:firstRowLastColumn="0" w:lastRowFirstColumn="0" w:lastRowLastColumn="0"/>
            </w:pPr>
            <w:r w:rsidRPr="00486957">
              <w:t xml:space="preserve">No new </w:t>
            </w:r>
            <w:r w:rsidRPr="00FD57DB">
              <w:t>road</w:t>
            </w:r>
            <w:r w:rsidRPr="002A10F6">
              <w:t xml:space="preserve">, </w:t>
            </w:r>
            <w:r w:rsidRPr="00FD57DB">
              <w:t>snig track</w:t>
            </w:r>
            <w:r w:rsidRPr="002A10F6">
              <w:t xml:space="preserve">, </w:t>
            </w:r>
            <w:r w:rsidRPr="00FD57DB">
              <w:t>in-coupe road</w:t>
            </w:r>
            <w:r w:rsidRPr="002A10F6">
              <w:t xml:space="preserve">, </w:t>
            </w:r>
            <w:r w:rsidRPr="00FD57DB">
              <w:t>coupe driveway,</w:t>
            </w:r>
            <w:r w:rsidRPr="00603FA2">
              <w:t xml:space="preserve"> </w:t>
            </w:r>
            <w:r w:rsidRPr="00FD57DB">
              <w:t>coupe infrastructure</w:t>
            </w:r>
            <w:r w:rsidRPr="002A10F6">
              <w:t xml:space="preserve"> or stream crossing shall be constructed within or through any </w:t>
            </w:r>
            <w:r w:rsidRPr="00FD57DB">
              <w:t>buffer</w:t>
            </w:r>
            <w:r w:rsidRPr="002A10F6">
              <w:t xml:space="preserve"> without an approved exemption from the </w:t>
            </w:r>
            <w:r w:rsidRPr="00FD57DB">
              <w:t>Secretary</w:t>
            </w:r>
            <w:r w:rsidR="00BA19C1" w:rsidRPr="00603FA2">
              <w:t xml:space="preserve"> </w:t>
            </w:r>
            <w:r w:rsidR="00BA19C1">
              <w:rPr>
                <w:rFonts w:ascii="Arial" w:hAnsi="Arial" w:cs="Arial"/>
              </w:rPr>
              <w:t>(See Map</w:t>
            </w:r>
            <w:r w:rsidR="002403F8">
              <w:rPr>
                <w:rFonts w:ascii="Arial" w:hAnsi="Arial" w:cs="Arial"/>
              </w:rPr>
              <w:t xml:space="preserve"> 1).</w:t>
            </w:r>
          </w:p>
        </w:tc>
      </w:tr>
      <w:tr w:rsidR="00C96A64" w14:paraId="1254B1DA" w14:textId="77777777" w:rsidTr="006F5709">
        <w:trPr>
          <w:cantSplit/>
        </w:trPr>
        <w:tc>
          <w:tcPr>
            <w:cnfStyle w:val="000010000000" w:firstRow="0" w:lastRow="0" w:firstColumn="0" w:lastColumn="0" w:oddVBand="1" w:evenVBand="0" w:oddHBand="0" w:evenHBand="0" w:firstRowFirstColumn="0" w:firstRowLastColumn="0" w:lastRowFirstColumn="0" w:lastRowLastColumn="0"/>
            <w:tcW w:w="1429" w:type="pct"/>
          </w:tcPr>
          <w:p w14:paraId="06645231" w14:textId="77777777" w:rsidR="00C96A64" w:rsidRDefault="00C96A64" w:rsidP="00C96A64">
            <w:pPr>
              <w:pStyle w:val="BodyText"/>
            </w:pPr>
            <w:r>
              <w:t>East Gippsland Spiny Crayfish</w:t>
            </w:r>
          </w:p>
          <w:p w14:paraId="7E1AE64D" w14:textId="51B1DAE5" w:rsidR="00C96A64" w:rsidRDefault="00C96A64" w:rsidP="00C96A64">
            <w:pPr>
              <w:pStyle w:val="BodyText"/>
            </w:pPr>
            <w:r>
              <w:rPr>
                <w:i/>
                <w:iCs/>
              </w:rPr>
              <w:t>Euastacus bidawalus</w:t>
            </w:r>
          </w:p>
        </w:tc>
        <w:tc>
          <w:tcPr>
            <w:tcW w:w="3571" w:type="pct"/>
          </w:tcPr>
          <w:p w14:paraId="25D8F798" w14:textId="3BF6FB96" w:rsidR="00FF7E96" w:rsidRDefault="00FF7E96" w:rsidP="00FF7E96">
            <w:pPr>
              <w:pStyle w:val="BodyTex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A10F6">
              <w:rPr>
                <w:rFonts w:ascii="Arial" w:eastAsia="Calibri" w:hAnsi="Arial" w:cs="Arial"/>
              </w:rPr>
              <w:t xml:space="preserve">Within </w:t>
            </w:r>
            <w:r w:rsidRPr="00486957">
              <w:rPr>
                <w:rFonts w:ascii="Arial" w:eastAsia="Calibri" w:hAnsi="Arial" w:cs="Arial"/>
              </w:rPr>
              <w:t>the East Gippsland RFA</w:t>
            </w:r>
            <w:r w:rsidR="00CE412B">
              <w:rPr>
                <w:rFonts w:ascii="Arial" w:eastAsia="Calibri" w:hAnsi="Arial" w:cs="Arial"/>
              </w:rPr>
              <w:t xml:space="preserve"> region</w:t>
            </w:r>
            <w:r w:rsidRPr="00486957">
              <w:rPr>
                <w:rFonts w:ascii="Arial" w:eastAsia="Calibri" w:hAnsi="Arial" w:cs="Arial"/>
              </w:rPr>
              <w:t xml:space="preserve">, the </w:t>
            </w:r>
            <w:r w:rsidRPr="00FD57DB">
              <w:rPr>
                <w:rFonts w:ascii="Arial" w:eastAsia="Calibri" w:hAnsi="Arial" w:cs="Arial"/>
              </w:rPr>
              <w:t xml:space="preserve">Secretary </w:t>
            </w:r>
            <w:r w:rsidRPr="002A10F6">
              <w:rPr>
                <w:rFonts w:ascii="Arial" w:eastAsia="Calibri" w:hAnsi="Arial" w:cs="Arial"/>
              </w:rPr>
              <w:t xml:space="preserve">will establish </w:t>
            </w:r>
            <w:r w:rsidRPr="00FD57DB">
              <w:rPr>
                <w:rFonts w:ascii="Arial" w:eastAsia="Calibri" w:hAnsi="Arial" w:cs="Arial"/>
              </w:rPr>
              <w:t>Special Management Zone(s)</w:t>
            </w:r>
            <w:r>
              <w:rPr>
                <w:rFonts w:ascii="Arial" w:eastAsia="Calibri" w:hAnsi="Arial" w:cs="Arial"/>
              </w:rPr>
              <w:t xml:space="preserve"> (SMZ)</w:t>
            </w:r>
            <w:r w:rsidRPr="002A10F6">
              <w:rPr>
                <w:rFonts w:ascii="Arial" w:eastAsia="Calibri" w:hAnsi="Arial" w:cs="Arial"/>
              </w:rPr>
              <w:t xml:space="preserve"> to the</w:t>
            </w:r>
            <w:r w:rsidRPr="00486957">
              <w:rPr>
                <w:rFonts w:ascii="Arial" w:eastAsia="Calibri" w:hAnsi="Arial" w:cs="Arial"/>
              </w:rPr>
              <w:t xml:space="preserve"> catchment of the </w:t>
            </w:r>
            <w:r>
              <w:rPr>
                <w:rFonts w:ascii="Arial" w:eastAsia="Calibri" w:hAnsi="Arial" w:cs="Arial"/>
              </w:rPr>
              <w:t>East Gippsland</w:t>
            </w:r>
            <w:r w:rsidRPr="00486957">
              <w:rPr>
                <w:rFonts w:ascii="Arial" w:eastAsia="Calibri" w:hAnsi="Arial" w:cs="Arial"/>
              </w:rPr>
              <w:t xml:space="preserve"> Spiny Crayfish</w:t>
            </w:r>
            <w:r w:rsidR="006F7BB6">
              <w:rPr>
                <w:rFonts w:ascii="Arial" w:eastAsia="Calibri" w:hAnsi="Arial" w:cs="Arial"/>
              </w:rPr>
              <w:t>, plus two recent VBA records that fall outside of the mapped catchment,</w:t>
            </w:r>
            <w:r w:rsidRPr="00486957">
              <w:rPr>
                <w:rFonts w:ascii="Arial" w:eastAsia="Calibri" w:hAnsi="Arial" w:cs="Arial"/>
              </w:rPr>
              <w:t xml:space="preserve"> with the following conditions: </w:t>
            </w:r>
          </w:p>
          <w:p w14:paraId="0F9F582A" w14:textId="0F615928" w:rsidR="00FF7E96" w:rsidRDefault="00FF7E96" w:rsidP="00FF7E96">
            <w:pPr>
              <w:pStyle w:val="BodyText"/>
              <w:spacing w:line="240" w:lineRule="auto"/>
              <w:cnfStyle w:val="000000000000" w:firstRow="0" w:lastRow="0" w:firstColumn="0" w:lastColumn="0" w:oddVBand="0" w:evenVBand="0" w:oddHBand="0" w:evenHBand="0" w:firstRowFirstColumn="0" w:firstRowLastColumn="0" w:lastRowFirstColumn="0" w:lastRowLastColumn="0"/>
            </w:pPr>
            <w:r w:rsidRPr="00BF3332">
              <w:t xml:space="preserve">Where one or more individuals of </w:t>
            </w:r>
            <w:r>
              <w:t>East Gippsland Spiny Crayfish</w:t>
            </w:r>
            <w:r w:rsidRPr="00BF3332">
              <w:t xml:space="preserve"> have been verified:</w:t>
            </w:r>
          </w:p>
          <w:p w14:paraId="315804A1" w14:textId="0DF11D24" w:rsidR="000D243B" w:rsidRPr="00330A6C" w:rsidRDefault="000D243B" w:rsidP="006670D2">
            <w:pPr>
              <w:pStyle w:val="PullOutBoxBullet"/>
              <w:cnfStyle w:val="000000000000" w:firstRow="0" w:lastRow="0" w:firstColumn="0" w:lastColumn="0" w:oddVBand="0" w:evenVBand="0" w:oddHBand="0" w:evenHBand="0" w:firstRowFirstColumn="0" w:firstRowLastColumn="0" w:lastRowFirstColumn="0" w:lastRowLastColumn="0"/>
            </w:pPr>
            <w:r>
              <w:t xml:space="preserve">Environments with high soil absorption capacity </w:t>
            </w:r>
            <w:r w:rsidRPr="00330A6C">
              <w:t xml:space="preserve">(refer to Appendix </w:t>
            </w:r>
            <w:r w:rsidR="00F64DB7">
              <w:t>3</w:t>
            </w:r>
            <w:r w:rsidRPr="00330A6C">
              <w:t>)</w:t>
            </w:r>
            <w:r>
              <w:t>:</w:t>
            </w:r>
          </w:p>
          <w:p w14:paraId="18B653CE" w14:textId="77777777" w:rsidR="000D243B" w:rsidRPr="00603FA2" w:rsidRDefault="000D243B" w:rsidP="0029709B">
            <w:pPr>
              <w:pStyle w:val="PullOutBoxBullet2"/>
              <w:cnfStyle w:val="000000000000" w:firstRow="0" w:lastRow="0" w:firstColumn="0" w:lastColumn="0" w:oddVBand="0" w:evenVBand="0" w:oddHBand="0" w:evenHBand="0" w:firstRowFirstColumn="0" w:firstRowLastColumn="0" w:lastRowFirstColumn="0" w:lastRowLastColumn="0"/>
            </w:pPr>
            <w:r w:rsidRPr="00603FA2">
              <w:t xml:space="preserve">Apply </w:t>
            </w:r>
            <w:r>
              <w:t>40</w:t>
            </w:r>
            <w:r w:rsidRPr="00603FA2">
              <w:t xml:space="preserve"> metre (m) buffers either side of all mapped and unmapped permanent streams and temporary streams upstream and downstream of the value to the watershed boundary (on average 1km but responsive to local </w:t>
            </w:r>
            <w:r>
              <w:t>topography; see Figure 1</w:t>
            </w:r>
            <w:r w:rsidRPr="00603FA2">
              <w:t xml:space="preserve">); </w:t>
            </w:r>
          </w:p>
          <w:p w14:paraId="25B9CBF9" w14:textId="77777777" w:rsidR="000D243B" w:rsidRPr="00603FA2" w:rsidRDefault="000D243B" w:rsidP="0029709B">
            <w:pPr>
              <w:pStyle w:val="PullOutBoxBullet2"/>
              <w:cnfStyle w:val="000000000000" w:firstRow="0" w:lastRow="0" w:firstColumn="0" w:lastColumn="0" w:oddVBand="0" w:evenVBand="0" w:oddHBand="0" w:evenHBand="0" w:firstRowFirstColumn="0" w:firstRowLastColumn="0" w:lastRowFirstColumn="0" w:lastRowLastColumn="0"/>
            </w:pPr>
            <w:r w:rsidRPr="00603FA2">
              <w:t xml:space="preserve">Apply </w:t>
            </w:r>
            <w:r>
              <w:t>30</w:t>
            </w:r>
            <w:r w:rsidRPr="00603FA2">
              <w:t xml:space="preserve"> metre (m) buffers </w:t>
            </w:r>
            <w:r>
              <w:t xml:space="preserve">plus 10 metre (m) filter strips </w:t>
            </w:r>
            <w:r w:rsidRPr="00603FA2">
              <w:t xml:space="preserve">to either side of drainage lines upstream and downstream of the value to the watershed boundary (on average 1km but responsive to local </w:t>
            </w:r>
            <w:r>
              <w:t>topography</w:t>
            </w:r>
            <w:r w:rsidRPr="00603FA2">
              <w:t>);</w:t>
            </w:r>
          </w:p>
          <w:p w14:paraId="63D2C388" w14:textId="3ACF15CC" w:rsidR="000D243B" w:rsidRPr="00330A6C" w:rsidRDefault="000D243B" w:rsidP="006670D2">
            <w:pPr>
              <w:pStyle w:val="PullOutBoxBullet"/>
              <w:cnfStyle w:val="000000000000" w:firstRow="0" w:lastRow="0" w:firstColumn="0" w:lastColumn="0" w:oddVBand="0" w:evenVBand="0" w:oddHBand="0" w:evenHBand="0" w:firstRowFirstColumn="0" w:firstRowLastColumn="0" w:lastRowFirstColumn="0" w:lastRowLastColumn="0"/>
            </w:pPr>
            <w:r>
              <w:t xml:space="preserve">Environments with low soil absorption capacity </w:t>
            </w:r>
            <w:r w:rsidRPr="00330A6C">
              <w:t xml:space="preserve">(refer to Appendix </w:t>
            </w:r>
            <w:r w:rsidR="00F64DB7">
              <w:t>3</w:t>
            </w:r>
            <w:r w:rsidRPr="00330A6C">
              <w:t>)</w:t>
            </w:r>
            <w:r>
              <w:t>:</w:t>
            </w:r>
          </w:p>
          <w:p w14:paraId="27A41B77" w14:textId="77777777" w:rsidR="000D243B" w:rsidRPr="00603FA2" w:rsidRDefault="000D243B" w:rsidP="0029709B">
            <w:pPr>
              <w:pStyle w:val="PullOutBoxBullet2"/>
              <w:cnfStyle w:val="000000000000" w:firstRow="0" w:lastRow="0" w:firstColumn="0" w:lastColumn="0" w:oddVBand="0" w:evenVBand="0" w:oddHBand="0" w:evenHBand="0" w:firstRowFirstColumn="0" w:firstRowLastColumn="0" w:lastRowFirstColumn="0" w:lastRowLastColumn="0"/>
            </w:pPr>
            <w:r w:rsidRPr="00603FA2">
              <w:t xml:space="preserve">Apply </w:t>
            </w:r>
            <w:r>
              <w:t>60</w:t>
            </w:r>
            <w:r w:rsidRPr="00603FA2">
              <w:t xml:space="preserve"> metre (m) buffers either side of all mapped and unmapped permanent streams and temporary streams upstream and downstream of the value to the watershed boundary (on average 1km but responsive to local </w:t>
            </w:r>
            <w:r>
              <w:t>topography</w:t>
            </w:r>
            <w:r w:rsidRPr="00603FA2">
              <w:t xml:space="preserve">); </w:t>
            </w:r>
          </w:p>
          <w:p w14:paraId="5DBE5CA6" w14:textId="77777777" w:rsidR="000D243B" w:rsidRPr="00603FA2" w:rsidRDefault="000D243B" w:rsidP="0029709B">
            <w:pPr>
              <w:pStyle w:val="PullOutBoxBullet2"/>
              <w:cnfStyle w:val="000000000000" w:firstRow="0" w:lastRow="0" w:firstColumn="0" w:lastColumn="0" w:oddVBand="0" w:evenVBand="0" w:oddHBand="0" w:evenHBand="0" w:firstRowFirstColumn="0" w:firstRowLastColumn="0" w:lastRowFirstColumn="0" w:lastRowLastColumn="0"/>
            </w:pPr>
            <w:r w:rsidRPr="00603FA2">
              <w:t xml:space="preserve">Apply </w:t>
            </w:r>
            <w:r>
              <w:t>40</w:t>
            </w:r>
            <w:r w:rsidRPr="00603FA2">
              <w:t xml:space="preserve"> metre (m) buffers </w:t>
            </w:r>
            <w:r>
              <w:t xml:space="preserve">plus 20 metre (m) filter strips </w:t>
            </w:r>
            <w:r w:rsidRPr="00603FA2">
              <w:t xml:space="preserve">to either side of drainage lines upstream and downstream of the value to the watershed boundary (on average 1km but responsive to local </w:t>
            </w:r>
            <w:r>
              <w:t>topography</w:t>
            </w:r>
            <w:r w:rsidRPr="00603FA2">
              <w:t>);</w:t>
            </w:r>
          </w:p>
          <w:p w14:paraId="6902250F" w14:textId="004FFDFB" w:rsidR="00C96A64" w:rsidRPr="00486957" w:rsidRDefault="00C96A64" w:rsidP="006670D2">
            <w:pPr>
              <w:pStyle w:val="PullOutBoxBullet"/>
              <w:cnfStyle w:val="000000000000" w:firstRow="0" w:lastRow="0" w:firstColumn="0" w:lastColumn="0" w:oddVBand="0" w:evenVBand="0" w:oddHBand="0" w:evenHBand="0" w:firstRowFirstColumn="0" w:firstRowLastColumn="0" w:lastRowFirstColumn="0" w:lastRowLastColumn="0"/>
              <w:rPr>
                <w:rFonts w:ascii="Arial" w:hAnsi="Arial" w:cs="Arial"/>
              </w:rPr>
            </w:pPr>
            <w:r w:rsidRPr="00486957">
              <w:t xml:space="preserve">No new </w:t>
            </w:r>
            <w:r w:rsidRPr="00FD57DB">
              <w:t>road</w:t>
            </w:r>
            <w:r w:rsidRPr="002A10F6">
              <w:t xml:space="preserve">, </w:t>
            </w:r>
            <w:r w:rsidRPr="00FD57DB">
              <w:t>snig track</w:t>
            </w:r>
            <w:r w:rsidRPr="002A10F6">
              <w:t xml:space="preserve">, </w:t>
            </w:r>
            <w:r w:rsidRPr="00FD57DB">
              <w:t>in-coupe road</w:t>
            </w:r>
            <w:r w:rsidRPr="002A10F6">
              <w:t xml:space="preserve">, </w:t>
            </w:r>
            <w:r w:rsidRPr="00FD57DB">
              <w:t>coupe driveway,</w:t>
            </w:r>
            <w:r w:rsidRPr="00603FA2">
              <w:t xml:space="preserve"> </w:t>
            </w:r>
            <w:r w:rsidRPr="00FD57DB">
              <w:t>coupe infrastructure</w:t>
            </w:r>
            <w:r w:rsidRPr="002A10F6">
              <w:t xml:space="preserve"> or stream crossing shall be constructed within or through any </w:t>
            </w:r>
            <w:r w:rsidRPr="00FD57DB">
              <w:t>buffer</w:t>
            </w:r>
            <w:r w:rsidRPr="002A10F6">
              <w:t xml:space="preserve"> without an approved exemption from the </w:t>
            </w:r>
            <w:r w:rsidRPr="00FD57DB">
              <w:t>Secretary</w:t>
            </w:r>
            <w:r w:rsidR="002403F8" w:rsidRPr="00603FA2">
              <w:t xml:space="preserve"> </w:t>
            </w:r>
            <w:r w:rsidR="002403F8">
              <w:rPr>
                <w:rFonts w:ascii="Arial" w:hAnsi="Arial" w:cs="Arial"/>
              </w:rPr>
              <w:t>(See Map 2)</w:t>
            </w:r>
            <w:r w:rsidR="0069600B">
              <w:rPr>
                <w:rFonts w:ascii="Arial" w:hAnsi="Arial" w:cs="Arial"/>
              </w:rPr>
              <w:t>.</w:t>
            </w:r>
          </w:p>
        </w:tc>
      </w:tr>
      <w:tr w:rsidR="006F5709" w14:paraId="720C3EFF" w14:textId="77777777" w:rsidTr="006F5709">
        <w:trPr>
          <w:cantSplit/>
        </w:trPr>
        <w:tc>
          <w:tcPr>
            <w:cnfStyle w:val="000010000000" w:firstRow="0" w:lastRow="0" w:firstColumn="0" w:lastColumn="0" w:oddVBand="1" w:evenVBand="0" w:oddHBand="0" w:evenHBand="0" w:firstRowFirstColumn="0" w:firstRowLastColumn="0" w:lastRowFirstColumn="0" w:lastRowLastColumn="0"/>
            <w:tcW w:w="1429" w:type="pct"/>
          </w:tcPr>
          <w:p w14:paraId="2BDEBCC8" w14:textId="77777777" w:rsidR="006F5709" w:rsidRDefault="00C733AC" w:rsidP="000031FC">
            <w:pPr>
              <w:pStyle w:val="BodyText"/>
            </w:pPr>
            <w:r>
              <w:t>Variable Spiny Crayfish</w:t>
            </w:r>
          </w:p>
          <w:p w14:paraId="2B32549D" w14:textId="6BAF002B" w:rsidR="00C733AC" w:rsidRPr="00C733AC" w:rsidRDefault="00C733AC" w:rsidP="000031FC">
            <w:pPr>
              <w:pStyle w:val="BodyText"/>
              <w:rPr>
                <w:i/>
                <w:iCs/>
              </w:rPr>
            </w:pPr>
            <w:r>
              <w:rPr>
                <w:i/>
                <w:iCs/>
              </w:rPr>
              <w:t>Euastacus yanga</w:t>
            </w:r>
          </w:p>
        </w:tc>
        <w:tc>
          <w:tcPr>
            <w:tcW w:w="3571" w:type="pct"/>
          </w:tcPr>
          <w:p w14:paraId="129C3430" w14:textId="70CE6DB5" w:rsidR="00DA427E" w:rsidRPr="00486957" w:rsidRDefault="00DA427E" w:rsidP="000031FC">
            <w:pPr>
              <w:pStyle w:val="BodyTex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A10F6">
              <w:rPr>
                <w:rFonts w:ascii="Arial" w:eastAsia="Calibri" w:hAnsi="Arial" w:cs="Arial"/>
              </w:rPr>
              <w:t xml:space="preserve">Within </w:t>
            </w:r>
            <w:r w:rsidR="00486957">
              <w:rPr>
                <w:rFonts w:ascii="Arial" w:eastAsia="Calibri" w:hAnsi="Arial" w:cs="Arial"/>
              </w:rPr>
              <w:t xml:space="preserve">the </w:t>
            </w:r>
            <w:r w:rsidRPr="002A10F6">
              <w:rPr>
                <w:rFonts w:ascii="Arial" w:eastAsia="Calibri" w:hAnsi="Arial" w:cs="Arial"/>
              </w:rPr>
              <w:t>East Gippsland RFA</w:t>
            </w:r>
            <w:r w:rsidR="00CE412B">
              <w:rPr>
                <w:rFonts w:ascii="Arial" w:eastAsia="Calibri" w:hAnsi="Arial" w:cs="Arial"/>
              </w:rPr>
              <w:t xml:space="preserve"> region</w:t>
            </w:r>
            <w:r w:rsidRPr="002A10F6">
              <w:rPr>
                <w:rFonts w:ascii="Arial" w:eastAsia="Calibri" w:hAnsi="Arial" w:cs="Arial"/>
              </w:rPr>
              <w:t xml:space="preserve">, the </w:t>
            </w:r>
            <w:r w:rsidRPr="00FD57DB">
              <w:rPr>
                <w:rFonts w:ascii="Arial" w:eastAsia="Calibri" w:hAnsi="Arial" w:cs="Arial"/>
              </w:rPr>
              <w:t xml:space="preserve">Secretary </w:t>
            </w:r>
            <w:r w:rsidRPr="002A10F6">
              <w:rPr>
                <w:rFonts w:ascii="Arial" w:eastAsia="Calibri" w:hAnsi="Arial" w:cs="Arial"/>
              </w:rPr>
              <w:t xml:space="preserve">will establish </w:t>
            </w:r>
            <w:r w:rsidRPr="00FD57DB">
              <w:rPr>
                <w:rFonts w:ascii="Arial" w:eastAsia="Calibri" w:hAnsi="Arial" w:cs="Arial"/>
              </w:rPr>
              <w:t>Special Management Zone(s)</w:t>
            </w:r>
            <w:r w:rsidRPr="002A10F6">
              <w:rPr>
                <w:rFonts w:ascii="Arial" w:eastAsia="Calibri" w:hAnsi="Arial" w:cs="Arial"/>
              </w:rPr>
              <w:t xml:space="preserve"> to the catchment of the Variable Spiny Crayfish with the following conditions: </w:t>
            </w:r>
          </w:p>
          <w:p w14:paraId="62AD6215" w14:textId="364A6E2E" w:rsidR="00FF7E96" w:rsidRDefault="00FF7E96" w:rsidP="00FF7E96">
            <w:pPr>
              <w:pStyle w:val="BodyText"/>
              <w:spacing w:line="240" w:lineRule="auto"/>
              <w:cnfStyle w:val="000000000000" w:firstRow="0" w:lastRow="0" w:firstColumn="0" w:lastColumn="0" w:oddVBand="0" w:evenVBand="0" w:oddHBand="0" w:evenHBand="0" w:firstRowFirstColumn="0" w:firstRowLastColumn="0" w:lastRowFirstColumn="0" w:lastRowLastColumn="0"/>
            </w:pPr>
            <w:r w:rsidRPr="00BF3332">
              <w:t xml:space="preserve">Where one or more individuals of </w:t>
            </w:r>
            <w:r>
              <w:t>Variable Spiny Crayfish</w:t>
            </w:r>
            <w:r w:rsidRPr="00BF3332">
              <w:t xml:space="preserve"> have been verified:</w:t>
            </w:r>
          </w:p>
          <w:p w14:paraId="3098B0C6" w14:textId="2619D624" w:rsidR="00FF7E96" w:rsidRPr="00330A6C" w:rsidRDefault="00FF7E96" w:rsidP="006670D2">
            <w:pPr>
              <w:pStyle w:val="PullOutBoxBullet"/>
              <w:cnfStyle w:val="000000000000" w:firstRow="0" w:lastRow="0" w:firstColumn="0" w:lastColumn="0" w:oddVBand="0" w:evenVBand="0" w:oddHBand="0" w:evenHBand="0" w:firstRowFirstColumn="0" w:firstRowLastColumn="0" w:lastRowFirstColumn="0" w:lastRowLastColumn="0"/>
            </w:pPr>
            <w:r>
              <w:t xml:space="preserve">Environments with high soil absorption capacity </w:t>
            </w:r>
            <w:r w:rsidRPr="00330A6C">
              <w:t xml:space="preserve">(refer to Appendix </w:t>
            </w:r>
            <w:r w:rsidR="00F64DB7">
              <w:t>3</w:t>
            </w:r>
            <w:r w:rsidRPr="00330A6C">
              <w:t>)</w:t>
            </w:r>
            <w:r>
              <w:t>:</w:t>
            </w:r>
          </w:p>
          <w:p w14:paraId="6CC25A0B" w14:textId="77777777" w:rsidR="00FF7E96" w:rsidRPr="00603FA2" w:rsidRDefault="00FF7E96" w:rsidP="0029709B">
            <w:pPr>
              <w:pStyle w:val="PullOutBoxBullet2"/>
              <w:cnfStyle w:val="000000000000" w:firstRow="0" w:lastRow="0" w:firstColumn="0" w:lastColumn="0" w:oddVBand="0" w:evenVBand="0" w:oddHBand="0" w:evenHBand="0" w:firstRowFirstColumn="0" w:firstRowLastColumn="0" w:lastRowFirstColumn="0" w:lastRowLastColumn="0"/>
            </w:pPr>
            <w:r w:rsidRPr="00603FA2">
              <w:t xml:space="preserve">Apply </w:t>
            </w:r>
            <w:r>
              <w:t>40</w:t>
            </w:r>
            <w:r w:rsidRPr="00603FA2">
              <w:t xml:space="preserve"> metre (m) buffers either side of all mapped and unmapped permanent streams and temporary streams upstream and downstream of the value to the watershed boundary (on average 1km but responsive to local </w:t>
            </w:r>
            <w:r>
              <w:t>topography; see Figure 1</w:t>
            </w:r>
            <w:r w:rsidRPr="00603FA2">
              <w:t xml:space="preserve">); </w:t>
            </w:r>
          </w:p>
          <w:p w14:paraId="77054816" w14:textId="77777777" w:rsidR="00FF7E96" w:rsidRPr="00603FA2" w:rsidRDefault="00FF7E96" w:rsidP="0029709B">
            <w:pPr>
              <w:pStyle w:val="PullOutBoxBullet2"/>
              <w:cnfStyle w:val="000000000000" w:firstRow="0" w:lastRow="0" w:firstColumn="0" w:lastColumn="0" w:oddVBand="0" w:evenVBand="0" w:oddHBand="0" w:evenHBand="0" w:firstRowFirstColumn="0" w:firstRowLastColumn="0" w:lastRowFirstColumn="0" w:lastRowLastColumn="0"/>
            </w:pPr>
            <w:r w:rsidRPr="00603FA2">
              <w:t xml:space="preserve">Apply </w:t>
            </w:r>
            <w:r>
              <w:t>30</w:t>
            </w:r>
            <w:r w:rsidRPr="00603FA2">
              <w:t xml:space="preserve"> metre (m) buffers </w:t>
            </w:r>
            <w:r>
              <w:t xml:space="preserve">plus 10 metre (m) filter strips </w:t>
            </w:r>
            <w:r w:rsidRPr="00603FA2">
              <w:t xml:space="preserve">to either side of drainage lines upstream and downstream of the value to the watershed boundary (on average 1km but responsive to local </w:t>
            </w:r>
            <w:r>
              <w:t>topography</w:t>
            </w:r>
            <w:r w:rsidRPr="00603FA2">
              <w:t>);</w:t>
            </w:r>
          </w:p>
          <w:p w14:paraId="20AB6A02" w14:textId="4A54B72F" w:rsidR="00FF7E96" w:rsidRPr="00330A6C" w:rsidRDefault="00FF7E96" w:rsidP="006670D2">
            <w:pPr>
              <w:pStyle w:val="PullOutBoxBullet"/>
              <w:cnfStyle w:val="000000000000" w:firstRow="0" w:lastRow="0" w:firstColumn="0" w:lastColumn="0" w:oddVBand="0" w:evenVBand="0" w:oddHBand="0" w:evenHBand="0" w:firstRowFirstColumn="0" w:firstRowLastColumn="0" w:lastRowFirstColumn="0" w:lastRowLastColumn="0"/>
            </w:pPr>
            <w:r>
              <w:t xml:space="preserve">Environments with low soil absorption capacity </w:t>
            </w:r>
            <w:r w:rsidRPr="00330A6C">
              <w:t xml:space="preserve">(refer to Appendix </w:t>
            </w:r>
            <w:r w:rsidR="00F64DB7">
              <w:t>3</w:t>
            </w:r>
            <w:r w:rsidRPr="00330A6C">
              <w:t>)</w:t>
            </w:r>
            <w:r>
              <w:t>:</w:t>
            </w:r>
          </w:p>
          <w:p w14:paraId="6B0E857F" w14:textId="77777777" w:rsidR="00FF7E96" w:rsidRPr="00603FA2" w:rsidRDefault="00FF7E96" w:rsidP="0029709B">
            <w:pPr>
              <w:pStyle w:val="PullOutBoxBullet2"/>
              <w:cnfStyle w:val="000000000000" w:firstRow="0" w:lastRow="0" w:firstColumn="0" w:lastColumn="0" w:oddVBand="0" w:evenVBand="0" w:oddHBand="0" w:evenHBand="0" w:firstRowFirstColumn="0" w:firstRowLastColumn="0" w:lastRowFirstColumn="0" w:lastRowLastColumn="0"/>
            </w:pPr>
            <w:r w:rsidRPr="00603FA2">
              <w:t xml:space="preserve">Apply </w:t>
            </w:r>
            <w:r>
              <w:t>60</w:t>
            </w:r>
            <w:r w:rsidRPr="00603FA2">
              <w:t xml:space="preserve"> metre (m) buffers either side of all mapped and unmapped permanent streams and temporary streams upstream and downstream of the value to the watershed boundary (on average 1km but responsive to local </w:t>
            </w:r>
            <w:r>
              <w:t>topography</w:t>
            </w:r>
            <w:r w:rsidRPr="00603FA2">
              <w:t xml:space="preserve">); </w:t>
            </w:r>
          </w:p>
          <w:p w14:paraId="2B8D3169" w14:textId="3A6FFF6C" w:rsidR="00FF7E96" w:rsidRPr="001E4198" w:rsidDel="00FF7E96" w:rsidRDefault="00FF7E96" w:rsidP="0029709B">
            <w:pPr>
              <w:pStyle w:val="PullOutBoxBullet2"/>
              <w:cnfStyle w:val="000000000000" w:firstRow="0" w:lastRow="0" w:firstColumn="0" w:lastColumn="0" w:oddVBand="0" w:evenVBand="0" w:oddHBand="0" w:evenHBand="0" w:firstRowFirstColumn="0" w:firstRowLastColumn="0" w:lastRowFirstColumn="0" w:lastRowLastColumn="0"/>
            </w:pPr>
            <w:r w:rsidRPr="00603FA2">
              <w:t xml:space="preserve">Apply </w:t>
            </w:r>
            <w:r>
              <w:t>40</w:t>
            </w:r>
            <w:r w:rsidRPr="00603FA2">
              <w:t xml:space="preserve"> metre (m) buffers </w:t>
            </w:r>
            <w:r>
              <w:t xml:space="preserve">plus 20 metre (m) filter strips </w:t>
            </w:r>
            <w:r w:rsidRPr="00603FA2">
              <w:t xml:space="preserve">to either side of drainage lines upstream and downstream of the value to the watershed boundary (on average 1km but responsive to local </w:t>
            </w:r>
            <w:r>
              <w:t>topography</w:t>
            </w:r>
            <w:r w:rsidRPr="00603FA2">
              <w:t>)</w:t>
            </w:r>
            <w:r>
              <w:t>:</w:t>
            </w:r>
          </w:p>
          <w:p w14:paraId="44E4E613" w14:textId="2ACC32A8" w:rsidR="006F5709" w:rsidRPr="00FF7E96" w:rsidRDefault="00DA427E" w:rsidP="006670D2">
            <w:pPr>
              <w:pStyle w:val="PullOutBoxBullet"/>
              <w:cnfStyle w:val="000000000000" w:firstRow="0" w:lastRow="0" w:firstColumn="0" w:lastColumn="0" w:oddVBand="0" w:evenVBand="0" w:oddHBand="0" w:evenHBand="0" w:firstRowFirstColumn="0" w:firstRowLastColumn="0" w:lastRowFirstColumn="0" w:lastRowLastColumn="0"/>
              <w:rPr>
                <w:rFonts w:ascii="Arial" w:hAnsi="Arial" w:cs="Arial"/>
              </w:rPr>
            </w:pPr>
            <w:r w:rsidRPr="002A10F6">
              <w:t xml:space="preserve">No new </w:t>
            </w:r>
            <w:r w:rsidRPr="00FD57DB">
              <w:t>road</w:t>
            </w:r>
            <w:r w:rsidRPr="002A10F6">
              <w:t xml:space="preserve">, </w:t>
            </w:r>
            <w:r w:rsidRPr="00FD57DB">
              <w:t>snig track</w:t>
            </w:r>
            <w:r w:rsidRPr="002A10F6">
              <w:t xml:space="preserve">, </w:t>
            </w:r>
            <w:r w:rsidRPr="00FD57DB">
              <w:t>in-coupe road</w:t>
            </w:r>
            <w:r w:rsidRPr="002A10F6">
              <w:t xml:space="preserve">, </w:t>
            </w:r>
            <w:r w:rsidRPr="00FD57DB">
              <w:t>coupe driveway,</w:t>
            </w:r>
            <w:r w:rsidRPr="00603FA2">
              <w:t xml:space="preserve"> </w:t>
            </w:r>
            <w:r w:rsidRPr="00FD57DB">
              <w:t>coupe infrastructure</w:t>
            </w:r>
            <w:r w:rsidRPr="002A10F6">
              <w:t xml:space="preserve"> or stream crossing shall be constructed within or through any </w:t>
            </w:r>
            <w:r w:rsidRPr="00FD57DB">
              <w:t>buffer</w:t>
            </w:r>
            <w:r w:rsidRPr="002A10F6">
              <w:t xml:space="preserve"> without an approved exemption from the </w:t>
            </w:r>
            <w:r w:rsidRPr="00FD57DB">
              <w:t>Secretary</w:t>
            </w:r>
            <w:r w:rsidR="002403F8" w:rsidRPr="00603FA2">
              <w:t xml:space="preserve"> </w:t>
            </w:r>
            <w:r w:rsidR="002403F8">
              <w:rPr>
                <w:rFonts w:ascii="Arial" w:hAnsi="Arial" w:cs="Arial"/>
              </w:rPr>
              <w:t>(See Map 3)</w:t>
            </w:r>
            <w:r w:rsidR="003B519D">
              <w:rPr>
                <w:rFonts w:ascii="Arial" w:hAnsi="Arial" w:cs="Arial"/>
              </w:rPr>
              <w:t>.</w:t>
            </w:r>
          </w:p>
        </w:tc>
      </w:tr>
    </w:tbl>
    <w:p w14:paraId="767F1DF6" w14:textId="77777777" w:rsidR="00BF0255" w:rsidRDefault="00BF0255" w:rsidP="008F203C">
      <w:pPr>
        <w:pStyle w:val="BodyText"/>
      </w:pPr>
    </w:p>
    <w:p w14:paraId="435BEA73" w14:textId="77777777" w:rsidR="00F97786" w:rsidRDefault="00F97786">
      <w:pPr>
        <w:rPr>
          <w:rFonts w:ascii="Arial" w:hAnsi="Arial"/>
          <w:b/>
          <w:bCs/>
          <w:color w:val="00B2A9" w:themeColor="accent1"/>
          <w:kern w:val="20"/>
          <w:sz w:val="24"/>
          <w:szCs w:val="28"/>
        </w:rPr>
      </w:pPr>
      <w:r>
        <w:br w:type="page"/>
      </w:r>
    </w:p>
    <w:p w14:paraId="4251B243" w14:textId="103C9242" w:rsidR="0081332D" w:rsidRDefault="00BF0255" w:rsidP="00675EEE">
      <w:pPr>
        <w:pStyle w:val="Heading2"/>
        <w:ind w:left="0"/>
      </w:pPr>
      <w:bookmarkStart w:id="18" w:name="_Toc113271014"/>
      <w:r>
        <w:t xml:space="preserve">Rainforest </w:t>
      </w:r>
      <w:r w:rsidR="006301F1">
        <w:t xml:space="preserve">Affiliated </w:t>
      </w:r>
      <w:r>
        <w:t>Species</w:t>
      </w:r>
      <w:bookmarkEnd w:id="18"/>
    </w:p>
    <w:p w14:paraId="36788B62" w14:textId="490AED17" w:rsidR="00332AD1" w:rsidRPr="00FD57DB" w:rsidRDefault="008F203C" w:rsidP="006670D2">
      <w:pPr>
        <w:pStyle w:val="Caption"/>
      </w:pPr>
      <w:r w:rsidRPr="00FF310C">
        <w:t xml:space="preserve">Table </w:t>
      </w:r>
      <w:r w:rsidR="000B6788" w:rsidRPr="00B846FE">
        <w:fldChar w:fldCharType="begin"/>
      </w:r>
      <w:r w:rsidR="000B6788" w:rsidRPr="00FD57DB">
        <w:rPr>
          <w:bCs/>
        </w:rPr>
        <w:instrText xml:space="preserve"> SEQ Table \* ARABIC  </w:instrText>
      </w:r>
      <w:r w:rsidR="000B6788" w:rsidRPr="00B846FE">
        <w:fldChar w:fldCharType="separate"/>
      </w:r>
      <w:r w:rsidR="00692F0D">
        <w:rPr>
          <w:bCs/>
          <w:noProof/>
        </w:rPr>
        <w:t>2</w:t>
      </w:r>
      <w:r w:rsidR="000B6788" w:rsidRPr="00B846FE">
        <w:fldChar w:fldCharType="end"/>
      </w:r>
      <w:r w:rsidR="00271000" w:rsidRPr="00FF310C">
        <w:t>.</w:t>
      </w:r>
      <w:r w:rsidRPr="00FF310C">
        <w:t xml:space="preserve"> Interim </w:t>
      </w:r>
      <w:r w:rsidR="00C35DA1">
        <w:t>p</w:t>
      </w:r>
      <w:r w:rsidRPr="00FF310C">
        <w:t xml:space="preserve">rotections for </w:t>
      </w:r>
      <w:r w:rsidR="00C35DA1">
        <w:t>r</w:t>
      </w:r>
      <w:r w:rsidRPr="00FF310C">
        <w:t xml:space="preserve">ainforest </w:t>
      </w:r>
      <w:r w:rsidR="00C35DA1">
        <w:t>affiliated s</w:t>
      </w:r>
      <w:r w:rsidRPr="00FF310C">
        <w:t>pecies</w:t>
      </w:r>
    </w:p>
    <w:tbl>
      <w:tblPr>
        <w:tblStyle w:val="TableGrid"/>
        <w:tblW w:w="5000" w:type="pct"/>
        <w:tblLook w:val="0220" w:firstRow="1" w:lastRow="0" w:firstColumn="0" w:lastColumn="0" w:noHBand="1" w:noVBand="0"/>
      </w:tblPr>
      <w:tblGrid>
        <w:gridCol w:w="2552"/>
        <w:gridCol w:w="7087"/>
      </w:tblGrid>
      <w:tr w:rsidR="008F203C" w14:paraId="157BB3B6" w14:textId="77777777" w:rsidTr="008F203C">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1324" w:type="pct"/>
          </w:tcPr>
          <w:p w14:paraId="2DE0EA47" w14:textId="4AAB07F7" w:rsidR="008F203C" w:rsidRDefault="008F203C" w:rsidP="008F203C">
            <w:pPr>
              <w:pStyle w:val="TableHeadingLeft"/>
            </w:pPr>
            <w:r>
              <w:t>Species Name</w:t>
            </w:r>
          </w:p>
        </w:tc>
        <w:tc>
          <w:tcPr>
            <w:tcW w:w="3676" w:type="pct"/>
          </w:tcPr>
          <w:p w14:paraId="2888719F" w14:textId="1E5D662D" w:rsidR="008F203C" w:rsidRDefault="008F203C" w:rsidP="008F203C">
            <w:pPr>
              <w:pStyle w:val="TableHeadingLeft"/>
              <w:cnfStyle w:val="100000000000" w:firstRow="1" w:lastRow="0" w:firstColumn="0" w:lastColumn="0" w:oddVBand="0" w:evenVBand="0" w:oddHBand="0" w:evenHBand="0" w:firstRowFirstColumn="0" w:firstRowLastColumn="0" w:lastRowFirstColumn="0" w:lastRowLastColumn="0"/>
            </w:pPr>
            <w:r>
              <w:t>Interim Protection</w:t>
            </w:r>
          </w:p>
        </w:tc>
      </w:tr>
      <w:tr w:rsidR="00486957" w14:paraId="40E15DF4" w14:textId="77777777" w:rsidTr="008F203C">
        <w:trPr>
          <w:cantSplit/>
        </w:trPr>
        <w:tc>
          <w:tcPr>
            <w:cnfStyle w:val="000010000000" w:firstRow="0" w:lastRow="0" w:firstColumn="0" w:lastColumn="0" w:oddVBand="1" w:evenVBand="0" w:oddHBand="0" w:evenHBand="0" w:firstRowFirstColumn="0" w:firstRowLastColumn="0" w:lastRowFirstColumn="0" w:lastRowLastColumn="0"/>
            <w:tcW w:w="1324" w:type="pct"/>
          </w:tcPr>
          <w:p w14:paraId="6A0D1C86" w14:textId="77777777" w:rsidR="00486957" w:rsidRPr="00B77A8B" w:rsidRDefault="00486957" w:rsidP="006A4AB7">
            <w:pPr>
              <w:pStyle w:val="BodyText"/>
              <w:rPr>
                <w:rFonts w:eastAsia="Calibri"/>
              </w:rPr>
            </w:pPr>
            <w:r w:rsidRPr="00B77A8B">
              <w:rPr>
                <w:rFonts w:eastAsia="Calibri"/>
              </w:rPr>
              <w:t>Bolwarra</w:t>
            </w:r>
          </w:p>
          <w:p w14:paraId="45AA0384" w14:textId="140C3E0A" w:rsidR="00486957" w:rsidRDefault="00486957" w:rsidP="006A4AB7">
            <w:pPr>
              <w:pStyle w:val="BodyText"/>
            </w:pPr>
            <w:r w:rsidRPr="00B77A8B">
              <w:rPr>
                <w:rFonts w:eastAsia="Calibri"/>
                <w:i/>
              </w:rPr>
              <w:t>Eupomatia laurina</w:t>
            </w:r>
          </w:p>
        </w:tc>
        <w:tc>
          <w:tcPr>
            <w:tcW w:w="3676" w:type="pct"/>
            <w:vMerge w:val="restart"/>
          </w:tcPr>
          <w:p w14:paraId="4357DE90" w14:textId="543894E4" w:rsidR="00486957" w:rsidRDefault="00486957" w:rsidP="000715D6">
            <w:pPr>
              <w:pStyle w:val="BodyTex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Within the </w:t>
            </w:r>
            <w:r w:rsidRPr="00FD57DB">
              <w:rPr>
                <w:rFonts w:eastAsia="Calibri"/>
              </w:rPr>
              <w:t>East Gippsland RFA region</w:t>
            </w:r>
            <w:r>
              <w:rPr>
                <w:rFonts w:eastAsia="Calibri"/>
              </w:rPr>
              <w:t xml:space="preserve">, the Secretary </w:t>
            </w:r>
            <w:r w:rsidRPr="00902D27">
              <w:rPr>
                <w:rFonts w:eastAsia="Calibri"/>
              </w:rPr>
              <w:t>will establish Special Protection Zone(s)</w:t>
            </w:r>
            <w:r>
              <w:rPr>
                <w:rFonts w:eastAsia="Calibri"/>
              </w:rPr>
              <w:t xml:space="preserve"> to protect Warm Temperate Rainforest </w:t>
            </w:r>
            <w:r w:rsidR="00C056FF">
              <w:rPr>
                <w:rFonts w:eastAsia="Calibri"/>
              </w:rPr>
              <w:t xml:space="preserve">and Cool Temperate Rainforest </w:t>
            </w:r>
            <w:r>
              <w:rPr>
                <w:rFonts w:eastAsia="Calibri"/>
              </w:rPr>
              <w:t>communities</w:t>
            </w:r>
            <w:r w:rsidR="00D16797">
              <w:rPr>
                <w:rFonts w:eastAsia="Calibri"/>
              </w:rPr>
              <w:t>,</w:t>
            </w:r>
            <w:r>
              <w:rPr>
                <w:rFonts w:eastAsia="Calibri"/>
              </w:rPr>
              <w:t xml:space="preserve"> including relevant buffers based on </w:t>
            </w:r>
            <w:r w:rsidR="00D16797">
              <w:rPr>
                <w:rFonts w:eastAsia="Calibri"/>
              </w:rPr>
              <w:t xml:space="preserve">the </w:t>
            </w:r>
            <w:r w:rsidRPr="00902D27">
              <w:rPr>
                <w:rFonts w:eastAsia="Calibri"/>
              </w:rPr>
              <w:t>Department’s corporate spatial dataset RAINFOR where the rainforest extent has been impacted by high severity fire in the last 10 years (since 201</w:t>
            </w:r>
            <w:r>
              <w:rPr>
                <w:rFonts w:eastAsia="Calibri"/>
              </w:rPr>
              <w:t>2</w:t>
            </w:r>
            <w:r w:rsidRPr="00902D27">
              <w:rPr>
                <w:rFonts w:eastAsia="Calibri"/>
              </w:rPr>
              <w:t>) (DELWP 2019-20 Fire Severity: Crown Burn and High Crown Scorch).</w:t>
            </w:r>
            <w:r>
              <w:rPr>
                <w:rFonts w:eastAsia="Calibri"/>
              </w:rPr>
              <w:t xml:space="preserve"> This is to provide protection for the habitat of unrecorded populations of this </w:t>
            </w:r>
            <w:r w:rsidR="004616B9">
              <w:rPr>
                <w:rFonts w:eastAsia="Calibri"/>
              </w:rPr>
              <w:t>species</w:t>
            </w:r>
            <w:r>
              <w:rPr>
                <w:rFonts w:eastAsia="Calibri"/>
              </w:rPr>
              <w:t xml:space="preserve"> where it has been recently disturbed</w:t>
            </w:r>
            <w:r w:rsidR="00B27F8A">
              <w:rPr>
                <w:rFonts w:eastAsia="Calibri"/>
              </w:rPr>
              <w:t xml:space="preserve"> (See Map </w:t>
            </w:r>
            <w:r w:rsidR="006A7288">
              <w:rPr>
                <w:rFonts w:eastAsia="Calibri"/>
              </w:rPr>
              <w:t>4</w:t>
            </w:r>
            <w:r w:rsidR="003F5E15">
              <w:rPr>
                <w:rFonts w:eastAsia="Calibri"/>
              </w:rPr>
              <w:t>).</w:t>
            </w:r>
          </w:p>
          <w:p w14:paraId="1D0222B1" w14:textId="12FDA089" w:rsidR="00486957" w:rsidRDefault="00486957" w:rsidP="000715D6">
            <w:pPr>
              <w:pStyle w:val="BodyText"/>
              <w:cnfStyle w:val="000000000000" w:firstRow="0" w:lastRow="0" w:firstColumn="0" w:lastColumn="0" w:oddVBand="0" w:evenVBand="0" w:oddHBand="0" w:evenHBand="0" w:firstRowFirstColumn="0" w:firstRowLastColumn="0" w:lastRowFirstColumn="0" w:lastRowLastColumn="0"/>
              <w:rPr>
                <w:rFonts w:eastAsia="Calibri"/>
              </w:rPr>
            </w:pPr>
            <w:r w:rsidRPr="00FD57DB">
              <w:rPr>
                <w:rFonts w:eastAsia="Calibri"/>
              </w:rPr>
              <w:t xml:space="preserve">Within the East Gippsland RFA region, the Secretary will establish Special Management Zone(s) of 200 m radius around post-1970 VBA records of this </w:t>
            </w:r>
            <w:r w:rsidR="004616B9">
              <w:rPr>
                <w:rFonts w:eastAsia="Calibri"/>
              </w:rPr>
              <w:t>species</w:t>
            </w:r>
            <w:r w:rsidRPr="00FD57DB">
              <w:rPr>
                <w:rFonts w:eastAsia="Calibri"/>
              </w:rPr>
              <w:t xml:space="preserve"> with 100 m or better accuracy and any new records</w:t>
            </w:r>
            <w:r w:rsidR="003F5E15">
              <w:rPr>
                <w:rFonts w:eastAsia="Calibri"/>
              </w:rPr>
              <w:t xml:space="preserve"> (See Map </w:t>
            </w:r>
            <w:r w:rsidR="003F4AA4">
              <w:rPr>
                <w:rFonts w:eastAsia="Calibri"/>
              </w:rPr>
              <w:t>5a</w:t>
            </w:r>
            <w:r w:rsidR="003F5E15">
              <w:rPr>
                <w:rFonts w:eastAsia="Calibri"/>
              </w:rPr>
              <w:t>)</w:t>
            </w:r>
            <w:r w:rsidR="00B55509">
              <w:rPr>
                <w:rFonts w:eastAsia="Calibri"/>
              </w:rPr>
              <w:t>.</w:t>
            </w:r>
          </w:p>
          <w:p w14:paraId="2655B3D9" w14:textId="590A45B2" w:rsidR="00486957" w:rsidRPr="00A82751" w:rsidRDefault="00486957" w:rsidP="00A82751">
            <w:pPr>
              <w:pStyle w:val="BodyTex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Note that permanent protections have been recommended for two Warm Temperate Rainforest communities in East Gippsland (</w:t>
            </w:r>
            <w:r w:rsidRPr="00474773">
              <w:t xml:space="preserve">Warm Temperate Rainforest </w:t>
            </w:r>
            <w:r>
              <w:t xml:space="preserve">- </w:t>
            </w:r>
            <w:r w:rsidRPr="00474773">
              <w:t xml:space="preserve">East Gippsland Alluvial Terraces and Warm Temperate Rainforest </w:t>
            </w:r>
            <w:r>
              <w:t xml:space="preserve">- </w:t>
            </w:r>
            <w:r w:rsidRPr="00474773">
              <w:t>Far East Gippsland</w:t>
            </w:r>
            <w:r>
              <w:t>)</w:t>
            </w:r>
            <w:r>
              <w:rPr>
                <w:rFonts w:eastAsia="Calibri"/>
              </w:rPr>
              <w:t>. This measure may also provide additional protection and may overlap with areas identified above.</w:t>
            </w:r>
          </w:p>
        </w:tc>
      </w:tr>
      <w:tr w:rsidR="00486957" w14:paraId="3B125313" w14:textId="77777777" w:rsidTr="008F203C">
        <w:trPr>
          <w:cantSplit/>
        </w:trPr>
        <w:tc>
          <w:tcPr>
            <w:cnfStyle w:val="000010000000" w:firstRow="0" w:lastRow="0" w:firstColumn="0" w:lastColumn="0" w:oddVBand="1" w:evenVBand="0" w:oddHBand="0" w:evenHBand="0" w:firstRowFirstColumn="0" w:firstRowLastColumn="0" w:lastRowFirstColumn="0" w:lastRowLastColumn="0"/>
            <w:tcW w:w="1324" w:type="pct"/>
          </w:tcPr>
          <w:p w14:paraId="6FDEF4A4" w14:textId="77777777" w:rsidR="00486957" w:rsidRPr="00B77A8B" w:rsidRDefault="00486957" w:rsidP="00F45795">
            <w:pPr>
              <w:pStyle w:val="BodyText"/>
              <w:rPr>
                <w:rFonts w:eastAsia="Calibri"/>
              </w:rPr>
            </w:pPr>
            <w:r w:rsidRPr="00B77A8B">
              <w:rPr>
                <w:rFonts w:eastAsia="Calibri"/>
              </w:rPr>
              <w:t>Creeping Shield-fern</w:t>
            </w:r>
          </w:p>
          <w:p w14:paraId="20DE367B" w14:textId="689DF35D" w:rsidR="00486957" w:rsidRDefault="00486957" w:rsidP="006A4AB7">
            <w:pPr>
              <w:pStyle w:val="BodyText"/>
            </w:pPr>
            <w:r w:rsidRPr="00B77A8B">
              <w:rPr>
                <w:rFonts w:eastAsia="Calibri"/>
                <w:i/>
              </w:rPr>
              <w:t xml:space="preserve">Lastreopsis microsora </w:t>
            </w:r>
            <w:r w:rsidRPr="00B77A8B">
              <w:rPr>
                <w:rFonts w:eastAsia="Calibri"/>
              </w:rPr>
              <w:t>subsp.</w:t>
            </w:r>
            <w:r w:rsidRPr="00B77A8B">
              <w:rPr>
                <w:rFonts w:eastAsia="Calibri"/>
                <w:i/>
              </w:rPr>
              <w:t xml:space="preserve"> microsora</w:t>
            </w:r>
            <w:r w:rsidRPr="00B77A8B" w:rsidDel="00F45795">
              <w:rPr>
                <w:rFonts w:eastAsia="Calibri"/>
              </w:rPr>
              <w:t xml:space="preserve"> </w:t>
            </w:r>
          </w:p>
        </w:tc>
        <w:tc>
          <w:tcPr>
            <w:tcW w:w="3676" w:type="pct"/>
            <w:vMerge/>
          </w:tcPr>
          <w:p w14:paraId="07DCC230" w14:textId="77777777" w:rsidR="00486957" w:rsidRDefault="00486957" w:rsidP="006A4AB7">
            <w:pPr>
              <w:pStyle w:val="TableTextLeft"/>
              <w:cnfStyle w:val="000000000000" w:firstRow="0" w:lastRow="0" w:firstColumn="0" w:lastColumn="0" w:oddVBand="0" w:evenVBand="0" w:oddHBand="0" w:evenHBand="0" w:firstRowFirstColumn="0" w:firstRowLastColumn="0" w:lastRowFirstColumn="0" w:lastRowLastColumn="0"/>
            </w:pPr>
          </w:p>
        </w:tc>
      </w:tr>
      <w:tr w:rsidR="00486957" w14:paraId="01746623" w14:textId="77777777" w:rsidTr="008F203C">
        <w:trPr>
          <w:cantSplit/>
        </w:trPr>
        <w:tc>
          <w:tcPr>
            <w:cnfStyle w:val="000010000000" w:firstRow="0" w:lastRow="0" w:firstColumn="0" w:lastColumn="0" w:oddVBand="1" w:evenVBand="0" w:oddHBand="0" w:evenHBand="0" w:firstRowFirstColumn="0" w:firstRowLastColumn="0" w:lastRowFirstColumn="0" w:lastRowLastColumn="0"/>
            <w:tcW w:w="1324" w:type="pct"/>
          </w:tcPr>
          <w:p w14:paraId="6089A9FB" w14:textId="77777777" w:rsidR="00486957" w:rsidRPr="00B77A8B" w:rsidRDefault="00486957" w:rsidP="00486957">
            <w:pPr>
              <w:pStyle w:val="BodyText"/>
              <w:rPr>
                <w:rFonts w:eastAsia="Calibri"/>
              </w:rPr>
            </w:pPr>
            <w:r w:rsidRPr="00B77A8B">
              <w:rPr>
                <w:rFonts w:eastAsia="Calibri"/>
              </w:rPr>
              <w:t>White Supplejack</w:t>
            </w:r>
          </w:p>
          <w:p w14:paraId="4909DD1D" w14:textId="5E1EAD2F" w:rsidR="00486957" w:rsidRDefault="00486957" w:rsidP="006A4AB7">
            <w:pPr>
              <w:pStyle w:val="BodyText"/>
            </w:pPr>
            <w:r w:rsidRPr="00B77A8B">
              <w:rPr>
                <w:rFonts w:eastAsia="Calibri"/>
                <w:i/>
              </w:rPr>
              <w:t>Ripogonum album</w:t>
            </w:r>
            <w:r w:rsidRPr="00B77A8B" w:rsidDel="00F45795">
              <w:rPr>
                <w:rFonts w:eastAsia="Calibri"/>
              </w:rPr>
              <w:t xml:space="preserve"> </w:t>
            </w:r>
          </w:p>
        </w:tc>
        <w:tc>
          <w:tcPr>
            <w:tcW w:w="3676" w:type="pct"/>
            <w:vMerge/>
          </w:tcPr>
          <w:p w14:paraId="1A7479E1" w14:textId="77777777" w:rsidR="00486957" w:rsidRDefault="00486957" w:rsidP="006A4AB7">
            <w:pPr>
              <w:pStyle w:val="TableTextLeft"/>
              <w:cnfStyle w:val="000000000000" w:firstRow="0" w:lastRow="0" w:firstColumn="0" w:lastColumn="0" w:oddVBand="0" w:evenVBand="0" w:oddHBand="0" w:evenHBand="0" w:firstRowFirstColumn="0" w:firstRowLastColumn="0" w:lastRowFirstColumn="0" w:lastRowLastColumn="0"/>
            </w:pPr>
          </w:p>
        </w:tc>
      </w:tr>
      <w:tr w:rsidR="006A4AB7" w14:paraId="2E7FE029" w14:textId="77777777" w:rsidTr="008F203C">
        <w:trPr>
          <w:cantSplit/>
        </w:trPr>
        <w:tc>
          <w:tcPr>
            <w:cnfStyle w:val="000010000000" w:firstRow="0" w:lastRow="0" w:firstColumn="0" w:lastColumn="0" w:oddVBand="1" w:evenVBand="0" w:oddHBand="0" w:evenHBand="0" w:firstRowFirstColumn="0" w:firstRowLastColumn="0" w:lastRowFirstColumn="0" w:lastRowLastColumn="0"/>
            <w:tcW w:w="1324" w:type="pct"/>
          </w:tcPr>
          <w:p w14:paraId="70DF1204" w14:textId="77777777" w:rsidR="00486957" w:rsidRPr="00B77A8B" w:rsidRDefault="00486957" w:rsidP="00486957">
            <w:pPr>
              <w:pStyle w:val="BodyText"/>
              <w:rPr>
                <w:rFonts w:eastAsia="Calibri"/>
              </w:rPr>
            </w:pPr>
            <w:r w:rsidRPr="00B77A8B">
              <w:rPr>
                <w:rFonts w:eastAsia="Calibri"/>
              </w:rPr>
              <w:t>Bristly Shield-fern</w:t>
            </w:r>
          </w:p>
          <w:p w14:paraId="697F056F" w14:textId="585CA221" w:rsidR="006A4AB7" w:rsidRDefault="00486957" w:rsidP="006A4AB7">
            <w:pPr>
              <w:pStyle w:val="BodyText"/>
            </w:pPr>
            <w:r w:rsidRPr="00B77A8B">
              <w:rPr>
                <w:rFonts w:eastAsia="Calibri"/>
                <w:i/>
              </w:rPr>
              <w:t>Lastreopsis hispida</w:t>
            </w:r>
            <w:r w:rsidRPr="00B77A8B" w:rsidDel="00F45795">
              <w:rPr>
                <w:rFonts w:eastAsia="Calibri"/>
              </w:rPr>
              <w:t xml:space="preserve"> </w:t>
            </w:r>
          </w:p>
        </w:tc>
        <w:tc>
          <w:tcPr>
            <w:tcW w:w="3676" w:type="pct"/>
          </w:tcPr>
          <w:p w14:paraId="655069B4" w14:textId="3D7066DE" w:rsidR="00486957" w:rsidRDefault="00486957" w:rsidP="00486957">
            <w:pPr>
              <w:pStyle w:val="BodyTex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Within the </w:t>
            </w:r>
            <w:r w:rsidRPr="00013BFB">
              <w:rPr>
                <w:rFonts w:eastAsia="Calibri"/>
              </w:rPr>
              <w:t>East Gippsland RFA region</w:t>
            </w:r>
            <w:r>
              <w:rPr>
                <w:rFonts w:eastAsia="Calibri"/>
              </w:rPr>
              <w:t xml:space="preserve">, the Secretary </w:t>
            </w:r>
            <w:r w:rsidRPr="00902D27">
              <w:rPr>
                <w:rFonts w:eastAsia="Calibri"/>
              </w:rPr>
              <w:t>will establish Special Protection Zone(s)</w:t>
            </w:r>
            <w:r>
              <w:rPr>
                <w:rFonts w:eastAsia="Calibri"/>
              </w:rPr>
              <w:t xml:space="preserve"> to protect Warm Temperate Rainforest </w:t>
            </w:r>
            <w:r w:rsidR="00C056FF">
              <w:rPr>
                <w:rFonts w:eastAsia="Calibri"/>
              </w:rPr>
              <w:t xml:space="preserve">and Cool Temperate Rainforest </w:t>
            </w:r>
            <w:r>
              <w:rPr>
                <w:rFonts w:eastAsia="Calibri"/>
              </w:rPr>
              <w:t>communities</w:t>
            </w:r>
            <w:r w:rsidR="00A84866">
              <w:rPr>
                <w:rFonts w:eastAsia="Calibri"/>
              </w:rPr>
              <w:t>,</w:t>
            </w:r>
            <w:r>
              <w:rPr>
                <w:rFonts w:eastAsia="Calibri"/>
              </w:rPr>
              <w:t xml:space="preserve"> including relevant buffers based on </w:t>
            </w:r>
            <w:r w:rsidR="00A84866">
              <w:rPr>
                <w:rFonts w:eastAsia="Calibri"/>
              </w:rPr>
              <w:t xml:space="preserve">the </w:t>
            </w:r>
            <w:r w:rsidRPr="00902D27">
              <w:rPr>
                <w:rFonts w:eastAsia="Calibri"/>
              </w:rPr>
              <w:t>Department’s corporate spatial dataset RAINFOR where the rainforest extent has been impacted by high severity fire in the last 10 years (since 201</w:t>
            </w:r>
            <w:r>
              <w:rPr>
                <w:rFonts w:eastAsia="Calibri"/>
              </w:rPr>
              <w:t>2</w:t>
            </w:r>
            <w:r w:rsidRPr="00902D27">
              <w:rPr>
                <w:rFonts w:eastAsia="Calibri"/>
              </w:rPr>
              <w:t>) (DELWP 2019-20 Fire Severity: Crown Burn and High Crown Scorch).</w:t>
            </w:r>
            <w:r>
              <w:rPr>
                <w:rFonts w:eastAsia="Calibri"/>
              </w:rPr>
              <w:t xml:space="preserve"> This is to provide protection for the habitat of unrecorded populations of this </w:t>
            </w:r>
            <w:r w:rsidR="004616B9">
              <w:rPr>
                <w:rFonts w:eastAsia="Calibri"/>
              </w:rPr>
              <w:t>species</w:t>
            </w:r>
            <w:r>
              <w:rPr>
                <w:rFonts w:eastAsia="Calibri"/>
              </w:rPr>
              <w:t xml:space="preserve"> where it has been recently disturbed</w:t>
            </w:r>
            <w:r w:rsidR="003F5E15">
              <w:rPr>
                <w:rFonts w:eastAsia="Calibri"/>
              </w:rPr>
              <w:t xml:space="preserve"> (See Map </w:t>
            </w:r>
            <w:r w:rsidR="00D5668E">
              <w:rPr>
                <w:rFonts w:eastAsia="Calibri"/>
              </w:rPr>
              <w:t>4</w:t>
            </w:r>
            <w:r w:rsidR="003F5E15">
              <w:rPr>
                <w:rFonts w:eastAsia="Calibri"/>
              </w:rPr>
              <w:t>)</w:t>
            </w:r>
            <w:r w:rsidR="00D5668E">
              <w:rPr>
                <w:rFonts w:eastAsia="Calibri"/>
              </w:rPr>
              <w:t>.</w:t>
            </w:r>
          </w:p>
          <w:p w14:paraId="58F4178C" w14:textId="5CB9F745" w:rsidR="00486957" w:rsidRDefault="00486957" w:rsidP="00486957">
            <w:pPr>
              <w:pStyle w:val="BodyText"/>
              <w:cnfStyle w:val="000000000000" w:firstRow="0" w:lastRow="0" w:firstColumn="0" w:lastColumn="0" w:oddVBand="0" w:evenVBand="0" w:oddHBand="0" w:evenHBand="0" w:firstRowFirstColumn="0" w:firstRowLastColumn="0" w:lastRowFirstColumn="0" w:lastRowLastColumn="0"/>
              <w:rPr>
                <w:rFonts w:eastAsia="Calibri"/>
              </w:rPr>
            </w:pPr>
            <w:r w:rsidRPr="00013BFB">
              <w:rPr>
                <w:rFonts w:eastAsia="Calibri"/>
              </w:rPr>
              <w:t xml:space="preserve">Within the </w:t>
            </w:r>
            <w:r>
              <w:rPr>
                <w:rFonts w:eastAsia="Calibri"/>
              </w:rPr>
              <w:t xml:space="preserve">Central Highlands, </w:t>
            </w:r>
            <w:r w:rsidRPr="00013BFB">
              <w:rPr>
                <w:rFonts w:eastAsia="Calibri"/>
              </w:rPr>
              <w:t xml:space="preserve">East Gippsland </w:t>
            </w:r>
            <w:r>
              <w:rPr>
                <w:rFonts w:eastAsia="Calibri"/>
              </w:rPr>
              <w:t xml:space="preserve">and West </w:t>
            </w:r>
            <w:r w:rsidRPr="00013BFB">
              <w:rPr>
                <w:rFonts w:eastAsia="Calibri"/>
              </w:rPr>
              <w:t>RFA region</w:t>
            </w:r>
            <w:r>
              <w:rPr>
                <w:rFonts w:eastAsia="Calibri"/>
              </w:rPr>
              <w:t>s</w:t>
            </w:r>
            <w:r w:rsidRPr="00013BFB">
              <w:rPr>
                <w:rFonts w:eastAsia="Calibri"/>
              </w:rPr>
              <w:t xml:space="preserve">, the Secretary will establish Special Management Zone(s) of 200 m radius around post-1970 VBA records of this </w:t>
            </w:r>
            <w:r w:rsidR="004616B9">
              <w:rPr>
                <w:rFonts w:eastAsia="Calibri"/>
              </w:rPr>
              <w:t>species</w:t>
            </w:r>
            <w:r w:rsidRPr="00013BFB">
              <w:rPr>
                <w:rFonts w:eastAsia="Calibri"/>
              </w:rPr>
              <w:t xml:space="preserve"> with 100 m or better accuracy and any new records</w:t>
            </w:r>
            <w:r w:rsidR="003F5E15">
              <w:rPr>
                <w:rFonts w:eastAsia="Calibri"/>
              </w:rPr>
              <w:t xml:space="preserve"> (See Map</w:t>
            </w:r>
            <w:r w:rsidR="00302130">
              <w:rPr>
                <w:rFonts w:eastAsia="Calibri"/>
              </w:rPr>
              <w:t>s</w:t>
            </w:r>
            <w:r w:rsidR="003F5E15">
              <w:rPr>
                <w:rFonts w:eastAsia="Calibri"/>
              </w:rPr>
              <w:t xml:space="preserve"> </w:t>
            </w:r>
            <w:r w:rsidR="003F4AA4">
              <w:rPr>
                <w:rFonts w:eastAsia="Calibri"/>
              </w:rPr>
              <w:t>5a</w:t>
            </w:r>
            <w:r w:rsidR="00302130">
              <w:rPr>
                <w:rFonts w:eastAsia="Calibri"/>
              </w:rPr>
              <w:t xml:space="preserve"> and 5b</w:t>
            </w:r>
            <w:r w:rsidR="003F5E15">
              <w:rPr>
                <w:rFonts w:eastAsia="Calibri"/>
              </w:rPr>
              <w:t>)</w:t>
            </w:r>
            <w:r w:rsidR="00302130">
              <w:rPr>
                <w:rFonts w:eastAsia="Calibri"/>
              </w:rPr>
              <w:t>.</w:t>
            </w:r>
          </w:p>
          <w:p w14:paraId="4900606C" w14:textId="27384B0D" w:rsidR="006A4AB7" w:rsidRDefault="00486957" w:rsidP="00486957">
            <w:pPr>
              <w:pStyle w:val="TableTextLeft"/>
              <w:cnfStyle w:val="000000000000" w:firstRow="0" w:lastRow="0" w:firstColumn="0" w:lastColumn="0" w:oddVBand="0" w:evenVBand="0" w:oddHBand="0" w:evenHBand="0" w:firstRowFirstColumn="0" w:firstRowLastColumn="0" w:lastRowFirstColumn="0" w:lastRowLastColumn="0"/>
            </w:pPr>
            <w:r>
              <w:rPr>
                <w:rFonts w:eastAsia="Calibri"/>
              </w:rPr>
              <w:t>Note that permanent protections have been recommended for two Warm Temperate Rainforest communities in East Gippsland (</w:t>
            </w:r>
            <w:r w:rsidRPr="00474773">
              <w:t xml:space="preserve">Warm Temperate Rainforest </w:t>
            </w:r>
            <w:r>
              <w:t xml:space="preserve">- </w:t>
            </w:r>
            <w:r w:rsidRPr="00474773">
              <w:t xml:space="preserve">East Gippsland Alluvial Terraces and Warm Temperate Rainforest </w:t>
            </w:r>
            <w:r>
              <w:t xml:space="preserve">- </w:t>
            </w:r>
            <w:r w:rsidRPr="00474773">
              <w:t>Far East Gippsland</w:t>
            </w:r>
            <w:r>
              <w:t>)</w:t>
            </w:r>
            <w:r>
              <w:rPr>
                <w:rFonts w:eastAsia="Calibri"/>
              </w:rPr>
              <w:t>. This measure may also provide additional protection and may overlap with areas identified above.</w:t>
            </w:r>
          </w:p>
        </w:tc>
      </w:tr>
      <w:tr w:rsidR="00486957" w14:paraId="22F358FE" w14:textId="77777777" w:rsidTr="008F203C">
        <w:trPr>
          <w:cantSplit/>
        </w:trPr>
        <w:tc>
          <w:tcPr>
            <w:cnfStyle w:val="000010000000" w:firstRow="0" w:lastRow="0" w:firstColumn="0" w:lastColumn="0" w:oddVBand="1" w:evenVBand="0" w:oddHBand="0" w:evenHBand="0" w:firstRowFirstColumn="0" w:firstRowLastColumn="0" w:lastRowFirstColumn="0" w:lastRowLastColumn="0"/>
            <w:tcW w:w="1324" w:type="pct"/>
          </w:tcPr>
          <w:p w14:paraId="43C29198" w14:textId="77777777" w:rsidR="00486957" w:rsidRPr="00B77A8B" w:rsidRDefault="00486957" w:rsidP="00486957">
            <w:pPr>
              <w:pStyle w:val="BodyText"/>
              <w:rPr>
                <w:rFonts w:eastAsia="Calibri"/>
              </w:rPr>
            </w:pPr>
            <w:r w:rsidRPr="00B77A8B">
              <w:rPr>
                <w:rFonts w:eastAsia="Calibri"/>
              </w:rPr>
              <w:t>Jungle Bristle-fern</w:t>
            </w:r>
          </w:p>
          <w:p w14:paraId="7AC73EF6" w14:textId="4DAC7BCE" w:rsidR="00486957" w:rsidRDefault="00486957" w:rsidP="006A4AB7">
            <w:pPr>
              <w:pStyle w:val="BodyText"/>
            </w:pPr>
            <w:r w:rsidRPr="00B77A8B">
              <w:rPr>
                <w:rFonts w:eastAsia="Calibri"/>
                <w:i/>
              </w:rPr>
              <w:t>Abrodictyum caudatum</w:t>
            </w:r>
            <w:r w:rsidRPr="00B77A8B" w:rsidDel="00F45795">
              <w:rPr>
                <w:rFonts w:eastAsia="Calibri"/>
              </w:rPr>
              <w:t xml:space="preserve"> </w:t>
            </w:r>
          </w:p>
        </w:tc>
        <w:tc>
          <w:tcPr>
            <w:tcW w:w="3676" w:type="pct"/>
            <w:vMerge w:val="restart"/>
          </w:tcPr>
          <w:p w14:paraId="6C1B2182" w14:textId="7729CB18" w:rsidR="00486957" w:rsidRDefault="00486957" w:rsidP="00486957">
            <w:pPr>
              <w:pStyle w:val="BodyTex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Within the </w:t>
            </w:r>
            <w:r w:rsidRPr="00013BFB">
              <w:rPr>
                <w:rFonts w:eastAsia="Calibri"/>
              </w:rPr>
              <w:t>East Gippsland</w:t>
            </w:r>
            <w:r w:rsidR="00C056FF">
              <w:rPr>
                <w:rFonts w:eastAsia="Calibri"/>
              </w:rPr>
              <w:t xml:space="preserve"> and Gippsland</w:t>
            </w:r>
            <w:r w:rsidRPr="00013BFB">
              <w:rPr>
                <w:rFonts w:eastAsia="Calibri"/>
              </w:rPr>
              <w:t xml:space="preserve"> RFA region</w:t>
            </w:r>
            <w:r w:rsidR="00C056FF">
              <w:rPr>
                <w:rFonts w:eastAsia="Calibri"/>
              </w:rPr>
              <w:t>s</w:t>
            </w:r>
            <w:r>
              <w:rPr>
                <w:rFonts w:eastAsia="Calibri"/>
              </w:rPr>
              <w:t xml:space="preserve">, the Secretary </w:t>
            </w:r>
            <w:r w:rsidRPr="00902D27">
              <w:rPr>
                <w:rFonts w:eastAsia="Calibri"/>
              </w:rPr>
              <w:t>will establish Special Protection Zone(s)</w:t>
            </w:r>
            <w:r>
              <w:rPr>
                <w:rFonts w:eastAsia="Calibri"/>
              </w:rPr>
              <w:t xml:space="preserve"> to protect Warm Temperate Rainforest</w:t>
            </w:r>
            <w:r w:rsidR="00C056FF">
              <w:rPr>
                <w:rFonts w:eastAsia="Calibri"/>
              </w:rPr>
              <w:t xml:space="preserve"> and Cool Temperate Rainforest</w:t>
            </w:r>
            <w:r>
              <w:rPr>
                <w:rFonts w:eastAsia="Calibri"/>
              </w:rPr>
              <w:t xml:space="preserve"> communities</w:t>
            </w:r>
            <w:r w:rsidR="004C6B41">
              <w:rPr>
                <w:rFonts w:eastAsia="Calibri"/>
              </w:rPr>
              <w:t>,</w:t>
            </w:r>
            <w:r>
              <w:rPr>
                <w:rFonts w:eastAsia="Calibri"/>
              </w:rPr>
              <w:t xml:space="preserve"> including relevant buffers based on </w:t>
            </w:r>
            <w:r w:rsidR="004C6B41">
              <w:rPr>
                <w:rFonts w:eastAsia="Calibri"/>
              </w:rPr>
              <w:t xml:space="preserve">the </w:t>
            </w:r>
            <w:r w:rsidRPr="00902D27">
              <w:rPr>
                <w:rFonts w:eastAsia="Calibri"/>
              </w:rPr>
              <w:t>Department’s corporate spatial dataset RAINFOR where the rainforest extent has been impacted by high severity fire in the last 10 years (since 201</w:t>
            </w:r>
            <w:r>
              <w:rPr>
                <w:rFonts w:eastAsia="Calibri"/>
              </w:rPr>
              <w:t>2</w:t>
            </w:r>
            <w:r w:rsidRPr="00902D27">
              <w:rPr>
                <w:rFonts w:eastAsia="Calibri"/>
              </w:rPr>
              <w:t>) (DELWP 2019-20 Fire Severity: Crown Burn and High Crown Scorch).</w:t>
            </w:r>
            <w:r>
              <w:rPr>
                <w:rFonts w:eastAsia="Calibri"/>
              </w:rPr>
              <w:t xml:space="preserve"> This is to provide protection for the habitat of unrecorded populations of this </w:t>
            </w:r>
            <w:r w:rsidR="004616B9">
              <w:rPr>
                <w:rFonts w:eastAsia="Calibri"/>
              </w:rPr>
              <w:t>species</w:t>
            </w:r>
            <w:r>
              <w:rPr>
                <w:rFonts w:eastAsia="Calibri"/>
              </w:rPr>
              <w:t xml:space="preserve"> where it has been recently disturbed</w:t>
            </w:r>
            <w:r w:rsidR="003F5E15">
              <w:rPr>
                <w:rFonts w:eastAsia="Calibri"/>
              </w:rPr>
              <w:t xml:space="preserve"> (See Map </w:t>
            </w:r>
            <w:r w:rsidR="00D5668E">
              <w:rPr>
                <w:rFonts w:eastAsia="Calibri"/>
              </w:rPr>
              <w:t>4</w:t>
            </w:r>
            <w:r w:rsidR="003F5E15">
              <w:rPr>
                <w:rFonts w:eastAsia="Calibri"/>
              </w:rPr>
              <w:t>).</w:t>
            </w:r>
          </w:p>
          <w:p w14:paraId="67E15C1B" w14:textId="52A02CD7" w:rsidR="00486957" w:rsidRDefault="00486957" w:rsidP="00486957">
            <w:pPr>
              <w:pStyle w:val="BodyText"/>
              <w:cnfStyle w:val="000000000000" w:firstRow="0" w:lastRow="0" w:firstColumn="0" w:lastColumn="0" w:oddVBand="0" w:evenVBand="0" w:oddHBand="0" w:evenHBand="0" w:firstRowFirstColumn="0" w:firstRowLastColumn="0" w:lastRowFirstColumn="0" w:lastRowLastColumn="0"/>
              <w:rPr>
                <w:rFonts w:eastAsia="Calibri"/>
              </w:rPr>
            </w:pPr>
            <w:r w:rsidRPr="00013BFB">
              <w:rPr>
                <w:rFonts w:eastAsia="Calibri"/>
              </w:rPr>
              <w:t>Within the</w:t>
            </w:r>
            <w:r>
              <w:rPr>
                <w:rFonts w:eastAsia="Calibri"/>
              </w:rPr>
              <w:t xml:space="preserve"> Central Highlands,</w:t>
            </w:r>
            <w:r w:rsidRPr="00013BFB">
              <w:rPr>
                <w:rFonts w:eastAsia="Calibri"/>
              </w:rPr>
              <w:t xml:space="preserve"> East Gippsland</w:t>
            </w:r>
            <w:r>
              <w:rPr>
                <w:rFonts w:eastAsia="Calibri"/>
              </w:rPr>
              <w:t xml:space="preserve"> and Gippsland</w:t>
            </w:r>
            <w:r w:rsidRPr="00013BFB">
              <w:rPr>
                <w:rFonts w:eastAsia="Calibri"/>
              </w:rPr>
              <w:t xml:space="preserve"> RFA region</w:t>
            </w:r>
            <w:r>
              <w:rPr>
                <w:rFonts w:eastAsia="Calibri"/>
              </w:rPr>
              <w:t>s</w:t>
            </w:r>
            <w:r w:rsidRPr="00013BFB">
              <w:rPr>
                <w:rFonts w:eastAsia="Calibri"/>
              </w:rPr>
              <w:t>, the Secretary will establish Special Management Zone(s) of 200 m radius around post-1970 VBA records of this</w:t>
            </w:r>
            <w:r w:rsidR="005E4832">
              <w:rPr>
                <w:rFonts w:eastAsia="Calibri"/>
              </w:rPr>
              <w:t xml:space="preserve"> </w:t>
            </w:r>
            <w:r w:rsidR="004616B9">
              <w:rPr>
                <w:rFonts w:eastAsia="Calibri"/>
              </w:rPr>
              <w:t>species</w:t>
            </w:r>
            <w:r w:rsidRPr="00013BFB">
              <w:rPr>
                <w:rFonts w:eastAsia="Calibri"/>
              </w:rPr>
              <w:t xml:space="preserve"> with 100 m or better accuracy and any new records</w:t>
            </w:r>
            <w:r w:rsidR="003F5E15">
              <w:rPr>
                <w:rFonts w:eastAsia="Calibri"/>
              </w:rPr>
              <w:t xml:space="preserve"> (See Maps </w:t>
            </w:r>
            <w:r w:rsidR="003F4AA4">
              <w:rPr>
                <w:rFonts w:eastAsia="Calibri"/>
              </w:rPr>
              <w:t>5</w:t>
            </w:r>
            <w:r w:rsidR="003F5E15">
              <w:rPr>
                <w:rFonts w:eastAsia="Calibri"/>
              </w:rPr>
              <w:t xml:space="preserve">a and </w:t>
            </w:r>
            <w:r w:rsidR="003F4AA4">
              <w:rPr>
                <w:rFonts w:eastAsia="Calibri"/>
              </w:rPr>
              <w:t>5</w:t>
            </w:r>
            <w:r w:rsidR="003F5E15">
              <w:rPr>
                <w:rFonts w:eastAsia="Calibri"/>
              </w:rPr>
              <w:t>b</w:t>
            </w:r>
            <w:r w:rsidR="00BA19C1">
              <w:rPr>
                <w:rFonts w:eastAsia="Calibri"/>
              </w:rPr>
              <w:t>)</w:t>
            </w:r>
            <w:r w:rsidRPr="00E56E60">
              <w:rPr>
                <w:rFonts w:eastAsia="Calibri"/>
              </w:rPr>
              <w:t>.</w:t>
            </w:r>
          </w:p>
          <w:p w14:paraId="48C75ACD" w14:textId="4B975698" w:rsidR="00486957" w:rsidRDefault="00486957" w:rsidP="00486957">
            <w:pPr>
              <w:pStyle w:val="TableTextLeft"/>
              <w:cnfStyle w:val="000000000000" w:firstRow="0" w:lastRow="0" w:firstColumn="0" w:lastColumn="0" w:oddVBand="0" w:evenVBand="0" w:oddHBand="0" w:evenHBand="0" w:firstRowFirstColumn="0" w:firstRowLastColumn="0" w:lastRowFirstColumn="0" w:lastRowLastColumn="0"/>
            </w:pPr>
            <w:r>
              <w:rPr>
                <w:rFonts w:eastAsia="Calibri"/>
              </w:rPr>
              <w:t>Note that permanent protections have been recommended for two Warm Temperate Rainforest communities in East Gippsland (</w:t>
            </w:r>
            <w:r w:rsidRPr="00474773">
              <w:t xml:space="preserve">Warm Temperate Rainforest </w:t>
            </w:r>
            <w:r>
              <w:t xml:space="preserve">- </w:t>
            </w:r>
            <w:r w:rsidRPr="00474773">
              <w:t xml:space="preserve">East Gippsland Alluvial Terraces and Warm Temperate Rainforest </w:t>
            </w:r>
            <w:r>
              <w:t xml:space="preserve">- </w:t>
            </w:r>
            <w:r w:rsidRPr="00474773">
              <w:t>Far East Gippsland</w:t>
            </w:r>
            <w:r>
              <w:t>)</w:t>
            </w:r>
            <w:r>
              <w:rPr>
                <w:rFonts w:eastAsia="Calibri"/>
              </w:rPr>
              <w:t>. This measure may also provide additional protection and may overlap with areas identified above.</w:t>
            </w:r>
          </w:p>
        </w:tc>
      </w:tr>
      <w:tr w:rsidR="00486957" w14:paraId="2E828934" w14:textId="77777777" w:rsidTr="008F203C">
        <w:trPr>
          <w:cantSplit/>
        </w:trPr>
        <w:tc>
          <w:tcPr>
            <w:cnfStyle w:val="000010000000" w:firstRow="0" w:lastRow="0" w:firstColumn="0" w:lastColumn="0" w:oddVBand="1" w:evenVBand="0" w:oddHBand="0" w:evenHBand="0" w:firstRowFirstColumn="0" w:firstRowLastColumn="0" w:lastRowFirstColumn="0" w:lastRowLastColumn="0"/>
            <w:tcW w:w="1324" w:type="pct"/>
          </w:tcPr>
          <w:p w14:paraId="75B3309C" w14:textId="77777777" w:rsidR="00486957" w:rsidRPr="00B77A8B" w:rsidRDefault="00486957" w:rsidP="00486957">
            <w:pPr>
              <w:pStyle w:val="BodyText"/>
              <w:rPr>
                <w:rFonts w:eastAsia="Calibri"/>
              </w:rPr>
            </w:pPr>
            <w:r w:rsidRPr="00B77A8B">
              <w:rPr>
                <w:rFonts w:eastAsia="Calibri"/>
              </w:rPr>
              <w:t>Oval Fork-fern</w:t>
            </w:r>
          </w:p>
          <w:p w14:paraId="6CA9DF0A" w14:textId="3C9B4D7C" w:rsidR="00486957" w:rsidRDefault="00486957" w:rsidP="00486957">
            <w:pPr>
              <w:pStyle w:val="BodyText"/>
            </w:pPr>
            <w:r w:rsidRPr="00B77A8B">
              <w:rPr>
                <w:rFonts w:eastAsia="Calibri"/>
                <w:i/>
              </w:rPr>
              <w:t>Tmesipteris ovata</w:t>
            </w:r>
          </w:p>
        </w:tc>
        <w:tc>
          <w:tcPr>
            <w:tcW w:w="3676" w:type="pct"/>
            <w:vMerge/>
          </w:tcPr>
          <w:p w14:paraId="4BDE6982" w14:textId="77777777" w:rsidR="00486957" w:rsidRDefault="00486957" w:rsidP="00486957">
            <w:pPr>
              <w:pStyle w:val="TableTextLeft"/>
              <w:cnfStyle w:val="000000000000" w:firstRow="0" w:lastRow="0" w:firstColumn="0" w:lastColumn="0" w:oddVBand="0" w:evenVBand="0" w:oddHBand="0" w:evenHBand="0" w:firstRowFirstColumn="0" w:firstRowLastColumn="0" w:lastRowFirstColumn="0" w:lastRowLastColumn="0"/>
            </w:pPr>
          </w:p>
        </w:tc>
      </w:tr>
      <w:tr w:rsidR="00486957" w14:paraId="30512EE4" w14:textId="77777777" w:rsidTr="008F203C">
        <w:trPr>
          <w:cantSplit/>
        </w:trPr>
        <w:tc>
          <w:tcPr>
            <w:cnfStyle w:val="000010000000" w:firstRow="0" w:lastRow="0" w:firstColumn="0" w:lastColumn="0" w:oddVBand="1" w:evenVBand="0" w:oddHBand="0" w:evenHBand="0" w:firstRowFirstColumn="0" w:firstRowLastColumn="0" w:lastRowFirstColumn="0" w:lastRowLastColumn="0"/>
            <w:tcW w:w="1324" w:type="pct"/>
          </w:tcPr>
          <w:p w14:paraId="5E02FE5F" w14:textId="77777777" w:rsidR="00486957" w:rsidRPr="00B77A8B" w:rsidRDefault="00486957" w:rsidP="00486957">
            <w:pPr>
              <w:pStyle w:val="BodyText"/>
              <w:rPr>
                <w:rFonts w:eastAsia="Calibri"/>
              </w:rPr>
            </w:pPr>
            <w:r w:rsidRPr="00B77A8B">
              <w:rPr>
                <w:rFonts w:eastAsia="Calibri"/>
              </w:rPr>
              <w:t>Small Fork-fern</w:t>
            </w:r>
          </w:p>
          <w:p w14:paraId="60D655B9" w14:textId="25401E08" w:rsidR="00486957" w:rsidRDefault="00486957" w:rsidP="00486957">
            <w:pPr>
              <w:pStyle w:val="BodyText"/>
            </w:pPr>
            <w:r w:rsidRPr="00B77A8B">
              <w:rPr>
                <w:rFonts w:eastAsia="Calibri"/>
                <w:i/>
              </w:rPr>
              <w:t>Tmesipteris parva</w:t>
            </w:r>
          </w:p>
        </w:tc>
        <w:tc>
          <w:tcPr>
            <w:tcW w:w="3676" w:type="pct"/>
            <w:vMerge/>
          </w:tcPr>
          <w:p w14:paraId="19A37F23" w14:textId="77777777" w:rsidR="00486957" w:rsidRDefault="00486957" w:rsidP="00486957">
            <w:pPr>
              <w:pStyle w:val="TableTextLeft"/>
              <w:cnfStyle w:val="000000000000" w:firstRow="0" w:lastRow="0" w:firstColumn="0" w:lastColumn="0" w:oddVBand="0" w:evenVBand="0" w:oddHBand="0" w:evenHBand="0" w:firstRowFirstColumn="0" w:firstRowLastColumn="0" w:lastRowFirstColumn="0" w:lastRowLastColumn="0"/>
            </w:pPr>
          </w:p>
        </w:tc>
      </w:tr>
    </w:tbl>
    <w:p w14:paraId="0BEAB0B9" w14:textId="3F91A2E2" w:rsidR="00D65968" w:rsidRDefault="00D65968">
      <w:pPr>
        <w:rPr>
          <w:rFonts w:ascii="Arial" w:hAnsi="Arial"/>
          <w:b/>
          <w:bCs/>
          <w:color w:val="00B2A9" w:themeColor="accent1"/>
          <w:kern w:val="20"/>
          <w:sz w:val="24"/>
          <w:szCs w:val="28"/>
        </w:rPr>
      </w:pPr>
    </w:p>
    <w:p w14:paraId="1272F965" w14:textId="0A25BF6A" w:rsidR="00BF0255" w:rsidRDefault="00A82751" w:rsidP="00675EEE">
      <w:pPr>
        <w:pStyle w:val="Heading2"/>
        <w:ind w:left="0"/>
      </w:pPr>
      <w:bookmarkStart w:id="19" w:name="_Toc113271015"/>
      <w:r>
        <w:t>Limited or Restricted Range Flora</w:t>
      </w:r>
      <w:bookmarkEnd w:id="19"/>
    </w:p>
    <w:p w14:paraId="1C5B7CF3" w14:textId="108D90E1" w:rsidR="00B222F9" w:rsidRPr="00FD57DB" w:rsidRDefault="00A82751" w:rsidP="006670D2">
      <w:pPr>
        <w:pStyle w:val="Caption"/>
      </w:pPr>
      <w:bookmarkStart w:id="20" w:name="ReturnHere"/>
      <w:bookmarkEnd w:id="20"/>
      <w:r w:rsidRPr="00FD57DB">
        <w:t xml:space="preserve">Table </w:t>
      </w:r>
      <w:r w:rsidR="000B6788" w:rsidRPr="00B846FE">
        <w:fldChar w:fldCharType="begin"/>
      </w:r>
      <w:r w:rsidR="000B6788" w:rsidRPr="00FD57DB">
        <w:instrText xml:space="preserve"> SEQ Table \* ARABIC  </w:instrText>
      </w:r>
      <w:r w:rsidR="000B6788" w:rsidRPr="00B846FE">
        <w:fldChar w:fldCharType="separate"/>
      </w:r>
      <w:r w:rsidR="00692F0D">
        <w:rPr>
          <w:noProof/>
        </w:rPr>
        <w:t>3</w:t>
      </w:r>
      <w:r w:rsidR="000B6788" w:rsidRPr="00B846FE">
        <w:fldChar w:fldCharType="end"/>
      </w:r>
      <w:r w:rsidR="00271000" w:rsidRPr="00FD57DB">
        <w:t>.</w:t>
      </w:r>
      <w:r w:rsidRPr="00FD57DB">
        <w:t xml:space="preserve"> Interim </w:t>
      </w:r>
      <w:r w:rsidR="00C35DA1">
        <w:t>p</w:t>
      </w:r>
      <w:r w:rsidRPr="00FD57DB">
        <w:t xml:space="preserve">rotections for </w:t>
      </w:r>
      <w:r w:rsidR="00C35DA1">
        <w:t>l</w:t>
      </w:r>
      <w:r w:rsidRPr="00FD57DB">
        <w:t xml:space="preserve">imited or </w:t>
      </w:r>
      <w:r w:rsidR="00C35DA1">
        <w:t>r</w:t>
      </w:r>
      <w:r w:rsidRPr="00FD57DB">
        <w:t xml:space="preserve">estricted </w:t>
      </w:r>
      <w:r w:rsidR="00C35DA1">
        <w:t>r</w:t>
      </w:r>
      <w:r w:rsidRPr="00FD57DB">
        <w:t xml:space="preserve">ange </w:t>
      </w:r>
      <w:r w:rsidR="00C35DA1">
        <w:t>f</w:t>
      </w:r>
      <w:r w:rsidRPr="00FD57DB">
        <w:t>lora</w:t>
      </w:r>
    </w:p>
    <w:tbl>
      <w:tblPr>
        <w:tblStyle w:val="TableGrid"/>
        <w:tblW w:w="5000" w:type="pct"/>
        <w:tblLook w:val="0220" w:firstRow="1" w:lastRow="0" w:firstColumn="0" w:lastColumn="0" w:noHBand="1" w:noVBand="0"/>
      </w:tblPr>
      <w:tblGrid>
        <w:gridCol w:w="2552"/>
        <w:gridCol w:w="7087"/>
      </w:tblGrid>
      <w:tr w:rsidR="0089527C" w14:paraId="4DC1B9CA" w14:textId="77777777" w:rsidTr="0089527C">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1324" w:type="pct"/>
          </w:tcPr>
          <w:p w14:paraId="2236BF8E" w14:textId="4FF796AC" w:rsidR="0089527C" w:rsidRDefault="0089527C" w:rsidP="0089527C">
            <w:pPr>
              <w:pStyle w:val="TableHeadingLeft"/>
            </w:pPr>
            <w:r>
              <w:t>Species Name</w:t>
            </w:r>
          </w:p>
        </w:tc>
        <w:tc>
          <w:tcPr>
            <w:tcW w:w="3676" w:type="pct"/>
          </w:tcPr>
          <w:p w14:paraId="295F72BE" w14:textId="685C35D9" w:rsidR="0089527C" w:rsidRDefault="0089527C" w:rsidP="0089527C">
            <w:pPr>
              <w:pStyle w:val="TableHeadingLeft"/>
              <w:cnfStyle w:val="100000000000" w:firstRow="1" w:lastRow="0" w:firstColumn="0" w:lastColumn="0" w:oddVBand="0" w:evenVBand="0" w:oddHBand="0" w:evenHBand="0" w:firstRowFirstColumn="0" w:firstRowLastColumn="0" w:lastRowFirstColumn="0" w:lastRowLastColumn="0"/>
            </w:pPr>
            <w:r>
              <w:t>Interim Protection</w:t>
            </w:r>
          </w:p>
        </w:tc>
      </w:tr>
      <w:tr w:rsidR="00AC696D" w14:paraId="688C338F" w14:textId="77777777" w:rsidTr="0089527C">
        <w:trPr>
          <w:cantSplit/>
        </w:trPr>
        <w:tc>
          <w:tcPr>
            <w:cnfStyle w:val="000010000000" w:firstRow="0" w:lastRow="0" w:firstColumn="0" w:lastColumn="0" w:oddVBand="1" w:evenVBand="0" w:oddHBand="0" w:evenHBand="0" w:firstRowFirstColumn="0" w:firstRowLastColumn="0" w:lastRowFirstColumn="0" w:lastRowLastColumn="0"/>
            <w:tcW w:w="1324" w:type="pct"/>
          </w:tcPr>
          <w:p w14:paraId="15B1387C" w14:textId="77777777" w:rsidR="00AC696D" w:rsidRPr="00B77A8B" w:rsidRDefault="00AC696D" w:rsidP="00AC696D">
            <w:pPr>
              <w:rPr>
                <w:rFonts w:ascii="Arial" w:eastAsia="Calibri" w:hAnsi="Arial" w:cs="Arial"/>
                <w:szCs w:val="18"/>
              </w:rPr>
            </w:pPr>
            <w:r w:rsidRPr="00B77A8B">
              <w:rPr>
                <w:rFonts w:ascii="Arial" w:eastAsia="Calibri" w:hAnsi="Arial" w:cs="Arial"/>
                <w:szCs w:val="18"/>
              </w:rPr>
              <w:t>Errinundra Pepper</w:t>
            </w:r>
          </w:p>
          <w:p w14:paraId="1BAD30E7" w14:textId="4AD0B9FF" w:rsidR="00AC696D" w:rsidRPr="00B77A8B" w:rsidRDefault="00AC696D" w:rsidP="00AC696D">
            <w:pPr>
              <w:rPr>
                <w:rFonts w:ascii="Arial" w:eastAsia="Calibri" w:hAnsi="Arial"/>
                <w:szCs w:val="18"/>
              </w:rPr>
            </w:pPr>
            <w:r w:rsidRPr="00B77A8B">
              <w:rPr>
                <w:rFonts w:ascii="Arial" w:eastAsia="Calibri" w:hAnsi="Arial" w:cs="Arial"/>
                <w:i/>
                <w:szCs w:val="18"/>
              </w:rPr>
              <w:t>Tasmannia xerophila subsp. robusta</w:t>
            </w:r>
          </w:p>
        </w:tc>
        <w:tc>
          <w:tcPr>
            <w:tcW w:w="3676" w:type="pct"/>
          </w:tcPr>
          <w:p w14:paraId="447C5A61" w14:textId="4C7454D6" w:rsidR="00AC696D" w:rsidRPr="00486957" w:rsidRDefault="00AC696D" w:rsidP="00AC696D">
            <w:pPr>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2A10F6">
              <w:rPr>
                <w:rFonts w:ascii="Arial" w:eastAsia="Calibri" w:hAnsi="Arial" w:cs="Arial"/>
                <w:szCs w:val="18"/>
              </w:rPr>
              <w:t>Within the East Gippsland RFA</w:t>
            </w:r>
            <w:r w:rsidR="00CE412B">
              <w:rPr>
                <w:rFonts w:ascii="Arial" w:eastAsia="Calibri" w:hAnsi="Arial" w:cs="Arial"/>
                <w:szCs w:val="18"/>
              </w:rPr>
              <w:t xml:space="preserve"> region</w:t>
            </w:r>
            <w:r w:rsidRPr="002A10F6">
              <w:rPr>
                <w:rFonts w:ascii="Arial" w:eastAsia="Calibri" w:hAnsi="Arial" w:cs="Arial"/>
                <w:szCs w:val="18"/>
              </w:rPr>
              <w:t xml:space="preserve">, the </w:t>
            </w:r>
            <w:r w:rsidRPr="00013BFB">
              <w:rPr>
                <w:rFonts w:ascii="Arial" w:eastAsia="Calibri" w:hAnsi="Arial"/>
                <w:szCs w:val="18"/>
              </w:rPr>
              <w:t xml:space="preserve">Secretary </w:t>
            </w:r>
            <w:r w:rsidRPr="002A10F6">
              <w:rPr>
                <w:rFonts w:ascii="Arial" w:eastAsia="Calibri" w:hAnsi="Arial" w:cs="Arial"/>
                <w:szCs w:val="18"/>
              </w:rPr>
              <w:t xml:space="preserve">will establish </w:t>
            </w:r>
            <w:r w:rsidRPr="00013BFB">
              <w:rPr>
                <w:rFonts w:ascii="Arial" w:eastAsia="Calibri" w:hAnsi="Arial"/>
                <w:szCs w:val="18"/>
              </w:rPr>
              <w:t>Special Management Zone(s)</w:t>
            </w:r>
            <w:r w:rsidRPr="002A10F6">
              <w:rPr>
                <w:rFonts w:ascii="Arial" w:eastAsia="Calibri" w:hAnsi="Arial" w:cs="Arial"/>
                <w:szCs w:val="18"/>
              </w:rPr>
              <w:t xml:space="preserve"> over individual or collections of post-1970 VBA records (records with an accuracy of 100m or less) with the following conditions:</w:t>
            </w:r>
          </w:p>
          <w:p w14:paraId="5E39C01E" w14:textId="6FBE1921" w:rsidR="00AC696D" w:rsidRPr="002A10F6" w:rsidRDefault="00AC696D" w:rsidP="006670D2">
            <w:pPr>
              <w:pStyle w:val="PullOutBoxBullet"/>
              <w:cnfStyle w:val="000000000000" w:firstRow="0" w:lastRow="0" w:firstColumn="0" w:lastColumn="0" w:oddVBand="0" w:evenVBand="0" w:oddHBand="0" w:evenHBand="0" w:firstRowFirstColumn="0" w:firstRowLastColumn="0" w:lastRowFirstColumn="0" w:lastRowLastColumn="0"/>
            </w:pPr>
            <w:r w:rsidRPr="00486957">
              <w:t xml:space="preserve">The </w:t>
            </w:r>
            <w:r w:rsidRPr="00013BFB">
              <w:t>managing authority</w:t>
            </w:r>
            <w:r w:rsidRPr="002A10F6">
              <w:t xml:space="preserve"> is required to </w:t>
            </w:r>
            <w:r w:rsidR="00EA62A4">
              <w:t xml:space="preserve">apply </w:t>
            </w:r>
            <w:r w:rsidRPr="002A10F6">
              <w:t>a management area of 200 m radius over individual or collections of post-1970 VBA records (records with an accuracy of 100m or less). Co</w:t>
            </w:r>
            <w:r w:rsidRPr="00486957">
              <w:t>nduct a site inspection and detailed planning in consultation with the Department to ensure the species is adequately protected during timber harvesting operations</w:t>
            </w:r>
            <w:r w:rsidR="00B24D15">
              <w:t xml:space="preserve"> (See Map </w:t>
            </w:r>
            <w:r w:rsidR="00D5668E">
              <w:t>5a</w:t>
            </w:r>
            <w:r w:rsidR="00B24D15">
              <w:t>).</w:t>
            </w:r>
          </w:p>
        </w:tc>
      </w:tr>
      <w:tr w:rsidR="0092329E" w14:paraId="3570BB9B" w14:textId="77777777" w:rsidTr="0089527C">
        <w:trPr>
          <w:cantSplit/>
        </w:trPr>
        <w:tc>
          <w:tcPr>
            <w:cnfStyle w:val="000010000000" w:firstRow="0" w:lastRow="0" w:firstColumn="0" w:lastColumn="0" w:oddVBand="1" w:evenVBand="0" w:oddHBand="0" w:evenHBand="0" w:firstRowFirstColumn="0" w:firstRowLastColumn="0" w:lastRowFirstColumn="0" w:lastRowLastColumn="0"/>
            <w:tcW w:w="1324" w:type="pct"/>
          </w:tcPr>
          <w:p w14:paraId="02F1DD20" w14:textId="77777777" w:rsidR="0092329E" w:rsidRPr="00B77A8B" w:rsidRDefault="0092329E" w:rsidP="0092329E">
            <w:pPr>
              <w:rPr>
                <w:rFonts w:ascii="Arial" w:eastAsia="Calibri" w:hAnsi="Arial" w:cs="Arial"/>
                <w:szCs w:val="18"/>
              </w:rPr>
            </w:pPr>
            <w:r w:rsidRPr="00B77A8B">
              <w:rPr>
                <w:rFonts w:ascii="Arial" w:eastAsia="Calibri" w:hAnsi="Arial" w:cs="Arial"/>
                <w:szCs w:val="18"/>
              </w:rPr>
              <w:t>Finger Hakea</w:t>
            </w:r>
          </w:p>
          <w:p w14:paraId="1C016143" w14:textId="13BCC7BB" w:rsidR="0092329E" w:rsidRDefault="0092329E" w:rsidP="0092329E">
            <w:pPr>
              <w:pStyle w:val="TableTextLeft"/>
            </w:pPr>
            <w:r w:rsidRPr="00B77A8B">
              <w:rPr>
                <w:rFonts w:ascii="Arial" w:eastAsia="Calibri" w:hAnsi="Arial" w:cs="Arial"/>
                <w:i/>
                <w:szCs w:val="18"/>
              </w:rPr>
              <w:t>Hakea dactyloides</w:t>
            </w:r>
          </w:p>
        </w:tc>
        <w:tc>
          <w:tcPr>
            <w:tcW w:w="3676" w:type="pct"/>
          </w:tcPr>
          <w:p w14:paraId="19DB0E78" w14:textId="547F3828" w:rsidR="00C22AC9" w:rsidRPr="00486957" w:rsidRDefault="00C22AC9" w:rsidP="00C22AC9">
            <w:pPr>
              <w:pStyle w:val="BodyText"/>
              <w:cnfStyle w:val="000000000000" w:firstRow="0" w:lastRow="0" w:firstColumn="0" w:lastColumn="0" w:oddVBand="0" w:evenVBand="0" w:oddHBand="0" w:evenHBand="0" w:firstRowFirstColumn="0" w:firstRowLastColumn="0" w:lastRowFirstColumn="0" w:lastRowLastColumn="0"/>
              <w:rPr>
                <w:rFonts w:eastAsia="Calibri"/>
              </w:rPr>
            </w:pPr>
            <w:r w:rsidRPr="002A10F6">
              <w:rPr>
                <w:rFonts w:eastAsia="Calibri"/>
              </w:rPr>
              <w:t>Within the East Gippsland RFA</w:t>
            </w:r>
            <w:r w:rsidR="00CE412B">
              <w:rPr>
                <w:rFonts w:eastAsia="Calibri"/>
              </w:rPr>
              <w:t xml:space="preserve"> region</w:t>
            </w:r>
            <w:r w:rsidRPr="002A10F6">
              <w:rPr>
                <w:rFonts w:eastAsia="Calibri"/>
              </w:rPr>
              <w:t xml:space="preserve">, the </w:t>
            </w:r>
            <w:r w:rsidRPr="00FD57DB">
              <w:rPr>
                <w:rFonts w:eastAsia="Calibri"/>
              </w:rPr>
              <w:t>Secretary</w:t>
            </w:r>
            <w:r w:rsidRPr="002A10F6">
              <w:rPr>
                <w:rFonts w:eastAsia="Calibri"/>
              </w:rPr>
              <w:t xml:space="preserve"> will establish </w:t>
            </w:r>
            <w:r w:rsidRPr="00FD57DB">
              <w:rPr>
                <w:rFonts w:eastAsia="Calibri"/>
              </w:rPr>
              <w:t>Special Management Zone(s)</w:t>
            </w:r>
            <w:r w:rsidRPr="002A10F6">
              <w:rPr>
                <w:rFonts w:eastAsia="Calibri"/>
              </w:rPr>
              <w:t xml:space="preserve"> over one Australian National Herbarium record (2002) with the following conditions:</w:t>
            </w:r>
          </w:p>
          <w:p w14:paraId="03C6CD17" w14:textId="036E6202" w:rsidR="00C22AC9" w:rsidRPr="00486957" w:rsidRDefault="00C22AC9" w:rsidP="006670D2">
            <w:pPr>
              <w:pStyle w:val="PullOutBoxBullet"/>
              <w:cnfStyle w:val="000000000000" w:firstRow="0" w:lastRow="0" w:firstColumn="0" w:lastColumn="0" w:oddVBand="0" w:evenVBand="0" w:oddHBand="0" w:evenHBand="0" w:firstRowFirstColumn="0" w:firstRowLastColumn="0" w:lastRowFirstColumn="0" w:lastRowLastColumn="0"/>
            </w:pPr>
            <w:r w:rsidRPr="00486957">
              <w:t xml:space="preserve">The </w:t>
            </w:r>
            <w:r w:rsidRPr="00FD57DB">
              <w:t>managing authority</w:t>
            </w:r>
            <w:r w:rsidRPr="002A10F6">
              <w:t xml:space="preserve"> is required to apply a management area of 200 m radius over one Australian National Herbarium record (2002). Conduct a site inspection and detailed </w:t>
            </w:r>
            <w:r w:rsidRPr="00486957">
              <w:t>planning in consultation with the Department to ensure the species is adequately protected during timber harvesting operations</w:t>
            </w:r>
            <w:r w:rsidR="00D5668E">
              <w:t xml:space="preserve"> (See Map 5a)</w:t>
            </w:r>
            <w:r w:rsidRPr="00486957">
              <w:t>.</w:t>
            </w:r>
          </w:p>
          <w:p w14:paraId="7BFD09DF" w14:textId="319F2A9A" w:rsidR="0092329E" w:rsidRPr="00486957" w:rsidRDefault="00C22AC9" w:rsidP="006670D2">
            <w:pPr>
              <w:pStyle w:val="PullOutBoxBullet"/>
              <w:cnfStyle w:val="000000000000" w:firstRow="0" w:lastRow="0" w:firstColumn="0" w:lastColumn="0" w:oddVBand="0" w:evenVBand="0" w:oddHBand="0" w:evenHBand="0" w:firstRowFirstColumn="0" w:firstRowLastColumn="0" w:lastRowFirstColumn="0" w:lastRowLastColumn="0"/>
            </w:pPr>
            <w:r w:rsidRPr="00486957">
              <w:t xml:space="preserve">DELWP will conduct </w:t>
            </w:r>
            <w:r w:rsidR="003E5E1E">
              <w:t>a</w:t>
            </w:r>
            <w:r w:rsidRPr="00486957">
              <w:t xml:space="preserve"> survey to confirm extent of the Stony Peak Road occurrence and any other undocumented occurrences in the general vicinity and ensure the National Herbarium record is included in the </w:t>
            </w:r>
            <w:r w:rsidR="00241B98" w:rsidRPr="00486957">
              <w:t>Victoria</w:t>
            </w:r>
            <w:r w:rsidR="00024E80" w:rsidRPr="00486957">
              <w:t>n</w:t>
            </w:r>
            <w:r w:rsidR="00241B98" w:rsidRPr="00486957">
              <w:t xml:space="preserve"> Biodiversity Atlas (</w:t>
            </w:r>
            <w:r w:rsidRPr="00486957">
              <w:t>VBA</w:t>
            </w:r>
            <w:r w:rsidR="00D5668E">
              <w:t>).</w:t>
            </w:r>
          </w:p>
        </w:tc>
      </w:tr>
      <w:tr w:rsidR="0092329E" w14:paraId="1FF6AD63" w14:textId="77777777" w:rsidTr="0089527C">
        <w:trPr>
          <w:cantSplit/>
        </w:trPr>
        <w:tc>
          <w:tcPr>
            <w:cnfStyle w:val="000010000000" w:firstRow="0" w:lastRow="0" w:firstColumn="0" w:lastColumn="0" w:oddVBand="1" w:evenVBand="0" w:oddHBand="0" w:evenHBand="0" w:firstRowFirstColumn="0" w:firstRowLastColumn="0" w:lastRowFirstColumn="0" w:lastRowLastColumn="0"/>
            <w:tcW w:w="1324" w:type="pct"/>
          </w:tcPr>
          <w:p w14:paraId="4C46FFC4" w14:textId="77777777" w:rsidR="0092329E" w:rsidRPr="00B77A8B" w:rsidRDefault="0092329E" w:rsidP="0092329E">
            <w:pPr>
              <w:rPr>
                <w:rFonts w:ascii="Arial" w:eastAsia="Calibri" w:hAnsi="Arial" w:cs="Arial"/>
                <w:szCs w:val="18"/>
              </w:rPr>
            </w:pPr>
            <w:r w:rsidRPr="00B77A8B">
              <w:rPr>
                <w:rFonts w:ascii="Arial" w:eastAsia="Calibri" w:hAnsi="Arial" w:cs="Arial"/>
                <w:szCs w:val="18"/>
              </w:rPr>
              <w:t>Forest Geebung</w:t>
            </w:r>
          </w:p>
          <w:p w14:paraId="40D9EC12" w14:textId="5ACEE0D6" w:rsidR="0092329E" w:rsidRDefault="0092329E" w:rsidP="0092329E">
            <w:pPr>
              <w:pStyle w:val="TableTextLeft"/>
            </w:pPr>
            <w:r w:rsidRPr="00B77A8B">
              <w:rPr>
                <w:rFonts w:ascii="Arial" w:eastAsia="Calibri" w:hAnsi="Arial" w:cs="Arial"/>
                <w:i/>
                <w:szCs w:val="18"/>
              </w:rPr>
              <w:t>Persoonia silvatica</w:t>
            </w:r>
          </w:p>
        </w:tc>
        <w:tc>
          <w:tcPr>
            <w:tcW w:w="3676" w:type="pct"/>
          </w:tcPr>
          <w:p w14:paraId="711DFE7A" w14:textId="41F50452" w:rsidR="001E7A5C" w:rsidRPr="00486957" w:rsidRDefault="001E7A5C" w:rsidP="001E7A5C">
            <w:pPr>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2A10F6">
              <w:rPr>
                <w:rFonts w:ascii="Arial" w:eastAsia="Calibri" w:hAnsi="Arial" w:cs="Arial"/>
                <w:szCs w:val="18"/>
              </w:rPr>
              <w:t>Within the East Gippsland and Gippsland RFA</w:t>
            </w:r>
            <w:r w:rsidR="00CE412B">
              <w:rPr>
                <w:rFonts w:ascii="Arial" w:eastAsia="Calibri" w:hAnsi="Arial" w:cs="Arial"/>
                <w:szCs w:val="18"/>
              </w:rPr>
              <w:t xml:space="preserve"> region</w:t>
            </w:r>
            <w:r w:rsidRPr="002A10F6">
              <w:rPr>
                <w:rFonts w:ascii="Arial" w:eastAsia="Calibri" w:hAnsi="Arial" w:cs="Arial"/>
                <w:szCs w:val="18"/>
              </w:rPr>
              <w:t xml:space="preserve">, the </w:t>
            </w:r>
            <w:r w:rsidRPr="00FD57DB">
              <w:rPr>
                <w:rFonts w:ascii="Arial" w:eastAsia="Calibri" w:hAnsi="Arial"/>
                <w:szCs w:val="18"/>
              </w:rPr>
              <w:t xml:space="preserve">Secretary </w:t>
            </w:r>
            <w:r w:rsidRPr="002A10F6">
              <w:rPr>
                <w:rFonts w:ascii="Arial" w:eastAsia="Calibri" w:hAnsi="Arial" w:cs="Arial"/>
                <w:szCs w:val="18"/>
              </w:rPr>
              <w:t xml:space="preserve">will establish </w:t>
            </w:r>
            <w:r w:rsidRPr="00FD57DB">
              <w:rPr>
                <w:rFonts w:ascii="Arial" w:eastAsia="Calibri" w:hAnsi="Arial"/>
                <w:szCs w:val="18"/>
              </w:rPr>
              <w:t>Special Management Zone(s)</w:t>
            </w:r>
            <w:r w:rsidRPr="002A10F6">
              <w:rPr>
                <w:rFonts w:ascii="Arial" w:eastAsia="Calibri" w:hAnsi="Arial" w:cs="Arial"/>
                <w:szCs w:val="18"/>
              </w:rPr>
              <w:t xml:space="preserve"> over individual or collections of post-1970 VBA records (records with an accuracy of 100m or less) with the following conditions:</w:t>
            </w:r>
          </w:p>
          <w:p w14:paraId="03424250" w14:textId="3C0CE062" w:rsidR="0092329E" w:rsidRPr="00486957" w:rsidRDefault="001E7A5C" w:rsidP="006670D2">
            <w:pPr>
              <w:pStyle w:val="PullOutBoxBullet"/>
              <w:cnfStyle w:val="000000000000" w:firstRow="0" w:lastRow="0" w:firstColumn="0" w:lastColumn="0" w:oddVBand="0" w:evenVBand="0" w:oddHBand="0" w:evenHBand="0" w:firstRowFirstColumn="0" w:firstRowLastColumn="0" w:lastRowFirstColumn="0" w:lastRowLastColumn="0"/>
            </w:pPr>
            <w:r w:rsidRPr="00486957">
              <w:t xml:space="preserve">The </w:t>
            </w:r>
            <w:r w:rsidRPr="00FD57DB">
              <w:t>managing authority</w:t>
            </w:r>
            <w:r w:rsidRPr="002A10F6">
              <w:t xml:space="preserve"> is required to apply a management area of 200 m radius over individual or collections of post-1970 VBA</w:t>
            </w:r>
            <w:r w:rsidRPr="00486957">
              <w:t xml:space="preserve"> records (records with an accuracy of 100m or less). Conduct a site inspection and detailed planning in consultation with the Department to ensure the species is adequately protected during timber harvesting operations</w:t>
            </w:r>
            <w:r w:rsidR="00B24D15">
              <w:t xml:space="preserve"> (See Map </w:t>
            </w:r>
            <w:r w:rsidR="00442C84">
              <w:t>5a</w:t>
            </w:r>
            <w:r w:rsidR="00B24D15">
              <w:t>)</w:t>
            </w:r>
            <w:r w:rsidRPr="00486957">
              <w:t>.</w:t>
            </w:r>
          </w:p>
        </w:tc>
      </w:tr>
      <w:tr w:rsidR="00AC696D" w14:paraId="74B22B23" w14:textId="77777777" w:rsidTr="0089527C">
        <w:trPr>
          <w:cantSplit/>
        </w:trPr>
        <w:tc>
          <w:tcPr>
            <w:cnfStyle w:val="000010000000" w:firstRow="0" w:lastRow="0" w:firstColumn="0" w:lastColumn="0" w:oddVBand="1" w:evenVBand="0" w:oddHBand="0" w:evenHBand="0" w:firstRowFirstColumn="0" w:firstRowLastColumn="0" w:lastRowFirstColumn="0" w:lastRowLastColumn="0"/>
            <w:tcW w:w="1324" w:type="pct"/>
          </w:tcPr>
          <w:p w14:paraId="2C8E1D62" w14:textId="77777777" w:rsidR="00AC696D" w:rsidRPr="00B77A8B" w:rsidRDefault="00AC696D" w:rsidP="00AC696D">
            <w:pPr>
              <w:rPr>
                <w:rFonts w:ascii="Arial" w:eastAsia="Calibri" w:hAnsi="Arial" w:cs="Arial"/>
                <w:szCs w:val="18"/>
              </w:rPr>
            </w:pPr>
            <w:r w:rsidRPr="00B77A8B">
              <w:rPr>
                <w:rFonts w:ascii="Arial" w:eastAsia="Calibri" w:hAnsi="Arial" w:cs="Arial"/>
                <w:szCs w:val="18"/>
              </w:rPr>
              <w:t>Forest Phebalium</w:t>
            </w:r>
          </w:p>
          <w:p w14:paraId="2A2A7580" w14:textId="6309F42B" w:rsidR="00AC696D" w:rsidRPr="00B77A8B" w:rsidRDefault="00AC696D" w:rsidP="00AC696D">
            <w:pPr>
              <w:rPr>
                <w:rFonts w:ascii="Arial" w:eastAsia="Calibri" w:hAnsi="Arial"/>
                <w:szCs w:val="18"/>
              </w:rPr>
            </w:pPr>
            <w:r w:rsidRPr="00B77A8B">
              <w:rPr>
                <w:rFonts w:ascii="Arial" w:eastAsia="Calibri" w:hAnsi="Arial" w:cs="Arial"/>
                <w:i/>
                <w:szCs w:val="18"/>
              </w:rPr>
              <w:t xml:space="preserve">Phebalium squamulosum </w:t>
            </w:r>
            <w:r w:rsidRPr="00B77A8B">
              <w:rPr>
                <w:rFonts w:ascii="Arial" w:eastAsia="Calibri" w:hAnsi="Arial" w:cs="Arial"/>
                <w:szCs w:val="18"/>
              </w:rPr>
              <w:t>subsp</w:t>
            </w:r>
            <w:r w:rsidRPr="00B77A8B">
              <w:rPr>
                <w:rFonts w:ascii="Arial" w:eastAsia="Calibri" w:hAnsi="Arial" w:cs="Arial"/>
                <w:i/>
                <w:szCs w:val="18"/>
              </w:rPr>
              <w:t xml:space="preserve">. </w:t>
            </w:r>
            <w:r>
              <w:rPr>
                <w:rFonts w:ascii="Arial" w:eastAsia="Calibri" w:hAnsi="Arial" w:cs="Arial"/>
                <w:i/>
                <w:szCs w:val="18"/>
              </w:rPr>
              <w:t>s</w:t>
            </w:r>
            <w:r w:rsidRPr="00B77A8B">
              <w:rPr>
                <w:rFonts w:ascii="Arial" w:eastAsia="Calibri" w:hAnsi="Arial" w:cs="Arial"/>
                <w:i/>
                <w:szCs w:val="18"/>
              </w:rPr>
              <w:t>quamulosum</w:t>
            </w:r>
          </w:p>
        </w:tc>
        <w:tc>
          <w:tcPr>
            <w:tcW w:w="3676" w:type="pct"/>
          </w:tcPr>
          <w:p w14:paraId="0FE8FEF9" w14:textId="794F6790" w:rsidR="00AC696D" w:rsidRPr="00486957" w:rsidRDefault="00AC696D" w:rsidP="00AC696D">
            <w:pPr>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2A10F6">
              <w:rPr>
                <w:rFonts w:ascii="Arial" w:eastAsia="Calibri" w:hAnsi="Arial" w:cs="Arial"/>
                <w:szCs w:val="18"/>
              </w:rPr>
              <w:t>Within the Central Highlands, Gippsland and East Gippsland RFA</w:t>
            </w:r>
            <w:r w:rsidR="00CE412B">
              <w:rPr>
                <w:rFonts w:ascii="Arial" w:eastAsia="Calibri" w:hAnsi="Arial" w:cs="Arial"/>
                <w:szCs w:val="18"/>
              </w:rPr>
              <w:t xml:space="preserve"> region</w:t>
            </w:r>
            <w:r w:rsidRPr="002A10F6">
              <w:rPr>
                <w:rFonts w:ascii="Arial" w:eastAsia="Calibri" w:hAnsi="Arial" w:cs="Arial"/>
                <w:szCs w:val="18"/>
              </w:rPr>
              <w:t xml:space="preserve">, the </w:t>
            </w:r>
            <w:r w:rsidRPr="00013BFB">
              <w:rPr>
                <w:rFonts w:ascii="Arial" w:eastAsia="Calibri" w:hAnsi="Arial"/>
                <w:szCs w:val="18"/>
              </w:rPr>
              <w:t xml:space="preserve">Secretary </w:t>
            </w:r>
            <w:r w:rsidRPr="002A10F6">
              <w:rPr>
                <w:rFonts w:ascii="Arial" w:eastAsia="Calibri" w:hAnsi="Arial" w:cs="Arial"/>
                <w:szCs w:val="18"/>
              </w:rPr>
              <w:t xml:space="preserve">will establish </w:t>
            </w:r>
            <w:r w:rsidRPr="00013BFB">
              <w:rPr>
                <w:rFonts w:ascii="Arial" w:eastAsia="Calibri" w:hAnsi="Arial"/>
                <w:szCs w:val="18"/>
              </w:rPr>
              <w:t>Special Management Zone(s)</w:t>
            </w:r>
            <w:r w:rsidRPr="002A10F6">
              <w:rPr>
                <w:rFonts w:ascii="Arial" w:eastAsia="Calibri" w:hAnsi="Arial" w:cs="Arial"/>
                <w:szCs w:val="18"/>
              </w:rPr>
              <w:t xml:space="preserve"> over individual or collections of post-1970 VBA records (records with an accuracy of 100m or less) with the following conditions:</w:t>
            </w:r>
          </w:p>
          <w:p w14:paraId="39EA830C" w14:textId="46EBACB9" w:rsidR="00AC696D" w:rsidRPr="002A10F6" w:rsidRDefault="00AC696D" w:rsidP="006670D2">
            <w:pPr>
              <w:pStyle w:val="PullOutBoxBullet"/>
              <w:cnfStyle w:val="000000000000" w:firstRow="0" w:lastRow="0" w:firstColumn="0" w:lastColumn="0" w:oddVBand="0" w:evenVBand="0" w:oddHBand="0" w:evenHBand="0" w:firstRowFirstColumn="0" w:firstRowLastColumn="0" w:lastRowFirstColumn="0" w:lastRowLastColumn="0"/>
              <w:rPr>
                <w:rFonts w:ascii="Arial" w:hAnsi="Arial"/>
              </w:rPr>
            </w:pPr>
            <w:r w:rsidRPr="00486957">
              <w:t xml:space="preserve">The </w:t>
            </w:r>
            <w:r w:rsidRPr="00013BFB">
              <w:t>managing authority</w:t>
            </w:r>
            <w:r w:rsidRPr="002A10F6">
              <w:t xml:space="preserve"> is required to apply a management area of 200 m radius over individual or collections of post-1970 VBA records (records with an accuracy of 100m or less). Conduct a site inspection and detailed planning in consultation with the Department </w:t>
            </w:r>
            <w:r w:rsidRPr="00486957">
              <w:t>to ensure the species is adequately protected during timber harvesting operations</w:t>
            </w:r>
            <w:r w:rsidR="00C3768C">
              <w:t xml:space="preserve"> (See Maps </w:t>
            </w:r>
            <w:r w:rsidR="00442C84">
              <w:t>5</w:t>
            </w:r>
            <w:r w:rsidR="00C3768C">
              <w:t xml:space="preserve">a and </w:t>
            </w:r>
            <w:r w:rsidR="00442C84">
              <w:t>5</w:t>
            </w:r>
            <w:r w:rsidR="00C3768C">
              <w:t>b).</w:t>
            </w:r>
          </w:p>
        </w:tc>
      </w:tr>
      <w:tr w:rsidR="0092329E" w14:paraId="33BEC04C" w14:textId="77777777" w:rsidTr="0089527C">
        <w:trPr>
          <w:cantSplit/>
        </w:trPr>
        <w:tc>
          <w:tcPr>
            <w:cnfStyle w:val="000010000000" w:firstRow="0" w:lastRow="0" w:firstColumn="0" w:lastColumn="0" w:oddVBand="1" w:evenVBand="0" w:oddHBand="0" w:evenHBand="0" w:firstRowFirstColumn="0" w:firstRowLastColumn="0" w:lastRowFirstColumn="0" w:lastRowLastColumn="0"/>
            <w:tcW w:w="1324" w:type="pct"/>
          </w:tcPr>
          <w:p w14:paraId="4D945B64" w14:textId="77777777" w:rsidR="0092329E" w:rsidRPr="00B77A8B" w:rsidRDefault="0092329E" w:rsidP="0092329E">
            <w:pPr>
              <w:rPr>
                <w:rFonts w:ascii="Arial" w:eastAsia="Calibri" w:hAnsi="Arial" w:cs="Arial"/>
                <w:szCs w:val="18"/>
              </w:rPr>
            </w:pPr>
            <w:r w:rsidRPr="00B77A8B">
              <w:rPr>
                <w:rFonts w:ascii="Arial" w:eastAsia="Calibri" w:hAnsi="Arial" w:cs="Arial"/>
                <w:szCs w:val="18"/>
              </w:rPr>
              <w:t>Leafless Pink-bells</w:t>
            </w:r>
          </w:p>
          <w:p w14:paraId="55667CE4" w14:textId="4F82E983" w:rsidR="0092329E" w:rsidRDefault="0092329E" w:rsidP="0092329E">
            <w:pPr>
              <w:pStyle w:val="TableTextLeft"/>
            </w:pPr>
            <w:r w:rsidRPr="00B77A8B">
              <w:rPr>
                <w:rFonts w:ascii="Arial" w:eastAsia="Calibri" w:hAnsi="Arial" w:cs="Arial"/>
                <w:i/>
                <w:szCs w:val="18"/>
              </w:rPr>
              <w:t>Tetratheca subaphylla</w:t>
            </w:r>
          </w:p>
        </w:tc>
        <w:tc>
          <w:tcPr>
            <w:tcW w:w="3676" w:type="pct"/>
          </w:tcPr>
          <w:p w14:paraId="34FE23D5" w14:textId="10D38494" w:rsidR="00DE4506" w:rsidRPr="00486957" w:rsidRDefault="00DE4506" w:rsidP="00DE4506">
            <w:pPr>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2A10F6">
              <w:rPr>
                <w:rFonts w:ascii="Arial" w:eastAsia="Calibri" w:hAnsi="Arial" w:cs="Arial"/>
                <w:szCs w:val="18"/>
              </w:rPr>
              <w:t>Within the East Gippsland RFA</w:t>
            </w:r>
            <w:r w:rsidR="00CE412B">
              <w:rPr>
                <w:rFonts w:ascii="Arial" w:eastAsia="Calibri" w:hAnsi="Arial" w:cs="Arial"/>
                <w:szCs w:val="18"/>
              </w:rPr>
              <w:t xml:space="preserve"> region</w:t>
            </w:r>
            <w:r w:rsidRPr="002A10F6">
              <w:rPr>
                <w:rFonts w:ascii="Arial" w:eastAsia="Calibri" w:hAnsi="Arial" w:cs="Arial"/>
                <w:szCs w:val="18"/>
              </w:rPr>
              <w:t xml:space="preserve">, the </w:t>
            </w:r>
            <w:r w:rsidRPr="00FD57DB">
              <w:rPr>
                <w:rFonts w:ascii="Arial" w:eastAsia="Calibri" w:hAnsi="Arial"/>
                <w:szCs w:val="18"/>
              </w:rPr>
              <w:t xml:space="preserve">Secretary </w:t>
            </w:r>
            <w:r w:rsidRPr="002A10F6">
              <w:rPr>
                <w:rFonts w:ascii="Arial" w:eastAsia="Calibri" w:hAnsi="Arial" w:cs="Arial"/>
                <w:szCs w:val="18"/>
              </w:rPr>
              <w:t xml:space="preserve">will establish </w:t>
            </w:r>
            <w:r w:rsidRPr="00FD57DB">
              <w:rPr>
                <w:rFonts w:ascii="Arial" w:eastAsia="Calibri" w:hAnsi="Arial"/>
                <w:szCs w:val="18"/>
              </w:rPr>
              <w:t>Special Management Zone(s)</w:t>
            </w:r>
            <w:r w:rsidRPr="002A10F6">
              <w:rPr>
                <w:rFonts w:ascii="Arial" w:eastAsia="Calibri" w:hAnsi="Arial" w:cs="Arial"/>
                <w:szCs w:val="18"/>
              </w:rPr>
              <w:t xml:space="preserve"> over individual or collections of post-1970 VBA records (records with an accuracy of 100m or less) with the following conditions:</w:t>
            </w:r>
          </w:p>
          <w:p w14:paraId="57D22413" w14:textId="195EEEFD" w:rsidR="0092329E" w:rsidRPr="00486957" w:rsidRDefault="00DE4506" w:rsidP="006670D2">
            <w:pPr>
              <w:pStyle w:val="PullOutBoxBullet"/>
              <w:cnfStyle w:val="000000000000" w:firstRow="0" w:lastRow="0" w:firstColumn="0" w:lastColumn="0" w:oddVBand="0" w:evenVBand="0" w:oddHBand="0" w:evenHBand="0" w:firstRowFirstColumn="0" w:firstRowLastColumn="0" w:lastRowFirstColumn="0" w:lastRowLastColumn="0"/>
            </w:pPr>
            <w:r w:rsidRPr="00486957">
              <w:t xml:space="preserve">The </w:t>
            </w:r>
            <w:r w:rsidRPr="00FD57DB">
              <w:t>managing authority</w:t>
            </w:r>
            <w:r w:rsidRPr="002A10F6">
              <w:t xml:space="preserve"> is required to apply a management area of 200 m radius over individual or collections of post-1970 VBA records (records with an accuracy of 100m or less). Conduct a site inspection and detailed planning in consultation with the Department to ensure the species is a</w:t>
            </w:r>
            <w:r w:rsidRPr="00486957">
              <w:t>dequately protected during timber harvesting operations</w:t>
            </w:r>
            <w:r w:rsidR="00C3768C">
              <w:t xml:space="preserve"> (See Map </w:t>
            </w:r>
            <w:r w:rsidR="00442C84">
              <w:t>5a</w:t>
            </w:r>
            <w:r w:rsidR="00C3768C">
              <w:t>).</w:t>
            </w:r>
          </w:p>
        </w:tc>
      </w:tr>
      <w:tr w:rsidR="0092329E" w14:paraId="7F229BDF" w14:textId="77777777" w:rsidTr="0089527C">
        <w:trPr>
          <w:cantSplit/>
        </w:trPr>
        <w:tc>
          <w:tcPr>
            <w:cnfStyle w:val="000010000000" w:firstRow="0" w:lastRow="0" w:firstColumn="0" w:lastColumn="0" w:oddVBand="1" w:evenVBand="0" w:oddHBand="0" w:evenHBand="0" w:firstRowFirstColumn="0" w:firstRowLastColumn="0" w:lastRowFirstColumn="0" w:lastRowLastColumn="0"/>
            <w:tcW w:w="1324" w:type="pct"/>
          </w:tcPr>
          <w:p w14:paraId="6C452CCA" w14:textId="77777777" w:rsidR="0092329E" w:rsidRPr="00B77A8B" w:rsidRDefault="0092329E" w:rsidP="0092329E">
            <w:pPr>
              <w:rPr>
                <w:rFonts w:ascii="Arial" w:eastAsia="Calibri" w:hAnsi="Arial" w:cs="Arial"/>
                <w:szCs w:val="18"/>
              </w:rPr>
            </w:pPr>
            <w:r w:rsidRPr="00B77A8B">
              <w:rPr>
                <w:rFonts w:ascii="Arial" w:eastAsia="Calibri" w:hAnsi="Arial" w:cs="Arial"/>
                <w:szCs w:val="18"/>
              </w:rPr>
              <w:t>Sandfly Zieria</w:t>
            </w:r>
          </w:p>
          <w:p w14:paraId="37E403D1" w14:textId="34D4384C" w:rsidR="0092329E" w:rsidRDefault="0092329E" w:rsidP="0092329E">
            <w:pPr>
              <w:pStyle w:val="TableTextLeft"/>
            </w:pPr>
            <w:r w:rsidRPr="00B77A8B">
              <w:rPr>
                <w:rFonts w:ascii="Arial" w:eastAsia="Calibri" w:hAnsi="Arial" w:cs="Arial"/>
                <w:i/>
                <w:szCs w:val="18"/>
              </w:rPr>
              <w:t>Zieria smithii</w:t>
            </w:r>
          </w:p>
        </w:tc>
        <w:tc>
          <w:tcPr>
            <w:tcW w:w="3676" w:type="pct"/>
          </w:tcPr>
          <w:p w14:paraId="228A4594" w14:textId="297F7FB8" w:rsidR="00E260A7" w:rsidRPr="00486957" w:rsidRDefault="00E260A7" w:rsidP="00E260A7">
            <w:pPr>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2A10F6">
              <w:rPr>
                <w:rFonts w:ascii="Arial" w:eastAsia="Calibri" w:hAnsi="Arial" w:cs="Arial"/>
                <w:szCs w:val="18"/>
              </w:rPr>
              <w:t>Within the East Gippsland RFA</w:t>
            </w:r>
            <w:r w:rsidR="00CE412B">
              <w:rPr>
                <w:rFonts w:ascii="Arial" w:eastAsia="Calibri" w:hAnsi="Arial" w:cs="Arial"/>
                <w:szCs w:val="18"/>
              </w:rPr>
              <w:t xml:space="preserve"> region</w:t>
            </w:r>
            <w:r w:rsidRPr="002A10F6">
              <w:rPr>
                <w:rFonts w:ascii="Arial" w:eastAsia="Calibri" w:hAnsi="Arial" w:cs="Arial"/>
                <w:szCs w:val="18"/>
              </w:rPr>
              <w:t xml:space="preserve">, the </w:t>
            </w:r>
            <w:r w:rsidRPr="00FD57DB">
              <w:rPr>
                <w:rFonts w:ascii="Arial" w:eastAsia="Calibri" w:hAnsi="Arial"/>
                <w:szCs w:val="18"/>
              </w:rPr>
              <w:t xml:space="preserve">Secretary </w:t>
            </w:r>
            <w:r w:rsidRPr="002A10F6">
              <w:rPr>
                <w:rFonts w:ascii="Arial" w:eastAsia="Calibri" w:hAnsi="Arial" w:cs="Arial"/>
                <w:szCs w:val="18"/>
              </w:rPr>
              <w:t xml:space="preserve">will establish </w:t>
            </w:r>
            <w:r w:rsidRPr="00FD57DB">
              <w:rPr>
                <w:rFonts w:ascii="Arial" w:eastAsia="Calibri" w:hAnsi="Arial"/>
                <w:szCs w:val="18"/>
              </w:rPr>
              <w:t>Special Management Zone(s)</w:t>
            </w:r>
            <w:r w:rsidRPr="002A10F6">
              <w:rPr>
                <w:rFonts w:ascii="Arial" w:eastAsia="Calibri" w:hAnsi="Arial" w:cs="Arial"/>
                <w:szCs w:val="18"/>
              </w:rPr>
              <w:t xml:space="preserve"> over individual or collections of post-1970 VBA records (records with an accuracy of 100m or less) with the following conditions:</w:t>
            </w:r>
          </w:p>
          <w:p w14:paraId="41734B75" w14:textId="4DA00A6A" w:rsidR="0092329E" w:rsidRPr="00486957" w:rsidRDefault="00E260A7" w:rsidP="006670D2">
            <w:pPr>
              <w:pStyle w:val="PullOutBoxBullet"/>
              <w:cnfStyle w:val="000000000000" w:firstRow="0" w:lastRow="0" w:firstColumn="0" w:lastColumn="0" w:oddVBand="0" w:evenVBand="0" w:oddHBand="0" w:evenHBand="0" w:firstRowFirstColumn="0" w:firstRowLastColumn="0" w:lastRowFirstColumn="0" w:lastRowLastColumn="0"/>
            </w:pPr>
            <w:r w:rsidRPr="00486957">
              <w:t xml:space="preserve">The </w:t>
            </w:r>
            <w:r w:rsidRPr="00FD57DB">
              <w:t>managing authority</w:t>
            </w:r>
            <w:r w:rsidRPr="002A10F6">
              <w:t xml:space="preserve"> is required to apply a management area of 200 m radius over individual or collections of post-1970 VBA records (records with an accuracy of 100m or less). Conduct a site inspection and detailed planning in consultation with the Department to ensure the sp</w:t>
            </w:r>
            <w:r w:rsidRPr="00486957">
              <w:t>ecies is adequately protected during timber harvesting operations</w:t>
            </w:r>
            <w:r w:rsidR="00C3768C">
              <w:t xml:space="preserve"> (See Map </w:t>
            </w:r>
            <w:r w:rsidR="00442C84">
              <w:t>5a</w:t>
            </w:r>
            <w:r w:rsidR="00C3768C">
              <w:t>).</w:t>
            </w:r>
          </w:p>
        </w:tc>
      </w:tr>
      <w:tr w:rsidR="0092329E" w14:paraId="1D06A637" w14:textId="77777777" w:rsidTr="0089527C">
        <w:trPr>
          <w:cantSplit/>
        </w:trPr>
        <w:tc>
          <w:tcPr>
            <w:cnfStyle w:val="000010000000" w:firstRow="0" w:lastRow="0" w:firstColumn="0" w:lastColumn="0" w:oddVBand="1" w:evenVBand="0" w:oddHBand="0" w:evenHBand="0" w:firstRowFirstColumn="0" w:firstRowLastColumn="0" w:lastRowFirstColumn="0" w:lastRowLastColumn="0"/>
            <w:tcW w:w="1324" w:type="pct"/>
          </w:tcPr>
          <w:p w14:paraId="1D814448" w14:textId="77777777" w:rsidR="0092329E" w:rsidRPr="00B77A8B" w:rsidRDefault="0092329E" w:rsidP="0092329E">
            <w:pPr>
              <w:rPr>
                <w:rFonts w:ascii="Arial" w:eastAsia="Calibri" w:hAnsi="Arial" w:cs="Arial"/>
                <w:szCs w:val="18"/>
              </w:rPr>
            </w:pPr>
            <w:r w:rsidRPr="00B77A8B">
              <w:rPr>
                <w:rFonts w:ascii="Arial" w:eastAsia="Calibri" w:hAnsi="Arial" w:cs="Arial"/>
                <w:szCs w:val="18"/>
              </w:rPr>
              <w:t>Satinwood</w:t>
            </w:r>
          </w:p>
          <w:p w14:paraId="7BF04F5D" w14:textId="3D4ADA94" w:rsidR="0092329E" w:rsidRDefault="0092329E" w:rsidP="0092329E">
            <w:pPr>
              <w:pStyle w:val="TableTextLeft"/>
            </w:pPr>
            <w:r w:rsidRPr="00B77A8B">
              <w:rPr>
                <w:rFonts w:ascii="Arial" w:eastAsia="Calibri" w:hAnsi="Arial" w:cs="Arial"/>
                <w:i/>
                <w:szCs w:val="18"/>
              </w:rPr>
              <w:t xml:space="preserve">Nematolepsis squamea </w:t>
            </w:r>
            <w:r w:rsidRPr="00B77A8B">
              <w:rPr>
                <w:rFonts w:ascii="Arial" w:eastAsia="Calibri" w:hAnsi="Arial" w:cs="Arial"/>
                <w:szCs w:val="18"/>
              </w:rPr>
              <w:t>subsp</w:t>
            </w:r>
            <w:r w:rsidRPr="00B77A8B">
              <w:rPr>
                <w:rFonts w:ascii="Arial" w:eastAsia="Calibri" w:hAnsi="Arial" w:cs="Arial"/>
                <w:i/>
                <w:szCs w:val="18"/>
              </w:rPr>
              <w:t xml:space="preserve">. </w:t>
            </w:r>
            <w:r w:rsidR="009F22B3">
              <w:rPr>
                <w:rFonts w:ascii="Arial" w:eastAsia="Calibri" w:hAnsi="Arial" w:cs="Arial"/>
                <w:i/>
                <w:szCs w:val="18"/>
              </w:rPr>
              <w:t>s</w:t>
            </w:r>
            <w:r w:rsidRPr="00B77A8B">
              <w:rPr>
                <w:rFonts w:ascii="Arial" w:eastAsia="Calibri" w:hAnsi="Arial" w:cs="Arial"/>
                <w:i/>
                <w:szCs w:val="18"/>
              </w:rPr>
              <w:t>quamea</w:t>
            </w:r>
          </w:p>
        </w:tc>
        <w:tc>
          <w:tcPr>
            <w:tcW w:w="3676" w:type="pct"/>
          </w:tcPr>
          <w:p w14:paraId="6D9832BE" w14:textId="45310049" w:rsidR="00C13679" w:rsidRPr="00486957" w:rsidRDefault="00C13679" w:rsidP="00C13679">
            <w:pPr>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2A10F6">
              <w:rPr>
                <w:rFonts w:ascii="Arial" w:eastAsia="Calibri" w:hAnsi="Arial" w:cs="Arial"/>
                <w:szCs w:val="18"/>
              </w:rPr>
              <w:t>Within the East Gippsland RFA</w:t>
            </w:r>
            <w:r w:rsidR="00CE412B">
              <w:rPr>
                <w:rFonts w:ascii="Arial" w:eastAsia="Calibri" w:hAnsi="Arial" w:cs="Arial"/>
                <w:szCs w:val="18"/>
              </w:rPr>
              <w:t xml:space="preserve"> region</w:t>
            </w:r>
            <w:r w:rsidRPr="002A10F6">
              <w:rPr>
                <w:rFonts w:ascii="Arial" w:eastAsia="Calibri" w:hAnsi="Arial" w:cs="Arial"/>
                <w:szCs w:val="18"/>
              </w:rPr>
              <w:t xml:space="preserve">, the </w:t>
            </w:r>
            <w:r w:rsidRPr="00FD57DB">
              <w:rPr>
                <w:rFonts w:ascii="Arial" w:eastAsia="Calibri" w:hAnsi="Arial"/>
                <w:szCs w:val="18"/>
              </w:rPr>
              <w:t xml:space="preserve">Secretary </w:t>
            </w:r>
            <w:r w:rsidRPr="002A10F6">
              <w:rPr>
                <w:rFonts w:ascii="Arial" w:eastAsia="Calibri" w:hAnsi="Arial" w:cs="Arial"/>
                <w:szCs w:val="18"/>
              </w:rPr>
              <w:t xml:space="preserve">will establish </w:t>
            </w:r>
            <w:r w:rsidRPr="00FD57DB">
              <w:rPr>
                <w:rFonts w:ascii="Arial" w:eastAsia="Calibri" w:hAnsi="Arial"/>
                <w:szCs w:val="18"/>
              </w:rPr>
              <w:t>Special Management Zone(s)</w:t>
            </w:r>
            <w:r w:rsidRPr="002A10F6">
              <w:rPr>
                <w:rFonts w:ascii="Arial" w:eastAsia="Calibri" w:hAnsi="Arial" w:cs="Arial"/>
                <w:szCs w:val="18"/>
              </w:rPr>
              <w:t xml:space="preserve"> over individual or collections of post-1970 VBA records (records with an accuracy of 100m or less) with the following conditions:</w:t>
            </w:r>
          </w:p>
          <w:p w14:paraId="4D219965" w14:textId="0C72E84D" w:rsidR="0092329E" w:rsidRPr="00486957" w:rsidRDefault="00C13679" w:rsidP="006670D2">
            <w:pPr>
              <w:pStyle w:val="PullOutBoxBullet"/>
              <w:cnfStyle w:val="000000000000" w:firstRow="0" w:lastRow="0" w:firstColumn="0" w:lastColumn="0" w:oddVBand="0" w:evenVBand="0" w:oddHBand="0" w:evenHBand="0" w:firstRowFirstColumn="0" w:firstRowLastColumn="0" w:lastRowFirstColumn="0" w:lastRowLastColumn="0"/>
            </w:pPr>
            <w:r w:rsidRPr="00486957">
              <w:t xml:space="preserve">The </w:t>
            </w:r>
            <w:r w:rsidRPr="00FD57DB">
              <w:t>managing authority</w:t>
            </w:r>
            <w:r w:rsidRPr="002A10F6">
              <w:t xml:space="preserve"> is required to apply a management area of 200 m radius over individual or collections of post-1970 VBA records (records with an accuracy of 100m or less). Conduct a site inspection and detailed planning in consultation with the Department to ensure the sp</w:t>
            </w:r>
            <w:r w:rsidRPr="00486957">
              <w:t>ecies is adequately protected during timber harvesting operations</w:t>
            </w:r>
            <w:r w:rsidR="00C3768C">
              <w:t xml:space="preserve"> (See Map </w:t>
            </w:r>
            <w:r w:rsidR="00442C84">
              <w:t>5a</w:t>
            </w:r>
            <w:r w:rsidR="00C3768C">
              <w:t>)</w:t>
            </w:r>
            <w:r w:rsidRPr="00486957">
              <w:t>.</w:t>
            </w:r>
          </w:p>
        </w:tc>
      </w:tr>
      <w:tr w:rsidR="0092329E" w14:paraId="05BCE929" w14:textId="77777777" w:rsidTr="0089527C">
        <w:trPr>
          <w:cantSplit/>
        </w:trPr>
        <w:tc>
          <w:tcPr>
            <w:cnfStyle w:val="000010000000" w:firstRow="0" w:lastRow="0" w:firstColumn="0" w:lastColumn="0" w:oddVBand="1" w:evenVBand="0" w:oddHBand="0" w:evenHBand="0" w:firstRowFirstColumn="0" w:firstRowLastColumn="0" w:lastRowFirstColumn="0" w:lastRowLastColumn="0"/>
            <w:tcW w:w="1324" w:type="pct"/>
          </w:tcPr>
          <w:p w14:paraId="23603D9C" w14:textId="77777777" w:rsidR="0092329E" w:rsidRPr="00B77A8B" w:rsidRDefault="0092329E" w:rsidP="0092329E">
            <w:pPr>
              <w:rPr>
                <w:rFonts w:ascii="Arial" w:eastAsia="Calibri" w:hAnsi="Arial" w:cs="Arial"/>
                <w:szCs w:val="18"/>
              </w:rPr>
            </w:pPr>
            <w:r w:rsidRPr="00B77A8B">
              <w:rPr>
                <w:rFonts w:ascii="Arial" w:eastAsia="Calibri" w:hAnsi="Arial" w:cs="Arial"/>
                <w:szCs w:val="18"/>
              </w:rPr>
              <w:t>Tullach Ard Grevillea</w:t>
            </w:r>
          </w:p>
          <w:p w14:paraId="51A70892" w14:textId="3E28417E" w:rsidR="0092329E" w:rsidRDefault="0092329E" w:rsidP="0092329E">
            <w:pPr>
              <w:pStyle w:val="TableTextLeft"/>
            </w:pPr>
            <w:r w:rsidRPr="00B77A8B">
              <w:rPr>
                <w:rFonts w:ascii="Arial" w:eastAsia="Calibri" w:hAnsi="Arial" w:cs="Arial"/>
                <w:i/>
                <w:szCs w:val="18"/>
              </w:rPr>
              <w:t>Grevillea polychroma</w:t>
            </w:r>
          </w:p>
        </w:tc>
        <w:tc>
          <w:tcPr>
            <w:tcW w:w="3676" w:type="pct"/>
          </w:tcPr>
          <w:p w14:paraId="78F81344" w14:textId="5D456BCE" w:rsidR="008E6F3B" w:rsidRPr="00486957" w:rsidRDefault="008E6F3B" w:rsidP="008E6F3B">
            <w:pPr>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2A10F6">
              <w:rPr>
                <w:rFonts w:ascii="Arial" w:eastAsia="Calibri" w:hAnsi="Arial" w:cs="Arial"/>
                <w:szCs w:val="18"/>
              </w:rPr>
              <w:t>Within the East Gippsland RFA</w:t>
            </w:r>
            <w:r w:rsidR="00CE412B">
              <w:rPr>
                <w:rFonts w:ascii="Arial" w:eastAsia="Calibri" w:hAnsi="Arial" w:cs="Arial"/>
                <w:szCs w:val="18"/>
              </w:rPr>
              <w:t xml:space="preserve"> region</w:t>
            </w:r>
            <w:r w:rsidRPr="002A10F6">
              <w:rPr>
                <w:rFonts w:ascii="Arial" w:eastAsia="Calibri" w:hAnsi="Arial" w:cs="Arial"/>
                <w:szCs w:val="18"/>
              </w:rPr>
              <w:t xml:space="preserve">, the </w:t>
            </w:r>
            <w:r w:rsidRPr="00FD57DB">
              <w:rPr>
                <w:rFonts w:ascii="Arial" w:eastAsia="Calibri" w:hAnsi="Arial"/>
                <w:szCs w:val="18"/>
              </w:rPr>
              <w:t xml:space="preserve">Secretary </w:t>
            </w:r>
            <w:r w:rsidRPr="002A10F6">
              <w:rPr>
                <w:rFonts w:ascii="Arial" w:eastAsia="Calibri" w:hAnsi="Arial" w:cs="Arial"/>
                <w:szCs w:val="18"/>
              </w:rPr>
              <w:t xml:space="preserve">will establish </w:t>
            </w:r>
            <w:r w:rsidRPr="00FD57DB">
              <w:rPr>
                <w:rFonts w:ascii="Arial" w:eastAsia="Calibri" w:hAnsi="Arial"/>
                <w:szCs w:val="18"/>
              </w:rPr>
              <w:t>Special Management Zone(s)</w:t>
            </w:r>
            <w:r w:rsidRPr="002A10F6">
              <w:rPr>
                <w:rFonts w:ascii="Arial" w:eastAsia="Calibri" w:hAnsi="Arial" w:cs="Arial"/>
                <w:szCs w:val="18"/>
              </w:rPr>
              <w:t xml:space="preserve"> over individual or collections of post-1970 VBA records (records with an accuracy of 100m or less) with the following conditions:</w:t>
            </w:r>
          </w:p>
          <w:p w14:paraId="1000B217" w14:textId="50629010" w:rsidR="0092329E" w:rsidRPr="00486957" w:rsidRDefault="008E6F3B" w:rsidP="006670D2">
            <w:pPr>
              <w:pStyle w:val="PullOutBoxBullet"/>
              <w:cnfStyle w:val="000000000000" w:firstRow="0" w:lastRow="0" w:firstColumn="0" w:lastColumn="0" w:oddVBand="0" w:evenVBand="0" w:oddHBand="0" w:evenHBand="0" w:firstRowFirstColumn="0" w:firstRowLastColumn="0" w:lastRowFirstColumn="0" w:lastRowLastColumn="0"/>
            </w:pPr>
            <w:r w:rsidRPr="00486957">
              <w:t xml:space="preserve">The </w:t>
            </w:r>
            <w:r w:rsidRPr="00FD57DB">
              <w:t>managing authority</w:t>
            </w:r>
            <w:r w:rsidRPr="002A10F6">
              <w:t xml:space="preserve"> is required to apply a management area of 200 m radius over individual or collections of post-1970 VBA records (records with an accuracy of 100m </w:t>
            </w:r>
            <w:r w:rsidRPr="00486957">
              <w:t>or less). Conduct a site inspection and detailed planning in consultation with the Department to ensure the species is adequately protected during timber harvesting operations</w:t>
            </w:r>
            <w:r w:rsidR="00C3768C">
              <w:t xml:space="preserve"> (See Map </w:t>
            </w:r>
            <w:r w:rsidR="00442C84">
              <w:t>5a</w:t>
            </w:r>
            <w:r w:rsidR="00C3768C">
              <w:t>).</w:t>
            </w:r>
          </w:p>
        </w:tc>
      </w:tr>
      <w:tr w:rsidR="0092329E" w14:paraId="188C974C" w14:textId="77777777" w:rsidTr="0089527C">
        <w:trPr>
          <w:cantSplit/>
        </w:trPr>
        <w:tc>
          <w:tcPr>
            <w:cnfStyle w:val="000010000000" w:firstRow="0" w:lastRow="0" w:firstColumn="0" w:lastColumn="0" w:oddVBand="1" w:evenVBand="0" w:oddHBand="0" w:evenHBand="0" w:firstRowFirstColumn="0" w:firstRowLastColumn="0" w:lastRowFirstColumn="0" w:lastRowLastColumn="0"/>
            <w:tcW w:w="1324" w:type="pct"/>
          </w:tcPr>
          <w:p w14:paraId="296564FA" w14:textId="77777777" w:rsidR="0092329E" w:rsidRPr="00B77A8B" w:rsidRDefault="0092329E" w:rsidP="0092329E">
            <w:pPr>
              <w:rPr>
                <w:rFonts w:ascii="Arial" w:eastAsia="Calibri" w:hAnsi="Arial" w:cs="Arial"/>
                <w:szCs w:val="18"/>
              </w:rPr>
            </w:pPr>
            <w:r w:rsidRPr="00B77A8B">
              <w:rPr>
                <w:rFonts w:ascii="Arial" w:eastAsia="Calibri" w:hAnsi="Arial" w:cs="Arial"/>
                <w:szCs w:val="18"/>
              </w:rPr>
              <w:t>Wallaby-bush</w:t>
            </w:r>
          </w:p>
          <w:p w14:paraId="3B498457" w14:textId="31DF9B5F" w:rsidR="0092329E" w:rsidRDefault="0092329E" w:rsidP="0092329E">
            <w:pPr>
              <w:pStyle w:val="TableTextLeft"/>
            </w:pPr>
            <w:r w:rsidRPr="00B77A8B">
              <w:rPr>
                <w:rFonts w:ascii="Arial" w:eastAsia="Calibri" w:hAnsi="Arial" w:cs="Arial"/>
                <w:i/>
                <w:szCs w:val="18"/>
              </w:rPr>
              <w:t>Beyeria lasiocarpa</w:t>
            </w:r>
          </w:p>
        </w:tc>
        <w:tc>
          <w:tcPr>
            <w:tcW w:w="3676" w:type="pct"/>
          </w:tcPr>
          <w:p w14:paraId="54BFDB57" w14:textId="12997169" w:rsidR="00DA42EA" w:rsidRPr="00486957" w:rsidRDefault="00DA42EA" w:rsidP="00DA42EA">
            <w:pPr>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2A10F6">
              <w:rPr>
                <w:rFonts w:ascii="Arial" w:eastAsia="Calibri" w:hAnsi="Arial" w:cs="Arial"/>
                <w:szCs w:val="18"/>
              </w:rPr>
              <w:t>Within the East Gippsland RFA</w:t>
            </w:r>
            <w:r w:rsidR="00CE412B">
              <w:rPr>
                <w:rFonts w:ascii="Arial" w:eastAsia="Calibri" w:hAnsi="Arial" w:cs="Arial"/>
                <w:szCs w:val="18"/>
              </w:rPr>
              <w:t xml:space="preserve"> region</w:t>
            </w:r>
            <w:r w:rsidRPr="002A10F6">
              <w:rPr>
                <w:rFonts w:ascii="Arial" w:eastAsia="Calibri" w:hAnsi="Arial" w:cs="Arial"/>
                <w:szCs w:val="18"/>
              </w:rPr>
              <w:t xml:space="preserve">, the </w:t>
            </w:r>
            <w:r w:rsidRPr="00FD57DB">
              <w:rPr>
                <w:rFonts w:ascii="Arial" w:eastAsia="Calibri" w:hAnsi="Arial"/>
                <w:szCs w:val="18"/>
              </w:rPr>
              <w:t xml:space="preserve">Secretary </w:t>
            </w:r>
            <w:r w:rsidRPr="002A10F6">
              <w:rPr>
                <w:rFonts w:ascii="Arial" w:eastAsia="Calibri" w:hAnsi="Arial" w:cs="Arial"/>
                <w:szCs w:val="18"/>
              </w:rPr>
              <w:t xml:space="preserve">will establish </w:t>
            </w:r>
            <w:r w:rsidRPr="00FD57DB">
              <w:rPr>
                <w:rFonts w:ascii="Arial" w:eastAsia="Calibri" w:hAnsi="Arial"/>
                <w:szCs w:val="18"/>
              </w:rPr>
              <w:t>Special Management Zone(s)</w:t>
            </w:r>
            <w:r w:rsidRPr="002A10F6">
              <w:rPr>
                <w:rFonts w:ascii="Arial" w:eastAsia="Calibri" w:hAnsi="Arial" w:cs="Arial"/>
                <w:szCs w:val="18"/>
              </w:rPr>
              <w:t xml:space="preserve"> over individual or collections of post-1970 VBA records (records with an accuracy of 100m or less) with the following conditions:</w:t>
            </w:r>
          </w:p>
          <w:p w14:paraId="0E66CB29" w14:textId="77FC7E47" w:rsidR="0092329E" w:rsidRPr="00486957" w:rsidRDefault="00DA42EA" w:rsidP="006670D2">
            <w:pPr>
              <w:pStyle w:val="PullOutBoxBullet"/>
              <w:cnfStyle w:val="000000000000" w:firstRow="0" w:lastRow="0" w:firstColumn="0" w:lastColumn="0" w:oddVBand="0" w:evenVBand="0" w:oddHBand="0" w:evenHBand="0" w:firstRowFirstColumn="0" w:firstRowLastColumn="0" w:lastRowFirstColumn="0" w:lastRowLastColumn="0"/>
            </w:pPr>
            <w:r w:rsidRPr="00486957">
              <w:t xml:space="preserve">The </w:t>
            </w:r>
            <w:r w:rsidRPr="00FD57DB">
              <w:t>managing authority</w:t>
            </w:r>
            <w:r w:rsidRPr="002A10F6">
              <w:t xml:space="preserve"> is required to apply a management area of 200 m radius over individual or collections of post-1970 VBA</w:t>
            </w:r>
            <w:r w:rsidRPr="00486957">
              <w:t xml:space="preserve"> records (records with an accuracy of 100m or less). Conduct a site inspection and detailed planning in consultation with the Department to ensure the species is adequately protected during timber harvesting operations</w:t>
            </w:r>
            <w:r w:rsidR="00C3768C">
              <w:t xml:space="preserve"> (See Map </w:t>
            </w:r>
            <w:r w:rsidR="00442C84">
              <w:t>5a</w:t>
            </w:r>
            <w:r w:rsidR="00C3768C">
              <w:t>).</w:t>
            </w:r>
          </w:p>
        </w:tc>
      </w:tr>
    </w:tbl>
    <w:p w14:paraId="7B3195BD" w14:textId="77777777" w:rsidR="00A82751" w:rsidRPr="00A82751" w:rsidRDefault="00A82751" w:rsidP="00A82751">
      <w:pPr>
        <w:pStyle w:val="BodyText"/>
        <w:rPr>
          <w:lang w:eastAsia="en-AU"/>
        </w:rPr>
      </w:pPr>
    </w:p>
    <w:p w14:paraId="192B05F0" w14:textId="26C496A7" w:rsidR="00260F74" w:rsidRPr="0065368C" w:rsidRDefault="00260F74" w:rsidP="00A0496F">
      <w:pPr>
        <w:pStyle w:val="Heading1"/>
        <w:pageBreakBefore/>
      </w:pPr>
      <w:bookmarkStart w:id="21" w:name="_Toc113271016"/>
      <w:r w:rsidRPr="0065368C">
        <w:t>Key hazards identified in this risk assessment</w:t>
      </w:r>
      <w:bookmarkEnd w:id="21"/>
    </w:p>
    <w:p w14:paraId="228F9404" w14:textId="4616699E" w:rsidR="00260F74" w:rsidRPr="00DD67CD" w:rsidRDefault="00260F74" w:rsidP="0065368C">
      <w:pPr>
        <w:pStyle w:val="BodyText"/>
      </w:pPr>
      <w:r w:rsidRPr="00DD67CD">
        <w:t>The sections below describe the nature of the dominant hazards identified in this risk assessment</w:t>
      </w:r>
      <w:r w:rsidR="00286BD1">
        <w:t xml:space="preserve"> of 61 species</w:t>
      </w:r>
      <w:r w:rsidRPr="00DD67CD">
        <w:t>, the nature of each hazard and the mechanisms by which the hazard might impact on vulnerable threatened species.</w:t>
      </w:r>
      <w:r w:rsidR="005F392B">
        <w:t xml:space="preserve"> </w:t>
      </w:r>
      <w:r w:rsidR="003537F9">
        <w:t xml:space="preserve">Appendix 1 </w:t>
      </w:r>
      <w:r w:rsidR="005F392B">
        <w:t xml:space="preserve">shows a </w:t>
      </w:r>
      <w:r w:rsidR="003537F9">
        <w:t xml:space="preserve">summary table of the </w:t>
      </w:r>
      <w:r w:rsidR="00EF532D">
        <w:t xml:space="preserve">61 </w:t>
      </w:r>
      <w:r w:rsidR="003537F9">
        <w:t>species</w:t>
      </w:r>
      <w:r w:rsidR="00224872">
        <w:t>, with</w:t>
      </w:r>
      <w:r w:rsidR="003537F9">
        <w:t xml:space="preserve"> the hazard themes per RFA region that were assessed </w:t>
      </w:r>
      <w:r w:rsidR="11AF2253">
        <w:t>individually</w:t>
      </w:r>
      <w:r w:rsidR="19905A59">
        <w:t xml:space="preserve"> </w:t>
      </w:r>
      <w:r w:rsidR="003537F9">
        <w:t>as significant or high.</w:t>
      </w:r>
    </w:p>
    <w:p w14:paraId="792E3065" w14:textId="44CC1EEB" w:rsidR="00260F74" w:rsidRPr="00DD67CD" w:rsidRDefault="00260F74" w:rsidP="0065368C">
      <w:pPr>
        <w:pStyle w:val="BodyText"/>
      </w:pPr>
      <w:r w:rsidRPr="00DD67CD">
        <w:t xml:space="preserve">The hazards described interact to varying extents. </w:t>
      </w:r>
      <w:r w:rsidR="00B44A6A">
        <w:t>Examples of th</w:t>
      </w:r>
      <w:r w:rsidR="002556F3">
        <w:t>is</w:t>
      </w:r>
      <w:r w:rsidR="00B44A6A">
        <w:t xml:space="preserve"> </w:t>
      </w:r>
      <w:r w:rsidR="00A22E22">
        <w:t>include</w:t>
      </w:r>
      <w:r w:rsidRPr="00DD67CD">
        <w:t xml:space="preserve"> evidence that climate change is increasing the frequency and severity of droughts in south-eastern Australia, which in turn increases the frequency, extent</w:t>
      </w:r>
      <w:r w:rsidR="005229BD" w:rsidRPr="00DD67CD">
        <w:t>,</w:t>
      </w:r>
      <w:r w:rsidRPr="00DD67CD">
        <w:t xml:space="preserve"> and severity of bushfires. Bushfires and forestry operations may combine to accelerate the loss of mature and senescent forest growth stages. Protracted severe droughts will affect stream flows with corresponding impacts on water quality, as will extensive areas of regrowth forest arising from bushfires and forestry operations, especially in ash-type forests. The impact of regrowth forest on water yield varies according to forest type but is similar whether resulting from bushfires or forestry operations; however, the contribution of bushfires is likely to be greater given the area typically affected. The permanent road system is thought to facilitate the movement of predators, and the movement of soils and gravel associated with roading may introduce weeds and pathogens.</w:t>
      </w:r>
    </w:p>
    <w:p w14:paraId="7C0395D0" w14:textId="77777777" w:rsidR="00260F74" w:rsidRPr="002266CF" w:rsidRDefault="00260F74" w:rsidP="00675EEE">
      <w:pPr>
        <w:pStyle w:val="Heading2"/>
        <w:ind w:left="0"/>
        <w:rPr>
          <w:rStyle w:val="normaltextrun"/>
        </w:rPr>
      </w:pPr>
      <w:bookmarkStart w:id="22" w:name="_Toc113271017"/>
      <w:r w:rsidRPr="002266CF">
        <w:rPr>
          <w:rStyle w:val="normaltextrun"/>
        </w:rPr>
        <w:t>Climate change</w:t>
      </w:r>
      <w:bookmarkEnd w:id="22"/>
    </w:p>
    <w:p w14:paraId="309747F8" w14:textId="77777777" w:rsidR="00260F74" w:rsidRPr="00DD67CD" w:rsidRDefault="00260F74" w:rsidP="0065368C">
      <w:pPr>
        <w:pStyle w:val="BodyText"/>
      </w:pPr>
      <w:r w:rsidRPr="00DD67CD">
        <w:t>Climate change can impact threatened species in many ways, including:</w:t>
      </w:r>
    </w:p>
    <w:p w14:paraId="36B0D53A" w14:textId="77777777" w:rsidR="00260F74" w:rsidRPr="00DD67CD" w:rsidRDefault="00260F74" w:rsidP="00B23CC0">
      <w:pPr>
        <w:pStyle w:val="ListBullet"/>
        <w:ind w:left="709"/>
      </w:pPr>
      <w:r w:rsidRPr="00DD67CD">
        <w:t>Increased temperatures, both average maximum and minimum temperatures and temperature extremes;</w:t>
      </w:r>
    </w:p>
    <w:p w14:paraId="38F0EDA2" w14:textId="65CAEBBE" w:rsidR="00260F74" w:rsidRPr="00DD67CD" w:rsidRDefault="00260F74" w:rsidP="00B23CC0">
      <w:pPr>
        <w:pStyle w:val="ListBullet"/>
        <w:ind w:left="709"/>
      </w:pPr>
      <w:r w:rsidRPr="00DD67CD">
        <w:t>Changes to patterns of precipitation (rainfall, snowfall</w:t>
      </w:r>
      <w:r w:rsidR="00223339" w:rsidRPr="00DD67CD">
        <w:t>,</w:t>
      </w:r>
      <w:r w:rsidRPr="00DD67CD">
        <w:t xml:space="preserve"> and dew): annual averages, seasonal patterns, droughts and floods; </w:t>
      </w:r>
    </w:p>
    <w:p w14:paraId="0DD93858" w14:textId="77777777" w:rsidR="00260F74" w:rsidRPr="00DD67CD" w:rsidRDefault="00260F74" w:rsidP="00B23CC0">
      <w:pPr>
        <w:pStyle w:val="ListBullet"/>
        <w:ind w:left="709"/>
      </w:pPr>
      <w:r w:rsidRPr="00DD67CD">
        <w:t>More frequent and severe storm events; and, indirectly</w:t>
      </w:r>
    </w:p>
    <w:p w14:paraId="61534F4C" w14:textId="77777777" w:rsidR="00260F74" w:rsidRPr="00DD67CD" w:rsidRDefault="00260F74" w:rsidP="00B23CC0">
      <w:pPr>
        <w:pStyle w:val="ListBullet"/>
        <w:ind w:left="709"/>
      </w:pPr>
      <w:r w:rsidRPr="00DD67CD">
        <w:t>More frequent, severe and/or extensive bushfires, including outside the “normal” bushfire season.</w:t>
      </w:r>
    </w:p>
    <w:p w14:paraId="541613D0" w14:textId="77777777" w:rsidR="00260F74" w:rsidRPr="00DD67CD" w:rsidRDefault="00260F74" w:rsidP="0065368C">
      <w:pPr>
        <w:pStyle w:val="BodyText"/>
      </w:pPr>
      <w:r w:rsidRPr="00DD67CD">
        <w:t xml:space="preserve">Rainforest gullies, the habitat of many species subject to this risk assessment, are less likely to be protected from fire due to increased drying. Drought, high temperatures and increased fire frequency and intensity can result in the sudden decline in the extent of structurally mature rainforest, which is critical habitat for species such as Bolwarra and fork-ferns. These species can be at risk of adult mortality and recruitment failure, and longer-term local extinction, due to repeat fire events and extreme drought stress. </w:t>
      </w:r>
    </w:p>
    <w:p w14:paraId="6E030068" w14:textId="7D73E333" w:rsidR="00260F74" w:rsidRPr="00DD67CD" w:rsidRDefault="00260F74" w:rsidP="0065368C">
      <w:pPr>
        <w:pStyle w:val="BodyText"/>
      </w:pPr>
      <w:r w:rsidRPr="00DD67CD">
        <w:t xml:space="preserve">Drying climate and drought can impact the watering cycles of wetlands and waterways for taxa such as the Lacey River Buttercup and will likely result in greater incidence of fire and the longer-term decline of habitat extent and quality. Continuing drying of wetlands can concentrate the destructive activities of </w:t>
      </w:r>
      <w:r w:rsidR="00BB2E49" w:rsidRPr="00BB2E49">
        <w:t xml:space="preserve">invasive species </w:t>
      </w:r>
      <w:r w:rsidRPr="00DD67CD">
        <w:t>in remaining wetlands. Drying out of habitat can also make it more fire prone, with impacts being more severe to fire sensitive taxa such as Finger Hakea.</w:t>
      </w:r>
    </w:p>
    <w:p w14:paraId="04337A90" w14:textId="77777777" w:rsidR="00260F74" w:rsidRPr="00DD67CD" w:rsidRDefault="00260F74" w:rsidP="0065368C">
      <w:pPr>
        <w:pStyle w:val="BodyText"/>
      </w:pPr>
      <w:r w:rsidRPr="00DD67CD">
        <w:t>Climate change has the propensity to reduce the reliability of winter rainfall events. Reduced winter rainfall impacts on the quality and amount of habitat available to taxa such as the Brackish Plains Buttercup and Violet Bladderwort. It also increases the risk of seedbank depletion, recruitment failure and local extinction. Introduced plant species are also then given increased capacity to competitively occupy habitat.</w:t>
      </w:r>
    </w:p>
    <w:p w14:paraId="45F1A5A0" w14:textId="294DD443" w:rsidR="00260F74" w:rsidRPr="00DD67CD" w:rsidRDefault="00260F74" w:rsidP="0065368C">
      <w:pPr>
        <w:pStyle w:val="BodyText"/>
      </w:pPr>
      <w:r w:rsidRPr="00DD67CD">
        <w:t>Drought can also impact species like the Eastern Pomaderris that rely on rain following fire for recruitment, and more drought-tolerant taxa like the Tall Plume-grass by hampering recruitment and increased likelihood of more frequent and intense fire. This can in turn lead to targeted herbivory by Sambar Deer</w:t>
      </w:r>
      <w:r w:rsidR="007271B4">
        <w:t xml:space="preserve"> (</w:t>
      </w:r>
      <w:r w:rsidR="007271B4">
        <w:rPr>
          <w:i/>
          <w:iCs/>
        </w:rPr>
        <w:t>Rusa unicolor</w:t>
      </w:r>
      <w:r w:rsidR="007271B4">
        <w:t>)</w:t>
      </w:r>
      <w:r w:rsidRPr="00DD67CD">
        <w:t xml:space="preserve"> or </w:t>
      </w:r>
      <w:r w:rsidR="00371DC8">
        <w:t>Black-tailed</w:t>
      </w:r>
      <w:r w:rsidRPr="00DD67CD">
        <w:t xml:space="preserve"> Wallaby</w:t>
      </w:r>
      <w:r w:rsidR="00371DC8">
        <w:t xml:space="preserve"> (</w:t>
      </w:r>
      <w:r w:rsidR="00371DC8">
        <w:rPr>
          <w:i/>
          <w:iCs/>
        </w:rPr>
        <w:t>Wallabia bicolor</w:t>
      </w:r>
      <w:r w:rsidR="00371DC8">
        <w:t>)</w:t>
      </w:r>
      <w:r w:rsidRPr="00DD67CD">
        <w:t>, and local extinction.</w:t>
      </w:r>
    </w:p>
    <w:p w14:paraId="626BD79F" w14:textId="643EC160" w:rsidR="00260F74" w:rsidRPr="00DD67CD" w:rsidRDefault="00260F74" w:rsidP="0065368C">
      <w:pPr>
        <w:pStyle w:val="BodyText"/>
      </w:pPr>
      <w:r w:rsidRPr="00DD67CD">
        <w:t>For aquatic taxa like spiny crayfish</w:t>
      </w:r>
      <w:r w:rsidR="00D017F6">
        <w:t xml:space="preserve"> spe</w:t>
      </w:r>
      <w:r w:rsidR="005128A5">
        <w:t>cies</w:t>
      </w:r>
      <w:r w:rsidRPr="00DD67CD">
        <w:t xml:space="preserve">, extreme heat events warm streams and can cause range retractions and population declines. Prolonged droughts can also disrupt water flow, while large rainfall events following bushfires and soil disturbance can lead to run-off and sedimentation. </w:t>
      </w:r>
    </w:p>
    <w:p w14:paraId="5E3BC933" w14:textId="77777777" w:rsidR="00260F74" w:rsidRPr="00DD67CD" w:rsidRDefault="00260F74" w:rsidP="0065368C">
      <w:pPr>
        <w:pStyle w:val="BodyText"/>
      </w:pPr>
      <w:r w:rsidRPr="00DD67CD">
        <w:t xml:space="preserve">Climate change can alter and shift habitat, creating changes to vegetation structure that will cause loss of populations. Species like the Errinundra Shining Gum are at risk of losing preferred habitat and be outcompeted by taxa that are more suited to the changed conditions. </w:t>
      </w:r>
    </w:p>
    <w:p w14:paraId="36A28C95" w14:textId="29D4D406" w:rsidR="00260F74" w:rsidRPr="00DD67CD" w:rsidRDefault="00260F74">
      <w:pPr>
        <w:pStyle w:val="BodyText"/>
        <w:rPr>
          <w:i/>
          <w:iCs/>
        </w:rPr>
      </w:pPr>
      <w:r w:rsidRPr="00DD67CD">
        <w:t>Th</w:t>
      </w:r>
      <w:r w:rsidR="005128A5">
        <w:t>is</w:t>
      </w:r>
      <w:r w:rsidRPr="00DD67CD">
        <w:t xml:space="preserve"> risk assessment has identified 29 threatened species that are at high or significant risk because of climate change. </w:t>
      </w:r>
    </w:p>
    <w:p w14:paraId="58A14C1B" w14:textId="77777777" w:rsidR="00C24219" w:rsidRPr="00915D82" w:rsidRDefault="00C24219">
      <w:pPr>
        <w:pStyle w:val="BodyText"/>
      </w:pPr>
      <w:r w:rsidRPr="00915D82">
        <w:t>Measures to manage the risks to threatened species from fire-related hazards include:</w:t>
      </w:r>
    </w:p>
    <w:p w14:paraId="221FC561" w14:textId="332C3F06" w:rsidR="00260F74" w:rsidRPr="00DD67CD" w:rsidRDefault="00260F74" w:rsidP="00A0496F">
      <w:pPr>
        <w:pStyle w:val="BodyText"/>
        <w:numPr>
          <w:ilvl w:val="0"/>
          <w:numId w:val="17"/>
        </w:numPr>
      </w:pPr>
      <w:r w:rsidRPr="00DD67CD">
        <w:t xml:space="preserve">The </w:t>
      </w:r>
      <w:hyperlink r:id="rId43" w:history="1">
        <w:r w:rsidRPr="00DD67CD">
          <w:rPr>
            <w:rStyle w:val="Hyperlink"/>
            <w:rFonts w:eastAsiaTheme="majorEastAsia"/>
            <w:i/>
          </w:rPr>
          <w:t>Climate Change Act 2017</w:t>
        </w:r>
      </w:hyperlink>
      <w:r w:rsidRPr="00DD67CD">
        <w:t>, which provides Victoria with legislation to manage climate change risks, maximise the opportunities that arise from decisive action, and drive transition to a climate-resilient community and economy with net-zero emissions by 2050;</w:t>
      </w:r>
    </w:p>
    <w:p w14:paraId="37E3DAD4" w14:textId="432A7AB2" w:rsidR="00260F74" w:rsidRPr="00DD67CD" w:rsidRDefault="00260F74" w:rsidP="00A0496F">
      <w:pPr>
        <w:pStyle w:val="BodyText"/>
        <w:numPr>
          <w:ilvl w:val="0"/>
          <w:numId w:val="17"/>
        </w:numPr>
      </w:pPr>
      <w:r w:rsidRPr="00DD67CD">
        <w:t xml:space="preserve">Victoria’s </w:t>
      </w:r>
      <w:r w:rsidR="00696AB2" w:rsidRPr="00696AB2">
        <w:rPr>
          <w:i/>
          <w:iCs/>
        </w:rPr>
        <w:t>Natural Environment Climate Change Adaptation Action Plan 2022-2026</w:t>
      </w:r>
      <w:r w:rsidRPr="00DD67CD">
        <w:t>, which is a system-level adaption action plan developed to respond to the priorities outlined in the Climate Change Act 2017, including an assessment of the extent to which existing policy addresses these priorities, and identifying actions to address key gaps;</w:t>
      </w:r>
    </w:p>
    <w:p w14:paraId="3B4EC085" w14:textId="437A8832" w:rsidR="00260F74" w:rsidRPr="00DD67CD" w:rsidRDefault="00460D1B" w:rsidP="00A0496F">
      <w:pPr>
        <w:pStyle w:val="BodyText"/>
        <w:numPr>
          <w:ilvl w:val="0"/>
          <w:numId w:val="17"/>
        </w:numPr>
      </w:pPr>
      <w:hyperlink r:id="rId44" w:history="1">
        <w:r w:rsidR="00260F74" w:rsidRPr="00DD67CD">
          <w:rPr>
            <w:rStyle w:val="Hyperlink"/>
            <w:rFonts w:eastAsiaTheme="majorEastAsia"/>
          </w:rPr>
          <w:t>Streamflow Management Plans</w:t>
        </w:r>
      </w:hyperlink>
      <w:r w:rsidR="00260F74" w:rsidRPr="00DD67CD">
        <w:t xml:space="preserve">, developed under the </w:t>
      </w:r>
      <w:r w:rsidR="00260F74" w:rsidRPr="00DD67CD">
        <w:rPr>
          <w:i/>
        </w:rPr>
        <w:t>Water Act 1989</w:t>
      </w:r>
      <w:r w:rsidR="00260F74" w:rsidRPr="00DD67CD">
        <w:t xml:space="preserve">, define the total amount of water in a catchment and describe how it will be shared between the environment and water users; and </w:t>
      </w:r>
    </w:p>
    <w:p w14:paraId="573C8F6C" w14:textId="3E41411A" w:rsidR="00260F74" w:rsidRPr="00DD67CD" w:rsidRDefault="00260F74" w:rsidP="00A0496F">
      <w:pPr>
        <w:pStyle w:val="BodyText"/>
        <w:numPr>
          <w:ilvl w:val="0"/>
          <w:numId w:val="17"/>
        </w:numPr>
      </w:pPr>
      <w:r w:rsidRPr="00DD67CD">
        <w:t xml:space="preserve">The </w:t>
      </w:r>
      <w:hyperlink r:id="rId45" w:history="1">
        <w:r w:rsidRPr="00DD67CD">
          <w:rPr>
            <w:rStyle w:val="Hyperlink"/>
            <w:rFonts w:eastAsiaTheme="majorEastAsia"/>
          </w:rPr>
          <w:t>Victorian Floodplain Management Strategy 2016</w:t>
        </w:r>
      </w:hyperlink>
      <w:r w:rsidR="00A302AC" w:rsidRPr="00DF5A05">
        <w:rPr>
          <w:rStyle w:val="Hyperlink"/>
          <w:rFonts w:eastAsiaTheme="majorEastAsia"/>
          <w:u w:val="none"/>
        </w:rPr>
        <w:t>,</w:t>
      </w:r>
      <w:r w:rsidRPr="00DD67CD">
        <w:t xml:space="preserve"> which sets the direction for floodplain management in Victoria and evaluates Victoria’s flood risks.</w:t>
      </w:r>
    </w:p>
    <w:p w14:paraId="49570BA9" w14:textId="77777777" w:rsidR="00260F74" w:rsidRPr="00DD67CD" w:rsidRDefault="00260F74" w:rsidP="00675EEE">
      <w:pPr>
        <w:pStyle w:val="Heading2"/>
        <w:ind w:left="0"/>
      </w:pPr>
      <w:bookmarkStart w:id="23" w:name="_Toc113271018"/>
      <w:r w:rsidRPr="00DD67CD">
        <w:t>Fire</w:t>
      </w:r>
      <w:bookmarkEnd w:id="23"/>
    </w:p>
    <w:p w14:paraId="2B671BAD" w14:textId="00A22CC4" w:rsidR="00260F74" w:rsidRPr="00DD67CD" w:rsidRDefault="00260F74" w:rsidP="0065368C">
      <w:pPr>
        <w:pStyle w:val="BodyText"/>
      </w:pPr>
      <w:r w:rsidRPr="00DD67CD">
        <w:t xml:space="preserve">Fire is an important component of most terrestrial ecosystems in Victoria. In considering the variety of risks (and benefits) that fire </w:t>
      </w:r>
      <w:r w:rsidR="006A5A13">
        <w:t>creates for</w:t>
      </w:r>
      <w:r w:rsidRPr="00DD67CD">
        <w:t xml:space="preserve"> threatened species, it is valuable to separate the key elements of fire as a hazard. These are:</w:t>
      </w:r>
    </w:p>
    <w:p w14:paraId="2D9D880D" w14:textId="77777777" w:rsidR="00260F74" w:rsidRPr="00DD67CD" w:rsidRDefault="00260F74" w:rsidP="0065368C">
      <w:pPr>
        <w:pStyle w:val="ListBullet"/>
        <w:ind w:left="709"/>
      </w:pPr>
      <w:r w:rsidRPr="00DD67CD">
        <w:t>The direct impacts of single bushfire events, including the mortality of individuals, the potential transformation of vegetation communities and the loss of habitat features;</w:t>
      </w:r>
    </w:p>
    <w:p w14:paraId="0F792A26" w14:textId="77777777" w:rsidR="00260F74" w:rsidRPr="00DD67CD" w:rsidRDefault="00260F74" w:rsidP="0065368C">
      <w:pPr>
        <w:pStyle w:val="ListBullet"/>
        <w:ind w:left="709"/>
      </w:pPr>
      <w:r w:rsidRPr="00DD67CD">
        <w:t>The indirect impacts of single bushfire events, such as sedimentation of waterways and reduced water quality;</w:t>
      </w:r>
    </w:p>
    <w:p w14:paraId="3652BBF6" w14:textId="0FFC3D31" w:rsidR="00260F74" w:rsidRPr="00DD67CD" w:rsidRDefault="00260F74" w:rsidP="0065368C">
      <w:pPr>
        <w:pStyle w:val="ListBullet"/>
        <w:ind w:left="709"/>
      </w:pPr>
      <w:r w:rsidRPr="00DD67CD">
        <w:t>The impacts of multiple fires</w:t>
      </w:r>
      <w:r w:rsidR="00EE5295">
        <w:t>,</w:t>
      </w:r>
      <w:r w:rsidRPr="00DD67CD">
        <w:t xml:space="preserve"> including bushfires and planned burns over time (known as the fire regime) and the changes to the fire regime attributed mainly to climate change; and</w:t>
      </w:r>
    </w:p>
    <w:p w14:paraId="1F01A323" w14:textId="77777777" w:rsidR="00260F74" w:rsidRPr="00DD67CD" w:rsidRDefault="00260F74" w:rsidP="0065368C">
      <w:pPr>
        <w:pStyle w:val="ListBullet"/>
        <w:ind w:left="709"/>
      </w:pPr>
      <w:r w:rsidRPr="00DD67CD">
        <w:t>The impacts of bushfire management, including planned burning and other treatments to reduce fuel, roading and earthworks, removal of hazardous trees and the use of fire retardants.</w:t>
      </w:r>
    </w:p>
    <w:p w14:paraId="1CDC363B" w14:textId="77777777" w:rsidR="00260F74" w:rsidRPr="00DD67CD" w:rsidRDefault="00260F74" w:rsidP="0065368C">
      <w:pPr>
        <w:pStyle w:val="BodyText"/>
      </w:pPr>
      <w:r w:rsidRPr="00DD67CD">
        <w:t xml:space="preserve">Bushfire can severely impact many species, with events such as the Alpine Fires of 2003, the Great Divide Fires of 2006, the Black Saturday Fires of 2009 and the 2019-20 bushfires in eastern Victoria having the capacity to substantially modify the environment in affected areas for decades, even centuries. </w:t>
      </w:r>
    </w:p>
    <w:p w14:paraId="471937F8" w14:textId="744FB6C0" w:rsidR="00260F74" w:rsidRPr="00DD67CD" w:rsidRDefault="00260F74" w:rsidP="0065368C">
      <w:pPr>
        <w:pStyle w:val="BodyText"/>
      </w:pPr>
      <w:r w:rsidRPr="00DD67CD">
        <w:rPr>
          <w:rStyle w:val="normaltextrun"/>
        </w:rPr>
        <w:t>Bushfires also degrade water quality and alter the dynamics of stream ecosystems. This occurs following heavy rainfall soon after a fire, as vegetation loss and altered soil structure make fire-affected soils more erodible. Runoff carries sediments and pollutants that affect aquatic species</w:t>
      </w:r>
      <w:r w:rsidRPr="00DD67CD">
        <w:t xml:space="preserve"> such as burrowing and spiny crayfish species</w:t>
      </w:r>
      <w:r w:rsidRPr="00DD67CD">
        <w:rPr>
          <w:rStyle w:val="normaltextrun"/>
        </w:rPr>
        <w:t xml:space="preserve"> and their habitats.</w:t>
      </w:r>
      <w:r w:rsidRPr="00DD67CD">
        <w:rPr>
          <w:rStyle w:val="eop"/>
        </w:rPr>
        <w:t xml:space="preserve"> </w:t>
      </w:r>
      <w:r w:rsidRPr="00DD67CD">
        <w:t>Bushfires can also result in the loss of riparian vegetation</w:t>
      </w:r>
      <w:r w:rsidR="00B96C8C">
        <w:t>,</w:t>
      </w:r>
      <w:r w:rsidRPr="00DD67CD">
        <w:t xml:space="preserve"> which impacts water temperature and food availability for aquatic species.</w:t>
      </w:r>
    </w:p>
    <w:p w14:paraId="2D850A53" w14:textId="352C50A2" w:rsidR="00260F74" w:rsidRPr="00DD67CD" w:rsidRDefault="00260F74" w:rsidP="0065368C">
      <w:pPr>
        <w:pStyle w:val="BodyText"/>
      </w:pPr>
      <w:r w:rsidRPr="00DD67CD">
        <w:t>While an individual bushfire might have a massive impact, it is the increased frequency and intensity of fire, mainly due to climate change, that is likely to drive permanent changes in the distribution and abundance of threatened species. Fires more frequent than the tolerable fire interval for a species can result in direct mortality</w:t>
      </w:r>
      <w:r w:rsidR="00EE1E19">
        <w:t>. Repeat</w:t>
      </w:r>
      <w:r w:rsidRPr="00DD67CD">
        <w:t xml:space="preserve"> disturbance can mean that recruiting plants fail to achieve sufficient maturity to flower and set seed, leading to seedbank depletion, recruitment failure and eventually local extinction. Other impacts include long-term changes to habitat and vegetation structure, increased browsing and trampling by </w:t>
      </w:r>
      <w:r w:rsidR="00CB3199">
        <w:t>invasive species</w:t>
      </w:r>
      <w:r w:rsidRPr="00DD67CD">
        <w:t xml:space="preserve"> such as Sambar Deer and increasing competition from both native and introduced species that are better adapted to the altered fire conditions.</w:t>
      </w:r>
    </w:p>
    <w:p w14:paraId="63E9D4D6" w14:textId="001E2455" w:rsidR="00260F74" w:rsidRPr="00DD67CD" w:rsidRDefault="00260F74" w:rsidP="0065368C">
      <w:pPr>
        <w:pStyle w:val="BodyText"/>
      </w:pPr>
      <w:r w:rsidRPr="00DD67CD">
        <w:t>Given the threat posed by bushfires to life, property and the environment, bushfire management is an essential and ongoing part of forest management in Victoria. Bushfire management is the primary control for reducing the risk of major bushfires to life, property</w:t>
      </w:r>
      <w:r w:rsidR="00312F19" w:rsidRPr="00DD67CD">
        <w:t>,</w:t>
      </w:r>
      <w:r w:rsidRPr="00DD67CD">
        <w:t xml:space="preserve"> and the environment.</w:t>
      </w:r>
    </w:p>
    <w:p w14:paraId="1C9708E9" w14:textId="1F647D50" w:rsidR="00260F74" w:rsidRPr="00DD67CD" w:rsidRDefault="00260F74" w:rsidP="0065368C">
      <w:pPr>
        <w:pStyle w:val="BodyText"/>
      </w:pPr>
      <w:r w:rsidRPr="00DD67CD">
        <w:t>Bushfire management can be divided into phases of planning, prevention, preparedness, fuel management, response, recovery</w:t>
      </w:r>
      <w:r w:rsidR="00BF1017" w:rsidRPr="00DD67CD">
        <w:t>,</w:t>
      </w:r>
      <w:r w:rsidRPr="00DD67CD">
        <w:t xml:space="preserve"> and monitoring. Fuel management and response are the key phases that generate risks to threatened species</w:t>
      </w:r>
      <w:r w:rsidR="005C3B9B">
        <w:t>,</w:t>
      </w:r>
      <w:r w:rsidRPr="00DD67CD">
        <w:t xml:space="preserve"> while noting the risks associated with bushfires as described above.</w:t>
      </w:r>
    </w:p>
    <w:p w14:paraId="693D8D16" w14:textId="43F35B5D" w:rsidR="00260F74" w:rsidRPr="00DD67CD" w:rsidRDefault="00260F74" w:rsidP="0065368C">
      <w:pPr>
        <w:pStyle w:val="BodyText"/>
      </w:pPr>
      <w:r w:rsidRPr="00DD67CD">
        <w:t xml:space="preserve">Fuel management most commonly involves planned burning, although other </w:t>
      </w:r>
      <w:r w:rsidR="0004134D">
        <w:t>mechanical treatments</w:t>
      </w:r>
      <w:r w:rsidRPr="00DD67CD">
        <w:t xml:space="preserve"> have been introduced. Whil</w:t>
      </w:r>
      <w:r w:rsidR="0064322B">
        <w:t>e</w:t>
      </w:r>
      <w:r w:rsidRPr="00DD67CD">
        <w:t xml:space="preserve"> planned burning mitigates against bushfire risk for a range of values, it contributes to a total fire regime and may</w:t>
      </w:r>
      <w:r w:rsidR="00AE4F20">
        <w:t>,</w:t>
      </w:r>
      <w:r w:rsidRPr="00DD67CD">
        <w:t xml:space="preserve"> in some circumstances and for some species</w:t>
      </w:r>
      <w:r w:rsidR="00D3444E">
        <w:t>,</w:t>
      </w:r>
      <w:r w:rsidRPr="00DD67CD">
        <w:t xml:space="preserve"> generate undesirable ecological changes.</w:t>
      </w:r>
    </w:p>
    <w:p w14:paraId="795A78E7" w14:textId="442B8F0F" w:rsidR="00260F74" w:rsidRPr="00DD67CD" w:rsidRDefault="00260F74" w:rsidP="0065368C">
      <w:pPr>
        <w:pStyle w:val="BodyText"/>
      </w:pPr>
      <w:r w:rsidRPr="00DD67CD">
        <w:t xml:space="preserve">Safety measures implemented to protect fire crews </w:t>
      </w:r>
      <w:r w:rsidR="00563EF2">
        <w:t xml:space="preserve">during planned burning </w:t>
      </w:r>
      <w:r w:rsidRPr="00DD67CD">
        <w:t>typically involve track maintenance</w:t>
      </w:r>
      <w:r w:rsidR="007346AE">
        <w:t xml:space="preserve"> or </w:t>
      </w:r>
      <w:r w:rsidRPr="00DD67CD">
        <w:t>widening to ensure safe access and the removal of hazardous trees. Machines may be used to create firebreaks around the planned burn perimeter, leading to temporary vegetation loss and soil disturbance. The burn perimeter might also intersect with streams or drainage lines, increasing the risk of soil erosion and sedimentation. The use of machinery may also facilitate the spread of weeds and pathogens.</w:t>
      </w:r>
    </w:p>
    <w:p w14:paraId="1EDD360C" w14:textId="31732741" w:rsidR="00260F74" w:rsidRPr="00DD67CD" w:rsidRDefault="00260F74" w:rsidP="0065368C">
      <w:pPr>
        <w:pStyle w:val="BodyText"/>
      </w:pPr>
      <w:r w:rsidRPr="00DD67CD">
        <w:t>The risk assessment has identified 3</w:t>
      </w:r>
      <w:r w:rsidR="00392376">
        <w:t>4</w:t>
      </w:r>
      <w:r w:rsidRPr="00DD67CD">
        <w:t xml:space="preserve"> threatened species that are at high or significant risk from fire.</w:t>
      </w:r>
    </w:p>
    <w:p w14:paraId="276F3537" w14:textId="77777777" w:rsidR="00260F74" w:rsidRPr="0065368C" w:rsidRDefault="00260F74" w:rsidP="0065368C">
      <w:pPr>
        <w:pStyle w:val="BodyText"/>
      </w:pPr>
      <w:r w:rsidRPr="0065368C">
        <w:t>Threatened species that may be significantly affected by fire include:</w:t>
      </w:r>
    </w:p>
    <w:p w14:paraId="70594410" w14:textId="6D2834E3" w:rsidR="00260F74" w:rsidRPr="00DD67CD" w:rsidRDefault="00260F74" w:rsidP="00B23CC0">
      <w:pPr>
        <w:pStyle w:val="ListBullet"/>
        <w:ind w:left="709"/>
      </w:pPr>
      <w:r>
        <w:t>Fire-sensitive species such as Finger Hakea, Baw Baw Berry</w:t>
      </w:r>
      <w:r w:rsidR="00CF1FAD">
        <w:t>,</w:t>
      </w:r>
      <w:r>
        <w:t xml:space="preserve"> and Beech Finger-fern;</w:t>
      </w:r>
    </w:p>
    <w:p w14:paraId="2B9505C9" w14:textId="3A81D3FD" w:rsidR="00260F74" w:rsidRPr="00DD67CD" w:rsidRDefault="00260F74" w:rsidP="00B23CC0">
      <w:pPr>
        <w:pStyle w:val="ListBullet"/>
        <w:ind w:left="709"/>
      </w:pPr>
      <w:r w:rsidRPr="00DD67CD">
        <w:t xml:space="preserve">Species that depend on </w:t>
      </w:r>
      <w:r w:rsidR="6DA0B5F3">
        <w:t>specific</w:t>
      </w:r>
      <w:r w:rsidRPr="00DD67CD">
        <w:t xml:space="preserve"> habitat features lost in fires (</w:t>
      </w:r>
      <w:r w:rsidR="6DA0B5F3">
        <w:t>e.g</w:t>
      </w:r>
      <w:r w:rsidR="00802C40">
        <w:t>.,</w:t>
      </w:r>
      <w:r w:rsidRPr="00DD67CD">
        <w:t xml:space="preserve"> hollows) like the Lace Monitor;</w:t>
      </w:r>
    </w:p>
    <w:p w14:paraId="0F0BC01F" w14:textId="21AE5D90" w:rsidR="00260F74" w:rsidRPr="00DD67CD" w:rsidRDefault="00260F74" w:rsidP="00B23CC0">
      <w:pPr>
        <w:pStyle w:val="ListBullet"/>
        <w:ind w:left="709"/>
      </w:pPr>
      <w:r w:rsidRPr="00DD67CD">
        <w:t>Rainforest species which are unable to recover sufficiently between fire events, such as Bolwarra, Creeping Shield-fern</w:t>
      </w:r>
      <w:r w:rsidR="00471B38" w:rsidRPr="00DD67CD">
        <w:t>,</w:t>
      </w:r>
      <w:r w:rsidRPr="00DD67CD">
        <w:t xml:space="preserve"> and White Supplejack; and</w:t>
      </w:r>
    </w:p>
    <w:p w14:paraId="50D61F68" w14:textId="180AAF6F" w:rsidR="00260F74" w:rsidRPr="00DD67CD" w:rsidRDefault="00260F74" w:rsidP="00B23CC0">
      <w:pPr>
        <w:pStyle w:val="ListBullet"/>
        <w:ind w:left="709"/>
      </w:pPr>
      <w:r w:rsidRPr="00DD67CD">
        <w:t>Wetland and waterway species vulnerable to sedimentation and run-off impacts</w:t>
      </w:r>
      <w:r w:rsidR="0032121A">
        <w:t>,</w:t>
      </w:r>
      <w:r w:rsidRPr="00DD67CD">
        <w:t xml:space="preserve"> including the Floodplain Violet and crayfish species.</w:t>
      </w:r>
    </w:p>
    <w:p w14:paraId="5AAF5289" w14:textId="77777777" w:rsidR="00260F74" w:rsidRPr="00915D82" w:rsidRDefault="00260F74">
      <w:pPr>
        <w:pStyle w:val="BodyText"/>
      </w:pPr>
      <w:r w:rsidRPr="00915D82">
        <w:t>Measures to manage the risks to threatened species from fire-related hazards include:</w:t>
      </w:r>
    </w:p>
    <w:p w14:paraId="12FE4157" w14:textId="09EB800C" w:rsidR="00260F74" w:rsidRPr="00DD67CD" w:rsidRDefault="00260F74" w:rsidP="00B23CC0">
      <w:pPr>
        <w:pStyle w:val="ListBullet2"/>
        <w:ind w:left="709"/>
      </w:pPr>
      <w:r w:rsidRPr="00DD67CD">
        <w:t xml:space="preserve">The Victorian Government’s </w:t>
      </w:r>
      <w:hyperlink r:id="rId46" w:history="1">
        <w:r w:rsidRPr="00DD67CD">
          <w:rPr>
            <w:rStyle w:val="Hyperlink"/>
            <w:rFonts w:eastAsiaTheme="majorEastAsia"/>
            <w:color w:val="363534" w:themeColor="text1"/>
          </w:rPr>
          <w:t>Safer Together</w:t>
        </w:r>
      </w:hyperlink>
      <w:r w:rsidRPr="00DD67CD">
        <w:t xml:space="preserve"> approach, including fuel management, to reduce the severity of bushfires in Victoria;</w:t>
      </w:r>
    </w:p>
    <w:p w14:paraId="3F1D6BD7" w14:textId="78467318" w:rsidR="00260F74" w:rsidRPr="00DD67CD" w:rsidRDefault="00460D1B" w:rsidP="00B23CC0">
      <w:pPr>
        <w:pStyle w:val="ListBullet2"/>
        <w:ind w:left="709"/>
      </w:pPr>
      <w:hyperlink r:id="rId47" w:history="1">
        <w:r w:rsidR="00260F74" w:rsidRPr="00DD67CD">
          <w:rPr>
            <w:rStyle w:val="Hyperlink"/>
            <w:rFonts w:eastAsiaTheme="majorEastAsia"/>
            <w:color w:val="363534" w:themeColor="text1"/>
          </w:rPr>
          <w:t>Bushfire suppression</w:t>
        </w:r>
      </w:hyperlink>
      <w:r w:rsidR="00260F74" w:rsidRPr="00DD67CD">
        <w:t xml:space="preserve"> </w:t>
      </w:r>
      <w:r w:rsidR="00977684">
        <w:t>through</w:t>
      </w:r>
      <w:r w:rsidR="00977684" w:rsidRPr="00DD67CD">
        <w:t xml:space="preserve"> </w:t>
      </w:r>
      <w:r w:rsidR="00260F74" w:rsidRPr="00DD67CD">
        <w:t>coordinated action to limit the extent and severity of bushfires;</w:t>
      </w:r>
    </w:p>
    <w:p w14:paraId="66BEEAA6" w14:textId="77777777" w:rsidR="00260F74" w:rsidRPr="00DD67CD" w:rsidRDefault="00260F74" w:rsidP="00B23CC0">
      <w:pPr>
        <w:pStyle w:val="ListBullet2"/>
        <w:ind w:left="709"/>
      </w:pPr>
      <w:r w:rsidRPr="00DD67CD">
        <w:t>Natural Values and Wildlife Officer roles in most Level 3 Incident Management Teams;</w:t>
      </w:r>
    </w:p>
    <w:p w14:paraId="453CD073" w14:textId="0543168F" w:rsidR="00260F74" w:rsidRPr="00DD67CD" w:rsidRDefault="00260F74" w:rsidP="00B23CC0">
      <w:pPr>
        <w:pStyle w:val="ListBullet2"/>
        <w:ind w:left="709"/>
      </w:pPr>
      <w:r w:rsidRPr="00DD67CD">
        <w:t>Biodiversity risk assessment role</w:t>
      </w:r>
      <w:r w:rsidR="000F52D5">
        <w:t>s</w:t>
      </w:r>
      <w:r w:rsidRPr="00DD67CD">
        <w:t xml:space="preserve"> deployed in every Rapid Risk Assessment Team;</w:t>
      </w:r>
    </w:p>
    <w:p w14:paraId="4915A611" w14:textId="77777777" w:rsidR="00260F74" w:rsidRPr="00DD67CD" w:rsidRDefault="00260F74" w:rsidP="00B23CC0">
      <w:pPr>
        <w:pStyle w:val="ListBullet2"/>
        <w:ind w:left="709"/>
      </w:pPr>
      <w:r w:rsidRPr="00DD67CD">
        <w:t>Environmental considerations in Readiness and Response Plans;</w:t>
      </w:r>
    </w:p>
    <w:p w14:paraId="5E90AF4B" w14:textId="40224A5A" w:rsidR="00260F74" w:rsidRPr="00DD67CD" w:rsidRDefault="00260F74" w:rsidP="00B23CC0">
      <w:pPr>
        <w:pStyle w:val="ListBullet2"/>
        <w:ind w:left="709"/>
      </w:pPr>
      <w:r w:rsidRPr="00DD67CD">
        <w:t xml:space="preserve">The </w:t>
      </w:r>
      <w:hyperlink r:id="rId48" w:history="1">
        <w:r w:rsidRPr="00DD67CD">
          <w:rPr>
            <w:rStyle w:val="Hyperlink"/>
            <w:rFonts w:eastAsiaTheme="majorEastAsia"/>
            <w:color w:val="363534" w:themeColor="text1"/>
          </w:rPr>
          <w:t>Code of Practice for Bushfire Management on Public Land 2012</w:t>
        </w:r>
      </w:hyperlink>
      <w:r w:rsidRPr="00DD67CD">
        <w:t>;</w:t>
      </w:r>
    </w:p>
    <w:p w14:paraId="6FA1B745" w14:textId="7E8B2C2B" w:rsidR="00260F74" w:rsidRPr="00DD67CD" w:rsidRDefault="00460D1B" w:rsidP="00B23CC0">
      <w:pPr>
        <w:pStyle w:val="ListBullet2"/>
        <w:ind w:left="709"/>
      </w:pPr>
      <w:hyperlink r:id="rId49" w:history="1">
        <w:r w:rsidR="00260F74" w:rsidRPr="00DD67CD">
          <w:rPr>
            <w:rStyle w:val="Hyperlink"/>
            <w:rFonts w:eastAsiaTheme="majorEastAsia"/>
            <w:color w:val="363534" w:themeColor="text1"/>
          </w:rPr>
          <w:t>Strategic Bushfire Management Planning</w:t>
        </w:r>
      </w:hyperlink>
      <w:r w:rsidR="00260F74" w:rsidRPr="00DD67CD">
        <w:t xml:space="preserve"> to identify fire management zones; and</w:t>
      </w:r>
    </w:p>
    <w:p w14:paraId="2A00C8E8" w14:textId="77777777" w:rsidR="00260F74" w:rsidRPr="00DD67CD" w:rsidRDefault="00260F74" w:rsidP="00B23CC0">
      <w:pPr>
        <w:pStyle w:val="ListBullet2"/>
        <w:ind w:left="709"/>
      </w:pPr>
      <w:r w:rsidRPr="00DD67CD">
        <w:t xml:space="preserve">Values checking and delivery of mitigations at the operational delivery stage of bushfire management activities.  </w:t>
      </w:r>
    </w:p>
    <w:p w14:paraId="7B28230D" w14:textId="758C3CA2" w:rsidR="00260F74" w:rsidRPr="00554562" w:rsidRDefault="00260F74" w:rsidP="00554562">
      <w:pPr>
        <w:pStyle w:val="Heading2"/>
        <w:ind w:left="0"/>
      </w:pPr>
      <w:bookmarkStart w:id="24" w:name="_Toc113271019"/>
      <w:r w:rsidRPr="00554562">
        <w:t>Forestry operations</w:t>
      </w:r>
      <w:bookmarkEnd w:id="24"/>
    </w:p>
    <w:p w14:paraId="4DD5A175" w14:textId="7077894F" w:rsidR="00260F74" w:rsidRPr="00DD67CD" w:rsidRDefault="00260F74" w:rsidP="0065368C">
      <w:pPr>
        <w:pStyle w:val="BodyText"/>
      </w:pPr>
      <w:r w:rsidRPr="00DD67CD">
        <w:t xml:space="preserve">Timber harvesting can occur at different scales and intensities and use different harvesting methods. While the history of native forest timber harvesting in Victoria is complex and variable across different forest types and regions, there has been a general shift towards more intensive harvesting systems since the mid-20th century, driven by a combination of silvicultural and commercial factors. More recently, there has been a </w:t>
      </w:r>
      <w:r w:rsidR="00FB7025">
        <w:t xml:space="preserve">shift towards adaptive management that retains significantly more individual trees and patches and </w:t>
      </w:r>
      <w:r w:rsidR="00721CAD">
        <w:t xml:space="preserve">with </w:t>
      </w:r>
      <w:r w:rsidR="00FB7025">
        <w:t xml:space="preserve">a </w:t>
      </w:r>
      <w:r w:rsidR="00721CAD">
        <w:t>greater</w:t>
      </w:r>
      <w:r w:rsidR="00FB7025">
        <w:t xml:space="preserve"> emphasis on biodiversity and </w:t>
      </w:r>
      <w:r w:rsidR="00721CAD">
        <w:t>managing</w:t>
      </w:r>
      <w:r w:rsidR="00FB7025">
        <w:t xml:space="preserve"> conservation values within coupes</w:t>
      </w:r>
      <w:r w:rsidR="00721CAD">
        <w:t xml:space="preserve">. There are also </w:t>
      </w:r>
      <w:r w:rsidR="00FB7025">
        <w:t xml:space="preserve">differences in </w:t>
      </w:r>
      <w:r w:rsidR="00721CAD">
        <w:t>the</w:t>
      </w:r>
      <w:r w:rsidR="00FB7025">
        <w:t xml:space="preserve"> approaches </w:t>
      </w:r>
      <w:r w:rsidR="001D02CF">
        <w:t xml:space="preserve">to </w:t>
      </w:r>
      <w:r w:rsidR="00FB7025">
        <w:t xml:space="preserve">harvesting in </w:t>
      </w:r>
      <w:r w:rsidR="00721CAD">
        <w:t>a</w:t>
      </w:r>
      <w:r w:rsidR="00FB7025">
        <w:t xml:space="preserve">sh </w:t>
      </w:r>
      <w:r w:rsidR="001D02CF">
        <w:t>and</w:t>
      </w:r>
      <w:r w:rsidR="00FB7025">
        <w:t xml:space="preserve"> </w:t>
      </w:r>
      <w:r w:rsidR="00721CAD">
        <w:t>m</w:t>
      </w:r>
      <w:r w:rsidR="00FB7025">
        <w:t xml:space="preserve">ixed </w:t>
      </w:r>
      <w:r w:rsidR="00721CAD">
        <w:t>s</w:t>
      </w:r>
      <w:r w:rsidR="00FB7025">
        <w:t xml:space="preserve">pecies </w:t>
      </w:r>
      <w:r w:rsidR="00721CAD">
        <w:t>forests</w:t>
      </w:r>
      <w:r w:rsidRPr="00DD67CD">
        <w:t xml:space="preserve">. Retention of understorey patches is also now common with typical coupes ranging between 20-40 hectares in size. </w:t>
      </w:r>
    </w:p>
    <w:p w14:paraId="179FE989" w14:textId="77777777" w:rsidR="00260F74" w:rsidRPr="00DD67CD" w:rsidRDefault="00260F74" w:rsidP="0065368C">
      <w:pPr>
        <w:pStyle w:val="BodyText"/>
      </w:pPr>
      <w:r w:rsidRPr="00DD67CD">
        <w:t xml:space="preserve">The site-level impacts of timber harvesting based on the standard “clear-fell” or “seed-tree” system include: </w:t>
      </w:r>
    </w:p>
    <w:p w14:paraId="6CCEF30D" w14:textId="77777777" w:rsidR="00260F74" w:rsidRPr="00DD67CD" w:rsidRDefault="00260F74" w:rsidP="00B23CC0">
      <w:pPr>
        <w:pStyle w:val="ListBullet2"/>
        <w:ind w:left="709"/>
      </w:pPr>
      <w:r w:rsidRPr="00DD67CD">
        <w:t xml:space="preserve">Direct mortality; </w:t>
      </w:r>
    </w:p>
    <w:p w14:paraId="5A4F2219" w14:textId="77777777" w:rsidR="00260F74" w:rsidRPr="00DD67CD" w:rsidRDefault="00260F74" w:rsidP="00B23CC0">
      <w:pPr>
        <w:pStyle w:val="ListBullet2"/>
        <w:ind w:left="709"/>
      </w:pPr>
      <w:r w:rsidRPr="00DD67CD">
        <w:t xml:space="preserve">Removal, modification, and fragmentation of the forest structure; </w:t>
      </w:r>
    </w:p>
    <w:p w14:paraId="28DBF3F9" w14:textId="77777777" w:rsidR="00260F74" w:rsidRPr="00DD67CD" w:rsidRDefault="00260F74" w:rsidP="00B23CC0">
      <w:pPr>
        <w:pStyle w:val="ListBullet2"/>
        <w:ind w:left="709"/>
      </w:pPr>
      <w:r w:rsidRPr="00DD67CD">
        <w:t xml:space="preserve">Soil disturbance and compaction due to machinery use, potentially also leading to soil erosion and sedimentation of waterways; and </w:t>
      </w:r>
    </w:p>
    <w:p w14:paraId="192B5799" w14:textId="3948302F" w:rsidR="00260F74" w:rsidRPr="00DD67CD" w:rsidRDefault="00260F74" w:rsidP="00B23CC0">
      <w:pPr>
        <w:pStyle w:val="ListBullet2"/>
        <w:ind w:left="709"/>
      </w:pPr>
      <w:r w:rsidRPr="00DD67CD">
        <w:t>Edge creation, leading to changes in micro-climate characteristics such as light intensity, temperature, humidity</w:t>
      </w:r>
      <w:r w:rsidR="009903DD" w:rsidRPr="00DD67CD">
        <w:t>,</w:t>
      </w:r>
      <w:r w:rsidRPr="00DD67CD">
        <w:t xml:space="preserve"> and wind strength in the adjoining forests. </w:t>
      </w:r>
    </w:p>
    <w:p w14:paraId="2ECC4EA4" w14:textId="4BF9E22B" w:rsidR="00260F74" w:rsidRPr="00DD67CD" w:rsidRDefault="00260F74" w:rsidP="0065368C">
      <w:pPr>
        <w:pStyle w:val="BodyText"/>
      </w:pPr>
      <w:r w:rsidRPr="00DD67CD">
        <w:t>Direct mortality occur</w:t>
      </w:r>
      <w:r w:rsidR="0010631A">
        <w:t>s</w:t>
      </w:r>
      <w:r w:rsidRPr="00DD67CD">
        <w:t xml:space="preserve"> through timber harvesting operations</w:t>
      </w:r>
      <w:r w:rsidR="00053366">
        <w:t xml:space="preserve">, with </w:t>
      </w:r>
      <w:r w:rsidR="00F32B5F">
        <w:t xml:space="preserve">tree </w:t>
      </w:r>
      <w:r w:rsidR="00053366">
        <w:t>species previously being available for harvesting</w:t>
      </w:r>
      <w:r w:rsidR="00BC46A2">
        <w:t xml:space="preserve"> </w:t>
      </w:r>
      <w:r w:rsidR="00053366">
        <w:t>now being listed as threatened</w:t>
      </w:r>
      <w:r w:rsidR="0010631A">
        <w:rPr>
          <w:rStyle w:val="normaltextrun"/>
        </w:rPr>
        <w:t xml:space="preserve">. </w:t>
      </w:r>
    </w:p>
    <w:p w14:paraId="6EF1BD0C" w14:textId="2A6BC94C" w:rsidR="00260F74" w:rsidRPr="00DD67CD" w:rsidRDefault="00260F74" w:rsidP="0065368C">
      <w:pPr>
        <w:pStyle w:val="BodyText"/>
      </w:pPr>
      <w:r w:rsidRPr="00DD67CD">
        <w:t xml:space="preserve">The use of heavy machinery during and after the harvesting operation, particularly on snig tracks and log landings, can have a localised and detrimental impact on survival of </w:t>
      </w:r>
      <w:r w:rsidR="008372D4">
        <w:t>many</w:t>
      </w:r>
      <w:r w:rsidRPr="00DD67CD">
        <w:t xml:space="preserve"> understorey species (e.g</w:t>
      </w:r>
      <w:r w:rsidR="009903DD" w:rsidRPr="00DD67CD">
        <w:t>.,</w:t>
      </w:r>
      <w:r w:rsidRPr="00DD67CD">
        <w:t xml:space="preserve"> Baw Baw Berry,</w:t>
      </w:r>
      <w:r w:rsidRPr="00DD67CD">
        <w:rPr>
          <w:rStyle w:val="normaltextrun"/>
          <w:i/>
          <w:iCs/>
        </w:rPr>
        <w:t xml:space="preserve"> </w:t>
      </w:r>
      <w:r w:rsidRPr="00DD67CD">
        <w:rPr>
          <w:rStyle w:val="normaltextrun"/>
        </w:rPr>
        <w:t>Mountain Bird-orchid, Upright Pomaderris</w:t>
      </w:r>
      <w:r w:rsidRPr="00DD67CD">
        <w:t>). Burrowing and spiny crayfish are vulnerable to sedimentation impacts arising from roads, stream crossings and unbuffered drainage lines. Small wetland plants are also vulnerable to sedimentation effects (e.g</w:t>
      </w:r>
      <w:r w:rsidR="004D1F68" w:rsidRPr="00DD67CD">
        <w:t>.,</w:t>
      </w:r>
      <w:r w:rsidRPr="00DD67CD">
        <w:t xml:space="preserve"> </w:t>
      </w:r>
      <w:r w:rsidRPr="00DD67CD">
        <w:rPr>
          <w:rStyle w:val="normaltextrun"/>
        </w:rPr>
        <w:t>Brackish Plains Buttercup, Forest Sedge).</w:t>
      </w:r>
    </w:p>
    <w:p w14:paraId="4AEE5C89" w14:textId="63B29673" w:rsidR="00260F74" w:rsidRPr="00DD67CD" w:rsidRDefault="00260F74" w:rsidP="0065368C">
      <w:pPr>
        <w:pStyle w:val="BodyText"/>
        <w:rPr>
          <w:rStyle w:val="normaltextrun"/>
        </w:rPr>
      </w:pPr>
      <w:r w:rsidRPr="00DD67CD">
        <w:t xml:space="preserve">Edge effects can impact adjacent rainforest. Many species subject to this risk assessment occur within </w:t>
      </w:r>
      <w:r w:rsidR="00592BC5">
        <w:t xml:space="preserve">or adjacent to </w:t>
      </w:r>
      <w:r w:rsidRPr="00DD67CD">
        <w:t>rainforest habitats (e.g</w:t>
      </w:r>
      <w:r w:rsidR="004D1F68" w:rsidRPr="00DD67CD">
        <w:t>.,</w:t>
      </w:r>
      <w:r w:rsidRPr="00DD67CD">
        <w:t xml:space="preserve"> </w:t>
      </w:r>
      <w:r w:rsidRPr="00DD67CD">
        <w:rPr>
          <w:rStyle w:val="normaltextrun"/>
        </w:rPr>
        <w:t>Baw Baw Berry, Oval Fork-fern, White Supplejack)</w:t>
      </w:r>
      <w:r w:rsidRPr="00DD67CD">
        <w:t>. While these taxa are generally protected by rainforest prescriptions, occurrences of the species outside of these habitats will be subject to edge effects, including increased light and wind penetration, elevated temperatures</w:t>
      </w:r>
      <w:r w:rsidR="008C00BE" w:rsidRPr="00DD67CD">
        <w:t>,</w:t>
      </w:r>
      <w:r w:rsidRPr="00DD67CD">
        <w:t xml:space="preserve"> and reduced humidity. Following bushfire, these risks are exacerbated due to the impact on the rainforest canopy and consequent difficulties defining rainforest boundaries.</w:t>
      </w:r>
    </w:p>
    <w:p w14:paraId="3560D241" w14:textId="3A3B3CC8" w:rsidR="00260F74" w:rsidRPr="00DD67CD" w:rsidRDefault="00260F74" w:rsidP="0065368C">
      <w:pPr>
        <w:pStyle w:val="BodyText"/>
      </w:pPr>
      <w:r w:rsidRPr="00DD67CD">
        <w:t>Following harvesting, hot regeneration burns are typically applied, to remove “slash” and create conditions suitable for germination and seedling establishment, noting that VicForests has incorporated lower impact regeneration options into their 2019 update of harvesting and regeneration systems and high conservation management systems. These burns impact recruits</w:t>
      </w:r>
      <w:r w:rsidRPr="00DD67CD">
        <w:rPr>
          <w:rStyle w:val="normaltextrun"/>
        </w:rPr>
        <w:t xml:space="preserve"> (</w:t>
      </w:r>
      <w:r w:rsidR="008C00BE" w:rsidRPr="00DD67CD">
        <w:rPr>
          <w:rStyle w:val="normaltextrun"/>
        </w:rPr>
        <w:t>e.g.,</w:t>
      </w:r>
      <w:r w:rsidRPr="00DD67CD">
        <w:rPr>
          <w:rStyle w:val="normaltextrun"/>
        </w:rPr>
        <w:t xml:space="preserve"> Forest Geebung, Satinwood, Tullach Ard Grevillea) or surviving mature individuals (e.g</w:t>
      </w:r>
      <w:r w:rsidR="008C00BE" w:rsidRPr="00DD67CD">
        <w:rPr>
          <w:rStyle w:val="normaltextrun"/>
        </w:rPr>
        <w:t>.,</w:t>
      </w:r>
      <w:r w:rsidRPr="00DD67CD">
        <w:rPr>
          <w:rStyle w:val="normaltextrun"/>
        </w:rPr>
        <w:t xml:space="preserve"> Tasmanian Wax-flower, Veined Pomaderris) either directly, or by facilitating competitive exclusion </w:t>
      </w:r>
      <w:r w:rsidR="000E13F6">
        <w:rPr>
          <w:rStyle w:val="normaltextrun"/>
        </w:rPr>
        <w:t xml:space="preserve">of threatened species </w:t>
      </w:r>
      <w:r w:rsidR="000E13F6" w:rsidRPr="00DD67CD">
        <w:rPr>
          <w:rStyle w:val="normaltextrun"/>
        </w:rPr>
        <w:t>(e.g</w:t>
      </w:r>
      <w:r w:rsidR="008C00BE" w:rsidRPr="00DD67CD">
        <w:rPr>
          <w:rStyle w:val="normaltextrun"/>
        </w:rPr>
        <w:t>.,</w:t>
      </w:r>
      <w:r w:rsidR="000E13F6" w:rsidRPr="00DD67CD">
        <w:rPr>
          <w:rStyle w:val="normaltextrun"/>
        </w:rPr>
        <w:t xml:space="preserve"> Leafless Pink-bells)</w:t>
      </w:r>
      <w:r w:rsidR="000E13F6">
        <w:rPr>
          <w:rStyle w:val="normaltextrun"/>
        </w:rPr>
        <w:t xml:space="preserve"> </w:t>
      </w:r>
      <w:r w:rsidRPr="00DD67CD">
        <w:rPr>
          <w:rStyle w:val="normaltextrun"/>
        </w:rPr>
        <w:t>by more common species.</w:t>
      </w:r>
    </w:p>
    <w:p w14:paraId="5E6EE353" w14:textId="0D979C67" w:rsidR="00260F74" w:rsidRPr="00DD67CD" w:rsidRDefault="00260F74" w:rsidP="0065368C">
      <w:pPr>
        <w:pStyle w:val="BodyText"/>
      </w:pPr>
      <w:r w:rsidRPr="00DD67CD">
        <w:t xml:space="preserve">Some species subject to this risk assessment are impacted by plantation forestry. Rapidly growing trees draw down on the water table and may reduce surface runoff. This can lead </w:t>
      </w:r>
      <w:r w:rsidR="00737A4B">
        <w:t>to</w:t>
      </w:r>
      <w:r w:rsidRPr="00DD67CD">
        <w:t xml:space="preserve"> the drying out of wetlands and damper habitats occupied by species like </w:t>
      </w:r>
      <w:r w:rsidRPr="00DD67CD">
        <w:rPr>
          <w:rStyle w:val="normaltextrun"/>
        </w:rPr>
        <w:t>Black Bog-sedge, Bog Saw-sedge, and Lax Twig-sedge. Similar impacts on hydrology may also occur after native timber harvesting or wildfire</w:t>
      </w:r>
      <w:r w:rsidR="009247E9">
        <w:rPr>
          <w:rStyle w:val="normaltextrun"/>
        </w:rPr>
        <w:t>,</w:t>
      </w:r>
      <w:r w:rsidRPr="00DD67CD">
        <w:rPr>
          <w:rStyle w:val="normaltextrun"/>
        </w:rPr>
        <w:t xml:space="preserve"> when large areas of vegetation rapidly regrow. Other species (e.g</w:t>
      </w:r>
      <w:r w:rsidR="008C00BE" w:rsidRPr="00DD67CD">
        <w:rPr>
          <w:rStyle w:val="normaltextrun"/>
        </w:rPr>
        <w:t>.,</w:t>
      </w:r>
      <w:r w:rsidRPr="00DD67CD">
        <w:rPr>
          <w:rStyle w:val="normaltextrun"/>
        </w:rPr>
        <w:t xml:space="preserve"> Violet Bladderwort) may be impacted by chemical run-off and spray drift from adjacent plantations.</w:t>
      </w:r>
    </w:p>
    <w:p w14:paraId="5F13CD94" w14:textId="0972ED43" w:rsidR="00260F74" w:rsidRPr="00DD67CD" w:rsidRDefault="00260F74" w:rsidP="0065368C">
      <w:pPr>
        <w:pStyle w:val="BodyText"/>
      </w:pPr>
      <w:r w:rsidRPr="00DD67CD">
        <w:t>The risk assessment has identified 3</w:t>
      </w:r>
      <w:r w:rsidR="00D53F53">
        <w:t>2</w:t>
      </w:r>
      <w:r w:rsidRPr="00DD67CD">
        <w:t xml:space="preserve"> threatened species that are at high or significant risk from forestry operations. Species affected by the 2019-20 bushfires may have a higher risk rating than would otherwise be the case</w:t>
      </w:r>
      <w:r w:rsidR="007E0E02">
        <w:t>,</w:t>
      </w:r>
      <w:r w:rsidRPr="00DD67CD">
        <w:t xml:space="preserve"> due to the elevated uncertainty from the impacts of the bushfires and the implications for the additional impacts that forestry operations might have on those species and communities, as they recover.</w:t>
      </w:r>
    </w:p>
    <w:p w14:paraId="638A17EF" w14:textId="77777777" w:rsidR="00260F74" w:rsidRPr="00DD67CD" w:rsidRDefault="00260F74" w:rsidP="00915D82">
      <w:pPr>
        <w:pStyle w:val="BodyText"/>
      </w:pPr>
      <w:r w:rsidRPr="00DD67CD">
        <w:t>Measures to manage the risks to threatened species from forestry operations include:</w:t>
      </w:r>
    </w:p>
    <w:p w14:paraId="43C512A0" w14:textId="4EDD5BC8" w:rsidR="00260F74" w:rsidRPr="00DD67CD" w:rsidRDefault="00260F74" w:rsidP="00B23CC0">
      <w:pPr>
        <w:pStyle w:val="ListBullet"/>
        <w:ind w:left="709"/>
      </w:pPr>
      <w:r w:rsidRPr="00DD67CD">
        <w:t xml:space="preserve">The </w:t>
      </w:r>
      <w:hyperlink r:id="rId50" w:history="1">
        <w:r w:rsidRPr="00DD67CD">
          <w:rPr>
            <w:rStyle w:val="Hyperlink"/>
            <w:rFonts w:eastAsiaTheme="majorEastAsia"/>
          </w:rPr>
          <w:t>Code of Practice for Timber Production 2014</w:t>
        </w:r>
      </w:hyperlink>
      <w:r w:rsidRPr="00DD67CD">
        <w:t xml:space="preserve"> (the Code) which provides the framework for the regulation of commercial timber harvesting operations on both public and private land; The Code and the incorporated Management Standards and Procedures for Timber Harvesting Operations in Victoria’s State Forests 2014 (MSPs) provide for the protection of biodiversity and mitigation of risks through mandatory actions, such as field-based prescriptions for species and their habitat, soil and water quality risk management and post-fire salvage risk management;</w:t>
      </w:r>
    </w:p>
    <w:p w14:paraId="7A68660E" w14:textId="1D16F5A7" w:rsidR="00260F74" w:rsidRPr="00DD67CD" w:rsidRDefault="00260F74" w:rsidP="00B23CC0">
      <w:pPr>
        <w:pStyle w:val="ListBullet"/>
        <w:ind w:left="709"/>
      </w:pPr>
      <w:r>
        <w:t xml:space="preserve">The </w:t>
      </w:r>
      <w:hyperlink r:id="rId51">
        <w:r w:rsidRPr="475E85CF">
          <w:rPr>
            <w:rStyle w:val="Hyperlink"/>
            <w:rFonts w:eastAsiaTheme="majorEastAsia"/>
          </w:rPr>
          <w:t>Comprehensive, Adequate and Representative (CAR) Reserve System</w:t>
        </w:r>
      </w:hyperlink>
      <w:r>
        <w:t xml:space="preserve"> which </w:t>
      </w:r>
      <w:r w:rsidR="6C15FEE5">
        <w:t>is excluded</w:t>
      </w:r>
      <w:r>
        <w:t xml:space="preserve"> from forestry operations;</w:t>
      </w:r>
    </w:p>
    <w:p w14:paraId="12201070" w14:textId="43360011" w:rsidR="00260F74" w:rsidRPr="00DD67CD" w:rsidRDefault="00260F74" w:rsidP="00B23CC0">
      <w:pPr>
        <w:pStyle w:val="ListBullet"/>
        <w:ind w:left="709"/>
      </w:pPr>
      <w:r w:rsidRPr="00DD67CD">
        <w:t xml:space="preserve">The Forest Management Zoning System outlined in the </w:t>
      </w:r>
      <w:hyperlink r:id="rId52" w:history="1">
        <w:r w:rsidRPr="00DD67CD">
          <w:rPr>
            <w:rStyle w:val="Hyperlink"/>
            <w:rFonts w:eastAsiaTheme="majorEastAsia"/>
          </w:rPr>
          <w:t xml:space="preserve">Code of </w:t>
        </w:r>
        <w:r w:rsidR="00C803B7">
          <w:rPr>
            <w:rStyle w:val="Hyperlink"/>
            <w:rFonts w:eastAsiaTheme="majorEastAsia"/>
          </w:rPr>
          <w:t>P</w:t>
        </w:r>
        <w:r w:rsidRPr="00DD67CD">
          <w:rPr>
            <w:rStyle w:val="Hyperlink"/>
            <w:rFonts w:eastAsiaTheme="majorEastAsia"/>
          </w:rPr>
          <w:t xml:space="preserve">ractice for Timber </w:t>
        </w:r>
        <w:r w:rsidR="00CD6649">
          <w:rPr>
            <w:rStyle w:val="Hyperlink"/>
            <w:rFonts w:eastAsiaTheme="majorEastAsia"/>
          </w:rPr>
          <w:t>P</w:t>
        </w:r>
        <w:r w:rsidRPr="00DD67CD">
          <w:rPr>
            <w:rStyle w:val="Hyperlink"/>
            <w:rFonts w:eastAsiaTheme="majorEastAsia"/>
          </w:rPr>
          <w:t>roduction 2014</w:t>
        </w:r>
      </w:hyperlink>
      <w:r w:rsidRPr="00DD67CD">
        <w:t xml:space="preserve"> classifies areas of State Forest for conservation, production, or multiple use. It comprises: Special Protection Zone (SPZ), managed for conservation values; Special Management Zone (SMZ), managed to conserve specific features while catering for timber production; and General Management Zone (GMZ) where multiple use management and timber production is generally permitted. Elements of FMZ are included in the CAR Reserve System</w:t>
      </w:r>
      <w:r w:rsidR="004C6CAD">
        <w:t>;</w:t>
      </w:r>
    </w:p>
    <w:p w14:paraId="73235B25" w14:textId="0C57C36F" w:rsidR="00260F74" w:rsidRPr="00DD67CD" w:rsidRDefault="00260F74" w:rsidP="00B23CC0">
      <w:pPr>
        <w:pStyle w:val="ListBullet"/>
        <w:ind w:left="709"/>
      </w:pPr>
      <w:r w:rsidRPr="00DD67CD">
        <w:t xml:space="preserve">Modified harvesting and forest regeneration </w:t>
      </w:r>
      <w:r w:rsidR="00C803B7">
        <w:t>practise</w:t>
      </w:r>
      <w:r w:rsidRPr="00DD67CD">
        <w:t>s</w:t>
      </w:r>
      <w:r w:rsidR="00C838BF">
        <w:t>,</w:t>
      </w:r>
      <w:r w:rsidRPr="00DD67CD">
        <w:t xml:space="preserve"> which have been implemented in native forest to further mitigate the potential threat from forestry operations to threatened species and their habitats above the current Code of Practice requirements</w:t>
      </w:r>
      <w:r w:rsidR="002A1D02">
        <w:t>,</w:t>
      </w:r>
      <w:r w:rsidRPr="00DD67CD">
        <w:t xml:space="preserve"> e.g</w:t>
      </w:r>
      <w:r w:rsidR="00ED0605" w:rsidRPr="00DD67CD">
        <w:t>.,</w:t>
      </w:r>
      <w:r w:rsidRPr="00DD67CD">
        <w:t xml:space="preserve"> greater retention harvesting</w:t>
      </w:r>
      <w:r w:rsidR="007E2C53">
        <w:t xml:space="preserve"> and</w:t>
      </w:r>
      <w:r w:rsidRPr="00DD67CD">
        <w:t xml:space="preserve"> retention of habitat or hollow bearing trees</w:t>
      </w:r>
      <w:r w:rsidR="004C6CAD">
        <w:t>; and</w:t>
      </w:r>
    </w:p>
    <w:p w14:paraId="13FA1A3C" w14:textId="3A66624C" w:rsidR="00A85A13" w:rsidRPr="00DD67CD" w:rsidRDefault="00A85A13" w:rsidP="00B23CC0">
      <w:pPr>
        <w:pStyle w:val="ListBullet"/>
        <w:ind w:left="709"/>
      </w:pPr>
      <w:r>
        <w:t>Third party certification of forestry operators</w:t>
      </w:r>
      <w:r w:rsidR="0007346F">
        <w:t>.</w:t>
      </w:r>
    </w:p>
    <w:p w14:paraId="2E6C9F11" w14:textId="484AC667" w:rsidR="00260F74" w:rsidRPr="00554562" w:rsidRDefault="00260F74" w:rsidP="00554562">
      <w:pPr>
        <w:pStyle w:val="Heading2"/>
        <w:ind w:left="0"/>
      </w:pPr>
      <w:bookmarkStart w:id="25" w:name="_Toc113271020"/>
      <w:r w:rsidRPr="00554562">
        <w:t xml:space="preserve">Habitat </w:t>
      </w:r>
      <w:r w:rsidR="0065368C" w:rsidRPr="00554562">
        <w:t>loss, degradation</w:t>
      </w:r>
      <w:r w:rsidR="006979AE" w:rsidRPr="00554562">
        <w:t>,</w:t>
      </w:r>
      <w:r w:rsidR="0065368C" w:rsidRPr="00554562">
        <w:t xml:space="preserve"> and fragmentation</w:t>
      </w:r>
      <w:bookmarkEnd w:id="25"/>
    </w:p>
    <w:p w14:paraId="181F1623" w14:textId="04DF7024" w:rsidR="00260F74" w:rsidRPr="00DD67CD" w:rsidRDefault="00260F74" w:rsidP="0065368C">
      <w:pPr>
        <w:pStyle w:val="BodyText"/>
      </w:pPr>
      <w:r w:rsidRPr="00DD67CD">
        <w:t xml:space="preserve">Habitat loss, </w:t>
      </w:r>
      <w:r w:rsidR="0065368C" w:rsidRPr="00DD67CD">
        <w:t xml:space="preserve">degradation </w:t>
      </w:r>
      <w:r w:rsidRPr="00DD67CD">
        <w:t xml:space="preserve">and </w:t>
      </w:r>
      <w:r w:rsidR="0065368C" w:rsidRPr="00DD67CD">
        <w:t xml:space="preserve">fragmentation </w:t>
      </w:r>
      <w:r w:rsidRPr="00DD67CD">
        <w:t>occur through numerous pathways. Climate change, fire and forestry operations all contribute to these processes. This risk assessment also identified that roading and the construction of fuel breaks, water management and use, and agricultural intensification are important pathways to habitat modification.</w:t>
      </w:r>
    </w:p>
    <w:p w14:paraId="7BA0F0B6" w14:textId="5941A333" w:rsidR="00260F74" w:rsidRPr="00DD67CD" w:rsidRDefault="00260F74" w:rsidP="0065368C">
      <w:pPr>
        <w:pStyle w:val="BodyText"/>
      </w:pPr>
      <w:r w:rsidRPr="00DD67CD">
        <w:t>The permanent road network in Victorian public land forests is vital to bushfire management, timber production, recreation</w:t>
      </w:r>
      <w:r w:rsidR="001D7673" w:rsidRPr="00DD67CD">
        <w:t>,</w:t>
      </w:r>
      <w:r w:rsidRPr="00DD67CD">
        <w:t xml:space="preserve"> and public safety. Road construction, upgrading and maintenance are routinely carried out across the public land forest estate, including in parks and reserves, although construction of new permanent roads is relatively rare. Construction of temporary roads for access to timber harvesting coupes is common. Species like Fingerwort are vulnerable to direct mortality through landslips associated with roading, while Long Pink-bells occurs on roadsides so is vulnerable to road widening activities. Values checking processes are usually adequate controls if the locations of threatened species are known, although comprehensive information on the location of important populations is lacking for most threatened plant species.</w:t>
      </w:r>
    </w:p>
    <w:p w14:paraId="683F7891" w14:textId="221834B8" w:rsidR="00260F74" w:rsidRPr="00DD67CD" w:rsidRDefault="00260F74" w:rsidP="0065368C">
      <w:pPr>
        <w:pStyle w:val="BodyText"/>
      </w:pPr>
      <w:r w:rsidRPr="00DD67CD">
        <w:t xml:space="preserve">The construction of strategic </w:t>
      </w:r>
      <w:r>
        <w:t>fuel breaks</w:t>
      </w:r>
      <w:r w:rsidRPr="00DD67CD">
        <w:t xml:space="preserve"> is </w:t>
      </w:r>
      <w:r w:rsidR="008C2122" w:rsidRPr="00DD67CD">
        <w:t>like</w:t>
      </w:r>
      <w:r w:rsidR="003C621D">
        <w:t xml:space="preserve"> </w:t>
      </w:r>
      <w:r w:rsidR="003C621D" w:rsidRPr="003C621D">
        <w:t xml:space="preserve">permanent roads </w:t>
      </w:r>
      <w:r w:rsidRPr="00DD67CD">
        <w:t xml:space="preserve">in terms of its impacts on threatened species, and so is </w:t>
      </w:r>
      <w:r w:rsidR="000925B2">
        <w:t>addressed</w:t>
      </w:r>
      <w:r w:rsidRPr="00DD67CD">
        <w:t xml:space="preserve"> </w:t>
      </w:r>
      <w:r w:rsidR="00A63581">
        <w:t>in this section</w:t>
      </w:r>
      <w:r w:rsidR="00A63581" w:rsidRPr="00DD67CD">
        <w:t xml:space="preserve"> </w:t>
      </w:r>
      <w:r w:rsidRPr="00DD67CD">
        <w:t xml:space="preserve">rather than as part of bushfire management. Pale Hickory-wattle is vulnerable to the construction of fuel breaks along electrical transmission lines, particularly where chemical herbicides are applied instead of mechanical treatment. The potential longer-term impact of strategic </w:t>
      </w:r>
      <w:r>
        <w:t>fuel breaks</w:t>
      </w:r>
      <w:r w:rsidRPr="00DD67CD">
        <w:t xml:space="preserve"> includes areas adjacent to the </w:t>
      </w:r>
      <w:r>
        <w:t>fuel breaks</w:t>
      </w:r>
      <w:r w:rsidRPr="00DD67CD">
        <w:t xml:space="preserve"> that are subject to planned burning below tolerable fire intervals, either as part of bushfire prevention or suppression activities, noting the trade-off with the risks of not managing the threat of bushfire.</w:t>
      </w:r>
    </w:p>
    <w:p w14:paraId="660135A7" w14:textId="15AB4BBE" w:rsidR="00260F74" w:rsidRPr="00DD67CD" w:rsidRDefault="00260F74" w:rsidP="0065368C">
      <w:pPr>
        <w:pStyle w:val="BodyText"/>
      </w:pPr>
      <w:r w:rsidRPr="00DD67CD">
        <w:t xml:space="preserve">Roading and constructing </w:t>
      </w:r>
      <w:r>
        <w:t>fuel breaks</w:t>
      </w:r>
      <w:r w:rsidRPr="00DD67CD">
        <w:t xml:space="preserve"> also involves the installation and maintenance of bridges, culverts</w:t>
      </w:r>
      <w:r w:rsidR="001C75EC" w:rsidRPr="00DD67CD">
        <w:t>,</w:t>
      </w:r>
      <w:r w:rsidRPr="00DD67CD">
        <w:t xml:space="preserve"> and drains. It should be noted tha</w:t>
      </w:r>
      <w:r w:rsidR="00FD7608">
        <w:t>t</w:t>
      </w:r>
      <w:r w:rsidRPr="00DD67CD">
        <w:t xml:space="preserve"> forest canopy</w:t>
      </w:r>
      <w:r>
        <w:t xml:space="preserve"> gaps</w:t>
      </w:r>
      <w:r w:rsidRPr="00DD67CD">
        <w:t xml:space="preserve">, soil </w:t>
      </w:r>
      <w:r>
        <w:t xml:space="preserve">disturbance </w:t>
      </w:r>
      <w:r w:rsidRPr="00DD67CD">
        <w:t>and waterbodies</w:t>
      </w:r>
      <w:r>
        <w:t xml:space="preserve"> created artificially </w:t>
      </w:r>
      <w:r w:rsidRPr="00DD67CD">
        <w:t>due to drainage from roads</w:t>
      </w:r>
      <w:r w:rsidR="00FD7608">
        <w:t xml:space="preserve">, </w:t>
      </w:r>
      <w:r w:rsidRPr="00DD67CD">
        <w:t>may trigger germination or provide habitat</w:t>
      </w:r>
      <w:r>
        <w:t xml:space="preserve"> for some species</w:t>
      </w:r>
      <w:r w:rsidRPr="00DD67CD">
        <w:t xml:space="preserve">, although it is unclear if this contributes significantly to the overall viability of the local populations. </w:t>
      </w:r>
    </w:p>
    <w:p w14:paraId="577445D9" w14:textId="7EA842B1" w:rsidR="00260F74" w:rsidRPr="00DD67CD" w:rsidRDefault="00260F74" w:rsidP="0065368C">
      <w:pPr>
        <w:pStyle w:val="BodyText"/>
      </w:pPr>
      <w:r w:rsidRPr="00DD67CD">
        <w:t xml:space="preserve">The main impacts of roading and strategic </w:t>
      </w:r>
      <w:r>
        <w:t>fuel breaks</w:t>
      </w:r>
      <w:r w:rsidRPr="00DD67CD">
        <w:t xml:space="preserve"> include: </w:t>
      </w:r>
    </w:p>
    <w:p w14:paraId="22A86B2D" w14:textId="77777777" w:rsidR="00260F74" w:rsidRPr="0065368C" w:rsidRDefault="00260F74" w:rsidP="00B23CC0">
      <w:pPr>
        <w:pStyle w:val="ListBullet"/>
        <w:ind w:left="709"/>
      </w:pPr>
      <w:r w:rsidRPr="0065368C">
        <w:t xml:space="preserve">Vegetation and habitat loss and fragmentation; </w:t>
      </w:r>
    </w:p>
    <w:p w14:paraId="322472EB" w14:textId="77777777" w:rsidR="00260F74" w:rsidRPr="0065368C" w:rsidRDefault="00260F74" w:rsidP="00B23CC0">
      <w:pPr>
        <w:pStyle w:val="ListBullet"/>
        <w:ind w:left="709"/>
      </w:pPr>
      <w:r w:rsidRPr="0065368C">
        <w:t xml:space="preserve">Edge effects on adjoining vegetation; </w:t>
      </w:r>
    </w:p>
    <w:p w14:paraId="3B59657B" w14:textId="77777777" w:rsidR="00260F74" w:rsidRPr="0065368C" w:rsidRDefault="00260F74" w:rsidP="00B23CC0">
      <w:pPr>
        <w:pStyle w:val="ListBullet"/>
        <w:ind w:left="709"/>
      </w:pPr>
      <w:r w:rsidRPr="0065368C">
        <w:t xml:space="preserve">Soil disturbance; </w:t>
      </w:r>
    </w:p>
    <w:p w14:paraId="6F96FDCA" w14:textId="77777777" w:rsidR="00260F74" w:rsidRPr="0065368C" w:rsidRDefault="00260F74" w:rsidP="00B23CC0">
      <w:pPr>
        <w:pStyle w:val="ListBullet"/>
        <w:ind w:left="709"/>
      </w:pPr>
      <w:r w:rsidRPr="0065368C">
        <w:t xml:space="preserve">Sediment input to streams; and </w:t>
      </w:r>
    </w:p>
    <w:p w14:paraId="0E9333FC" w14:textId="77777777" w:rsidR="00260F74" w:rsidRPr="0065368C" w:rsidRDefault="00260F74" w:rsidP="00B23CC0">
      <w:pPr>
        <w:pStyle w:val="ListBullet"/>
        <w:ind w:left="709"/>
      </w:pPr>
      <w:r w:rsidRPr="0065368C">
        <w:t xml:space="preserve">Spread of weeds and pathogens. </w:t>
      </w:r>
    </w:p>
    <w:p w14:paraId="403DF8EE" w14:textId="3A5EE2CC" w:rsidR="00260F74" w:rsidRPr="00DD67CD" w:rsidRDefault="00260F74" w:rsidP="0065368C">
      <w:pPr>
        <w:pStyle w:val="BodyText"/>
      </w:pPr>
      <w:r w:rsidRPr="00DD67CD">
        <w:t>Dam and water management and use, including river regulation and the diversion of streams, can lead to altered hydrology, habitat degradation and population declines, potentially leading to local extinction. This can impact species like the Floodplain Violet</w:t>
      </w:r>
      <w:r w:rsidR="005E0767">
        <w:t>,</w:t>
      </w:r>
      <w:r w:rsidRPr="00DD67CD">
        <w:t xml:space="preserve"> which grows in sedge-dominated swamp and riparian habitat. Loss of instream habitat and reduced flooding and flow volumes can impact on wetland species such as the Lacey River Buttercup and the Wavy Swamp Wallaby-grass, while similarly the draining of water impacts on species confined to wet heaths and swamps, like the Violet Bladderwort. </w:t>
      </w:r>
    </w:p>
    <w:p w14:paraId="248386A6" w14:textId="4A110A64" w:rsidR="00260F74" w:rsidRPr="00DD67CD" w:rsidRDefault="00260F74" w:rsidP="0065368C">
      <w:pPr>
        <w:pStyle w:val="BodyText"/>
      </w:pPr>
      <w:r w:rsidRPr="00DD67CD">
        <w:t xml:space="preserve">This hazard theme is closely linked to climate change, which has been increasingly drying habitat and altering rainfall patterns, resulting in drought and the drying of wetlands and waterways. </w:t>
      </w:r>
      <w:r w:rsidR="00CC5FC9" w:rsidRPr="00915D82">
        <w:t>Plantations or regenerating native forests with relatively high growth rates can lead to drying of wetlands and other waterways through elevated transpiration rates and canopy interception of precipitation.</w:t>
      </w:r>
      <w:r w:rsidR="00CC5FC9">
        <w:t xml:space="preserve"> </w:t>
      </w:r>
      <w:r w:rsidRPr="00DD67CD">
        <w:t xml:space="preserve">Weeds can more easily invade degraded habitats, and a reduction in wetland habitats can concentrate destructive activities of animals in remaining wetlands. Cropping, livestock grazing, and physical damage also contribute to the continued drying and loss of wetlands. The Victorian Waterway Management Strategy and associated Regional Waterway Strategies have been evaluated as satisfactory controls for the relevant taxa in this risk assessment, on the assumption that wetlands and waterways are managed responsibly in accordance with these plans. </w:t>
      </w:r>
    </w:p>
    <w:p w14:paraId="64D14D05" w14:textId="0AC886B5" w:rsidR="00260F74" w:rsidRPr="00DD67CD" w:rsidRDefault="00260F74" w:rsidP="00C803B7">
      <w:pPr>
        <w:pStyle w:val="BodyText"/>
        <w:rPr>
          <w:rStyle w:val="normaltextrun"/>
        </w:rPr>
      </w:pPr>
      <w:r w:rsidRPr="00DD67CD">
        <w:t xml:space="preserve">Land use changes, including agricultural intensification, extension of cropping, wetland drainage, infrastructure expansion and maintenance, fire management, and livestock agistment lead to habitat modification. For species like Lax Twig-sedge, where much of the habitat has been subject to past clearing, the cumulative impacts are high. Climate change may increase the capacity of some introduced plant taxa to competitively occupy the habitat. Certain agricultural </w:t>
      </w:r>
      <w:r w:rsidR="00917E54">
        <w:t>p</w:t>
      </w:r>
      <w:r w:rsidR="00C803B7">
        <w:t>ractise</w:t>
      </w:r>
      <w:r w:rsidRPr="00DD67CD">
        <w:t xml:space="preserve">s can lead to elevated nutrient levels and introductions of species such as Tall Wheat Grass </w:t>
      </w:r>
      <w:r w:rsidR="00A954B6">
        <w:t>(</w:t>
      </w:r>
      <w:r w:rsidR="00A954B6">
        <w:rPr>
          <w:i/>
          <w:iCs/>
        </w:rPr>
        <w:t>Thinopyrum ponticum</w:t>
      </w:r>
      <w:r w:rsidR="00A954B6">
        <w:t xml:space="preserve">) </w:t>
      </w:r>
      <w:r w:rsidRPr="00DD67CD">
        <w:t xml:space="preserve">which threatens Brackish Plain Buttercup. The threat to residual private land populations will increase as agriculture becomes more industrial and climate change expands the potential to crop wetland habitats. Voluntary private land conservation programs, like Landcare and Wetland Tender, while limited in extent, are satisfactory controls where they are applied. </w:t>
      </w:r>
    </w:p>
    <w:p w14:paraId="4C8493EE" w14:textId="5E63E46C" w:rsidR="00260F74" w:rsidRPr="00DD67CD" w:rsidRDefault="00260F74" w:rsidP="00C803B7">
      <w:pPr>
        <w:pStyle w:val="BodyText"/>
        <w:rPr>
          <w:rFonts w:ascii="Arial" w:hAnsi="Arial"/>
        </w:rPr>
      </w:pPr>
      <w:r w:rsidRPr="00DD67CD">
        <w:rPr>
          <w:rFonts w:ascii="Arial" w:hAnsi="Arial"/>
        </w:rPr>
        <w:t xml:space="preserve">The risk assessment has identified </w:t>
      </w:r>
      <w:r w:rsidR="00392376">
        <w:rPr>
          <w:rFonts w:ascii="Arial" w:hAnsi="Arial"/>
        </w:rPr>
        <w:t>9</w:t>
      </w:r>
      <w:r w:rsidR="00392376" w:rsidRPr="00DD67CD">
        <w:rPr>
          <w:rFonts w:ascii="Arial" w:hAnsi="Arial"/>
        </w:rPr>
        <w:t xml:space="preserve"> </w:t>
      </w:r>
      <w:r w:rsidRPr="00DD67CD">
        <w:rPr>
          <w:rFonts w:ascii="Arial" w:hAnsi="Arial"/>
        </w:rPr>
        <w:t>threatened species that are at high or significant risk from habitat modification.</w:t>
      </w:r>
    </w:p>
    <w:p w14:paraId="5036C2EC" w14:textId="77777777" w:rsidR="00260F74" w:rsidRPr="00DD67CD" w:rsidRDefault="00260F74" w:rsidP="00915D82">
      <w:pPr>
        <w:pStyle w:val="BodyText"/>
      </w:pPr>
      <w:r w:rsidRPr="00DD67CD">
        <w:t>Measures to manage the risks to threatened species from habitat modification-related hazards include:</w:t>
      </w:r>
    </w:p>
    <w:p w14:paraId="5FE0AC54" w14:textId="442F3623" w:rsidR="00260F74" w:rsidRPr="00DD67CD" w:rsidRDefault="00460D1B" w:rsidP="00B23CC0">
      <w:pPr>
        <w:pStyle w:val="ListBullet"/>
        <w:ind w:left="709"/>
      </w:pPr>
      <w:hyperlink r:id="rId53" w:history="1">
        <w:r w:rsidR="00260F74" w:rsidRPr="000C6A33">
          <w:rPr>
            <w:u w:val="single"/>
          </w:rPr>
          <w:t>Streamflow Management Plans</w:t>
        </w:r>
      </w:hyperlink>
      <w:r w:rsidR="00260F74" w:rsidRPr="00DD67CD">
        <w:t xml:space="preserve"> as required under the </w:t>
      </w:r>
      <w:r w:rsidR="00260F74" w:rsidRPr="00915D82">
        <w:rPr>
          <w:i/>
        </w:rPr>
        <w:t>Water Act 1989</w:t>
      </w:r>
      <w:r w:rsidR="00260F74" w:rsidRPr="00DD67CD">
        <w:t xml:space="preserve">, which define the total amount of water in a catchment and describe how it will be shared between the environment and water users; </w:t>
      </w:r>
    </w:p>
    <w:p w14:paraId="493FEF20" w14:textId="0351CC7F" w:rsidR="00260F74" w:rsidRPr="00DD67CD" w:rsidRDefault="00460D1B" w:rsidP="00B23CC0">
      <w:pPr>
        <w:pStyle w:val="ListBullet"/>
        <w:ind w:left="709"/>
      </w:pPr>
      <w:hyperlink r:id="rId54" w:history="1">
        <w:r w:rsidR="00260F74" w:rsidRPr="000C6A33">
          <w:rPr>
            <w:u w:val="single"/>
          </w:rPr>
          <w:t>Sustainable Water Strategies</w:t>
        </w:r>
      </w:hyperlink>
      <w:r w:rsidR="00260F74" w:rsidRPr="00DD67CD">
        <w:t>, which are used to manage threats to the supply and quality of water resources to protect environmental, economic, cultural</w:t>
      </w:r>
      <w:r w:rsidR="00146842" w:rsidRPr="00DD67CD">
        <w:t>,</w:t>
      </w:r>
      <w:r w:rsidR="00260F74" w:rsidRPr="00DD67CD">
        <w:t xml:space="preserve"> and recreational values;</w:t>
      </w:r>
    </w:p>
    <w:p w14:paraId="34C58BF2" w14:textId="62CBBB60" w:rsidR="00260F74" w:rsidRPr="00DD67CD" w:rsidRDefault="00260F74" w:rsidP="00B23CC0">
      <w:pPr>
        <w:pStyle w:val="ListBullet"/>
        <w:ind w:left="709"/>
      </w:pPr>
      <w:r w:rsidRPr="00DD67CD">
        <w:t xml:space="preserve">The </w:t>
      </w:r>
      <w:hyperlink r:id="rId55" w:history="1">
        <w:r w:rsidRPr="000C6A33">
          <w:rPr>
            <w:u w:val="single"/>
          </w:rPr>
          <w:t>Victorian Waterway Management Strategy</w:t>
        </w:r>
      </w:hyperlink>
      <w:r w:rsidRPr="00DD67CD">
        <w:t xml:space="preserve"> (VWMS), which provides the framework to maintain or improve the condition of rivers, estuaries and wetlands so that they can continue to provide environmental, social, cultural and economic values to Victorians;</w:t>
      </w:r>
    </w:p>
    <w:p w14:paraId="19969D48" w14:textId="3CE05021" w:rsidR="00260F74" w:rsidRPr="00DD67CD" w:rsidRDefault="00260F74" w:rsidP="00B23CC0">
      <w:pPr>
        <w:pStyle w:val="ListBullet"/>
        <w:ind w:left="709"/>
      </w:pPr>
      <w:r w:rsidRPr="000C6A33">
        <w:t xml:space="preserve">The </w:t>
      </w:r>
      <w:hyperlink r:id="rId56" w:history="1">
        <w:r w:rsidRPr="000C6A33">
          <w:rPr>
            <w:u w:val="single"/>
          </w:rPr>
          <w:t>Regional Waterway Strategies</w:t>
        </w:r>
      </w:hyperlink>
      <w:r w:rsidRPr="00DD67CD">
        <w:t xml:space="preserve"> (RWSs), which are a single planning document for river, estuary and wetland management in each region and drive implementation of the management approach outlined in the VWMS; </w:t>
      </w:r>
    </w:p>
    <w:p w14:paraId="421C88E1" w14:textId="046EDE4E" w:rsidR="00260F74" w:rsidRPr="00DD67CD" w:rsidRDefault="00460D1B" w:rsidP="00B23CC0">
      <w:pPr>
        <w:pStyle w:val="ListBullet"/>
        <w:ind w:left="709"/>
      </w:pPr>
      <w:hyperlink r:id="rId57" w:history="1">
        <w:r w:rsidR="00260F74" w:rsidRPr="000C6A33">
          <w:rPr>
            <w:u w:val="single"/>
          </w:rPr>
          <w:t>FFG Act Action Statement No. 17</w:t>
        </w:r>
        <w:r w:rsidR="00260F74" w:rsidRPr="00DD67CD">
          <w:t>7</w:t>
        </w:r>
      </w:hyperlink>
      <w:r w:rsidR="00260F74" w:rsidRPr="00DD67CD">
        <w:t xml:space="preserve"> – Alteration to the natural flow regimes of rivers and streams; action statements describe the nature of the potentially threatening process and set out what has been done and what will be done to manage its impacts on native flora and fauna;</w:t>
      </w:r>
    </w:p>
    <w:p w14:paraId="5BBC02A4" w14:textId="2C53016C" w:rsidR="00260F74" w:rsidRPr="00DD67CD" w:rsidRDefault="00260F74" w:rsidP="00B23CC0">
      <w:pPr>
        <w:pStyle w:val="ListBullet"/>
        <w:ind w:left="709"/>
      </w:pPr>
      <w:r w:rsidRPr="00DD67CD">
        <w:t xml:space="preserve">The </w:t>
      </w:r>
      <w:hyperlink r:id="rId58" w:history="1">
        <w:r w:rsidRPr="000C6A33">
          <w:rPr>
            <w:i/>
            <w:iCs/>
            <w:u w:val="single"/>
          </w:rPr>
          <w:t>Environment Protection Act 2017</w:t>
        </w:r>
      </w:hyperlink>
      <w:r w:rsidRPr="00DD67CD">
        <w:t>, which provides for policies and regulation to minimise harm to public health and the environment from pollution and waste;</w:t>
      </w:r>
    </w:p>
    <w:p w14:paraId="56BE44CA" w14:textId="076A50B9" w:rsidR="00260F74" w:rsidRPr="00DD67CD" w:rsidRDefault="00260F74" w:rsidP="00B23CC0">
      <w:pPr>
        <w:pStyle w:val="ListBullet"/>
        <w:ind w:left="709"/>
      </w:pPr>
      <w:r w:rsidRPr="000C6A33">
        <w:t>The</w:t>
      </w:r>
      <w:r w:rsidRPr="000C6A33">
        <w:rPr>
          <w:u w:val="single"/>
        </w:rPr>
        <w:t xml:space="preserve"> </w:t>
      </w:r>
      <w:hyperlink r:id="rId59" w:history="1">
        <w:r w:rsidRPr="000C6A33">
          <w:rPr>
            <w:u w:val="single"/>
          </w:rPr>
          <w:t>Murray-Darling Basin Plan</w:t>
        </w:r>
      </w:hyperlink>
      <w:r w:rsidRPr="00DD67CD">
        <w:t>, which aims to bring the Basin back to a healthier and sustainable level, while continuing to support farming and other industries for the benefit of the Australian community;</w:t>
      </w:r>
    </w:p>
    <w:p w14:paraId="5C61D2D9" w14:textId="14A77D6F" w:rsidR="00260F74" w:rsidRPr="00DD67CD" w:rsidRDefault="00260F74" w:rsidP="00B23CC0">
      <w:pPr>
        <w:pStyle w:val="ListBullet"/>
        <w:ind w:left="709"/>
      </w:pPr>
      <w:r w:rsidRPr="00DD67CD">
        <w:t xml:space="preserve">Environmental Entitlements under the </w:t>
      </w:r>
      <w:hyperlink r:id="rId60" w:history="1">
        <w:r w:rsidRPr="000C6A33">
          <w:rPr>
            <w:i/>
            <w:u w:val="single"/>
          </w:rPr>
          <w:t>Water Act 1989</w:t>
        </w:r>
      </w:hyperlink>
      <w:r w:rsidRPr="00DD67CD">
        <w:t>, which enable water to be taken and used to maintain an Environmental Water Reserve, or to improve the environmental values and health of water ecosystems;</w:t>
      </w:r>
    </w:p>
    <w:p w14:paraId="2FE2A407" w14:textId="7883D5F3" w:rsidR="00260F74" w:rsidRPr="00DD67CD" w:rsidRDefault="00260F74" w:rsidP="00B23CC0">
      <w:pPr>
        <w:pStyle w:val="ListBullet"/>
        <w:ind w:left="709"/>
      </w:pPr>
      <w:r w:rsidRPr="00DD67CD">
        <w:t xml:space="preserve">The </w:t>
      </w:r>
      <w:hyperlink r:id="rId61" w:history="1">
        <w:r w:rsidRPr="009B48BB">
          <w:rPr>
            <w:u w:val="single"/>
          </w:rPr>
          <w:t>regulation of the removal of native vegetation</w:t>
        </w:r>
      </w:hyperlink>
      <w:r w:rsidRPr="00DD67CD">
        <w:t xml:space="preserve"> under the Victorian Planning Provisions and all planning schemes in Victoria; </w:t>
      </w:r>
    </w:p>
    <w:p w14:paraId="24BB682D" w14:textId="74B3C82E" w:rsidR="00260F74" w:rsidRPr="00DD67CD" w:rsidRDefault="00260F74" w:rsidP="00B23CC0">
      <w:pPr>
        <w:pStyle w:val="ListBullet"/>
        <w:ind w:left="709"/>
      </w:pPr>
      <w:r w:rsidRPr="00DD67CD">
        <w:t xml:space="preserve">Support programs such as </w:t>
      </w:r>
      <w:hyperlink r:id="rId62" w:history="1">
        <w:r w:rsidRPr="009B48BB">
          <w:rPr>
            <w:u w:val="single"/>
          </w:rPr>
          <w:t>Landcare</w:t>
        </w:r>
      </w:hyperlink>
      <w:r w:rsidRPr="00DD67CD">
        <w:t xml:space="preserve"> for landholders to protect and restore habitat, including remnant patches of native vegetation and isolated paddock trees;</w:t>
      </w:r>
    </w:p>
    <w:p w14:paraId="449852B3" w14:textId="1E2F285B" w:rsidR="00260F74" w:rsidRPr="00DD67CD" w:rsidRDefault="00260F74" w:rsidP="00B23CC0">
      <w:pPr>
        <w:pStyle w:val="ListBullet"/>
        <w:ind w:left="709"/>
      </w:pPr>
      <w:r w:rsidRPr="00DD67CD">
        <w:t xml:space="preserve">Values checking and mitigations at the operational delivery stage of roading actions within State Forest; and </w:t>
      </w:r>
    </w:p>
    <w:p w14:paraId="22A97A64" w14:textId="3013851F" w:rsidR="00260F74" w:rsidRPr="00DD67CD" w:rsidRDefault="00260F74" w:rsidP="00B23CC0">
      <w:pPr>
        <w:pStyle w:val="ListBullet"/>
        <w:ind w:left="709"/>
      </w:pPr>
      <w:r w:rsidRPr="00DD67CD">
        <w:t xml:space="preserve">Native Vegetation removal on public land is managed in accordance with the </w:t>
      </w:r>
      <w:hyperlink r:id="rId63" w:history="1">
        <w:r w:rsidRPr="009B48BB">
          <w:rPr>
            <w:u w:val="single"/>
          </w:rPr>
          <w:t>Procedure for the removal, destruction or lopping of native vegetation on Crown land</w:t>
        </w:r>
      </w:hyperlink>
      <w:r w:rsidRPr="00DD67CD">
        <w:t xml:space="preserve"> (Crown land procedure). </w:t>
      </w:r>
    </w:p>
    <w:p w14:paraId="5AC90E3E" w14:textId="4D0E424B" w:rsidR="00260F74" w:rsidRPr="00554562" w:rsidRDefault="00CB3199" w:rsidP="00554562">
      <w:pPr>
        <w:pStyle w:val="Heading2"/>
        <w:ind w:left="0"/>
      </w:pPr>
      <w:bookmarkStart w:id="26" w:name="_Toc113271021"/>
      <w:r w:rsidRPr="00554562">
        <w:t>Invasive species</w:t>
      </w:r>
      <w:bookmarkEnd w:id="26"/>
    </w:p>
    <w:p w14:paraId="6E34380A" w14:textId="1EFCBAF9" w:rsidR="00260F74" w:rsidRPr="00DD67CD" w:rsidRDefault="00260F74" w:rsidP="0065368C">
      <w:pPr>
        <w:pStyle w:val="BodyText"/>
      </w:pPr>
      <w:r w:rsidRPr="00DD67CD">
        <w:t xml:space="preserve">Victorian public land native forests have been progressively </w:t>
      </w:r>
      <w:r>
        <w:t>colonised</w:t>
      </w:r>
      <w:r w:rsidRPr="00DD67CD">
        <w:t xml:space="preserve"> by </w:t>
      </w:r>
      <w:r w:rsidR="00BB2E49" w:rsidRPr="00BB2E49">
        <w:t xml:space="preserve">invasive species </w:t>
      </w:r>
      <w:r w:rsidRPr="00DD67CD">
        <w:t xml:space="preserve">since European settlement. Predators such as foxes, omnivores such as pigs, and herbivores including deer and horses occur over wide areas, although not uniformly. Introduced trout are widespread in inland and coastal river systems, including some of the smallest headwater tributaries. Weeds are ubiquitous and include a wide range of life-forms from small forbs (herbs) to large, long-lived trees. </w:t>
      </w:r>
    </w:p>
    <w:p w14:paraId="6456B777" w14:textId="7D92C4E1" w:rsidR="00260F74" w:rsidRPr="00DD67CD" w:rsidRDefault="00260F74" w:rsidP="0065368C">
      <w:pPr>
        <w:pStyle w:val="BodyText"/>
      </w:pPr>
      <w:r w:rsidRPr="00DD67CD">
        <w:t xml:space="preserve">The impact of introduced predators results in elevated levels of direct mortality as well as competition for prey items. Native predators such as the dingo, spot-tailed quoll, large forest owls and other raptors </w:t>
      </w:r>
      <w:r w:rsidR="00EE2229">
        <w:t>compete with introduced predators</w:t>
      </w:r>
      <w:r w:rsidR="009C1CE0">
        <w:t>,</w:t>
      </w:r>
      <w:r w:rsidRPr="00DD67CD">
        <w:t xml:space="preserve"> </w:t>
      </w:r>
      <w:r w:rsidR="498D29CF">
        <w:t>impacting</w:t>
      </w:r>
      <w:r w:rsidRPr="00DD67CD">
        <w:t xml:space="preserve"> on populations of threatened species. The lace monitor is impacted by competition and direct mortality of juveniles, particularly from foxes. Current controls, including widespread fox baiting through programs like Southern Ark program, have been rated as satisfactory, but require ongoing investment to be successful.</w:t>
      </w:r>
    </w:p>
    <w:p w14:paraId="6DC9365B" w14:textId="741ED9A2" w:rsidR="00260F74" w:rsidRPr="00DD67CD" w:rsidRDefault="00260F74" w:rsidP="0065368C">
      <w:pPr>
        <w:pStyle w:val="BodyText"/>
      </w:pPr>
      <w:r w:rsidRPr="00DD67CD">
        <w:t xml:space="preserve">Introduced freshwater fish, particularly Brown Trout </w:t>
      </w:r>
      <w:r w:rsidRPr="00DD67CD">
        <w:rPr>
          <w:rStyle w:val="normaltextrun"/>
        </w:rPr>
        <w:t>(</w:t>
      </w:r>
      <w:r w:rsidRPr="00DD67CD">
        <w:rPr>
          <w:rStyle w:val="normaltextrun"/>
          <w:i/>
          <w:iCs/>
        </w:rPr>
        <w:t>Salmo trutta</w:t>
      </w:r>
      <w:r w:rsidRPr="00DD67CD">
        <w:rPr>
          <w:rStyle w:val="normaltextrun"/>
        </w:rPr>
        <w:t xml:space="preserve">) </w:t>
      </w:r>
      <w:r w:rsidRPr="00DD67CD">
        <w:t>and Rainbow Trout (</w:t>
      </w:r>
      <w:r w:rsidRPr="00DD67CD">
        <w:rPr>
          <w:i/>
          <w:iCs/>
        </w:rPr>
        <w:t>Oncorhynchus mykiss</w:t>
      </w:r>
      <w:r w:rsidRPr="00DD67CD">
        <w:t>), are widespread throughout Victorian waterways. These species prey on threatened juvenile freshwater spiny crayfish (e.g</w:t>
      </w:r>
      <w:r w:rsidR="00AC1564" w:rsidRPr="00DD67CD">
        <w:t>.,</w:t>
      </w:r>
      <w:r w:rsidRPr="00DD67CD">
        <w:t xml:space="preserve"> Claytons and East Gippsland Spiny Crayfish). The impacts of trout are likely compounded where threatened spiny crayfish occur in small, isolated populations in already modified habitats. Controls for this hazard are poor because populations of introduced trout are encouraged to provide opportunities for recreational fishers.</w:t>
      </w:r>
    </w:p>
    <w:p w14:paraId="5B373100" w14:textId="5E901037" w:rsidR="00260F74" w:rsidRPr="00DD67CD" w:rsidRDefault="00260F74" w:rsidP="0065368C">
      <w:pPr>
        <w:pStyle w:val="BodyText"/>
      </w:pPr>
      <w:r w:rsidRPr="00DD67CD">
        <w:t>Introduced herbivores impact on populations of threatened plant species</w:t>
      </w:r>
      <w:r w:rsidR="00A67F41">
        <w:t>,</w:t>
      </w:r>
      <w:r w:rsidRPr="00DD67CD">
        <w:t xml:space="preserve"> as browsing reduces growth and may impact on reproduction. Sambar deer are a particular concern as they prefer the moist, gully habitats occupied by many of the species subject to this risk assessment, such as Beech Finger-fern and Forest Geebung. Large ungulates such as deer, horses and pigs cause environmental impacts through trampling, rooting, and pugging. This opens wetland habitats occupied by species like Flat Raspwort and Wavy Swamp Wallaby-grass and expose them to further drying and degradation. Widespread lethal control of deer, pigs and horses is logistically very challenging, so controls for this hazard are frequently rated as poor.</w:t>
      </w:r>
    </w:p>
    <w:p w14:paraId="6F5FB539" w14:textId="41CA3445" w:rsidR="00260F74" w:rsidRPr="00DD67CD" w:rsidRDefault="00260F74" w:rsidP="0065368C">
      <w:pPr>
        <w:pStyle w:val="BodyText"/>
      </w:pPr>
      <w:r w:rsidRPr="00DD67CD">
        <w:t>Weeds simply out-compete native species in certain situations, especially following disturbance (e.g</w:t>
      </w:r>
      <w:r w:rsidR="00671D95" w:rsidRPr="00DD67CD">
        <w:t>.,</w:t>
      </w:r>
      <w:r w:rsidRPr="00DD67CD">
        <w:t xml:space="preserve"> from forestry operations</w:t>
      </w:r>
      <w:r w:rsidR="00D779B5">
        <w:t>, roading</w:t>
      </w:r>
      <w:r w:rsidRPr="00DD67CD">
        <w:t xml:space="preserve"> or fire), through vigorous growth and often rapid reproduction. Climate change may also alter habitat conditions to favour the establishment of weed species (e.g</w:t>
      </w:r>
      <w:r w:rsidR="00671D95" w:rsidRPr="00DD67CD">
        <w:t>.,</w:t>
      </w:r>
      <w:r w:rsidRPr="00DD67CD">
        <w:t xml:space="preserve"> Floodplain Violet). Species that occur in already fragmented landscapes (e.g</w:t>
      </w:r>
      <w:r w:rsidR="00671D95" w:rsidRPr="00DD67CD">
        <w:t>.,</w:t>
      </w:r>
      <w:r w:rsidRPr="00DD67CD">
        <w:t xml:space="preserve"> Brackish Plains Buttercup) are highly exposed to weed incursion. Weed control was often rated as poor because like controlling introduced herbivores, it is logistically and financially challenging to apply consistently and across the landscape. Weed control programs in the aquatic habitats occupied by species like Wavy Swamp Wallaby-grass require specialist revegetation skills. Furthermore, many of the plants considered in this risk assessment were not the primary targets of weed control operations. </w:t>
      </w:r>
    </w:p>
    <w:p w14:paraId="45B83EF2" w14:textId="4DDBC43F" w:rsidR="00260F74" w:rsidRPr="00DD67CD" w:rsidRDefault="00260F74" w:rsidP="0065368C">
      <w:pPr>
        <w:pStyle w:val="BodyText"/>
      </w:pPr>
      <w:r w:rsidRPr="00DD67CD">
        <w:t xml:space="preserve">Native species may also pose a risk to threatened species and communities. Because Tall Plume Grass occurs in small populations, it is susceptible to severe impacts from macropod or Wombat grazing. Sticky Wattle is vulnerable to </w:t>
      </w:r>
      <w:r w:rsidR="00371DC8">
        <w:t xml:space="preserve">Black-tailed </w:t>
      </w:r>
      <w:r w:rsidRPr="00DD67CD">
        <w:t xml:space="preserve">Wallaby browsing while regenerating from seed post-harvest. Due to the challenges of managing native species impacts, this hazard is usually uncontrolled except at a very localised scale. </w:t>
      </w:r>
    </w:p>
    <w:p w14:paraId="4DDA5C79" w14:textId="4B66A928" w:rsidR="00260F74" w:rsidRPr="00DD67CD" w:rsidRDefault="00260F74" w:rsidP="00915D82">
      <w:pPr>
        <w:pStyle w:val="BodyText"/>
      </w:pPr>
      <w:r w:rsidRPr="00DD67CD">
        <w:t>The risk assessment has identified 3</w:t>
      </w:r>
      <w:r w:rsidR="00D22E21">
        <w:t>0</w:t>
      </w:r>
      <w:r w:rsidRPr="00DD67CD">
        <w:t xml:space="preserve"> threatened species that are at high or significant risk because of </w:t>
      </w:r>
      <w:r w:rsidR="00BB2E49" w:rsidRPr="00BB2E49">
        <w:t>invasive species</w:t>
      </w:r>
      <w:r w:rsidRPr="00DD67CD">
        <w:t xml:space="preserve">. </w:t>
      </w:r>
    </w:p>
    <w:p w14:paraId="4D1A5FDA" w14:textId="4BAA84B7" w:rsidR="00260F74" w:rsidRPr="00DD67CD" w:rsidRDefault="00260F74" w:rsidP="00915D82">
      <w:pPr>
        <w:pStyle w:val="BodyText"/>
      </w:pPr>
      <w:r w:rsidRPr="00DD67CD">
        <w:t xml:space="preserve">Measures to manage the risks to threatened species from </w:t>
      </w:r>
      <w:r w:rsidR="00CB3199">
        <w:t>invasive species</w:t>
      </w:r>
      <w:r w:rsidRPr="00DD67CD">
        <w:t>-related hazards include:</w:t>
      </w:r>
    </w:p>
    <w:p w14:paraId="07DC1C7E" w14:textId="77E6CC34" w:rsidR="00260F74" w:rsidRPr="00DD67CD" w:rsidRDefault="00260F74" w:rsidP="00B23CC0">
      <w:pPr>
        <w:pStyle w:val="ListBullet"/>
        <w:ind w:left="709"/>
      </w:pPr>
      <w:r w:rsidRPr="00DD67CD">
        <w:t xml:space="preserve">The </w:t>
      </w:r>
      <w:hyperlink r:id="rId64" w:history="1">
        <w:r w:rsidRPr="00DD67CD">
          <w:rPr>
            <w:rStyle w:val="Hyperlink"/>
            <w:rFonts w:eastAsiaTheme="majorEastAsia"/>
          </w:rPr>
          <w:t>Weeds and Pests on Public Land</w:t>
        </w:r>
      </w:hyperlink>
      <w:r w:rsidRPr="00DD67CD">
        <w:t xml:space="preserve"> (WPPL) program, which funds landscape-scale </w:t>
      </w:r>
      <w:r w:rsidR="00BB2E49" w:rsidRPr="00BB2E49">
        <w:t xml:space="preserve">invasive species </w:t>
      </w:r>
      <w:r w:rsidRPr="00DD67CD">
        <w:t>projects, focusing on protecting Victoria’s biodiversity, examples include Southern Ark in East Gippsland;</w:t>
      </w:r>
    </w:p>
    <w:p w14:paraId="223DCFA3" w14:textId="6C34CDD7" w:rsidR="00260F74" w:rsidRPr="00DD67CD" w:rsidRDefault="00260F74" w:rsidP="00B23CC0">
      <w:pPr>
        <w:pStyle w:val="ListBullet"/>
        <w:ind w:left="709"/>
      </w:pPr>
      <w:r w:rsidRPr="00DD67CD">
        <w:t xml:space="preserve">The </w:t>
      </w:r>
      <w:hyperlink r:id="rId65" w:history="1">
        <w:r w:rsidRPr="00DD67CD">
          <w:rPr>
            <w:rStyle w:val="Hyperlink"/>
            <w:rFonts w:eastAsiaTheme="majorEastAsia"/>
          </w:rPr>
          <w:t>Good Neighbour Program</w:t>
        </w:r>
      </w:hyperlink>
      <w:r w:rsidRPr="00DD67CD">
        <w:t xml:space="preserve"> is working to control invasive species on the interface of public and private land;</w:t>
      </w:r>
    </w:p>
    <w:p w14:paraId="38536D18" w14:textId="40C9A120" w:rsidR="00260F74" w:rsidRPr="00DD67CD" w:rsidRDefault="00260F74" w:rsidP="00B23CC0">
      <w:pPr>
        <w:pStyle w:val="ListBullet"/>
        <w:ind w:left="709"/>
      </w:pPr>
      <w:r w:rsidRPr="00DD67CD">
        <w:t xml:space="preserve">The </w:t>
      </w:r>
      <w:hyperlink r:id="rId66" w:history="1">
        <w:r w:rsidRPr="00DD67CD">
          <w:rPr>
            <w:rStyle w:val="Hyperlink"/>
            <w:rFonts w:eastAsiaTheme="majorEastAsia"/>
          </w:rPr>
          <w:t>Victorian Deer Control Strategy</w:t>
        </w:r>
      </w:hyperlink>
      <w:r w:rsidRPr="00DD67CD">
        <w:t>, which outlines a process for a strategic and coordinated approach to deer control;</w:t>
      </w:r>
    </w:p>
    <w:p w14:paraId="738CF321" w14:textId="12371162" w:rsidR="00260F74" w:rsidRPr="00DD67CD" w:rsidRDefault="00460D1B" w:rsidP="00B23CC0">
      <w:pPr>
        <w:pStyle w:val="ListBullet"/>
        <w:ind w:left="709"/>
      </w:pPr>
      <w:hyperlink r:id="rId67" w:history="1">
        <w:r w:rsidR="00260F74" w:rsidRPr="00DD67CD">
          <w:rPr>
            <w:rStyle w:val="Hyperlink"/>
            <w:rFonts w:eastAsiaTheme="majorEastAsia"/>
          </w:rPr>
          <w:t>Biodiversity Response Planning</w:t>
        </w:r>
      </w:hyperlink>
      <w:r w:rsidR="00260F74" w:rsidRPr="00DD67CD">
        <w:t xml:space="preserve"> is an area-based planning approach to biodiversity conservation in Victoria. Phase 1 of BRP identified 85 on-ground projects that were funded by the Victorian Government through to 2021 covering a range of </w:t>
      </w:r>
      <w:r w:rsidR="00CB3199">
        <w:t>invasive species</w:t>
      </w:r>
      <w:r w:rsidR="00260F74" w:rsidRPr="00DD67CD">
        <w:t>;</w:t>
      </w:r>
    </w:p>
    <w:p w14:paraId="015828C9" w14:textId="68FFA8F0" w:rsidR="00260F74" w:rsidRPr="00DD67CD" w:rsidRDefault="00260F74" w:rsidP="00B23CC0">
      <w:pPr>
        <w:pStyle w:val="ListBullet"/>
        <w:ind w:left="709"/>
      </w:pPr>
      <w:r w:rsidRPr="00DD67CD">
        <w:t xml:space="preserve">The </w:t>
      </w:r>
      <w:hyperlink r:id="rId68" w:history="1">
        <w:r w:rsidRPr="00DD67CD">
          <w:rPr>
            <w:rStyle w:val="Hyperlink"/>
            <w:rFonts w:eastAsiaTheme="majorEastAsia"/>
          </w:rPr>
          <w:t>Bushfire Biodiversity Response and Recovery program</w:t>
        </w:r>
      </w:hyperlink>
      <w:r w:rsidRPr="00DD67CD">
        <w:t xml:space="preserve"> includes actions funded by the Victorian Government, Australian Government and other sources including public donations. A total of $64.3 million in funding is being delivered in Victoria</w:t>
      </w:r>
      <w:r w:rsidR="00DE02F7">
        <w:t>,</w:t>
      </w:r>
      <w:r w:rsidRPr="00DD67CD">
        <w:t xml:space="preserve"> including targeted </w:t>
      </w:r>
      <w:r w:rsidR="00BB2E49">
        <w:t>invasive species</w:t>
      </w:r>
      <w:r w:rsidRPr="00DD67CD">
        <w:t xml:space="preserve"> actions across fire-affected regions;</w:t>
      </w:r>
    </w:p>
    <w:p w14:paraId="2E215ACC" w14:textId="715884FA" w:rsidR="00260F74" w:rsidRPr="00DD67CD" w:rsidRDefault="00260F74" w:rsidP="00B23CC0">
      <w:pPr>
        <w:pStyle w:val="ListBullet"/>
        <w:ind w:left="709"/>
      </w:pPr>
      <w:r w:rsidRPr="00DD67CD">
        <w:t xml:space="preserve">The </w:t>
      </w:r>
      <w:hyperlink r:id="rId69" w:history="1">
        <w:r w:rsidRPr="00DD67CD">
          <w:rPr>
            <w:rStyle w:val="Hyperlink"/>
            <w:rFonts w:eastAsiaTheme="majorEastAsia"/>
            <w:i/>
          </w:rPr>
          <w:t>Catchment and Land Protection Act 1994</w:t>
        </w:r>
      </w:hyperlink>
      <w:r w:rsidRPr="00DD67CD">
        <w:t xml:space="preserve">  provides for the control of </w:t>
      </w:r>
      <w:r w:rsidR="00BB2E49">
        <w:t>invasive species</w:t>
      </w:r>
      <w:r w:rsidR="00173239">
        <w:t>. U</w:t>
      </w:r>
      <w:r w:rsidRPr="00DD67CD">
        <w:t>nder this Act, species of plants and animals can be declared as noxious weeds and pest animals if they have or might have the potential to become a serious threat to primary production, Crown land, the environment or community health;</w:t>
      </w:r>
    </w:p>
    <w:p w14:paraId="50A50B4B" w14:textId="0C6DFE5F" w:rsidR="00260F74" w:rsidRPr="00DD67CD" w:rsidRDefault="00260F74" w:rsidP="00B23CC0">
      <w:pPr>
        <w:pStyle w:val="ListBullet"/>
        <w:ind w:left="709"/>
      </w:pPr>
      <w:r w:rsidRPr="00DD67CD">
        <w:t xml:space="preserve">Catchment Management Authorities and Local Government deliver a range of targeted </w:t>
      </w:r>
      <w:r w:rsidR="00BB2E49">
        <w:t>invasive species</w:t>
      </w:r>
      <w:r w:rsidRPr="00DD67CD">
        <w:t xml:space="preserve"> programs; and</w:t>
      </w:r>
    </w:p>
    <w:p w14:paraId="66AF10A7" w14:textId="504B71B1" w:rsidR="00260F74" w:rsidRPr="00DD67CD" w:rsidRDefault="00260F74" w:rsidP="00B23CC0">
      <w:pPr>
        <w:pStyle w:val="ListBullet"/>
        <w:ind w:left="709"/>
      </w:pPr>
      <w:r w:rsidRPr="00DD67CD">
        <w:t xml:space="preserve">The Commonwealth Government funds </w:t>
      </w:r>
      <w:hyperlink r:id="rId70" w:history="1">
        <w:r w:rsidRPr="00DD67CD">
          <w:rPr>
            <w:rStyle w:val="Hyperlink"/>
            <w:rFonts w:eastAsiaTheme="majorEastAsia"/>
          </w:rPr>
          <w:t>Regional Land Partnerships</w:t>
        </w:r>
      </w:hyperlink>
      <w:r w:rsidRPr="00DD67CD">
        <w:t xml:space="preserve"> that encompass a range of targeted </w:t>
      </w:r>
      <w:r w:rsidR="00BB2E49">
        <w:t>invasive species</w:t>
      </w:r>
      <w:r w:rsidRPr="00DD67CD">
        <w:t xml:space="preserve"> actions. </w:t>
      </w:r>
    </w:p>
    <w:p w14:paraId="651EB513" w14:textId="14B81C67" w:rsidR="00260F74" w:rsidRPr="00554562" w:rsidRDefault="00260F74" w:rsidP="00554562">
      <w:pPr>
        <w:pStyle w:val="Heading2"/>
        <w:ind w:left="0"/>
      </w:pPr>
      <w:bookmarkStart w:id="27" w:name="_Toc113271022"/>
      <w:r w:rsidRPr="00554562">
        <w:t>Threats to population health and resilience</w:t>
      </w:r>
      <w:bookmarkEnd w:id="27"/>
    </w:p>
    <w:p w14:paraId="66159502" w14:textId="2DE34307" w:rsidR="00260F74" w:rsidRPr="00DD67CD" w:rsidRDefault="00260F74" w:rsidP="0065368C">
      <w:pPr>
        <w:pStyle w:val="BodyText"/>
        <w:rPr>
          <w:i/>
          <w:iCs/>
        </w:rPr>
      </w:pPr>
      <w:r w:rsidRPr="00DD67CD">
        <w:t xml:space="preserve">This hazard theme incorporates risks associated </w:t>
      </w:r>
      <w:r w:rsidR="00536231">
        <w:t xml:space="preserve">with </w:t>
      </w:r>
      <w:r w:rsidRPr="00DD67CD">
        <w:t xml:space="preserve">small and restricted populations, including genetic decline (loss of variability), genetic introgression and hybridisation of species, native plant competition, and diseases and pathogens such as Myrtle wilt and </w:t>
      </w:r>
      <w:r w:rsidRPr="00DD67CD">
        <w:rPr>
          <w:i/>
          <w:iCs/>
        </w:rPr>
        <w:t>Phytophthora cinnamomi.</w:t>
      </w:r>
    </w:p>
    <w:p w14:paraId="26015A83" w14:textId="77777777" w:rsidR="00260F74" w:rsidRPr="00DD67CD" w:rsidRDefault="00260F74" w:rsidP="0065368C">
      <w:pPr>
        <w:pStyle w:val="BodyText"/>
      </w:pPr>
      <w:r w:rsidRPr="00DD67CD">
        <w:t xml:space="preserve">Species that occur in small and restricted populations, such as the Finger Hakea and Upright Pomaderris, are at risk of local extinction if a threatening process, such as bushfire, impacts the whole population. Small and restricted populations are threatened by various other hazards assessed in this report, such as Sambar Deer, climatic warming and drying, and forestry operations. </w:t>
      </w:r>
    </w:p>
    <w:p w14:paraId="1CFA0858" w14:textId="05441A14" w:rsidR="00260F74" w:rsidRPr="00DD67CD" w:rsidRDefault="00260F74" w:rsidP="0065368C">
      <w:pPr>
        <w:pStyle w:val="BodyText"/>
      </w:pPr>
      <w:r w:rsidRPr="00DD67CD">
        <w:t xml:space="preserve">Myrtle Wilt occurs when the fungus </w:t>
      </w:r>
      <w:r w:rsidRPr="00DD67CD">
        <w:rPr>
          <w:i/>
          <w:iCs/>
        </w:rPr>
        <w:t>Chalara australis</w:t>
      </w:r>
      <w:r w:rsidRPr="00DD67CD">
        <w:t xml:space="preserve"> infects Myrtle Beech (</w:t>
      </w:r>
      <w:r w:rsidRPr="00DD67CD">
        <w:rPr>
          <w:i/>
          <w:iCs/>
        </w:rPr>
        <w:t>Nothofagus cunninghamii</w:t>
      </w:r>
      <w:r w:rsidRPr="00DD67CD">
        <w:t xml:space="preserve">) trees, either through wounds such as when limbs break off, or from the roots of nearby diseased trees. When myrtles die from fungal infection, the surrounding forest ecology is altered when more light, heat and wind penetrate the vegetation. Species that rely on the enclosed, moist rainforest habitat, such as the Oval Fork-fern and the Small Fork-fern are then impacted. Any disturbance to a patch of Myrtle Beech, even knocking a single tree into a gully, can increase susceptibility to Myrtle Wilt. Prescriptions under the </w:t>
      </w:r>
      <w:r w:rsidRPr="00DD67CD">
        <w:rPr>
          <w:i/>
          <w:iCs/>
        </w:rPr>
        <w:t>Code of Practice for Timber Production 2014</w:t>
      </w:r>
      <w:r w:rsidRPr="00DD67CD">
        <w:t xml:space="preserve"> to buffer rainforest effectively limit this type of disturbance</w:t>
      </w:r>
      <w:r w:rsidR="007A0FC9" w:rsidRPr="00DD67CD">
        <w:t xml:space="preserve"> if</w:t>
      </w:r>
      <w:r w:rsidRPr="00DD67CD">
        <w:t xml:space="preserve"> they are applied correctly. </w:t>
      </w:r>
    </w:p>
    <w:p w14:paraId="3F1EC6A6" w14:textId="39F8AE2C" w:rsidR="00260F74" w:rsidRPr="00DD67CD" w:rsidRDefault="00260F74" w:rsidP="0065368C">
      <w:pPr>
        <w:pStyle w:val="BodyText"/>
      </w:pPr>
      <w:r w:rsidRPr="00DD67CD">
        <w:rPr>
          <w:i/>
          <w:iCs/>
        </w:rPr>
        <w:t>Phytophthora cinnamomi</w:t>
      </w:r>
      <w:r w:rsidRPr="00DD67CD">
        <w:t xml:space="preserve"> impacts Leafless Pink-bells and Tasmanian Wax-flower in other states, resulting in direct mortality and damage to root systems. </w:t>
      </w:r>
      <w:r w:rsidRPr="00DD67CD">
        <w:rPr>
          <w:i/>
          <w:iCs/>
        </w:rPr>
        <w:t xml:space="preserve">P. cinnamomi </w:t>
      </w:r>
      <w:r w:rsidRPr="00DD67CD">
        <w:t xml:space="preserve">is widespread through Gippsland, and while impacts on these species have not been documented in Victoria, </w:t>
      </w:r>
      <w:r w:rsidR="009C72A9" w:rsidRPr="00DD67CD">
        <w:t>it’s</w:t>
      </w:r>
      <w:r w:rsidRPr="00DD67CD">
        <w:t xml:space="preserve"> likely that they would be similarly affected. The impacts of </w:t>
      </w:r>
      <w:r w:rsidRPr="00DD67CD">
        <w:rPr>
          <w:i/>
          <w:iCs/>
        </w:rPr>
        <w:t xml:space="preserve">P. cinnamomi </w:t>
      </w:r>
      <w:r w:rsidRPr="00DD67CD">
        <w:t xml:space="preserve">may be exacerbated by drought, and forestry activities may lead to localised introductions of the pathogen. Factors that contribute to its local spread are rainfall, drainage patterns and soil texture. Once it is introduced to a site, it is almost impossible to control or eliminate. Hygiene protocols are likely to limit the spread of </w:t>
      </w:r>
      <w:r w:rsidRPr="00DD67CD">
        <w:rPr>
          <w:i/>
          <w:iCs/>
        </w:rPr>
        <w:t>P. cinnamomi</w:t>
      </w:r>
      <w:r w:rsidRPr="00DD67CD">
        <w:t xml:space="preserve">, providing the protocols are correctly and consistently applied. While disease management occurs in some parks and reserves, it is not consistently applied by recreational visitors. </w:t>
      </w:r>
    </w:p>
    <w:p w14:paraId="1AB7AE5E" w14:textId="5870E2A3" w:rsidR="00260F74" w:rsidRPr="00DD67CD" w:rsidRDefault="00260F74" w:rsidP="0065368C">
      <w:pPr>
        <w:pStyle w:val="BodyText"/>
      </w:pPr>
      <w:r w:rsidRPr="00DD67CD">
        <w:t xml:space="preserve">The risk assessment has identified </w:t>
      </w:r>
      <w:r w:rsidR="00D22E21">
        <w:t>3</w:t>
      </w:r>
      <w:r w:rsidRPr="00DD67CD">
        <w:t xml:space="preserve"> threatened species that are at high or significant risk from population dynamics hazards.</w:t>
      </w:r>
    </w:p>
    <w:p w14:paraId="549A37D9" w14:textId="77777777" w:rsidR="00260F74" w:rsidRPr="00915D82" w:rsidRDefault="00260F74">
      <w:pPr>
        <w:pStyle w:val="BodyText"/>
      </w:pPr>
      <w:r w:rsidRPr="00915D82">
        <w:t>Measures to manage the risks to threatened species from population dynamics-related hazards include:</w:t>
      </w:r>
    </w:p>
    <w:p w14:paraId="36AFAF7E" w14:textId="46990335" w:rsidR="008D1EFB" w:rsidRDefault="008D1EFB" w:rsidP="00B23CC0">
      <w:pPr>
        <w:pStyle w:val="ListBullet"/>
        <w:ind w:left="709"/>
      </w:pPr>
      <w:r>
        <w:t xml:space="preserve">The </w:t>
      </w:r>
      <w:hyperlink r:id="rId71" w:history="1">
        <w:r w:rsidR="00AB3B88" w:rsidRPr="00DD67CD">
          <w:rPr>
            <w:rStyle w:val="Hyperlink"/>
            <w:rFonts w:eastAsiaTheme="majorEastAsia"/>
          </w:rPr>
          <w:t>Code of Practice for Timber Production 2014</w:t>
        </w:r>
      </w:hyperlink>
      <w:r w:rsidR="00DA6D38">
        <w:rPr>
          <w:rStyle w:val="Hyperlink"/>
          <w:rFonts w:eastAsiaTheme="majorEastAsia"/>
          <w:u w:val="none"/>
        </w:rPr>
        <w:t>,</w:t>
      </w:r>
      <w:r w:rsidR="00AB3B88" w:rsidRPr="00DD67CD">
        <w:t xml:space="preserve"> </w:t>
      </w:r>
      <w:r>
        <w:t>which provides the framework for the regulation of commercial timber harvesting operations on both public and private land;</w:t>
      </w:r>
    </w:p>
    <w:p w14:paraId="3B5D6D27" w14:textId="77777777" w:rsidR="00260F74" w:rsidRPr="00DD67CD" w:rsidRDefault="00260F74" w:rsidP="00B23CC0">
      <w:pPr>
        <w:pStyle w:val="ListBullet"/>
        <w:ind w:left="709"/>
      </w:pPr>
      <w:r w:rsidRPr="00DD67CD">
        <w:t>Indirect measures, such as improving connectivity of freshwater ecosystems, may provide a benefit to support genetic viability of a species;</w:t>
      </w:r>
    </w:p>
    <w:p w14:paraId="0A314B89" w14:textId="795582B7" w:rsidR="00260F74" w:rsidRPr="00DD67CD" w:rsidRDefault="00460D1B" w:rsidP="00B23CC0">
      <w:pPr>
        <w:pStyle w:val="ListBullet"/>
        <w:ind w:left="709"/>
      </w:pPr>
      <w:hyperlink r:id="rId72" w:history="1">
        <w:r w:rsidR="00260F74" w:rsidRPr="00DD67CD">
          <w:rPr>
            <w:rStyle w:val="Hyperlink"/>
            <w:rFonts w:eastAsiaTheme="majorEastAsia"/>
          </w:rPr>
          <w:t>Disease management</w:t>
        </w:r>
      </w:hyperlink>
      <w:r w:rsidR="00260F74" w:rsidRPr="00DD67CD">
        <w:t xml:space="preserve"> occurs in some Parks and Reserves; and </w:t>
      </w:r>
    </w:p>
    <w:p w14:paraId="73A0EB7F" w14:textId="6084AA81" w:rsidR="00466BF6" w:rsidRDefault="00260F74" w:rsidP="00B23CC0">
      <w:pPr>
        <w:pStyle w:val="ListBullet"/>
        <w:ind w:left="709"/>
      </w:pPr>
      <w:r w:rsidRPr="00DD67CD">
        <w:t>The Royal Botanic Gardens</w:t>
      </w:r>
      <w:r w:rsidR="00E16709">
        <w:t xml:space="preserve"> Victoria</w:t>
      </w:r>
      <w:r w:rsidRPr="00DD67CD">
        <w:t xml:space="preserve"> (RBG</w:t>
      </w:r>
      <w:r w:rsidR="00E16709">
        <w:t>V</w:t>
      </w:r>
      <w:r w:rsidRPr="00DD67CD">
        <w:t xml:space="preserve">) </w:t>
      </w:r>
      <w:hyperlink r:id="rId73" w:history="1">
        <w:r w:rsidRPr="00305EFC">
          <w:rPr>
            <w:rStyle w:val="Hyperlink"/>
            <w:rFonts w:eastAsiaTheme="majorEastAsia"/>
          </w:rPr>
          <w:t>Victorian Conservation Seedbank</w:t>
        </w:r>
      </w:hyperlink>
      <w:r w:rsidRPr="00DD67CD">
        <w:t xml:space="preserve"> (VCS) stores the seeds and spores of native Victorian plants, particularly endemics and at-risk species, and forms the basis of research into effective long-term germplasm storage, germination characteristics, and the propagation of recalcitrant native species. The VCS forms part of RBG</w:t>
      </w:r>
      <w:r w:rsidR="00E16709">
        <w:t>V</w:t>
      </w:r>
      <w:r w:rsidRPr="00DD67CD">
        <w:t xml:space="preserve">’s Victoria’s Bushfire Plant Recovery and Care Unit, which aims to support the </w:t>
      </w:r>
      <w:r w:rsidR="00305EFC" w:rsidRPr="00DD67CD">
        <w:t xml:space="preserve">restoration of fire damaged landscapes and ecosystems. </w:t>
      </w:r>
    </w:p>
    <w:p w14:paraId="29DED5E2" w14:textId="77777777" w:rsidR="00D85E62" w:rsidRDefault="00466BF6" w:rsidP="007E5EBF">
      <w:pPr>
        <w:pStyle w:val="Heading1"/>
      </w:pPr>
      <w:r>
        <w:br w:type="page"/>
      </w:r>
      <w:bookmarkStart w:id="28" w:name="_Toc113271023"/>
      <w:r w:rsidR="00DA641B">
        <w:t xml:space="preserve">Species </w:t>
      </w:r>
      <w:r w:rsidR="00D85E62">
        <w:t>assessments</w:t>
      </w:r>
      <w:bookmarkEnd w:id="28"/>
    </w:p>
    <w:p w14:paraId="1E68F12C" w14:textId="77777777" w:rsidR="00B024F1" w:rsidRPr="00FB5A2B" w:rsidRDefault="00B024F1" w:rsidP="00FB5A2B">
      <w:pPr>
        <w:pStyle w:val="Heading2"/>
        <w:numPr>
          <w:ilvl w:val="1"/>
          <w:numId w:val="27"/>
        </w:numPr>
        <w:ind w:left="0"/>
      </w:pPr>
      <w:bookmarkStart w:id="29" w:name="_Toc88565786"/>
      <w:bookmarkStart w:id="30" w:name="_Toc95234104"/>
      <w:bookmarkStart w:id="31" w:name="_Toc113271024"/>
      <w:r w:rsidRPr="00FE011D">
        <w:t>Lace Monitor</w:t>
      </w:r>
      <w:r w:rsidRPr="00FB5A2B">
        <w:t> </w:t>
      </w:r>
      <w:r w:rsidRPr="00FB5A2B">
        <w:rPr>
          <w:i/>
          <w:iCs/>
        </w:rPr>
        <w:t>(Varanus varius)</w:t>
      </w:r>
      <w:bookmarkEnd w:id="29"/>
      <w:bookmarkEnd w:id="30"/>
      <w:bookmarkEnd w:id="31"/>
      <w:r w:rsidRPr="00CB1C33">
        <w:t> </w:t>
      </w:r>
    </w:p>
    <w:p w14:paraId="3AF8D83C" w14:textId="7E7858EA" w:rsidR="00B024F1" w:rsidRDefault="00B024F1" w:rsidP="00B024F1">
      <w:pPr>
        <w:pStyle w:val="BodyText"/>
      </w:pPr>
      <w:r>
        <w:rPr>
          <w:rFonts w:ascii="Arial" w:hAnsi="Arial"/>
          <w:color w:val="363534"/>
        </w:rPr>
        <w:t>The Lace Monitor</w:t>
      </w:r>
      <w:r>
        <w:t xml:space="preserve"> was listed as Endangered in Victoria under the FFG Act in May 2021. The </w:t>
      </w:r>
      <w:r w:rsidR="004616B9">
        <w:t>species</w:t>
      </w:r>
      <w:r>
        <w:t xml:space="preserve"> has modelled habitat in the North East (18% of modelled habitat), Gippsland (17% of modelled habitat), West (13% of modelled habitat), East Gippsland (12% of modelled habitat) and Central Highlands (11% of modelled habitat) RFA regions, with 29% of modelled habitat in non-RFA regions. </w:t>
      </w:r>
      <w:r>
        <w:rPr>
          <w:rStyle w:val="BodyTextChar"/>
        </w:rPr>
        <w:t>Permanent protections are recommended to address any hazards identified at a significant or high risk, and all</w:t>
      </w:r>
      <w:r>
        <w:t xml:space="preserve"> hazards rated a medium risk or higher will be considered in future management planning.</w:t>
      </w:r>
    </w:p>
    <w:p w14:paraId="778C58ED" w14:textId="77777777" w:rsidR="00B024F1" w:rsidRDefault="00B024F1" w:rsidP="007E5EBF">
      <w:pPr>
        <w:pStyle w:val="Heading3"/>
      </w:pPr>
      <w:r>
        <w:t>Risk Assessment</w:t>
      </w:r>
    </w:p>
    <w:p w14:paraId="5E3C61D9" w14:textId="2F8BA56D" w:rsidR="00B024F1" w:rsidRPr="00FF310C" w:rsidRDefault="00B024F1" w:rsidP="006670D2">
      <w:pPr>
        <w:pStyle w:val="Caption"/>
      </w:pPr>
      <w:r w:rsidRPr="00FF310C">
        <w:t xml:space="preserve">Table </w:t>
      </w:r>
      <w:r w:rsidR="000B6788" w:rsidRPr="002A10F6">
        <w:rPr>
          <w:bCs/>
        </w:rPr>
        <w:fldChar w:fldCharType="begin"/>
      </w:r>
      <w:r w:rsidR="000B6788" w:rsidRPr="00FF310C">
        <w:instrText xml:space="preserve"> SEQ Table \* ARABIC </w:instrText>
      </w:r>
      <w:r w:rsidR="000B6788" w:rsidRPr="002A10F6">
        <w:rPr>
          <w:bCs/>
        </w:rPr>
        <w:fldChar w:fldCharType="separate"/>
      </w:r>
      <w:r w:rsidR="00692F0D">
        <w:rPr>
          <w:noProof/>
        </w:rPr>
        <w:t>4</w:t>
      </w:r>
      <w:r w:rsidR="000B6788" w:rsidRPr="002A10F6">
        <w:rPr>
          <w:bCs/>
          <w:noProof/>
        </w:rPr>
        <w:fldChar w:fldCharType="end"/>
      </w:r>
      <w:r w:rsidRPr="00FF310C">
        <w:t>. Lace Monitor risk ratings in the Central Highlands RFA region:</w:t>
      </w:r>
    </w:p>
    <w:tbl>
      <w:tblPr>
        <w:tblStyle w:val="TableGrid"/>
        <w:tblW w:w="9800" w:type="dxa"/>
        <w:tblLook w:val="04A0" w:firstRow="1" w:lastRow="0" w:firstColumn="1" w:lastColumn="0" w:noHBand="0" w:noVBand="1"/>
      </w:tblPr>
      <w:tblGrid>
        <w:gridCol w:w="1633"/>
        <w:gridCol w:w="1633"/>
        <w:gridCol w:w="1634"/>
        <w:gridCol w:w="1633"/>
        <w:gridCol w:w="1633"/>
        <w:gridCol w:w="1634"/>
      </w:tblGrid>
      <w:tr w:rsidR="00B024F1" w14:paraId="304E312D"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33" w:type="dxa"/>
            <w:tcBorders>
              <w:top w:val="single" w:sz="8" w:space="0" w:color="CDDC29" w:themeColor="text2"/>
              <w:left w:val="nil"/>
              <w:bottom w:val="single" w:sz="8" w:space="0" w:color="CDDC29" w:themeColor="text2"/>
              <w:right w:val="nil"/>
            </w:tcBorders>
            <w:vAlign w:val="center"/>
          </w:tcPr>
          <w:p w14:paraId="4D82B572" w14:textId="77777777" w:rsidR="00B024F1" w:rsidRDefault="00B024F1" w:rsidP="006670D2">
            <w:pPr>
              <w:pStyle w:val="CaptionImageorFigure"/>
            </w:pPr>
          </w:p>
        </w:tc>
        <w:tc>
          <w:tcPr>
            <w:tcW w:w="1633" w:type="dxa"/>
            <w:tcBorders>
              <w:top w:val="single" w:sz="8" w:space="0" w:color="CDDC29" w:themeColor="text2"/>
              <w:left w:val="nil"/>
              <w:bottom w:val="single" w:sz="8" w:space="0" w:color="CDDC29" w:themeColor="text2"/>
              <w:right w:val="nil"/>
            </w:tcBorders>
            <w:vAlign w:val="center"/>
            <w:hideMark/>
          </w:tcPr>
          <w:p w14:paraId="2A77BAAB"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Bushfire</w:t>
            </w:r>
          </w:p>
        </w:tc>
        <w:tc>
          <w:tcPr>
            <w:tcW w:w="1634" w:type="dxa"/>
            <w:tcBorders>
              <w:top w:val="single" w:sz="8" w:space="0" w:color="CDDC29" w:themeColor="text2"/>
              <w:left w:val="nil"/>
              <w:bottom w:val="single" w:sz="8" w:space="0" w:color="CDDC29" w:themeColor="text2"/>
              <w:right w:val="nil"/>
            </w:tcBorders>
            <w:vAlign w:val="center"/>
            <w:hideMark/>
          </w:tcPr>
          <w:p w14:paraId="4E410D4F"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Planned burning</w:t>
            </w:r>
          </w:p>
        </w:tc>
        <w:tc>
          <w:tcPr>
            <w:tcW w:w="1633" w:type="dxa"/>
            <w:tcBorders>
              <w:top w:val="single" w:sz="8" w:space="0" w:color="CDDC29" w:themeColor="text2"/>
              <w:left w:val="nil"/>
              <w:bottom w:val="single" w:sz="8" w:space="0" w:color="CDDC29" w:themeColor="text2"/>
              <w:right w:val="nil"/>
            </w:tcBorders>
            <w:vAlign w:val="center"/>
            <w:hideMark/>
          </w:tcPr>
          <w:p w14:paraId="30A86BB6" w14:textId="679DB3ED" w:rsidR="00B024F1" w:rsidRDefault="00CF7EB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Roading</w:t>
            </w:r>
          </w:p>
        </w:tc>
        <w:tc>
          <w:tcPr>
            <w:tcW w:w="1633" w:type="dxa"/>
            <w:tcBorders>
              <w:top w:val="single" w:sz="8" w:space="0" w:color="CDDC29" w:themeColor="text2"/>
              <w:left w:val="nil"/>
              <w:bottom w:val="single" w:sz="8" w:space="0" w:color="CDDC29" w:themeColor="text2"/>
              <w:right w:val="nil"/>
            </w:tcBorders>
            <w:vAlign w:val="center"/>
            <w:hideMark/>
          </w:tcPr>
          <w:p w14:paraId="4839010E"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1634" w:type="dxa"/>
            <w:tcBorders>
              <w:top w:val="single" w:sz="8" w:space="0" w:color="CDDC29" w:themeColor="text2"/>
              <w:left w:val="nil"/>
              <w:bottom w:val="single" w:sz="8" w:space="0" w:color="CDDC29" w:themeColor="text2"/>
              <w:right w:val="nil"/>
            </w:tcBorders>
            <w:vAlign w:val="center"/>
            <w:hideMark/>
          </w:tcPr>
          <w:p w14:paraId="4DEA4B0E"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(foxes and cats)</w:t>
            </w:r>
          </w:p>
        </w:tc>
      </w:tr>
      <w:tr w:rsidR="00B024F1" w14:paraId="70B0D014" w14:textId="77777777" w:rsidTr="00296E0F">
        <w:tc>
          <w:tcPr>
            <w:tcW w:w="1633" w:type="dxa"/>
            <w:tcBorders>
              <w:top w:val="single" w:sz="8" w:space="0" w:color="CDDC29" w:themeColor="text2"/>
              <w:left w:val="nil"/>
              <w:bottom w:val="single" w:sz="8" w:space="0" w:color="CDDC29" w:themeColor="text2"/>
              <w:right w:val="nil"/>
            </w:tcBorders>
            <w:vAlign w:val="center"/>
            <w:hideMark/>
          </w:tcPr>
          <w:p w14:paraId="42C16410" w14:textId="77777777" w:rsidR="00B024F1" w:rsidRDefault="00B024F1" w:rsidP="00296E0F">
            <w:pPr>
              <w:pStyle w:val="BodyText"/>
              <w:jc w:val="center"/>
            </w:pPr>
            <w:r>
              <w:t>Consequence</w:t>
            </w:r>
          </w:p>
        </w:tc>
        <w:tc>
          <w:tcPr>
            <w:tcW w:w="1633" w:type="dxa"/>
            <w:tcBorders>
              <w:top w:val="single" w:sz="8" w:space="0" w:color="CDDC29" w:themeColor="text2"/>
              <w:left w:val="nil"/>
              <w:bottom w:val="single" w:sz="8" w:space="0" w:color="CDDC29" w:themeColor="text2"/>
              <w:right w:val="nil"/>
            </w:tcBorders>
            <w:vAlign w:val="center"/>
            <w:hideMark/>
          </w:tcPr>
          <w:p w14:paraId="1028960D" w14:textId="77777777" w:rsidR="00B024F1" w:rsidRDefault="00B024F1" w:rsidP="00296E0F">
            <w:pPr>
              <w:pStyle w:val="BodyText"/>
              <w:jc w:val="center"/>
            </w:pPr>
            <w:r>
              <w:t>Moderate</w:t>
            </w:r>
          </w:p>
        </w:tc>
        <w:tc>
          <w:tcPr>
            <w:tcW w:w="1634" w:type="dxa"/>
            <w:tcBorders>
              <w:top w:val="single" w:sz="8" w:space="0" w:color="CDDC29" w:themeColor="text2"/>
              <w:left w:val="nil"/>
              <w:bottom w:val="single" w:sz="8" w:space="0" w:color="CDDC29" w:themeColor="text2"/>
              <w:right w:val="nil"/>
            </w:tcBorders>
            <w:vAlign w:val="center"/>
            <w:hideMark/>
          </w:tcPr>
          <w:p w14:paraId="00113B35" w14:textId="77777777" w:rsidR="00B024F1" w:rsidRDefault="00B024F1" w:rsidP="00296E0F">
            <w:pPr>
              <w:pStyle w:val="BodyText"/>
              <w:jc w:val="center"/>
            </w:pPr>
            <w:r>
              <w:t>Moderate</w:t>
            </w:r>
          </w:p>
        </w:tc>
        <w:tc>
          <w:tcPr>
            <w:tcW w:w="1633" w:type="dxa"/>
            <w:tcBorders>
              <w:top w:val="single" w:sz="8" w:space="0" w:color="CDDC29" w:themeColor="text2"/>
              <w:left w:val="nil"/>
              <w:bottom w:val="single" w:sz="8" w:space="0" w:color="CDDC29" w:themeColor="text2"/>
              <w:right w:val="nil"/>
            </w:tcBorders>
            <w:vAlign w:val="center"/>
            <w:hideMark/>
          </w:tcPr>
          <w:p w14:paraId="3019027F" w14:textId="77777777" w:rsidR="00B024F1" w:rsidRDefault="00B024F1" w:rsidP="00296E0F">
            <w:pPr>
              <w:pStyle w:val="BodyText"/>
              <w:jc w:val="center"/>
            </w:pPr>
            <w:r>
              <w:t>Minor</w:t>
            </w:r>
          </w:p>
        </w:tc>
        <w:tc>
          <w:tcPr>
            <w:tcW w:w="1633" w:type="dxa"/>
            <w:tcBorders>
              <w:top w:val="single" w:sz="8" w:space="0" w:color="CDDC29" w:themeColor="text2"/>
              <w:left w:val="nil"/>
              <w:bottom w:val="single" w:sz="8" w:space="0" w:color="CDDC29" w:themeColor="text2"/>
              <w:right w:val="nil"/>
            </w:tcBorders>
            <w:vAlign w:val="center"/>
            <w:hideMark/>
          </w:tcPr>
          <w:p w14:paraId="4A819C5A" w14:textId="77777777" w:rsidR="00B024F1" w:rsidRDefault="00B024F1" w:rsidP="00296E0F">
            <w:pPr>
              <w:pStyle w:val="BodyText"/>
              <w:jc w:val="center"/>
            </w:pPr>
            <w:r>
              <w:t>Moderate</w:t>
            </w:r>
          </w:p>
        </w:tc>
        <w:tc>
          <w:tcPr>
            <w:tcW w:w="1634" w:type="dxa"/>
            <w:tcBorders>
              <w:top w:val="single" w:sz="8" w:space="0" w:color="CDDC29" w:themeColor="text2"/>
              <w:left w:val="nil"/>
              <w:bottom w:val="single" w:sz="8" w:space="0" w:color="CDDC29" w:themeColor="text2"/>
              <w:right w:val="nil"/>
            </w:tcBorders>
            <w:vAlign w:val="center"/>
            <w:hideMark/>
          </w:tcPr>
          <w:p w14:paraId="6958047B" w14:textId="77777777" w:rsidR="00B024F1" w:rsidRDefault="00B024F1" w:rsidP="00296E0F">
            <w:pPr>
              <w:pStyle w:val="BodyText"/>
              <w:jc w:val="center"/>
            </w:pPr>
            <w:r>
              <w:t>Minor</w:t>
            </w:r>
          </w:p>
        </w:tc>
      </w:tr>
      <w:tr w:rsidR="00B024F1" w14:paraId="31972EB7" w14:textId="77777777" w:rsidTr="00296E0F">
        <w:tc>
          <w:tcPr>
            <w:tcW w:w="1633" w:type="dxa"/>
            <w:tcBorders>
              <w:top w:val="single" w:sz="8" w:space="0" w:color="CDDC29" w:themeColor="text2"/>
              <w:left w:val="nil"/>
              <w:bottom w:val="single" w:sz="8" w:space="0" w:color="CDDC29" w:themeColor="text2"/>
              <w:right w:val="nil"/>
            </w:tcBorders>
            <w:vAlign w:val="center"/>
            <w:hideMark/>
          </w:tcPr>
          <w:p w14:paraId="4A2B7099" w14:textId="77777777" w:rsidR="00B024F1" w:rsidRDefault="00B024F1" w:rsidP="00296E0F">
            <w:pPr>
              <w:pStyle w:val="BodyText"/>
              <w:jc w:val="center"/>
            </w:pPr>
            <w:r>
              <w:t>Likelihood</w:t>
            </w:r>
          </w:p>
        </w:tc>
        <w:tc>
          <w:tcPr>
            <w:tcW w:w="1633" w:type="dxa"/>
            <w:tcBorders>
              <w:top w:val="single" w:sz="8" w:space="0" w:color="CDDC29" w:themeColor="text2"/>
              <w:left w:val="nil"/>
              <w:bottom w:val="single" w:sz="8" w:space="0" w:color="CDDC29" w:themeColor="text2"/>
              <w:right w:val="nil"/>
            </w:tcBorders>
            <w:vAlign w:val="center"/>
            <w:hideMark/>
          </w:tcPr>
          <w:p w14:paraId="7F8B759F" w14:textId="77777777" w:rsidR="00B024F1" w:rsidRDefault="00B024F1" w:rsidP="00296E0F">
            <w:pPr>
              <w:pStyle w:val="BodyText"/>
              <w:jc w:val="center"/>
            </w:pPr>
            <w:r>
              <w:t>Possible</w:t>
            </w:r>
          </w:p>
        </w:tc>
        <w:tc>
          <w:tcPr>
            <w:tcW w:w="1634" w:type="dxa"/>
            <w:tcBorders>
              <w:top w:val="single" w:sz="8" w:space="0" w:color="CDDC29" w:themeColor="text2"/>
              <w:left w:val="nil"/>
              <w:bottom w:val="single" w:sz="8" w:space="0" w:color="CDDC29" w:themeColor="text2"/>
              <w:right w:val="nil"/>
            </w:tcBorders>
            <w:vAlign w:val="center"/>
            <w:hideMark/>
          </w:tcPr>
          <w:p w14:paraId="242C3F03" w14:textId="77777777" w:rsidR="00B024F1" w:rsidRDefault="00B024F1" w:rsidP="00296E0F">
            <w:pPr>
              <w:pStyle w:val="BodyText"/>
              <w:jc w:val="center"/>
            </w:pPr>
            <w:r>
              <w:t>Likely</w:t>
            </w:r>
          </w:p>
        </w:tc>
        <w:tc>
          <w:tcPr>
            <w:tcW w:w="1633" w:type="dxa"/>
            <w:tcBorders>
              <w:top w:val="single" w:sz="8" w:space="0" w:color="CDDC29" w:themeColor="text2"/>
              <w:left w:val="nil"/>
              <w:bottom w:val="single" w:sz="8" w:space="0" w:color="CDDC29" w:themeColor="text2"/>
              <w:right w:val="nil"/>
            </w:tcBorders>
            <w:vAlign w:val="center"/>
            <w:hideMark/>
          </w:tcPr>
          <w:p w14:paraId="507A1F72" w14:textId="77777777" w:rsidR="00B024F1" w:rsidRDefault="00B024F1" w:rsidP="00296E0F">
            <w:pPr>
              <w:pStyle w:val="BodyText"/>
              <w:jc w:val="center"/>
            </w:pPr>
            <w:r>
              <w:t>Likely</w:t>
            </w:r>
          </w:p>
        </w:tc>
        <w:tc>
          <w:tcPr>
            <w:tcW w:w="1633" w:type="dxa"/>
            <w:tcBorders>
              <w:top w:val="single" w:sz="8" w:space="0" w:color="CDDC29" w:themeColor="text2"/>
              <w:left w:val="nil"/>
              <w:bottom w:val="single" w:sz="8" w:space="0" w:color="CDDC29" w:themeColor="text2"/>
              <w:right w:val="nil"/>
            </w:tcBorders>
            <w:vAlign w:val="center"/>
            <w:hideMark/>
          </w:tcPr>
          <w:p w14:paraId="78152B95" w14:textId="77777777" w:rsidR="00B024F1" w:rsidRDefault="00B024F1" w:rsidP="00296E0F">
            <w:pPr>
              <w:pStyle w:val="BodyText"/>
              <w:jc w:val="center"/>
            </w:pPr>
            <w:r>
              <w:t>Possible</w:t>
            </w:r>
          </w:p>
        </w:tc>
        <w:tc>
          <w:tcPr>
            <w:tcW w:w="1634" w:type="dxa"/>
            <w:tcBorders>
              <w:top w:val="single" w:sz="8" w:space="0" w:color="CDDC29" w:themeColor="text2"/>
              <w:left w:val="nil"/>
              <w:bottom w:val="single" w:sz="8" w:space="0" w:color="CDDC29" w:themeColor="text2"/>
              <w:right w:val="nil"/>
            </w:tcBorders>
            <w:vAlign w:val="center"/>
            <w:hideMark/>
          </w:tcPr>
          <w:p w14:paraId="5F35E4CB" w14:textId="77777777" w:rsidR="00B024F1" w:rsidRDefault="00B024F1" w:rsidP="00296E0F">
            <w:pPr>
              <w:pStyle w:val="BodyText"/>
              <w:jc w:val="center"/>
            </w:pPr>
            <w:r>
              <w:t>Likely</w:t>
            </w:r>
          </w:p>
        </w:tc>
      </w:tr>
      <w:tr w:rsidR="00B024F1" w14:paraId="0C7F0D1B" w14:textId="77777777" w:rsidTr="00296E0F">
        <w:tc>
          <w:tcPr>
            <w:tcW w:w="1633" w:type="dxa"/>
            <w:tcBorders>
              <w:top w:val="single" w:sz="8" w:space="0" w:color="CDDC29" w:themeColor="text2"/>
              <w:left w:val="nil"/>
              <w:bottom w:val="single" w:sz="8" w:space="0" w:color="CDDC29" w:themeColor="text2"/>
              <w:right w:val="nil"/>
            </w:tcBorders>
            <w:vAlign w:val="center"/>
            <w:hideMark/>
          </w:tcPr>
          <w:p w14:paraId="0FE7FCB3" w14:textId="77777777" w:rsidR="00B024F1" w:rsidRDefault="00B024F1" w:rsidP="00296E0F">
            <w:pPr>
              <w:pStyle w:val="BodyText"/>
              <w:jc w:val="center"/>
            </w:pPr>
            <w:r>
              <w:t>Overall risk rating</w:t>
            </w:r>
          </w:p>
        </w:tc>
        <w:tc>
          <w:tcPr>
            <w:tcW w:w="1633" w:type="dxa"/>
            <w:tcBorders>
              <w:top w:val="single" w:sz="8" w:space="0" w:color="CDDC29" w:themeColor="text2"/>
              <w:left w:val="nil"/>
              <w:bottom w:val="single" w:sz="8" w:space="0" w:color="CDDC29" w:themeColor="text2"/>
              <w:right w:val="nil"/>
            </w:tcBorders>
            <w:shd w:val="clear" w:color="auto" w:fill="FFFF00"/>
            <w:vAlign w:val="center"/>
            <w:hideMark/>
          </w:tcPr>
          <w:p w14:paraId="51D606D0" w14:textId="77777777" w:rsidR="00B024F1" w:rsidRDefault="00B024F1" w:rsidP="00296E0F">
            <w:pPr>
              <w:pStyle w:val="BodyText"/>
              <w:jc w:val="center"/>
            </w:pPr>
            <w:r>
              <w:t>Medium</w:t>
            </w:r>
          </w:p>
        </w:tc>
        <w:tc>
          <w:tcPr>
            <w:tcW w:w="1634" w:type="dxa"/>
            <w:tcBorders>
              <w:top w:val="single" w:sz="8" w:space="0" w:color="CDDC29" w:themeColor="text2"/>
              <w:left w:val="nil"/>
              <w:bottom w:val="single" w:sz="8" w:space="0" w:color="CDDC29" w:themeColor="text2"/>
              <w:right w:val="nil"/>
            </w:tcBorders>
            <w:shd w:val="clear" w:color="auto" w:fill="FFC000"/>
            <w:vAlign w:val="center"/>
            <w:hideMark/>
          </w:tcPr>
          <w:p w14:paraId="1AD044B6" w14:textId="77777777" w:rsidR="00B024F1" w:rsidRDefault="00B024F1" w:rsidP="00296E0F">
            <w:pPr>
              <w:pStyle w:val="BodyText"/>
              <w:jc w:val="center"/>
            </w:pPr>
            <w:r>
              <w:t>Significant</w:t>
            </w:r>
          </w:p>
        </w:tc>
        <w:tc>
          <w:tcPr>
            <w:tcW w:w="1633" w:type="dxa"/>
            <w:tcBorders>
              <w:top w:val="single" w:sz="8" w:space="0" w:color="CDDC29" w:themeColor="text2"/>
              <w:left w:val="nil"/>
              <w:bottom w:val="single" w:sz="8" w:space="0" w:color="CDDC29" w:themeColor="text2"/>
              <w:right w:val="nil"/>
            </w:tcBorders>
            <w:shd w:val="clear" w:color="auto" w:fill="FFFF00"/>
            <w:vAlign w:val="center"/>
            <w:hideMark/>
          </w:tcPr>
          <w:p w14:paraId="42E8CA37" w14:textId="77777777" w:rsidR="00B024F1" w:rsidRDefault="00B024F1" w:rsidP="00296E0F">
            <w:pPr>
              <w:pStyle w:val="BodyText"/>
              <w:jc w:val="center"/>
            </w:pPr>
            <w:r>
              <w:t>Medium</w:t>
            </w:r>
          </w:p>
        </w:tc>
        <w:tc>
          <w:tcPr>
            <w:tcW w:w="1633" w:type="dxa"/>
            <w:tcBorders>
              <w:top w:val="single" w:sz="8" w:space="0" w:color="CDDC29" w:themeColor="text2"/>
              <w:left w:val="nil"/>
              <w:bottom w:val="single" w:sz="8" w:space="0" w:color="CDDC29" w:themeColor="text2"/>
              <w:right w:val="nil"/>
            </w:tcBorders>
            <w:shd w:val="clear" w:color="auto" w:fill="FFFF00"/>
            <w:vAlign w:val="center"/>
            <w:hideMark/>
          </w:tcPr>
          <w:p w14:paraId="77A2807C" w14:textId="77777777" w:rsidR="00B024F1" w:rsidRDefault="00B024F1" w:rsidP="00296E0F">
            <w:pPr>
              <w:pStyle w:val="BodyText"/>
              <w:jc w:val="center"/>
            </w:pPr>
            <w:r>
              <w:t>Medium</w:t>
            </w:r>
          </w:p>
        </w:tc>
        <w:tc>
          <w:tcPr>
            <w:tcW w:w="1634" w:type="dxa"/>
            <w:tcBorders>
              <w:top w:val="single" w:sz="8" w:space="0" w:color="CDDC29" w:themeColor="text2"/>
              <w:left w:val="nil"/>
              <w:bottom w:val="single" w:sz="8" w:space="0" w:color="CDDC29" w:themeColor="text2"/>
              <w:right w:val="nil"/>
            </w:tcBorders>
            <w:shd w:val="clear" w:color="auto" w:fill="FFFF00"/>
            <w:vAlign w:val="center"/>
            <w:hideMark/>
          </w:tcPr>
          <w:p w14:paraId="30281374" w14:textId="77777777" w:rsidR="00B024F1" w:rsidRDefault="00B024F1" w:rsidP="00296E0F">
            <w:pPr>
              <w:pStyle w:val="BodyText"/>
              <w:jc w:val="center"/>
            </w:pPr>
            <w:r>
              <w:t>Medium</w:t>
            </w:r>
          </w:p>
        </w:tc>
      </w:tr>
    </w:tbl>
    <w:p w14:paraId="01266E9F" w14:textId="79A34B26" w:rsidR="00B024F1" w:rsidRPr="00FF310C" w:rsidRDefault="00B024F1" w:rsidP="006670D2">
      <w:pPr>
        <w:pStyle w:val="Caption"/>
      </w:pPr>
      <w:r w:rsidRPr="00FF310C">
        <w:t xml:space="preserve">Table </w:t>
      </w:r>
      <w:r w:rsidR="000B6788" w:rsidRPr="002A10F6">
        <w:rPr>
          <w:bCs/>
        </w:rPr>
        <w:fldChar w:fldCharType="begin"/>
      </w:r>
      <w:r w:rsidR="000B6788" w:rsidRPr="00FF310C">
        <w:instrText xml:space="preserve"> SEQ Table \* ARABIC </w:instrText>
      </w:r>
      <w:r w:rsidR="000B6788" w:rsidRPr="002A10F6">
        <w:rPr>
          <w:bCs/>
        </w:rPr>
        <w:fldChar w:fldCharType="separate"/>
      </w:r>
      <w:r w:rsidR="00692F0D">
        <w:rPr>
          <w:noProof/>
        </w:rPr>
        <w:t>5</w:t>
      </w:r>
      <w:r w:rsidR="000B6788" w:rsidRPr="002A10F6">
        <w:rPr>
          <w:bCs/>
          <w:noProof/>
        </w:rPr>
        <w:fldChar w:fldCharType="end"/>
      </w:r>
      <w:r w:rsidRPr="00FF310C">
        <w:t>. Lace Monitor risk ratings in the East Gippsland RFA region:</w:t>
      </w:r>
    </w:p>
    <w:tbl>
      <w:tblPr>
        <w:tblStyle w:val="TableGrid"/>
        <w:tblW w:w="9799" w:type="dxa"/>
        <w:tblLook w:val="04A0" w:firstRow="1" w:lastRow="0" w:firstColumn="1" w:lastColumn="0" w:noHBand="0" w:noVBand="1"/>
      </w:tblPr>
      <w:tblGrid>
        <w:gridCol w:w="1633"/>
        <w:gridCol w:w="1633"/>
        <w:gridCol w:w="1633"/>
        <w:gridCol w:w="1633"/>
        <w:gridCol w:w="1633"/>
        <w:gridCol w:w="1634"/>
      </w:tblGrid>
      <w:tr w:rsidR="00B024F1" w14:paraId="49F126C5"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33" w:type="dxa"/>
            <w:tcBorders>
              <w:top w:val="single" w:sz="8" w:space="0" w:color="CDDC29" w:themeColor="text2"/>
              <w:left w:val="nil"/>
              <w:bottom w:val="single" w:sz="8" w:space="0" w:color="CDDC29" w:themeColor="text2"/>
              <w:right w:val="nil"/>
            </w:tcBorders>
            <w:vAlign w:val="center"/>
          </w:tcPr>
          <w:p w14:paraId="3A6E8AE0" w14:textId="77777777" w:rsidR="00B024F1" w:rsidRDefault="00B024F1" w:rsidP="006670D2">
            <w:pPr>
              <w:pStyle w:val="CaptionImageorFigure"/>
            </w:pPr>
          </w:p>
        </w:tc>
        <w:tc>
          <w:tcPr>
            <w:tcW w:w="1633" w:type="dxa"/>
            <w:tcBorders>
              <w:top w:val="single" w:sz="8" w:space="0" w:color="CDDC29" w:themeColor="text2"/>
              <w:left w:val="nil"/>
              <w:bottom w:val="single" w:sz="8" w:space="0" w:color="CDDC29" w:themeColor="text2"/>
              <w:right w:val="nil"/>
            </w:tcBorders>
            <w:vAlign w:val="center"/>
            <w:hideMark/>
          </w:tcPr>
          <w:p w14:paraId="3DD2874C"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Bushfire</w:t>
            </w:r>
          </w:p>
        </w:tc>
        <w:tc>
          <w:tcPr>
            <w:tcW w:w="1633" w:type="dxa"/>
            <w:tcBorders>
              <w:top w:val="single" w:sz="8" w:space="0" w:color="CDDC29" w:themeColor="text2"/>
              <w:left w:val="nil"/>
              <w:bottom w:val="single" w:sz="8" w:space="0" w:color="CDDC29" w:themeColor="text2"/>
              <w:right w:val="nil"/>
            </w:tcBorders>
            <w:vAlign w:val="center"/>
            <w:hideMark/>
          </w:tcPr>
          <w:p w14:paraId="509D3E55"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Planned burning</w:t>
            </w:r>
          </w:p>
        </w:tc>
        <w:tc>
          <w:tcPr>
            <w:tcW w:w="1633" w:type="dxa"/>
            <w:tcBorders>
              <w:top w:val="single" w:sz="8" w:space="0" w:color="CDDC29" w:themeColor="text2"/>
              <w:left w:val="nil"/>
              <w:bottom w:val="single" w:sz="8" w:space="0" w:color="CDDC29" w:themeColor="text2"/>
              <w:right w:val="nil"/>
            </w:tcBorders>
            <w:vAlign w:val="center"/>
            <w:hideMark/>
          </w:tcPr>
          <w:p w14:paraId="3B6D26E9" w14:textId="280C8109" w:rsidR="00B024F1" w:rsidRDefault="00CF7EB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Roading</w:t>
            </w:r>
          </w:p>
        </w:tc>
        <w:tc>
          <w:tcPr>
            <w:tcW w:w="1633" w:type="dxa"/>
            <w:tcBorders>
              <w:top w:val="single" w:sz="8" w:space="0" w:color="CDDC29" w:themeColor="text2"/>
              <w:left w:val="nil"/>
              <w:bottom w:val="single" w:sz="8" w:space="0" w:color="CDDC29" w:themeColor="text2"/>
              <w:right w:val="nil"/>
            </w:tcBorders>
            <w:vAlign w:val="center"/>
            <w:hideMark/>
          </w:tcPr>
          <w:p w14:paraId="657A7EED"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1634" w:type="dxa"/>
            <w:tcBorders>
              <w:top w:val="single" w:sz="8" w:space="0" w:color="CDDC29" w:themeColor="text2"/>
              <w:left w:val="nil"/>
              <w:bottom w:val="single" w:sz="8" w:space="0" w:color="CDDC29" w:themeColor="text2"/>
              <w:right w:val="nil"/>
            </w:tcBorders>
            <w:vAlign w:val="center"/>
            <w:hideMark/>
          </w:tcPr>
          <w:p w14:paraId="27643279"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(foxes and cats)</w:t>
            </w:r>
          </w:p>
        </w:tc>
      </w:tr>
      <w:tr w:rsidR="00B024F1" w14:paraId="372E0324" w14:textId="77777777" w:rsidTr="00296E0F">
        <w:tc>
          <w:tcPr>
            <w:tcW w:w="1633" w:type="dxa"/>
            <w:tcBorders>
              <w:top w:val="single" w:sz="8" w:space="0" w:color="CDDC29" w:themeColor="text2"/>
              <w:left w:val="nil"/>
              <w:bottom w:val="single" w:sz="8" w:space="0" w:color="CDDC29" w:themeColor="text2"/>
              <w:right w:val="nil"/>
            </w:tcBorders>
            <w:vAlign w:val="center"/>
            <w:hideMark/>
          </w:tcPr>
          <w:p w14:paraId="4369331A" w14:textId="77777777" w:rsidR="00B024F1" w:rsidRDefault="00B024F1" w:rsidP="00296E0F">
            <w:pPr>
              <w:pStyle w:val="BodyText"/>
              <w:jc w:val="center"/>
            </w:pPr>
            <w:r>
              <w:t>Consequence</w:t>
            </w:r>
          </w:p>
        </w:tc>
        <w:tc>
          <w:tcPr>
            <w:tcW w:w="1633" w:type="dxa"/>
            <w:tcBorders>
              <w:top w:val="single" w:sz="8" w:space="0" w:color="CDDC29" w:themeColor="text2"/>
              <w:left w:val="nil"/>
              <w:bottom w:val="single" w:sz="8" w:space="0" w:color="CDDC29" w:themeColor="text2"/>
              <w:right w:val="nil"/>
            </w:tcBorders>
            <w:vAlign w:val="center"/>
            <w:hideMark/>
          </w:tcPr>
          <w:p w14:paraId="35DA36A0" w14:textId="77777777" w:rsidR="00B024F1" w:rsidRDefault="00B024F1" w:rsidP="00296E0F">
            <w:pPr>
              <w:pStyle w:val="BodyText"/>
              <w:jc w:val="center"/>
            </w:pPr>
            <w:r>
              <w:t>Major</w:t>
            </w:r>
          </w:p>
        </w:tc>
        <w:tc>
          <w:tcPr>
            <w:tcW w:w="1633" w:type="dxa"/>
            <w:tcBorders>
              <w:top w:val="single" w:sz="8" w:space="0" w:color="CDDC29" w:themeColor="text2"/>
              <w:left w:val="nil"/>
              <w:bottom w:val="single" w:sz="8" w:space="0" w:color="CDDC29" w:themeColor="text2"/>
              <w:right w:val="nil"/>
            </w:tcBorders>
            <w:vAlign w:val="center"/>
            <w:hideMark/>
          </w:tcPr>
          <w:p w14:paraId="0F6E6B39" w14:textId="77777777" w:rsidR="00B024F1" w:rsidRDefault="00B024F1" w:rsidP="00296E0F">
            <w:pPr>
              <w:pStyle w:val="BodyText"/>
              <w:jc w:val="center"/>
            </w:pPr>
            <w:r>
              <w:t>Moderate</w:t>
            </w:r>
          </w:p>
        </w:tc>
        <w:tc>
          <w:tcPr>
            <w:tcW w:w="1633" w:type="dxa"/>
            <w:tcBorders>
              <w:top w:val="single" w:sz="8" w:space="0" w:color="CDDC29" w:themeColor="text2"/>
              <w:left w:val="nil"/>
              <w:bottom w:val="single" w:sz="8" w:space="0" w:color="CDDC29" w:themeColor="text2"/>
              <w:right w:val="nil"/>
            </w:tcBorders>
            <w:vAlign w:val="center"/>
            <w:hideMark/>
          </w:tcPr>
          <w:p w14:paraId="1A142E0B" w14:textId="77777777" w:rsidR="00B024F1" w:rsidRDefault="00B024F1" w:rsidP="00296E0F">
            <w:pPr>
              <w:pStyle w:val="BodyText"/>
              <w:jc w:val="center"/>
            </w:pPr>
            <w:r>
              <w:t>Minor</w:t>
            </w:r>
          </w:p>
        </w:tc>
        <w:tc>
          <w:tcPr>
            <w:tcW w:w="1633" w:type="dxa"/>
            <w:tcBorders>
              <w:top w:val="single" w:sz="8" w:space="0" w:color="CDDC29" w:themeColor="text2"/>
              <w:left w:val="nil"/>
              <w:bottom w:val="single" w:sz="8" w:space="0" w:color="CDDC29" w:themeColor="text2"/>
              <w:right w:val="nil"/>
            </w:tcBorders>
            <w:vAlign w:val="center"/>
            <w:hideMark/>
          </w:tcPr>
          <w:p w14:paraId="133728A7" w14:textId="77777777" w:rsidR="00B024F1" w:rsidRDefault="00B024F1" w:rsidP="00296E0F">
            <w:pPr>
              <w:pStyle w:val="BodyText"/>
              <w:jc w:val="center"/>
            </w:pPr>
            <w:r>
              <w:t>Moderate</w:t>
            </w:r>
          </w:p>
        </w:tc>
        <w:tc>
          <w:tcPr>
            <w:tcW w:w="1634" w:type="dxa"/>
            <w:tcBorders>
              <w:top w:val="single" w:sz="8" w:space="0" w:color="CDDC29" w:themeColor="text2"/>
              <w:left w:val="nil"/>
              <w:bottom w:val="single" w:sz="8" w:space="0" w:color="CDDC29" w:themeColor="text2"/>
              <w:right w:val="nil"/>
            </w:tcBorders>
            <w:vAlign w:val="center"/>
            <w:hideMark/>
          </w:tcPr>
          <w:p w14:paraId="461F3B2D" w14:textId="77777777" w:rsidR="00B024F1" w:rsidRDefault="00B024F1" w:rsidP="00296E0F">
            <w:pPr>
              <w:pStyle w:val="BodyText"/>
              <w:jc w:val="center"/>
            </w:pPr>
            <w:r>
              <w:t>Minor</w:t>
            </w:r>
          </w:p>
        </w:tc>
      </w:tr>
      <w:tr w:rsidR="00B024F1" w14:paraId="0E40F1DE" w14:textId="77777777" w:rsidTr="00296E0F">
        <w:tc>
          <w:tcPr>
            <w:tcW w:w="1633" w:type="dxa"/>
            <w:tcBorders>
              <w:top w:val="single" w:sz="8" w:space="0" w:color="CDDC29" w:themeColor="text2"/>
              <w:left w:val="nil"/>
              <w:bottom w:val="single" w:sz="8" w:space="0" w:color="CDDC29" w:themeColor="text2"/>
              <w:right w:val="nil"/>
            </w:tcBorders>
            <w:vAlign w:val="center"/>
            <w:hideMark/>
          </w:tcPr>
          <w:p w14:paraId="7B3B5517" w14:textId="77777777" w:rsidR="00B024F1" w:rsidRDefault="00B024F1" w:rsidP="00296E0F">
            <w:pPr>
              <w:pStyle w:val="BodyText"/>
              <w:jc w:val="center"/>
            </w:pPr>
            <w:r>
              <w:t>Likelihood</w:t>
            </w:r>
          </w:p>
        </w:tc>
        <w:tc>
          <w:tcPr>
            <w:tcW w:w="1633" w:type="dxa"/>
            <w:tcBorders>
              <w:top w:val="single" w:sz="8" w:space="0" w:color="CDDC29" w:themeColor="text2"/>
              <w:left w:val="nil"/>
              <w:bottom w:val="single" w:sz="8" w:space="0" w:color="CDDC29" w:themeColor="text2"/>
              <w:right w:val="nil"/>
            </w:tcBorders>
            <w:vAlign w:val="center"/>
            <w:hideMark/>
          </w:tcPr>
          <w:p w14:paraId="2E3C4B78" w14:textId="77777777" w:rsidR="00B024F1" w:rsidRDefault="00B024F1" w:rsidP="00296E0F">
            <w:pPr>
              <w:pStyle w:val="BodyText"/>
              <w:jc w:val="center"/>
            </w:pPr>
            <w:r>
              <w:t>Possible</w:t>
            </w:r>
          </w:p>
        </w:tc>
        <w:tc>
          <w:tcPr>
            <w:tcW w:w="1633" w:type="dxa"/>
            <w:tcBorders>
              <w:top w:val="single" w:sz="8" w:space="0" w:color="CDDC29" w:themeColor="text2"/>
              <w:left w:val="nil"/>
              <w:bottom w:val="single" w:sz="8" w:space="0" w:color="CDDC29" w:themeColor="text2"/>
              <w:right w:val="nil"/>
            </w:tcBorders>
            <w:vAlign w:val="center"/>
            <w:hideMark/>
          </w:tcPr>
          <w:p w14:paraId="5A27F4A9" w14:textId="77777777" w:rsidR="00B024F1" w:rsidRDefault="00B024F1" w:rsidP="00296E0F">
            <w:pPr>
              <w:pStyle w:val="BodyText"/>
              <w:jc w:val="center"/>
            </w:pPr>
            <w:r>
              <w:t>Likely</w:t>
            </w:r>
          </w:p>
        </w:tc>
        <w:tc>
          <w:tcPr>
            <w:tcW w:w="1633" w:type="dxa"/>
            <w:tcBorders>
              <w:top w:val="single" w:sz="8" w:space="0" w:color="CDDC29" w:themeColor="text2"/>
              <w:left w:val="nil"/>
              <w:bottom w:val="single" w:sz="8" w:space="0" w:color="CDDC29" w:themeColor="text2"/>
              <w:right w:val="nil"/>
            </w:tcBorders>
            <w:vAlign w:val="center"/>
            <w:hideMark/>
          </w:tcPr>
          <w:p w14:paraId="49E1EED4" w14:textId="77777777" w:rsidR="00B024F1" w:rsidRDefault="00B024F1" w:rsidP="00296E0F">
            <w:pPr>
              <w:pStyle w:val="BodyText"/>
              <w:jc w:val="center"/>
            </w:pPr>
            <w:r>
              <w:t>Likely</w:t>
            </w:r>
          </w:p>
        </w:tc>
        <w:tc>
          <w:tcPr>
            <w:tcW w:w="1633" w:type="dxa"/>
            <w:tcBorders>
              <w:top w:val="single" w:sz="8" w:space="0" w:color="CDDC29" w:themeColor="text2"/>
              <w:left w:val="nil"/>
              <w:bottom w:val="single" w:sz="8" w:space="0" w:color="CDDC29" w:themeColor="text2"/>
              <w:right w:val="nil"/>
            </w:tcBorders>
            <w:vAlign w:val="center"/>
            <w:hideMark/>
          </w:tcPr>
          <w:p w14:paraId="7B942962" w14:textId="77777777" w:rsidR="00B024F1" w:rsidRDefault="00B024F1" w:rsidP="00296E0F">
            <w:pPr>
              <w:pStyle w:val="BodyText"/>
              <w:jc w:val="center"/>
            </w:pPr>
            <w:r>
              <w:t>Possible</w:t>
            </w:r>
          </w:p>
        </w:tc>
        <w:tc>
          <w:tcPr>
            <w:tcW w:w="1634" w:type="dxa"/>
            <w:tcBorders>
              <w:top w:val="single" w:sz="8" w:space="0" w:color="CDDC29" w:themeColor="text2"/>
              <w:left w:val="nil"/>
              <w:bottom w:val="single" w:sz="8" w:space="0" w:color="CDDC29" w:themeColor="text2"/>
              <w:right w:val="nil"/>
            </w:tcBorders>
            <w:vAlign w:val="center"/>
            <w:hideMark/>
          </w:tcPr>
          <w:p w14:paraId="7E0483CB" w14:textId="77777777" w:rsidR="00B024F1" w:rsidRDefault="00B024F1" w:rsidP="00296E0F">
            <w:pPr>
              <w:pStyle w:val="BodyText"/>
              <w:jc w:val="center"/>
            </w:pPr>
            <w:r>
              <w:t>Likely</w:t>
            </w:r>
          </w:p>
        </w:tc>
      </w:tr>
      <w:tr w:rsidR="00B024F1" w14:paraId="280ED4C4" w14:textId="77777777" w:rsidTr="00296E0F">
        <w:tc>
          <w:tcPr>
            <w:tcW w:w="1633" w:type="dxa"/>
            <w:tcBorders>
              <w:top w:val="single" w:sz="8" w:space="0" w:color="CDDC29" w:themeColor="text2"/>
              <w:left w:val="nil"/>
              <w:bottom w:val="single" w:sz="8" w:space="0" w:color="CDDC29" w:themeColor="text2"/>
              <w:right w:val="nil"/>
            </w:tcBorders>
            <w:vAlign w:val="center"/>
            <w:hideMark/>
          </w:tcPr>
          <w:p w14:paraId="6C8B9382" w14:textId="77777777" w:rsidR="00B024F1" w:rsidRDefault="00B024F1" w:rsidP="00296E0F">
            <w:pPr>
              <w:pStyle w:val="BodyText"/>
              <w:jc w:val="center"/>
            </w:pPr>
            <w:r>
              <w:t>Overall risk rating</w:t>
            </w:r>
          </w:p>
        </w:tc>
        <w:tc>
          <w:tcPr>
            <w:tcW w:w="1633" w:type="dxa"/>
            <w:tcBorders>
              <w:top w:val="single" w:sz="8" w:space="0" w:color="CDDC29" w:themeColor="text2"/>
              <w:left w:val="nil"/>
              <w:bottom w:val="single" w:sz="8" w:space="0" w:color="CDDC29" w:themeColor="text2"/>
              <w:right w:val="nil"/>
            </w:tcBorders>
            <w:shd w:val="clear" w:color="auto" w:fill="FFC000"/>
            <w:vAlign w:val="center"/>
            <w:hideMark/>
          </w:tcPr>
          <w:p w14:paraId="41A6D577" w14:textId="77777777" w:rsidR="00B024F1" w:rsidRDefault="00B024F1" w:rsidP="00296E0F">
            <w:pPr>
              <w:pStyle w:val="BodyText"/>
              <w:jc w:val="center"/>
            </w:pPr>
            <w:r>
              <w:t>Significant</w:t>
            </w:r>
          </w:p>
        </w:tc>
        <w:tc>
          <w:tcPr>
            <w:tcW w:w="1633" w:type="dxa"/>
            <w:tcBorders>
              <w:top w:val="single" w:sz="8" w:space="0" w:color="CDDC29" w:themeColor="text2"/>
              <w:left w:val="nil"/>
              <w:bottom w:val="single" w:sz="8" w:space="0" w:color="CDDC29" w:themeColor="text2"/>
              <w:right w:val="nil"/>
            </w:tcBorders>
            <w:shd w:val="clear" w:color="auto" w:fill="FFC000"/>
            <w:vAlign w:val="center"/>
            <w:hideMark/>
          </w:tcPr>
          <w:p w14:paraId="38581E28" w14:textId="77777777" w:rsidR="00B024F1" w:rsidRDefault="00B024F1" w:rsidP="00296E0F">
            <w:pPr>
              <w:pStyle w:val="BodyText"/>
              <w:jc w:val="center"/>
            </w:pPr>
            <w:r>
              <w:t>Significant</w:t>
            </w:r>
          </w:p>
        </w:tc>
        <w:tc>
          <w:tcPr>
            <w:tcW w:w="1633" w:type="dxa"/>
            <w:tcBorders>
              <w:top w:val="single" w:sz="8" w:space="0" w:color="CDDC29" w:themeColor="text2"/>
              <w:left w:val="nil"/>
              <w:bottom w:val="single" w:sz="8" w:space="0" w:color="CDDC29" w:themeColor="text2"/>
              <w:right w:val="nil"/>
            </w:tcBorders>
            <w:shd w:val="clear" w:color="auto" w:fill="FFFF00"/>
            <w:vAlign w:val="center"/>
            <w:hideMark/>
          </w:tcPr>
          <w:p w14:paraId="2789BBE6" w14:textId="77777777" w:rsidR="00B024F1" w:rsidRDefault="00B024F1" w:rsidP="00296E0F">
            <w:pPr>
              <w:pStyle w:val="BodyText"/>
              <w:jc w:val="center"/>
            </w:pPr>
            <w:r>
              <w:t>Medium</w:t>
            </w:r>
          </w:p>
        </w:tc>
        <w:tc>
          <w:tcPr>
            <w:tcW w:w="1633" w:type="dxa"/>
            <w:tcBorders>
              <w:top w:val="single" w:sz="8" w:space="0" w:color="CDDC29" w:themeColor="text2"/>
              <w:left w:val="nil"/>
              <w:bottom w:val="single" w:sz="8" w:space="0" w:color="CDDC29" w:themeColor="text2"/>
              <w:right w:val="nil"/>
            </w:tcBorders>
            <w:shd w:val="clear" w:color="auto" w:fill="FFFF00"/>
            <w:vAlign w:val="center"/>
            <w:hideMark/>
          </w:tcPr>
          <w:p w14:paraId="69FA3873" w14:textId="77777777" w:rsidR="00B024F1" w:rsidRDefault="00B024F1" w:rsidP="00296E0F">
            <w:pPr>
              <w:pStyle w:val="BodyText"/>
              <w:jc w:val="center"/>
            </w:pPr>
            <w:r>
              <w:t>Medium</w:t>
            </w:r>
          </w:p>
        </w:tc>
        <w:tc>
          <w:tcPr>
            <w:tcW w:w="1634" w:type="dxa"/>
            <w:tcBorders>
              <w:top w:val="single" w:sz="8" w:space="0" w:color="CDDC29" w:themeColor="text2"/>
              <w:left w:val="nil"/>
              <w:bottom w:val="single" w:sz="8" w:space="0" w:color="CDDC29" w:themeColor="text2"/>
              <w:right w:val="nil"/>
            </w:tcBorders>
            <w:shd w:val="clear" w:color="auto" w:fill="FFFF00"/>
            <w:vAlign w:val="center"/>
            <w:hideMark/>
          </w:tcPr>
          <w:p w14:paraId="3F548212" w14:textId="77777777" w:rsidR="00B024F1" w:rsidRDefault="00B024F1" w:rsidP="00296E0F">
            <w:pPr>
              <w:pStyle w:val="BodyText"/>
              <w:jc w:val="center"/>
            </w:pPr>
            <w:r>
              <w:t>Medium</w:t>
            </w:r>
          </w:p>
        </w:tc>
      </w:tr>
    </w:tbl>
    <w:p w14:paraId="5C053014" w14:textId="60C4725F" w:rsidR="00B024F1" w:rsidRPr="00FF310C" w:rsidRDefault="00B024F1" w:rsidP="006670D2">
      <w:pPr>
        <w:pStyle w:val="Caption"/>
      </w:pPr>
      <w:r w:rsidRPr="00FF310C">
        <w:t xml:space="preserve">Table </w:t>
      </w:r>
      <w:r w:rsidR="000B6788" w:rsidRPr="002A10F6">
        <w:rPr>
          <w:bCs/>
        </w:rPr>
        <w:fldChar w:fldCharType="begin"/>
      </w:r>
      <w:r w:rsidR="000B6788" w:rsidRPr="00FF310C">
        <w:instrText xml:space="preserve"> SEQ Table \* ARABIC </w:instrText>
      </w:r>
      <w:r w:rsidR="000B6788" w:rsidRPr="002A10F6">
        <w:rPr>
          <w:bCs/>
        </w:rPr>
        <w:fldChar w:fldCharType="separate"/>
      </w:r>
      <w:r w:rsidR="00692F0D">
        <w:rPr>
          <w:noProof/>
        </w:rPr>
        <w:t>6</w:t>
      </w:r>
      <w:r w:rsidR="000B6788" w:rsidRPr="002A10F6">
        <w:rPr>
          <w:bCs/>
          <w:noProof/>
        </w:rPr>
        <w:fldChar w:fldCharType="end"/>
      </w:r>
      <w:r w:rsidRPr="00FF310C">
        <w:t>. Lace Monitor risk ratings in the Gippsland RFA region:</w:t>
      </w:r>
    </w:p>
    <w:tbl>
      <w:tblPr>
        <w:tblStyle w:val="TableGrid"/>
        <w:tblW w:w="9795" w:type="dxa"/>
        <w:tblLayout w:type="fixed"/>
        <w:tblLook w:val="04A0" w:firstRow="1" w:lastRow="0" w:firstColumn="1" w:lastColumn="0" w:noHBand="0" w:noVBand="1"/>
      </w:tblPr>
      <w:tblGrid>
        <w:gridCol w:w="1633"/>
        <w:gridCol w:w="1633"/>
        <w:gridCol w:w="1632"/>
        <w:gridCol w:w="1632"/>
        <w:gridCol w:w="1632"/>
        <w:gridCol w:w="1633"/>
      </w:tblGrid>
      <w:tr w:rsidR="00B024F1" w14:paraId="131CB89D"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33" w:type="dxa"/>
            <w:tcBorders>
              <w:top w:val="single" w:sz="8" w:space="0" w:color="CDDC29" w:themeColor="text2"/>
              <w:left w:val="nil"/>
              <w:bottom w:val="single" w:sz="8" w:space="0" w:color="CDDC29" w:themeColor="text2"/>
              <w:right w:val="nil"/>
            </w:tcBorders>
            <w:vAlign w:val="center"/>
          </w:tcPr>
          <w:p w14:paraId="4E12570A" w14:textId="77777777" w:rsidR="00B024F1" w:rsidRDefault="00B024F1" w:rsidP="006670D2">
            <w:pPr>
              <w:pStyle w:val="CaptionImageorFigure"/>
            </w:pPr>
          </w:p>
        </w:tc>
        <w:tc>
          <w:tcPr>
            <w:tcW w:w="1633" w:type="dxa"/>
            <w:tcBorders>
              <w:top w:val="single" w:sz="8" w:space="0" w:color="CDDC29" w:themeColor="text2"/>
              <w:left w:val="nil"/>
              <w:bottom w:val="single" w:sz="8" w:space="0" w:color="CDDC29" w:themeColor="text2"/>
              <w:right w:val="nil"/>
            </w:tcBorders>
            <w:vAlign w:val="center"/>
            <w:hideMark/>
          </w:tcPr>
          <w:p w14:paraId="30A20A6D"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Bushfire</w:t>
            </w:r>
          </w:p>
        </w:tc>
        <w:tc>
          <w:tcPr>
            <w:tcW w:w="1633" w:type="dxa"/>
            <w:tcBorders>
              <w:top w:val="single" w:sz="8" w:space="0" w:color="CDDC29" w:themeColor="text2"/>
              <w:left w:val="nil"/>
              <w:bottom w:val="single" w:sz="8" w:space="0" w:color="CDDC29" w:themeColor="text2"/>
              <w:right w:val="nil"/>
            </w:tcBorders>
            <w:vAlign w:val="center"/>
            <w:hideMark/>
          </w:tcPr>
          <w:p w14:paraId="5376D1BC"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Planned burning</w:t>
            </w:r>
          </w:p>
        </w:tc>
        <w:tc>
          <w:tcPr>
            <w:tcW w:w="1633" w:type="dxa"/>
            <w:tcBorders>
              <w:top w:val="single" w:sz="8" w:space="0" w:color="CDDC29" w:themeColor="text2"/>
              <w:left w:val="nil"/>
              <w:bottom w:val="single" w:sz="8" w:space="0" w:color="CDDC29" w:themeColor="text2"/>
              <w:right w:val="nil"/>
            </w:tcBorders>
            <w:vAlign w:val="center"/>
            <w:hideMark/>
          </w:tcPr>
          <w:p w14:paraId="105906D8" w14:textId="764A1A4F" w:rsidR="00B024F1" w:rsidRDefault="00CF7EB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R</w:t>
            </w:r>
            <w:r w:rsidR="00B024F1">
              <w:t>oading</w:t>
            </w:r>
          </w:p>
        </w:tc>
        <w:tc>
          <w:tcPr>
            <w:tcW w:w="1633" w:type="dxa"/>
            <w:tcBorders>
              <w:top w:val="single" w:sz="8" w:space="0" w:color="CDDC29" w:themeColor="text2"/>
              <w:left w:val="nil"/>
              <w:bottom w:val="single" w:sz="8" w:space="0" w:color="CDDC29" w:themeColor="text2"/>
              <w:right w:val="nil"/>
            </w:tcBorders>
            <w:vAlign w:val="center"/>
            <w:hideMark/>
          </w:tcPr>
          <w:p w14:paraId="42685560"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1634" w:type="dxa"/>
            <w:tcBorders>
              <w:top w:val="single" w:sz="8" w:space="0" w:color="CDDC29" w:themeColor="text2"/>
              <w:left w:val="nil"/>
              <w:bottom w:val="single" w:sz="8" w:space="0" w:color="CDDC29" w:themeColor="text2"/>
              <w:right w:val="nil"/>
            </w:tcBorders>
            <w:vAlign w:val="center"/>
            <w:hideMark/>
          </w:tcPr>
          <w:p w14:paraId="37A01399"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(foxes and cats)</w:t>
            </w:r>
          </w:p>
        </w:tc>
      </w:tr>
      <w:tr w:rsidR="00B024F1" w14:paraId="27776D8D" w14:textId="77777777" w:rsidTr="00296E0F">
        <w:tc>
          <w:tcPr>
            <w:tcW w:w="1633" w:type="dxa"/>
            <w:tcBorders>
              <w:top w:val="single" w:sz="8" w:space="0" w:color="CDDC29" w:themeColor="text2"/>
              <w:left w:val="nil"/>
              <w:bottom w:val="single" w:sz="8" w:space="0" w:color="CDDC29" w:themeColor="text2"/>
              <w:right w:val="nil"/>
            </w:tcBorders>
            <w:vAlign w:val="center"/>
            <w:hideMark/>
          </w:tcPr>
          <w:p w14:paraId="4FE32551" w14:textId="77777777" w:rsidR="00B024F1" w:rsidRDefault="00B024F1" w:rsidP="00296E0F">
            <w:pPr>
              <w:pStyle w:val="BodyText"/>
              <w:jc w:val="center"/>
            </w:pPr>
            <w:r>
              <w:t>Consequence</w:t>
            </w:r>
          </w:p>
        </w:tc>
        <w:tc>
          <w:tcPr>
            <w:tcW w:w="1633" w:type="dxa"/>
            <w:tcBorders>
              <w:top w:val="single" w:sz="8" w:space="0" w:color="CDDC29" w:themeColor="text2"/>
              <w:left w:val="nil"/>
              <w:bottom w:val="single" w:sz="8" w:space="0" w:color="CDDC29" w:themeColor="text2"/>
              <w:right w:val="nil"/>
            </w:tcBorders>
            <w:vAlign w:val="center"/>
            <w:hideMark/>
          </w:tcPr>
          <w:p w14:paraId="581B7CCD" w14:textId="77777777" w:rsidR="00B024F1" w:rsidRDefault="00B024F1" w:rsidP="00296E0F">
            <w:pPr>
              <w:pStyle w:val="BodyText"/>
              <w:jc w:val="center"/>
            </w:pPr>
            <w:r>
              <w:t>Major</w:t>
            </w:r>
          </w:p>
        </w:tc>
        <w:tc>
          <w:tcPr>
            <w:tcW w:w="1633" w:type="dxa"/>
            <w:tcBorders>
              <w:top w:val="single" w:sz="8" w:space="0" w:color="CDDC29" w:themeColor="text2"/>
              <w:left w:val="nil"/>
              <w:bottom w:val="single" w:sz="8" w:space="0" w:color="CDDC29" w:themeColor="text2"/>
              <w:right w:val="nil"/>
            </w:tcBorders>
            <w:vAlign w:val="center"/>
            <w:hideMark/>
          </w:tcPr>
          <w:p w14:paraId="318F9F49" w14:textId="77777777" w:rsidR="00B024F1" w:rsidRDefault="00B024F1" w:rsidP="00296E0F">
            <w:pPr>
              <w:pStyle w:val="BodyText"/>
              <w:jc w:val="center"/>
            </w:pPr>
            <w:r>
              <w:t>Moderate</w:t>
            </w:r>
          </w:p>
        </w:tc>
        <w:tc>
          <w:tcPr>
            <w:tcW w:w="1633" w:type="dxa"/>
            <w:tcBorders>
              <w:top w:val="single" w:sz="8" w:space="0" w:color="CDDC29" w:themeColor="text2"/>
              <w:left w:val="nil"/>
              <w:bottom w:val="single" w:sz="8" w:space="0" w:color="CDDC29" w:themeColor="text2"/>
              <w:right w:val="nil"/>
            </w:tcBorders>
            <w:vAlign w:val="center"/>
            <w:hideMark/>
          </w:tcPr>
          <w:p w14:paraId="6DDE930D" w14:textId="77777777" w:rsidR="00B024F1" w:rsidRDefault="00B024F1" w:rsidP="00296E0F">
            <w:pPr>
              <w:pStyle w:val="BodyText"/>
              <w:jc w:val="center"/>
            </w:pPr>
            <w:r>
              <w:t>Minor</w:t>
            </w:r>
          </w:p>
        </w:tc>
        <w:tc>
          <w:tcPr>
            <w:tcW w:w="1633" w:type="dxa"/>
            <w:tcBorders>
              <w:top w:val="single" w:sz="8" w:space="0" w:color="CDDC29" w:themeColor="text2"/>
              <w:left w:val="nil"/>
              <w:bottom w:val="single" w:sz="8" w:space="0" w:color="CDDC29" w:themeColor="text2"/>
              <w:right w:val="nil"/>
            </w:tcBorders>
            <w:vAlign w:val="center"/>
            <w:hideMark/>
          </w:tcPr>
          <w:p w14:paraId="0EBC4A45" w14:textId="77777777" w:rsidR="00B024F1" w:rsidRDefault="00B024F1" w:rsidP="00296E0F">
            <w:pPr>
              <w:pStyle w:val="BodyText"/>
              <w:jc w:val="center"/>
            </w:pPr>
            <w:r>
              <w:t>Minor</w:t>
            </w:r>
          </w:p>
        </w:tc>
        <w:tc>
          <w:tcPr>
            <w:tcW w:w="1634" w:type="dxa"/>
            <w:tcBorders>
              <w:top w:val="single" w:sz="8" w:space="0" w:color="CDDC29" w:themeColor="text2"/>
              <w:left w:val="nil"/>
              <w:bottom w:val="single" w:sz="8" w:space="0" w:color="CDDC29" w:themeColor="text2"/>
              <w:right w:val="nil"/>
            </w:tcBorders>
            <w:vAlign w:val="center"/>
            <w:hideMark/>
          </w:tcPr>
          <w:p w14:paraId="6879E5F2" w14:textId="77777777" w:rsidR="00B024F1" w:rsidRDefault="00B024F1" w:rsidP="00296E0F">
            <w:pPr>
              <w:pStyle w:val="BodyText"/>
              <w:jc w:val="center"/>
            </w:pPr>
            <w:r>
              <w:t>Minor</w:t>
            </w:r>
          </w:p>
        </w:tc>
      </w:tr>
      <w:tr w:rsidR="00B024F1" w14:paraId="36FE21D6" w14:textId="77777777" w:rsidTr="00296E0F">
        <w:tc>
          <w:tcPr>
            <w:tcW w:w="1633" w:type="dxa"/>
            <w:tcBorders>
              <w:top w:val="single" w:sz="8" w:space="0" w:color="CDDC29" w:themeColor="text2"/>
              <w:left w:val="nil"/>
              <w:bottom w:val="single" w:sz="8" w:space="0" w:color="CDDC29" w:themeColor="text2"/>
              <w:right w:val="nil"/>
            </w:tcBorders>
            <w:vAlign w:val="center"/>
            <w:hideMark/>
          </w:tcPr>
          <w:p w14:paraId="2BB27EA2" w14:textId="77777777" w:rsidR="00B024F1" w:rsidRDefault="00B024F1" w:rsidP="00296E0F">
            <w:pPr>
              <w:pStyle w:val="BodyText"/>
              <w:jc w:val="center"/>
            </w:pPr>
            <w:r>
              <w:t>Likelihood</w:t>
            </w:r>
          </w:p>
        </w:tc>
        <w:tc>
          <w:tcPr>
            <w:tcW w:w="1633" w:type="dxa"/>
            <w:tcBorders>
              <w:top w:val="single" w:sz="8" w:space="0" w:color="CDDC29" w:themeColor="text2"/>
              <w:left w:val="nil"/>
              <w:bottom w:val="single" w:sz="8" w:space="0" w:color="CDDC29" w:themeColor="text2"/>
              <w:right w:val="nil"/>
            </w:tcBorders>
            <w:vAlign w:val="center"/>
            <w:hideMark/>
          </w:tcPr>
          <w:p w14:paraId="79B0E078" w14:textId="77777777" w:rsidR="00B024F1" w:rsidRDefault="00B024F1" w:rsidP="00296E0F">
            <w:pPr>
              <w:pStyle w:val="BodyText"/>
              <w:jc w:val="center"/>
            </w:pPr>
            <w:r>
              <w:t>Possible</w:t>
            </w:r>
          </w:p>
        </w:tc>
        <w:tc>
          <w:tcPr>
            <w:tcW w:w="1633" w:type="dxa"/>
            <w:tcBorders>
              <w:top w:val="single" w:sz="8" w:space="0" w:color="CDDC29" w:themeColor="text2"/>
              <w:left w:val="nil"/>
              <w:bottom w:val="single" w:sz="8" w:space="0" w:color="CDDC29" w:themeColor="text2"/>
              <w:right w:val="nil"/>
            </w:tcBorders>
            <w:vAlign w:val="center"/>
            <w:hideMark/>
          </w:tcPr>
          <w:p w14:paraId="11A050B6" w14:textId="77777777" w:rsidR="00B024F1" w:rsidRDefault="00B024F1" w:rsidP="00296E0F">
            <w:pPr>
              <w:pStyle w:val="BodyText"/>
              <w:jc w:val="center"/>
            </w:pPr>
            <w:r>
              <w:t>Likely</w:t>
            </w:r>
          </w:p>
        </w:tc>
        <w:tc>
          <w:tcPr>
            <w:tcW w:w="1633" w:type="dxa"/>
            <w:tcBorders>
              <w:top w:val="single" w:sz="8" w:space="0" w:color="CDDC29" w:themeColor="text2"/>
              <w:left w:val="nil"/>
              <w:bottom w:val="single" w:sz="8" w:space="0" w:color="CDDC29" w:themeColor="text2"/>
              <w:right w:val="nil"/>
            </w:tcBorders>
            <w:vAlign w:val="center"/>
            <w:hideMark/>
          </w:tcPr>
          <w:p w14:paraId="4E4505FF" w14:textId="77777777" w:rsidR="00B024F1" w:rsidRDefault="00B024F1" w:rsidP="00296E0F">
            <w:pPr>
              <w:pStyle w:val="BodyText"/>
              <w:jc w:val="center"/>
            </w:pPr>
            <w:r>
              <w:t>Likely</w:t>
            </w:r>
          </w:p>
        </w:tc>
        <w:tc>
          <w:tcPr>
            <w:tcW w:w="1633" w:type="dxa"/>
            <w:tcBorders>
              <w:top w:val="single" w:sz="8" w:space="0" w:color="CDDC29" w:themeColor="text2"/>
              <w:left w:val="nil"/>
              <w:bottom w:val="single" w:sz="8" w:space="0" w:color="CDDC29" w:themeColor="text2"/>
              <w:right w:val="nil"/>
            </w:tcBorders>
            <w:vAlign w:val="center"/>
            <w:hideMark/>
          </w:tcPr>
          <w:p w14:paraId="4903E419" w14:textId="77777777" w:rsidR="00B024F1" w:rsidRDefault="00B024F1" w:rsidP="00296E0F">
            <w:pPr>
              <w:pStyle w:val="BodyText"/>
              <w:jc w:val="center"/>
            </w:pPr>
            <w:r>
              <w:t>Rare</w:t>
            </w:r>
          </w:p>
        </w:tc>
        <w:tc>
          <w:tcPr>
            <w:tcW w:w="1634" w:type="dxa"/>
            <w:tcBorders>
              <w:top w:val="single" w:sz="8" w:space="0" w:color="CDDC29" w:themeColor="text2"/>
              <w:left w:val="nil"/>
              <w:bottom w:val="single" w:sz="8" w:space="0" w:color="CDDC29" w:themeColor="text2"/>
              <w:right w:val="nil"/>
            </w:tcBorders>
            <w:vAlign w:val="center"/>
            <w:hideMark/>
          </w:tcPr>
          <w:p w14:paraId="35527277" w14:textId="77777777" w:rsidR="00B024F1" w:rsidRDefault="00B024F1" w:rsidP="00296E0F">
            <w:pPr>
              <w:pStyle w:val="BodyText"/>
              <w:jc w:val="center"/>
            </w:pPr>
            <w:r>
              <w:t>Likely</w:t>
            </w:r>
          </w:p>
        </w:tc>
      </w:tr>
      <w:tr w:rsidR="00B024F1" w14:paraId="7FAED1E2" w14:textId="77777777" w:rsidTr="00296E0F">
        <w:tc>
          <w:tcPr>
            <w:tcW w:w="1633" w:type="dxa"/>
            <w:tcBorders>
              <w:top w:val="single" w:sz="8" w:space="0" w:color="CDDC29" w:themeColor="text2"/>
              <w:left w:val="nil"/>
              <w:bottom w:val="single" w:sz="8" w:space="0" w:color="CDDC29" w:themeColor="text2"/>
              <w:right w:val="nil"/>
            </w:tcBorders>
            <w:vAlign w:val="center"/>
            <w:hideMark/>
          </w:tcPr>
          <w:p w14:paraId="4E64EA14" w14:textId="77777777" w:rsidR="00B024F1" w:rsidRDefault="00B024F1" w:rsidP="00296E0F">
            <w:pPr>
              <w:pStyle w:val="BodyText"/>
              <w:jc w:val="center"/>
            </w:pPr>
            <w:r>
              <w:t>Overall risk rating</w:t>
            </w:r>
          </w:p>
        </w:tc>
        <w:tc>
          <w:tcPr>
            <w:tcW w:w="1633" w:type="dxa"/>
            <w:tcBorders>
              <w:top w:val="single" w:sz="8" w:space="0" w:color="CDDC29" w:themeColor="text2"/>
              <w:left w:val="nil"/>
              <w:bottom w:val="single" w:sz="8" w:space="0" w:color="CDDC29" w:themeColor="text2"/>
              <w:right w:val="nil"/>
            </w:tcBorders>
            <w:shd w:val="clear" w:color="auto" w:fill="FFC000"/>
            <w:vAlign w:val="center"/>
            <w:hideMark/>
          </w:tcPr>
          <w:p w14:paraId="1074EB38" w14:textId="77777777" w:rsidR="00B024F1" w:rsidRDefault="00B024F1" w:rsidP="00296E0F">
            <w:pPr>
              <w:pStyle w:val="BodyText"/>
              <w:jc w:val="center"/>
            </w:pPr>
            <w:r>
              <w:t>Significant</w:t>
            </w:r>
          </w:p>
        </w:tc>
        <w:tc>
          <w:tcPr>
            <w:tcW w:w="1633" w:type="dxa"/>
            <w:tcBorders>
              <w:top w:val="single" w:sz="8" w:space="0" w:color="CDDC29" w:themeColor="text2"/>
              <w:left w:val="nil"/>
              <w:bottom w:val="single" w:sz="8" w:space="0" w:color="CDDC29" w:themeColor="text2"/>
              <w:right w:val="nil"/>
            </w:tcBorders>
            <w:shd w:val="clear" w:color="auto" w:fill="FFC000"/>
            <w:vAlign w:val="center"/>
            <w:hideMark/>
          </w:tcPr>
          <w:p w14:paraId="707070AC" w14:textId="77777777" w:rsidR="00B024F1" w:rsidRDefault="00B024F1" w:rsidP="00296E0F">
            <w:pPr>
              <w:pStyle w:val="BodyText"/>
              <w:jc w:val="center"/>
            </w:pPr>
            <w:r>
              <w:t>Significant</w:t>
            </w:r>
          </w:p>
        </w:tc>
        <w:tc>
          <w:tcPr>
            <w:tcW w:w="1633" w:type="dxa"/>
            <w:tcBorders>
              <w:top w:val="single" w:sz="8" w:space="0" w:color="CDDC29" w:themeColor="text2"/>
              <w:left w:val="nil"/>
              <w:bottom w:val="single" w:sz="8" w:space="0" w:color="CDDC29" w:themeColor="text2"/>
              <w:right w:val="nil"/>
            </w:tcBorders>
            <w:shd w:val="clear" w:color="auto" w:fill="FFFF00"/>
            <w:vAlign w:val="center"/>
            <w:hideMark/>
          </w:tcPr>
          <w:p w14:paraId="249F7291" w14:textId="77777777" w:rsidR="00B024F1" w:rsidRDefault="00B024F1" w:rsidP="00296E0F">
            <w:pPr>
              <w:pStyle w:val="BodyText"/>
              <w:jc w:val="center"/>
            </w:pPr>
            <w:r>
              <w:t>Medium</w:t>
            </w:r>
          </w:p>
        </w:tc>
        <w:tc>
          <w:tcPr>
            <w:tcW w:w="1633" w:type="dxa"/>
            <w:tcBorders>
              <w:top w:val="single" w:sz="8" w:space="0" w:color="CDDC29" w:themeColor="text2"/>
              <w:left w:val="nil"/>
              <w:bottom w:val="single" w:sz="8" w:space="0" w:color="CDDC29" w:themeColor="text2"/>
              <w:right w:val="nil"/>
            </w:tcBorders>
            <w:shd w:val="clear" w:color="auto" w:fill="92D050"/>
            <w:vAlign w:val="center"/>
            <w:hideMark/>
          </w:tcPr>
          <w:p w14:paraId="13FAF6BA" w14:textId="77777777" w:rsidR="00B024F1" w:rsidRDefault="00B024F1" w:rsidP="00296E0F">
            <w:pPr>
              <w:pStyle w:val="BodyText"/>
              <w:jc w:val="center"/>
            </w:pPr>
            <w:r>
              <w:t>Low</w:t>
            </w:r>
          </w:p>
        </w:tc>
        <w:tc>
          <w:tcPr>
            <w:tcW w:w="1634" w:type="dxa"/>
            <w:tcBorders>
              <w:top w:val="single" w:sz="8" w:space="0" w:color="CDDC29" w:themeColor="text2"/>
              <w:left w:val="nil"/>
              <w:bottom w:val="single" w:sz="8" w:space="0" w:color="CDDC29" w:themeColor="text2"/>
              <w:right w:val="nil"/>
            </w:tcBorders>
            <w:shd w:val="clear" w:color="auto" w:fill="FFFF00"/>
            <w:vAlign w:val="center"/>
            <w:hideMark/>
          </w:tcPr>
          <w:p w14:paraId="1DD7ED14" w14:textId="77777777" w:rsidR="00B024F1" w:rsidRDefault="00B024F1" w:rsidP="00296E0F">
            <w:pPr>
              <w:pStyle w:val="BodyText"/>
              <w:jc w:val="center"/>
            </w:pPr>
            <w:r>
              <w:t>Medium</w:t>
            </w:r>
          </w:p>
        </w:tc>
      </w:tr>
    </w:tbl>
    <w:p w14:paraId="70B6BF17" w14:textId="77777777" w:rsidR="00B024F1" w:rsidRPr="00FF310C" w:rsidRDefault="00B024F1" w:rsidP="006670D2">
      <w:pPr>
        <w:pStyle w:val="Caption"/>
      </w:pPr>
    </w:p>
    <w:p w14:paraId="2DCDB617" w14:textId="77777777" w:rsidR="00B024F1" w:rsidRDefault="00B024F1" w:rsidP="00B024F1">
      <w:pPr>
        <w:rPr>
          <w:b/>
          <w:bCs/>
          <w:sz w:val="16"/>
        </w:rPr>
      </w:pPr>
      <w:r>
        <w:br w:type="page"/>
      </w:r>
    </w:p>
    <w:p w14:paraId="47CF5703" w14:textId="621AD297" w:rsidR="00B024F1" w:rsidRPr="00FF310C" w:rsidRDefault="00B024F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7</w:t>
      </w:r>
      <w:r w:rsidR="000B6788" w:rsidRPr="00B6162A">
        <w:rPr>
          <w:bCs/>
          <w:noProof/>
        </w:rPr>
        <w:fldChar w:fldCharType="end"/>
      </w:r>
      <w:r w:rsidRPr="00FF310C">
        <w:t>. Lace Monitor risk ratings in the North East and West RFA regions:</w:t>
      </w:r>
    </w:p>
    <w:tbl>
      <w:tblPr>
        <w:tblStyle w:val="TableGrid"/>
        <w:tblW w:w="9799" w:type="dxa"/>
        <w:tblLook w:val="04A0" w:firstRow="1" w:lastRow="0" w:firstColumn="1" w:lastColumn="0" w:noHBand="0" w:noVBand="1"/>
      </w:tblPr>
      <w:tblGrid>
        <w:gridCol w:w="1633"/>
        <w:gridCol w:w="1633"/>
        <w:gridCol w:w="1633"/>
        <w:gridCol w:w="1633"/>
        <w:gridCol w:w="1633"/>
        <w:gridCol w:w="1634"/>
      </w:tblGrid>
      <w:tr w:rsidR="00B024F1" w14:paraId="51AD3C90"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33" w:type="dxa"/>
            <w:tcBorders>
              <w:top w:val="single" w:sz="8" w:space="0" w:color="CDDC29" w:themeColor="text2"/>
              <w:left w:val="nil"/>
              <w:bottom w:val="single" w:sz="8" w:space="0" w:color="CDDC29" w:themeColor="text2"/>
              <w:right w:val="nil"/>
            </w:tcBorders>
            <w:vAlign w:val="center"/>
          </w:tcPr>
          <w:p w14:paraId="7849F2F1" w14:textId="77777777" w:rsidR="00B024F1" w:rsidRDefault="00B024F1" w:rsidP="006670D2">
            <w:pPr>
              <w:pStyle w:val="CaptionImageorFigure"/>
            </w:pPr>
          </w:p>
        </w:tc>
        <w:tc>
          <w:tcPr>
            <w:tcW w:w="1633" w:type="dxa"/>
            <w:tcBorders>
              <w:top w:val="single" w:sz="8" w:space="0" w:color="CDDC29" w:themeColor="text2"/>
              <w:left w:val="nil"/>
              <w:bottom w:val="single" w:sz="8" w:space="0" w:color="CDDC29" w:themeColor="text2"/>
              <w:right w:val="nil"/>
            </w:tcBorders>
            <w:vAlign w:val="center"/>
            <w:hideMark/>
          </w:tcPr>
          <w:p w14:paraId="47F9F41F"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Bushfire</w:t>
            </w:r>
          </w:p>
        </w:tc>
        <w:tc>
          <w:tcPr>
            <w:tcW w:w="1633" w:type="dxa"/>
            <w:tcBorders>
              <w:top w:val="single" w:sz="8" w:space="0" w:color="CDDC29" w:themeColor="text2"/>
              <w:left w:val="nil"/>
              <w:bottom w:val="single" w:sz="8" w:space="0" w:color="CDDC29" w:themeColor="text2"/>
              <w:right w:val="nil"/>
            </w:tcBorders>
            <w:vAlign w:val="center"/>
            <w:hideMark/>
          </w:tcPr>
          <w:p w14:paraId="5B172ABE"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Planned burning</w:t>
            </w:r>
          </w:p>
        </w:tc>
        <w:tc>
          <w:tcPr>
            <w:tcW w:w="1633" w:type="dxa"/>
            <w:tcBorders>
              <w:top w:val="single" w:sz="8" w:space="0" w:color="CDDC29" w:themeColor="text2"/>
              <w:left w:val="nil"/>
              <w:bottom w:val="single" w:sz="8" w:space="0" w:color="CDDC29" w:themeColor="text2"/>
              <w:right w:val="nil"/>
            </w:tcBorders>
            <w:vAlign w:val="center"/>
            <w:hideMark/>
          </w:tcPr>
          <w:p w14:paraId="22CFA0EE" w14:textId="1AAAD904" w:rsidR="00B024F1" w:rsidRDefault="00CF7EB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R</w:t>
            </w:r>
            <w:r w:rsidR="00B024F1">
              <w:t>oading</w:t>
            </w:r>
          </w:p>
        </w:tc>
        <w:tc>
          <w:tcPr>
            <w:tcW w:w="1633" w:type="dxa"/>
            <w:tcBorders>
              <w:top w:val="single" w:sz="8" w:space="0" w:color="CDDC29" w:themeColor="text2"/>
              <w:left w:val="nil"/>
              <w:bottom w:val="single" w:sz="8" w:space="0" w:color="CDDC29" w:themeColor="text2"/>
              <w:right w:val="nil"/>
            </w:tcBorders>
            <w:vAlign w:val="center"/>
            <w:hideMark/>
          </w:tcPr>
          <w:p w14:paraId="125D7F23"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1634" w:type="dxa"/>
            <w:tcBorders>
              <w:top w:val="single" w:sz="8" w:space="0" w:color="CDDC29" w:themeColor="text2"/>
              <w:left w:val="nil"/>
              <w:bottom w:val="single" w:sz="8" w:space="0" w:color="CDDC29" w:themeColor="text2"/>
              <w:right w:val="nil"/>
            </w:tcBorders>
            <w:vAlign w:val="center"/>
            <w:hideMark/>
          </w:tcPr>
          <w:p w14:paraId="27E32FCB" w14:textId="77777777" w:rsidR="00B024F1" w:rsidRDefault="00B024F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(foxes and cats)</w:t>
            </w:r>
          </w:p>
        </w:tc>
      </w:tr>
      <w:tr w:rsidR="00B024F1" w14:paraId="3A38F1D7" w14:textId="77777777" w:rsidTr="00296E0F">
        <w:tc>
          <w:tcPr>
            <w:tcW w:w="1633" w:type="dxa"/>
            <w:tcBorders>
              <w:top w:val="single" w:sz="8" w:space="0" w:color="CDDC29" w:themeColor="text2"/>
              <w:left w:val="nil"/>
              <w:bottom w:val="single" w:sz="8" w:space="0" w:color="CDDC29" w:themeColor="text2"/>
              <w:right w:val="nil"/>
            </w:tcBorders>
            <w:vAlign w:val="center"/>
            <w:hideMark/>
          </w:tcPr>
          <w:p w14:paraId="7DF93487" w14:textId="77777777" w:rsidR="00B024F1" w:rsidRDefault="00B024F1" w:rsidP="00296E0F">
            <w:pPr>
              <w:pStyle w:val="BodyText"/>
              <w:jc w:val="center"/>
            </w:pPr>
            <w:r>
              <w:t>Consequence</w:t>
            </w:r>
          </w:p>
        </w:tc>
        <w:tc>
          <w:tcPr>
            <w:tcW w:w="1633" w:type="dxa"/>
            <w:tcBorders>
              <w:top w:val="single" w:sz="8" w:space="0" w:color="CDDC29" w:themeColor="text2"/>
              <w:left w:val="nil"/>
              <w:bottom w:val="single" w:sz="8" w:space="0" w:color="CDDC29" w:themeColor="text2"/>
              <w:right w:val="nil"/>
            </w:tcBorders>
            <w:vAlign w:val="center"/>
            <w:hideMark/>
          </w:tcPr>
          <w:p w14:paraId="5C61258A" w14:textId="77777777" w:rsidR="00B024F1" w:rsidRDefault="00B024F1" w:rsidP="00296E0F">
            <w:pPr>
              <w:pStyle w:val="BodyText"/>
              <w:jc w:val="center"/>
            </w:pPr>
            <w:r>
              <w:t>Moderate</w:t>
            </w:r>
          </w:p>
        </w:tc>
        <w:tc>
          <w:tcPr>
            <w:tcW w:w="1633" w:type="dxa"/>
            <w:tcBorders>
              <w:top w:val="single" w:sz="8" w:space="0" w:color="CDDC29" w:themeColor="text2"/>
              <w:left w:val="nil"/>
              <w:bottom w:val="single" w:sz="8" w:space="0" w:color="CDDC29" w:themeColor="text2"/>
              <w:right w:val="nil"/>
            </w:tcBorders>
            <w:vAlign w:val="center"/>
            <w:hideMark/>
          </w:tcPr>
          <w:p w14:paraId="15E9FAC6" w14:textId="77777777" w:rsidR="00B024F1" w:rsidRDefault="00B024F1" w:rsidP="00296E0F">
            <w:pPr>
              <w:pStyle w:val="BodyText"/>
              <w:jc w:val="center"/>
            </w:pPr>
            <w:r>
              <w:t>Moderate</w:t>
            </w:r>
          </w:p>
        </w:tc>
        <w:tc>
          <w:tcPr>
            <w:tcW w:w="1633" w:type="dxa"/>
            <w:tcBorders>
              <w:top w:val="single" w:sz="8" w:space="0" w:color="CDDC29" w:themeColor="text2"/>
              <w:left w:val="nil"/>
              <w:bottom w:val="single" w:sz="8" w:space="0" w:color="CDDC29" w:themeColor="text2"/>
              <w:right w:val="nil"/>
            </w:tcBorders>
            <w:vAlign w:val="center"/>
            <w:hideMark/>
          </w:tcPr>
          <w:p w14:paraId="4C463706" w14:textId="77777777" w:rsidR="00B024F1" w:rsidRDefault="00B024F1" w:rsidP="00296E0F">
            <w:pPr>
              <w:pStyle w:val="BodyText"/>
              <w:jc w:val="center"/>
            </w:pPr>
            <w:r>
              <w:t>Minor</w:t>
            </w:r>
          </w:p>
        </w:tc>
        <w:tc>
          <w:tcPr>
            <w:tcW w:w="1633" w:type="dxa"/>
            <w:tcBorders>
              <w:top w:val="single" w:sz="8" w:space="0" w:color="CDDC29" w:themeColor="text2"/>
              <w:left w:val="nil"/>
              <w:bottom w:val="single" w:sz="8" w:space="0" w:color="CDDC29" w:themeColor="text2"/>
              <w:right w:val="nil"/>
            </w:tcBorders>
            <w:vAlign w:val="center"/>
            <w:hideMark/>
          </w:tcPr>
          <w:p w14:paraId="3CB9CAC1" w14:textId="77777777" w:rsidR="00B024F1" w:rsidRDefault="00B024F1" w:rsidP="00296E0F">
            <w:pPr>
              <w:pStyle w:val="BodyText"/>
              <w:jc w:val="center"/>
            </w:pPr>
            <w:r>
              <w:t>Minor</w:t>
            </w:r>
          </w:p>
        </w:tc>
        <w:tc>
          <w:tcPr>
            <w:tcW w:w="1634" w:type="dxa"/>
            <w:tcBorders>
              <w:top w:val="single" w:sz="8" w:space="0" w:color="CDDC29" w:themeColor="text2"/>
              <w:left w:val="nil"/>
              <w:bottom w:val="single" w:sz="8" w:space="0" w:color="CDDC29" w:themeColor="text2"/>
              <w:right w:val="nil"/>
            </w:tcBorders>
            <w:vAlign w:val="center"/>
            <w:hideMark/>
          </w:tcPr>
          <w:p w14:paraId="3EA42555" w14:textId="77777777" w:rsidR="00B024F1" w:rsidRDefault="00B024F1" w:rsidP="00296E0F">
            <w:pPr>
              <w:pStyle w:val="BodyText"/>
              <w:jc w:val="center"/>
            </w:pPr>
            <w:r>
              <w:t>Minor</w:t>
            </w:r>
          </w:p>
        </w:tc>
      </w:tr>
      <w:tr w:rsidR="00B024F1" w14:paraId="701E59F3" w14:textId="77777777" w:rsidTr="00296E0F">
        <w:tc>
          <w:tcPr>
            <w:tcW w:w="1633" w:type="dxa"/>
            <w:tcBorders>
              <w:top w:val="single" w:sz="8" w:space="0" w:color="CDDC29" w:themeColor="text2"/>
              <w:left w:val="nil"/>
              <w:bottom w:val="single" w:sz="8" w:space="0" w:color="CDDC29" w:themeColor="text2"/>
              <w:right w:val="nil"/>
            </w:tcBorders>
            <w:vAlign w:val="center"/>
            <w:hideMark/>
          </w:tcPr>
          <w:p w14:paraId="35A29548" w14:textId="77777777" w:rsidR="00B024F1" w:rsidRDefault="00B024F1" w:rsidP="00296E0F">
            <w:pPr>
              <w:pStyle w:val="BodyText"/>
              <w:jc w:val="center"/>
            </w:pPr>
            <w:r>
              <w:t>Likelihood</w:t>
            </w:r>
          </w:p>
        </w:tc>
        <w:tc>
          <w:tcPr>
            <w:tcW w:w="1633" w:type="dxa"/>
            <w:tcBorders>
              <w:top w:val="single" w:sz="8" w:space="0" w:color="CDDC29" w:themeColor="text2"/>
              <w:left w:val="nil"/>
              <w:bottom w:val="single" w:sz="8" w:space="0" w:color="CDDC29" w:themeColor="text2"/>
              <w:right w:val="nil"/>
            </w:tcBorders>
            <w:vAlign w:val="center"/>
            <w:hideMark/>
          </w:tcPr>
          <w:p w14:paraId="3945AC45" w14:textId="77777777" w:rsidR="00B024F1" w:rsidRDefault="00B024F1" w:rsidP="00296E0F">
            <w:pPr>
              <w:pStyle w:val="BodyText"/>
              <w:jc w:val="center"/>
            </w:pPr>
            <w:r>
              <w:t>Possible</w:t>
            </w:r>
          </w:p>
        </w:tc>
        <w:tc>
          <w:tcPr>
            <w:tcW w:w="1633" w:type="dxa"/>
            <w:tcBorders>
              <w:top w:val="single" w:sz="8" w:space="0" w:color="CDDC29" w:themeColor="text2"/>
              <w:left w:val="nil"/>
              <w:bottom w:val="single" w:sz="8" w:space="0" w:color="CDDC29" w:themeColor="text2"/>
              <w:right w:val="nil"/>
            </w:tcBorders>
            <w:vAlign w:val="center"/>
            <w:hideMark/>
          </w:tcPr>
          <w:p w14:paraId="40EEA6FD" w14:textId="77777777" w:rsidR="00B024F1" w:rsidRDefault="00B024F1" w:rsidP="00296E0F">
            <w:pPr>
              <w:pStyle w:val="BodyText"/>
              <w:jc w:val="center"/>
            </w:pPr>
            <w:r>
              <w:t>Likely</w:t>
            </w:r>
          </w:p>
        </w:tc>
        <w:tc>
          <w:tcPr>
            <w:tcW w:w="1633" w:type="dxa"/>
            <w:tcBorders>
              <w:top w:val="single" w:sz="8" w:space="0" w:color="CDDC29" w:themeColor="text2"/>
              <w:left w:val="nil"/>
              <w:bottom w:val="single" w:sz="8" w:space="0" w:color="CDDC29" w:themeColor="text2"/>
              <w:right w:val="nil"/>
            </w:tcBorders>
            <w:vAlign w:val="center"/>
            <w:hideMark/>
          </w:tcPr>
          <w:p w14:paraId="1E88FC2C" w14:textId="77777777" w:rsidR="00B024F1" w:rsidRDefault="00B024F1" w:rsidP="00296E0F">
            <w:pPr>
              <w:pStyle w:val="BodyText"/>
              <w:jc w:val="center"/>
            </w:pPr>
            <w:r>
              <w:t>Likely</w:t>
            </w:r>
          </w:p>
        </w:tc>
        <w:tc>
          <w:tcPr>
            <w:tcW w:w="1633" w:type="dxa"/>
            <w:tcBorders>
              <w:top w:val="single" w:sz="8" w:space="0" w:color="CDDC29" w:themeColor="text2"/>
              <w:left w:val="nil"/>
              <w:bottom w:val="single" w:sz="8" w:space="0" w:color="CDDC29" w:themeColor="text2"/>
              <w:right w:val="nil"/>
            </w:tcBorders>
            <w:vAlign w:val="center"/>
            <w:hideMark/>
          </w:tcPr>
          <w:p w14:paraId="083EE9AC" w14:textId="77777777" w:rsidR="00B024F1" w:rsidRDefault="00B024F1" w:rsidP="00296E0F">
            <w:pPr>
              <w:pStyle w:val="BodyText"/>
              <w:jc w:val="center"/>
            </w:pPr>
            <w:r>
              <w:t>Rare</w:t>
            </w:r>
          </w:p>
        </w:tc>
        <w:tc>
          <w:tcPr>
            <w:tcW w:w="1634" w:type="dxa"/>
            <w:tcBorders>
              <w:top w:val="single" w:sz="8" w:space="0" w:color="CDDC29" w:themeColor="text2"/>
              <w:left w:val="nil"/>
              <w:bottom w:val="single" w:sz="8" w:space="0" w:color="CDDC29" w:themeColor="text2"/>
              <w:right w:val="nil"/>
            </w:tcBorders>
            <w:vAlign w:val="center"/>
            <w:hideMark/>
          </w:tcPr>
          <w:p w14:paraId="70971C1C" w14:textId="77777777" w:rsidR="00B024F1" w:rsidRDefault="00B024F1" w:rsidP="00296E0F">
            <w:pPr>
              <w:pStyle w:val="BodyText"/>
              <w:jc w:val="center"/>
            </w:pPr>
            <w:r>
              <w:t>Likely</w:t>
            </w:r>
          </w:p>
        </w:tc>
      </w:tr>
      <w:tr w:rsidR="00B024F1" w14:paraId="7756F3B9" w14:textId="77777777" w:rsidTr="00296E0F">
        <w:tc>
          <w:tcPr>
            <w:tcW w:w="1633" w:type="dxa"/>
            <w:tcBorders>
              <w:top w:val="single" w:sz="8" w:space="0" w:color="CDDC29" w:themeColor="text2"/>
              <w:left w:val="nil"/>
              <w:bottom w:val="single" w:sz="8" w:space="0" w:color="CDDC29" w:themeColor="text2"/>
              <w:right w:val="nil"/>
            </w:tcBorders>
            <w:vAlign w:val="center"/>
            <w:hideMark/>
          </w:tcPr>
          <w:p w14:paraId="576DC22D" w14:textId="77777777" w:rsidR="00B024F1" w:rsidRDefault="00B024F1" w:rsidP="00296E0F">
            <w:pPr>
              <w:pStyle w:val="BodyText"/>
              <w:jc w:val="center"/>
            </w:pPr>
            <w:r>
              <w:t>Overall risk rating</w:t>
            </w:r>
          </w:p>
        </w:tc>
        <w:tc>
          <w:tcPr>
            <w:tcW w:w="1633" w:type="dxa"/>
            <w:tcBorders>
              <w:top w:val="single" w:sz="8" w:space="0" w:color="CDDC29" w:themeColor="text2"/>
              <w:left w:val="nil"/>
              <w:bottom w:val="single" w:sz="8" w:space="0" w:color="CDDC29" w:themeColor="text2"/>
              <w:right w:val="nil"/>
            </w:tcBorders>
            <w:shd w:val="clear" w:color="auto" w:fill="FFFF00"/>
            <w:vAlign w:val="center"/>
            <w:hideMark/>
          </w:tcPr>
          <w:p w14:paraId="28BF1EC7" w14:textId="77777777" w:rsidR="00B024F1" w:rsidRDefault="00B024F1" w:rsidP="00296E0F">
            <w:pPr>
              <w:pStyle w:val="BodyText"/>
              <w:jc w:val="center"/>
            </w:pPr>
            <w:r>
              <w:t>Medium</w:t>
            </w:r>
          </w:p>
        </w:tc>
        <w:tc>
          <w:tcPr>
            <w:tcW w:w="1633" w:type="dxa"/>
            <w:tcBorders>
              <w:top w:val="single" w:sz="8" w:space="0" w:color="CDDC29" w:themeColor="text2"/>
              <w:left w:val="nil"/>
              <w:bottom w:val="single" w:sz="8" w:space="0" w:color="CDDC29" w:themeColor="text2"/>
              <w:right w:val="nil"/>
            </w:tcBorders>
            <w:shd w:val="clear" w:color="auto" w:fill="FFC000"/>
            <w:vAlign w:val="center"/>
            <w:hideMark/>
          </w:tcPr>
          <w:p w14:paraId="470C7762" w14:textId="77777777" w:rsidR="00B024F1" w:rsidRDefault="00B024F1" w:rsidP="00296E0F">
            <w:pPr>
              <w:pStyle w:val="BodyText"/>
              <w:jc w:val="center"/>
            </w:pPr>
            <w:r>
              <w:t>Significant</w:t>
            </w:r>
          </w:p>
        </w:tc>
        <w:tc>
          <w:tcPr>
            <w:tcW w:w="1633" w:type="dxa"/>
            <w:tcBorders>
              <w:top w:val="single" w:sz="8" w:space="0" w:color="CDDC29" w:themeColor="text2"/>
              <w:left w:val="nil"/>
              <w:bottom w:val="single" w:sz="8" w:space="0" w:color="CDDC29" w:themeColor="text2"/>
              <w:right w:val="nil"/>
            </w:tcBorders>
            <w:shd w:val="clear" w:color="auto" w:fill="FFFF00"/>
            <w:vAlign w:val="center"/>
            <w:hideMark/>
          </w:tcPr>
          <w:p w14:paraId="444CC231" w14:textId="77777777" w:rsidR="00B024F1" w:rsidRDefault="00B024F1" w:rsidP="00296E0F">
            <w:pPr>
              <w:pStyle w:val="BodyText"/>
              <w:jc w:val="center"/>
            </w:pPr>
            <w:r>
              <w:t>Medium</w:t>
            </w:r>
          </w:p>
        </w:tc>
        <w:tc>
          <w:tcPr>
            <w:tcW w:w="1633" w:type="dxa"/>
            <w:tcBorders>
              <w:top w:val="single" w:sz="8" w:space="0" w:color="CDDC29" w:themeColor="text2"/>
              <w:left w:val="nil"/>
              <w:bottom w:val="single" w:sz="8" w:space="0" w:color="CDDC29" w:themeColor="text2"/>
              <w:right w:val="nil"/>
            </w:tcBorders>
            <w:shd w:val="clear" w:color="auto" w:fill="92D050"/>
            <w:vAlign w:val="center"/>
            <w:hideMark/>
          </w:tcPr>
          <w:p w14:paraId="4FC2B89A" w14:textId="77777777" w:rsidR="00B024F1" w:rsidRDefault="00B024F1" w:rsidP="00296E0F">
            <w:pPr>
              <w:pStyle w:val="BodyText"/>
              <w:jc w:val="center"/>
            </w:pPr>
            <w:r>
              <w:t>Low</w:t>
            </w:r>
          </w:p>
        </w:tc>
        <w:tc>
          <w:tcPr>
            <w:tcW w:w="1634" w:type="dxa"/>
            <w:tcBorders>
              <w:top w:val="single" w:sz="8" w:space="0" w:color="CDDC29" w:themeColor="text2"/>
              <w:left w:val="nil"/>
              <w:bottom w:val="single" w:sz="8" w:space="0" w:color="CDDC29" w:themeColor="text2"/>
              <w:right w:val="nil"/>
            </w:tcBorders>
            <w:shd w:val="clear" w:color="auto" w:fill="FFFF00"/>
            <w:vAlign w:val="center"/>
            <w:hideMark/>
          </w:tcPr>
          <w:p w14:paraId="7C30CDE0" w14:textId="77777777" w:rsidR="00B024F1" w:rsidRDefault="00B024F1" w:rsidP="00296E0F">
            <w:pPr>
              <w:pStyle w:val="BodyText"/>
              <w:jc w:val="center"/>
            </w:pPr>
            <w:r>
              <w:t>Medium</w:t>
            </w:r>
          </w:p>
        </w:tc>
      </w:tr>
    </w:tbl>
    <w:p w14:paraId="5DD0E908" w14:textId="77777777" w:rsidR="00B024F1" w:rsidRDefault="00B024F1" w:rsidP="007E5EBF">
      <w:pPr>
        <w:pStyle w:val="Heading3"/>
      </w:pPr>
      <w:r>
        <w:t>Fire</w:t>
      </w:r>
    </w:p>
    <w:p w14:paraId="3288B63E" w14:textId="77777777" w:rsidR="00B024F1" w:rsidRDefault="00B024F1" w:rsidP="00B024F1">
      <w:pPr>
        <w:pStyle w:val="Heading5"/>
        <w:numPr>
          <w:ilvl w:val="0"/>
          <w:numId w:val="0"/>
        </w:numPr>
      </w:pPr>
      <w:r>
        <w:rPr>
          <w:noProof/>
        </w:rPr>
        <w:t>Bushfire</w:t>
      </w:r>
    </w:p>
    <w:p w14:paraId="41C4364D" w14:textId="760A92D1" w:rsidR="00B024F1" w:rsidRDefault="00B024F1" w:rsidP="00B024F1">
      <w:pPr>
        <w:pStyle w:val="BodyText"/>
      </w:pPr>
      <w:r>
        <w:t xml:space="preserve">Bushfire can cause the population decline of the Lace Monitor during the fire event and </w:t>
      </w:r>
      <w:r w:rsidR="00DB4814">
        <w:t xml:space="preserve">can </w:t>
      </w:r>
      <w:r>
        <w:t xml:space="preserve">have continued negative effects due to loss and degradation of habitat and loss of food resources, especially following severe fires. Severe and too frequent bushfires can remove hollow bearing standing trees and fallen hollows on the ground, which removes habitat and shelter for juvenile and adult Lace Monitors. In addition to habitat loss and degradation, direct mortality by burning and heat stress likely occurs during the fire event, especially in the context of severe canopy fires. As the Lace Monitor is believed to be an obligate nester within active termite mounds, fire can kill live termitaria which in turn will kill any contained Lace Monitor eggs and make that mound unsuitable as a nesting site in future (Robertson </w:t>
      </w:r>
      <w:r w:rsidR="008229E9">
        <w:t>and</w:t>
      </w:r>
      <w:r>
        <w:t xml:space="preserve"> Coventry 201</w:t>
      </w:r>
      <w:r w:rsidR="00C9630D">
        <w:t>4</w:t>
      </w:r>
      <w:r>
        <w:t>). Roads widened for firefighting access can also remove termitaria from road verges, which are often ideally placed to be in part sun during the day and are therefore attractive sites for the Lace Monitor to bask while excavating nesting tunnels in the termite mounds.</w:t>
      </w:r>
    </w:p>
    <w:p w14:paraId="1F63F048" w14:textId="23FE5551" w:rsidR="00B024F1" w:rsidRDefault="00B024F1" w:rsidP="00B024F1">
      <w:pPr>
        <w:pStyle w:val="BodyText"/>
      </w:pPr>
      <w:r>
        <w:t xml:space="preserve">Food availability for Lace Monitors following bushfires may also have significant impacts on the </w:t>
      </w:r>
      <w:r w:rsidR="00204DA9">
        <w:t>species</w:t>
      </w:r>
      <w:r>
        <w:t>’ persistence in fire-affected areas. Jessop et al. (2010) examined the diet of Lace Monitors in south-eastern Australia, finding the Common Ringtail Possum (</w:t>
      </w:r>
      <w:r>
        <w:rPr>
          <w:i/>
          <w:iCs/>
        </w:rPr>
        <w:t>Pseudocheirus peregrinus</w:t>
      </w:r>
      <w:r>
        <w:t>)</w:t>
      </w:r>
      <w:r>
        <w:rPr>
          <w:i/>
          <w:iCs/>
        </w:rPr>
        <w:t xml:space="preserve"> </w:t>
      </w:r>
      <w:r>
        <w:t xml:space="preserve">to be the dominant prey species ingested. These results indicate a substantial preference for a single semi-arboreal prey item. A recent post-fire study conducted in Far East Gippsland identified all arboreal mammal species except the Common Ringtail Possum, however prior to the </w:t>
      </w:r>
      <w:r w:rsidR="00787CF8">
        <w:t>20</w:t>
      </w:r>
      <w:r>
        <w:t>19</w:t>
      </w:r>
      <w:r w:rsidR="009A328D">
        <w:t>-</w:t>
      </w:r>
      <w:r>
        <w:t>20 bushfires they were regularly encountered across the fire area</w:t>
      </w:r>
      <w:r w:rsidR="00BA203E">
        <w:t>.</w:t>
      </w:r>
      <w:r w:rsidR="00FC39CE">
        <w:t xml:space="preserve"> </w:t>
      </w:r>
      <w:r>
        <w:t>Even in areas with low levels of canopy scorching, the loss of understory and mid-story vegetation can extirpate species such as the Common Ringtail Possum, which suggests that the preferred prey species of the Lace Monitor is very likely in far lower abundance following the fires, likely resulting in much-reduced food availability</w:t>
      </w:r>
      <w:r w:rsidR="002B03D4">
        <w:t xml:space="preserve"> which</w:t>
      </w:r>
      <w:r>
        <w:t xml:space="preserve"> could impact Lace Monitor survival and reproduction in burnt areas. </w:t>
      </w:r>
    </w:p>
    <w:p w14:paraId="5805B87F" w14:textId="77777777" w:rsidR="00B024F1" w:rsidRDefault="00B024F1" w:rsidP="00B024F1">
      <w:pPr>
        <w:pStyle w:val="BodyText"/>
      </w:pPr>
      <w:r>
        <w:t>Lace Monitors occupying areas recently burnt from planned burning or bushfire will also likely be exposed to greater levels of predation and competition from Red Fox (</w:t>
      </w:r>
      <w:r>
        <w:rPr>
          <w:i/>
          <w:iCs/>
        </w:rPr>
        <w:t>Vulpes vulpes</w:t>
      </w:r>
      <w:r>
        <w:t>) (Hradsky et al. 2017) and feral cats (</w:t>
      </w:r>
      <w:r>
        <w:rPr>
          <w:i/>
          <w:iCs/>
        </w:rPr>
        <w:t>Felis catus</w:t>
      </w:r>
      <w:r>
        <w:t xml:space="preserve">). Bushfires combined with fragmentation and edge effects from land clearing for agriculture, roading works, hazardous tree removal and forestry operations can have complex effects on wildlife populations, like that of the Lace Monitor, often causing decline or localised extinctions (Driscoll et al. 2021). Cumulatively, these hazards result in less habitat refugia for viable populations to persist in, which can then create genetic issues where populations become isolated, more inbred and with less adaptive potential. </w:t>
      </w:r>
    </w:p>
    <w:p w14:paraId="6E83BEC5" w14:textId="2F6EEA79" w:rsidR="00B024F1" w:rsidRPr="00CB1C33" w:rsidRDefault="00B024F1" w:rsidP="00B024F1">
      <w:pPr>
        <w:pStyle w:val="BodyText"/>
      </w:pPr>
      <w:r>
        <w:t xml:space="preserve">Fire has affected a moderate amount of </w:t>
      </w:r>
      <w:r w:rsidR="00204DA9">
        <w:t>species’</w:t>
      </w:r>
      <w:r>
        <w:t xml:space="preserve"> habitat across the Central Highlands (33% of modelled habitat), North East (35% of modelled habitat) and West (20% of modelled habitat) RFA regions burnt since 2000. Fires have burnt relatively small areas of important populations in</w:t>
      </w:r>
      <w:r w:rsidR="00DB0A90">
        <w:t xml:space="preserve"> the</w:t>
      </w:r>
      <w:r>
        <w:t xml:space="preserve"> North East (12%) and the West (16%) but have affected a significant proportion of important populations in the Central Highlands (50%). While only a moderate proportion of area has been affected by fire across these RFA regions, with a higher frequency of bushfires predicted in the wake of continued human-induced climate change (Sharples et al. 2016), management action may be required to prevent the loss of important habitat from severe fire and prevent localised population declines. Fire has affected the </w:t>
      </w:r>
      <w:r w:rsidR="00204DA9">
        <w:t>species’</w:t>
      </w:r>
      <w:r w:rsidR="00905337">
        <w:t xml:space="preserve"> </w:t>
      </w:r>
      <w:r>
        <w:t xml:space="preserve">habitat more severely in the East Gippsland </w:t>
      </w:r>
      <w:r w:rsidRPr="00CB1C33">
        <w:t xml:space="preserve">RFA </w:t>
      </w:r>
      <w:r w:rsidR="006D2FED">
        <w:t xml:space="preserve">region </w:t>
      </w:r>
      <w:r w:rsidRPr="00CB1C33">
        <w:t>(81% of modelled habitat; 86% of important populations) and Gippsland RFA</w:t>
      </w:r>
      <w:r w:rsidR="006D2FED">
        <w:t xml:space="preserve"> region</w:t>
      </w:r>
      <w:r w:rsidR="00DD5875">
        <w:t xml:space="preserve"> </w:t>
      </w:r>
      <w:r w:rsidRPr="00CB1C33">
        <w:t xml:space="preserve">(46% of modelled habitat; 75% of important populations). </w:t>
      </w:r>
    </w:p>
    <w:p w14:paraId="4F3A7537" w14:textId="77777777" w:rsidR="00B024F1" w:rsidRPr="00CB1C33" w:rsidRDefault="00B024F1" w:rsidP="00B024F1">
      <w:pPr>
        <w:pStyle w:val="BodyText"/>
      </w:pPr>
      <w:r w:rsidRPr="00CB1C33">
        <w:t>Current existing controls for this hazard include:</w:t>
      </w:r>
    </w:p>
    <w:p w14:paraId="10AF9D52" w14:textId="57675EC1" w:rsidR="00B024F1" w:rsidRPr="00CB1C33" w:rsidRDefault="00B024F1" w:rsidP="006670D2">
      <w:pPr>
        <w:pStyle w:val="PullOutBoxBullet"/>
      </w:pPr>
      <w:r w:rsidRPr="00CB1C33">
        <w:t>Bushfire suppression. Th</w:t>
      </w:r>
      <w:r w:rsidR="00E51521">
        <w:t>e</w:t>
      </w:r>
      <w:r w:rsidRPr="00CB1C33" w:rsidDel="00E51521">
        <w:t xml:space="preserve"> </w:t>
      </w:r>
      <w:r w:rsidRPr="00CB1C33">
        <w:t>risk</w:t>
      </w:r>
      <w:r w:rsidR="00E51521">
        <w:t xml:space="preserve"> to this species</w:t>
      </w:r>
      <w:r w:rsidRPr="00CB1C33">
        <w:t xml:space="preserve"> is not effectively controlled; the scale and intensity of recent bushfires means that, despite the frameworks and available resources, emergency response does not always </w:t>
      </w:r>
      <w:r w:rsidR="003875DE">
        <w:t>mitigate</w:t>
      </w:r>
      <w:r w:rsidRPr="00CB1C33">
        <w:t xml:space="preserve"> impacts on </w:t>
      </w:r>
      <w:r w:rsidR="004E769C">
        <w:t>this species.</w:t>
      </w:r>
    </w:p>
    <w:p w14:paraId="3C32FA34" w14:textId="572848B8" w:rsidR="00B024F1" w:rsidRPr="00CB1C33" w:rsidRDefault="00B024F1" w:rsidP="006670D2">
      <w:pPr>
        <w:pStyle w:val="PullOutBoxBullet"/>
      </w:pPr>
      <w:r w:rsidRPr="00CB1C33">
        <w:t xml:space="preserve">The Victorian Government’s Safer Together approach, including fuel management. </w:t>
      </w:r>
      <w:r w:rsidR="00147119" w:rsidRPr="00A64C8E">
        <w:t xml:space="preserve">This has been evaluated as poor as planned burning is not necessarily targeted at protecting the </w:t>
      </w:r>
      <w:r w:rsidR="00147119">
        <w:t>L</w:t>
      </w:r>
      <w:r w:rsidR="00147119" w:rsidRPr="00A64C8E">
        <w:t xml:space="preserve">ace </w:t>
      </w:r>
      <w:r w:rsidR="00147119">
        <w:t>M</w:t>
      </w:r>
      <w:r w:rsidR="00147119" w:rsidRPr="00A64C8E">
        <w:t xml:space="preserve">onitor from large bushfires. </w:t>
      </w:r>
    </w:p>
    <w:p w14:paraId="0AB56533" w14:textId="759393BF" w:rsidR="00B024F1" w:rsidRPr="00CB1C33" w:rsidRDefault="00B024F1" w:rsidP="006670D2">
      <w:pPr>
        <w:pStyle w:val="PullOutBoxBullet"/>
      </w:pPr>
      <w:r w:rsidRPr="00CB1C33">
        <w:t>Biodiversity risk assessment role</w:t>
      </w:r>
      <w:r w:rsidR="006C00D4">
        <w:t>s</w:t>
      </w:r>
      <w:r w:rsidRPr="00CB1C33">
        <w:t xml:space="preserve"> deployed in every Rapid Risk Assessment Team. </w:t>
      </w:r>
      <w:r w:rsidR="005163D6" w:rsidRPr="00A64C8E">
        <w:t xml:space="preserve">The efficacy of this control at mitigating the impacts of bushfire was not assessed. However, the expert noted that it is important </w:t>
      </w:r>
      <w:r w:rsidR="005163D6">
        <w:t>for</w:t>
      </w:r>
      <w:r w:rsidR="005163D6" w:rsidRPr="00A64C8E">
        <w:t xml:space="preserve"> assess</w:t>
      </w:r>
      <w:r w:rsidR="005163D6">
        <w:t>ing</w:t>
      </w:r>
      <w:r w:rsidR="005163D6" w:rsidRPr="00A64C8E">
        <w:t xml:space="preserve"> post-fire options </w:t>
      </w:r>
      <w:r w:rsidR="001B45D8">
        <w:t>to</w:t>
      </w:r>
      <w:r w:rsidR="005163D6" w:rsidRPr="00A64C8E">
        <w:t xml:space="preserve"> limit further impacts to </w:t>
      </w:r>
      <w:r w:rsidR="0025780F">
        <w:t xml:space="preserve">this </w:t>
      </w:r>
      <w:r w:rsidR="00204DA9">
        <w:t>species</w:t>
      </w:r>
      <w:r w:rsidR="005163D6" w:rsidRPr="00A64C8E">
        <w:t xml:space="preserve"> (i.e., implementing predator control).</w:t>
      </w:r>
    </w:p>
    <w:p w14:paraId="6BF813DE" w14:textId="77777777" w:rsidR="00B024F1" w:rsidRPr="00CB1C33" w:rsidRDefault="00B024F1" w:rsidP="006670D2">
      <w:pPr>
        <w:pStyle w:val="PullOutBoxBullet"/>
      </w:pPr>
      <w:r w:rsidRPr="00CB1C33">
        <w:t xml:space="preserve">The </w:t>
      </w:r>
      <w:r w:rsidRPr="00CB1C33">
        <w:rPr>
          <w:i/>
          <w:iCs/>
        </w:rPr>
        <w:t>Code of Practice for Bushfire Management on Public Land 2012.</w:t>
      </w:r>
      <w:r w:rsidRPr="00CB1C33">
        <w:t xml:space="preserve"> This has been evaluated as satisfactory, however bushfires are an unplanned event and responses to it are generally driven by circumstances and factors that can change dynamically, so responses vary accordingly.</w:t>
      </w:r>
    </w:p>
    <w:p w14:paraId="271F0A49" w14:textId="7CF81E51" w:rsidR="00B024F1" w:rsidRPr="00FF310C" w:rsidRDefault="00B024F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8</w:t>
      </w:r>
      <w:r w:rsidR="000B6788" w:rsidRPr="00B6162A">
        <w:rPr>
          <w:bCs/>
          <w:noProof/>
        </w:rPr>
        <w:fldChar w:fldCharType="end"/>
      </w:r>
      <w:r w:rsidRPr="00FF310C">
        <w:t>. Lace Monitor protection requirements and recommendations for bushfire</w:t>
      </w:r>
    </w:p>
    <w:tbl>
      <w:tblPr>
        <w:tblStyle w:val="TableGrid"/>
        <w:tblW w:w="0" w:type="auto"/>
        <w:tblLook w:val="04A0" w:firstRow="1" w:lastRow="0" w:firstColumn="1" w:lastColumn="0" w:noHBand="0" w:noVBand="1"/>
      </w:tblPr>
      <w:tblGrid>
        <w:gridCol w:w="2268"/>
        <w:gridCol w:w="7371"/>
      </w:tblGrid>
      <w:tr w:rsidR="00B024F1" w14:paraId="7973760E"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6CDA55E1" w14:textId="77777777" w:rsidR="00B024F1" w:rsidRDefault="00B024F1" w:rsidP="00296E0F">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0F1D7DE5" w14:textId="77777777" w:rsidR="00B024F1" w:rsidRDefault="00B024F1" w:rsidP="00296E0F">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024F1" w14:paraId="0E7BB16A" w14:textId="77777777" w:rsidTr="00C73974">
        <w:tc>
          <w:tcPr>
            <w:tcW w:w="2268" w:type="dxa"/>
            <w:tcBorders>
              <w:top w:val="single" w:sz="8" w:space="0" w:color="CDDC29" w:themeColor="text2"/>
              <w:left w:val="nil"/>
              <w:bottom w:val="single" w:sz="8" w:space="0" w:color="CDDC29" w:themeColor="text2"/>
              <w:right w:val="nil"/>
            </w:tcBorders>
            <w:hideMark/>
          </w:tcPr>
          <w:p w14:paraId="5D84FC4F" w14:textId="27542168" w:rsidR="00B024F1" w:rsidRDefault="005112F4" w:rsidP="00EE1B63">
            <w:pPr>
              <w:pStyle w:val="BodyText"/>
            </w:pPr>
            <w:r>
              <w:t xml:space="preserve">Priority </w:t>
            </w:r>
            <w:r w:rsidR="00E240F8">
              <w:t>m</w:t>
            </w:r>
            <w:r>
              <w:t xml:space="preserve">anagement </w:t>
            </w:r>
            <w:r w:rsidR="00E240F8">
              <w:t>a</w:t>
            </w:r>
            <w:r>
              <w:t>ctions</w:t>
            </w:r>
          </w:p>
        </w:tc>
        <w:tc>
          <w:tcPr>
            <w:tcW w:w="7371" w:type="dxa"/>
            <w:tcBorders>
              <w:top w:val="single" w:sz="8" w:space="0" w:color="CDDC29" w:themeColor="text2"/>
              <w:left w:val="nil"/>
              <w:bottom w:val="single" w:sz="8" w:space="0" w:color="CDDC29" w:themeColor="text2"/>
              <w:right w:val="nil"/>
            </w:tcBorders>
            <w:hideMark/>
          </w:tcPr>
          <w:p w14:paraId="3C75CE64" w14:textId="445BEEC3" w:rsidR="00B024F1" w:rsidRDefault="00D55FD1" w:rsidP="00C73974">
            <w:pPr>
              <w:pStyle w:val="BodyText"/>
            </w:pPr>
            <w:r>
              <w:t>Not required for this hazard as it is a longer-term threat.</w:t>
            </w:r>
          </w:p>
        </w:tc>
      </w:tr>
      <w:tr w:rsidR="00B024F1" w14:paraId="66EBF472" w14:textId="77777777" w:rsidTr="00C73974">
        <w:tc>
          <w:tcPr>
            <w:tcW w:w="2268" w:type="dxa"/>
            <w:tcBorders>
              <w:top w:val="single" w:sz="8" w:space="0" w:color="CDDC29" w:themeColor="text2"/>
              <w:left w:val="nil"/>
              <w:bottom w:val="single" w:sz="8" w:space="0" w:color="CDDC29" w:themeColor="text2"/>
              <w:right w:val="nil"/>
            </w:tcBorders>
            <w:hideMark/>
          </w:tcPr>
          <w:p w14:paraId="286C0EC9" w14:textId="1385BF8A" w:rsidR="00B024F1" w:rsidRDefault="00E240F8" w:rsidP="00EE1B63">
            <w:pPr>
              <w:pStyle w:val="BodyText"/>
            </w:pPr>
            <w:r>
              <w:t>Potential m</w:t>
            </w:r>
            <w:r w:rsidR="00B024F1">
              <w:t>anagement actions</w:t>
            </w:r>
          </w:p>
        </w:tc>
        <w:tc>
          <w:tcPr>
            <w:tcW w:w="7371" w:type="dxa"/>
            <w:tcBorders>
              <w:top w:val="single" w:sz="8" w:space="0" w:color="CDDC29" w:themeColor="text2"/>
              <w:left w:val="nil"/>
              <w:bottom w:val="single" w:sz="8" w:space="0" w:color="CDDC29" w:themeColor="text2"/>
              <w:right w:val="nil"/>
            </w:tcBorders>
            <w:hideMark/>
          </w:tcPr>
          <w:p w14:paraId="547FF801" w14:textId="02829B1E" w:rsidR="00B024F1" w:rsidRPr="00847D31" w:rsidRDefault="00AB0254" w:rsidP="006670D2">
            <w:pPr>
              <w:pStyle w:val="PullOutBoxBullet"/>
            </w:pPr>
            <w:r>
              <w:t>A</w:t>
            </w:r>
            <w:r w:rsidR="00E06F73">
              <w:t>ssess the net benefit of fuel management</w:t>
            </w:r>
            <w:r w:rsidR="00B024F1" w:rsidRPr="00847D31">
              <w:t xml:space="preserve"> in unburnt areas where important populations occur; </w:t>
            </w:r>
          </w:p>
          <w:p w14:paraId="4C5A270A" w14:textId="6AACBB3E" w:rsidR="00B024F1" w:rsidRPr="00847D31" w:rsidRDefault="00B024F1" w:rsidP="006670D2">
            <w:pPr>
              <w:pStyle w:val="PullOutBoxBullet"/>
            </w:pPr>
            <w:r w:rsidRPr="00847D31">
              <w:t xml:space="preserve">Research the effects of fire on the </w:t>
            </w:r>
            <w:r w:rsidR="00204DA9">
              <w:t>species</w:t>
            </w:r>
            <w:r w:rsidRPr="00847D31">
              <w:t xml:space="preserve">, identifying sites used as refuge from fire, use of burnt habitat post-fire, and level of persistence in areas of different burn severity; </w:t>
            </w:r>
          </w:p>
          <w:p w14:paraId="26BA5CC4" w14:textId="363D1D33" w:rsidR="00B024F1" w:rsidRPr="00847D31" w:rsidRDefault="00B024F1" w:rsidP="006670D2">
            <w:pPr>
              <w:pStyle w:val="PullOutBoxBullet"/>
            </w:pPr>
            <w:r w:rsidRPr="00847D31">
              <w:t xml:space="preserve">Undertake more extensive on-ground surveys for the </w:t>
            </w:r>
            <w:r w:rsidR="00204DA9">
              <w:t>species</w:t>
            </w:r>
            <w:r w:rsidRPr="00847D31">
              <w:t xml:space="preserve"> in fire-affected areas;</w:t>
            </w:r>
          </w:p>
          <w:p w14:paraId="56859036" w14:textId="3A466431" w:rsidR="00B024F1" w:rsidRPr="00847D31" w:rsidRDefault="00AB0254" w:rsidP="006670D2">
            <w:pPr>
              <w:pStyle w:val="PullOutBoxBullet"/>
            </w:pPr>
            <w:r>
              <w:t>U</w:t>
            </w:r>
            <w:r w:rsidR="00B16C8B">
              <w:t>ndertake</w:t>
            </w:r>
            <w:r w:rsidR="00B16C8B" w:rsidRPr="00847D31">
              <w:t xml:space="preserve"> </w:t>
            </w:r>
            <w:r w:rsidR="00B024F1" w:rsidRPr="00847D31">
              <w:t xml:space="preserve">long-term monitoring to track changes over time; </w:t>
            </w:r>
            <w:r w:rsidR="00CE5018">
              <w:t>and</w:t>
            </w:r>
          </w:p>
          <w:p w14:paraId="095A43E9" w14:textId="54C106D0" w:rsidR="00B024F1" w:rsidRPr="00847D31" w:rsidRDefault="00B024F1" w:rsidP="006670D2">
            <w:pPr>
              <w:pStyle w:val="PullOutBoxBullet"/>
            </w:pPr>
            <w:r w:rsidRPr="00847D31">
              <w:t xml:space="preserve">Investigate food availability such as Common Ringtail Possum abundance and termite mound nesting site availability in fire-affected regions. </w:t>
            </w:r>
          </w:p>
        </w:tc>
      </w:tr>
    </w:tbl>
    <w:p w14:paraId="050D991A" w14:textId="77777777" w:rsidR="00B024F1" w:rsidRDefault="00B024F1" w:rsidP="00B024F1">
      <w:pPr>
        <w:pStyle w:val="Heading5"/>
        <w:numPr>
          <w:ilvl w:val="0"/>
          <w:numId w:val="0"/>
        </w:numPr>
        <w:ind w:left="1008" w:hanging="1008"/>
      </w:pPr>
      <w:r>
        <w:t>Planned burning</w:t>
      </w:r>
    </w:p>
    <w:p w14:paraId="75B72C32" w14:textId="1791EF9D" w:rsidR="00B024F1" w:rsidRDefault="00B024F1" w:rsidP="00B024F1">
      <w:pPr>
        <w:pStyle w:val="BodyText"/>
      </w:pPr>
      <w:r>
        <w:t>Planned burning can cause population decline</w:t>
      </w:r>
      <w:r w:rsidR="0004466E">
        <w:t xml:space="preserve"> in this species</w:t>
      </w:r>
      <w:r>
        <w:t xml:space="preserve"> through direct mortality during the fire event</w:t>
      </w:r>
      <w:r w:rsidR="00DC1F53">
        <w:t>,</w:t>
      </w:r>
      <w:r>
        <w:t xml:space="preserve"> can remove necessary hollow trees and hollow logs on the ground (Bluff 2016) that are shelter sites for the Lace Monitor, and can have continued negative effects </w:t>
      </w:r>
      <w:r w:rsidR="00956385">
        <w:t xml:space="preserve">on this species </w:t>
      </w:r>
      <w:r>
        <w:t xml:space="preserve">due to loss and degradation of habitat and loss of food resources. Some standing hollow trees are felled during or prior to planned burns after being deemed hazardous trees, and when felled can kill Lace Monitors directly. </w:t>
      </w:r>
    </w:p>
    <w:p w14:paraId="0F276B62" w14:textId="7DB77F7D" w:rsidR="00B024F1" w:rsidRDefault="00977A92" w:rsidP="00B024F1">
      <w:pPr>
        <w:pStyle w:val="BodyText"/>
        <w:rPr>
          <w:rFonts w:ascii="Arial" w:hAnsi="Arial"/>
          <w:color w:val="363534"/>
        </w:rPr>
      </w:pPr>
      <w:r>
        <w:t>Planned burning</w:t>
      </w:r>
      <w:r w:rsidR="00B024F1">
        <w:t xml:space="preserve"> can also kill live termite colonies in terrestrial or arboreal termitaria which are the only </w:t>
      </w:r>
      <w:r w:rsidR="008255D3">
        <w:t>egg laying</w:t>
      </w:r>
      <w:r w:rsidR="00B024F1">
        <w:t xml:space="preserve"> sites used by the </w:t>
      </w:r>
      <w:r w:rsidR="00204DA9">
        <w:t>species</w:t>
      </w:r>
      <w:r w:rsidR="00B024F1">
        <w:t xml:space="preserve"> in Victoria. </w:t>
      </w:r>
      <w:r w:rsidR="00B024F1">
        <w:rPr>
          <w:rFonts w:ascii="Arial" w:hAnsi="Arial"/>
          <w:color w:val="363534"/>
        </w:rPr>
        <w:t xml:space="preserve">Loss of </w:t>
      </w:r>
      <w:r w:rsidR="008255D3">
        <w:rPr>
          <w:rFonts w:ascii="Arial" w:hAnsi="Arial"/>
          <w:color w:val="363534"/>
        </w:rPr>
        <w:t>these</w:t>
      </w:r>
      <w:r w:rsidR="00B024F1">
        <w:rPr>
          <w:rFonts w:ascii="Arial" w:hAnsi="Arial"/>
          <w:color w:val="363534"/>
        </w:rPr>
        <w:t xml:space="preserve"> sites means adults have nowhere to lay eggs until new termitaria are formed to a suitable size, roughly 5-6 years. </w:t>
      </w:r>
      <w:r w:rsidR="00B024F1">
        <w:t>Damage to termitaria during planned burning operations risks killing any eggs currently in the termitaria</w:t>
      </w:r>
      <w:r w:rsidR="00E47504">
        <w:t>,</w:t>
      </w:r>
      <w:r w:rsidR="00B024F1">
        <w:t xml:space="preserve"> which takes away their ability to reproduce despite individual survivorship. </w:t>
      </w:r>
      <w:r w:rsidR="00B024F1">
        <w:rPr>
          <w:rFonts w:ascii="Arial" w:hAnsi="Arial"/>
          <w:color w:val="363534"/>
        </w:rPr>
        <w:t xml:space="preserve">Not all termitaria are affected in a fire, but even if a few are killed in each burn, the gradual decrease in numbers over time following successive </w:t>
      </w:r>
      <w:r w:rsidR="00E23703">
        <w:rPr>
          <w:rFonts w:ascii="Arial" w:hAnsi="Arial"/>
          <w:color w:val="363534"/>
        </w:rPr>
        <w:t xml:space="preserve">planned </w:t>
      </w:r>
      <w:r w:rsidR="00B024F1">
        <w:rPr>
          <w:rFonts w:ascii="Arial" w:hAnsi="Arial"/>
          <w:color w:val="363534"/>
        </w:rPr>
        <w:t xml:space="preserve">burns could reduce suitable nesting termitaria numbers to a point where reproduction is negatively affected. </w:t>
      </w:r>
    </w:p>
    <w:p w14:paraId="764F53C2" w14:textId="37E7980F" w:rsidR="00B024F1" w:rsidRDefault="00B024F1" w:rsidP="00B024F1">
      <w:pPr>
        <w:pStyle w:val="BodyText"/>
      </w:pPr>
      <w:r>
        <w:t xml:space="preserve">The clearing along roadsides for bushfire preparedness is also potentially destructive towards the habitat of this </w:t>
      </w:r>
      <w:r w:rsidR="00204DA9">
        <w:t>species</w:t>
      </w:r>
      <w:r>
        <w:t xml:space="preserve">. This hazard will combine with similar hazard drivers like roading works, hazardous tree removal, bushfires and forestry operations that combine to reduce the available shelter sites for adult Lace Monitors and reduce the numbers and viability of termitaria in a local area for oviposition sites. Lace Monitors occupying areas recently burnt from planned burns will likely be exposed to greater levels of predation and competition from the Red Fox (Hradsky et al. 2017) and feral cat. </w:t>
      </w:r>
    </w:p>
    <w:p w14:paraId="17ADD0ED" w14:textId="77777777" w:rsidR="00B024F1" w:rsidRPr="00CB1C33" w:rsidRDefault="00B024F1" w:rsidP="00B024F1">
      <w:pPr>
        <w:pStyle w:val="BodyText"/>
      </w:pPr>
      <w:r w:rsidRPr="00CB1C33">
        <w:t>Current existing controls for this hazard include:</w:t>
      </w:r>
    </w:p>
    <w:p w14:paraId="4D676858" w14:textId="179BAC9A" w:rsidR="005A6BC9" w:rsidRPr="00E738DC" w:rsidRDefault="00B024F1" w:rsidP="006670D2">
      <w:pPr>
        <w:pStyle w:val="PullOutBoxBullet"/>
      </w:pPr>
      <w:r w:rsidRPr="006A41C8">
        <w:t>The</w:t>
      </w:r>
      <w:r w:rsidRPr="00985D63">
        <w:t xml:space="preserve"> </w:t>
      </w:r>
      <w:r w:rsidRPr="006A41C8">
        <w:rPr>
          <w:i/>
          <w:iCs/>
        </w:rPr>
        <w:t>Code of Practice for Bushfire Management on Pu</w:t>
      </w:r>
      <w:r w:rsidRPr="00D13D57">
        <w:rPr>
          <w:i/>
          <w:iCs/>
        </w:rPr>
        <w:t>blic Land 2012</w:t>
      </w:r>
      <w:r w:rsidR="00190DE9">
        <w:t xml:space="preserve"> </w:t>
      </w:r>
      <w:r w:rsidR="005A6BC9" w:rsidRPr="00E738DC">
        <w:t xml:space="preserve">has been assessed as poor at fully considering </w:t>
      </w:r>
      <w:r w:rsidR="000D3E9A">
        <w:t>impacts on the</w:t>
      </w:r>
      <w:r w:rsidR="00D84206">
        <w:t xml:space="preserve"> L</w:t>
      </w:r>
      <w:r w:rsidR="000D3E9A">
        <w:t xml:space="preserve">ace </w:t>
      </w:r>
      <w:r w:rsidR="00D84206">
        <w:t>M</w:t>
      </w:r>
      <w:r w:rsidR="000D3E9A">
        <w:t>onitor</w:t>
      </w:r>
      <w:r w:rsidR="0053728A">
        <w:t>,</w:t>
      </w:r>
      <w:r w:rsidR="005A6BC9" w:rsidRPr="006A41C8">
        <w:t xml:space="preserve"> </w:t>
      </w:r>
      <w:r w:rsidR="005A6BC9" w:rsidRPr="00D13D57">
        <w:t xml:space="preserve">as it is not clear how the need to </w:t>
      </w:r>
      <w:r w:rsidR="005A6BC9" w:rsidRPr="00E738DC">
        <w:t xml:space="preserve">avoid these impacts </w:t>
      </w:r>
      <w:r w:rsidR="00FD1E5F">
        <w:t>is</w:t>
      </w:r>
      <w:r w:rsidR="005A6BC9" w:rsidRPr="00E738DC">
        <w:t xml:space="preserve"> balanced with other priorities during burn planning.</w:t>
      </w:r>
      <w:r w:rsidR="005A6BC9">
        <w:t xml:space="preserve"> </w:t>
      </w:r>
      <w:r w:rsidR="005A6BC9" w:rsidRPr="006A41C8">
        <w:t>This is particularly relevant considering the recent large-scale bushfires that burnt large tracts of forest across the East Gippsland RFA</w:t>
      </w:r>
      <w:r w:rsidR="006D2FED">
        <w:t xml:space="preserve"> region</w:t>
      </w:r>
      <w:r w:rsidR="005A6BC9" w:rsidRPr="006A41C8">
        <w:t>. However, due to the large-scale variability of planned burns, even within RFA regions, some burns may be considered</w:t>
      </w:r>
      <w:r w:rsidR="005A6BC9" w:rsidRPr="00D13D57">
        <w:t xml:space="preserve"> satisfactory, although the occurrence of important populations of the </w:t>
      </w:r>
      <w:r w:rsidR="00204DA9">
        <w:t>species</w:t>
      </w:r>
      <w:r w:rsidR="005A6BC9" w:rsidRPr="00D13D57">
        <w:t xml:space="preserve"> may not have been considered during their implementation.</w:t>
      </w:r>
    </w:p>
    <w:p w14:paraId="3FF2ABE4" w14:textId="13A82817" w:rsidR="00B024F1" w:rsidRPr="00CB1C33" w:rsidRDefault="00B024F1" w:rsidP="006670D2">
      <w:pPr>
        <w:pStyle w:val="PullOutBoxBullet"/>
      </w:pPr>
      <w:r w:rsidRPr="00CB1C33">
        <w:t xml:space="preserve">Strategic Bushfire Management Plans and the Joint Fuel Management Program. </w:t>
      </w:r>
      <w:r w:rsidR="006E31AD" w:rsidRPr="00985D63">
        <w:t>These have been evaluated as satisfactory for considering many ecological values but may not adequately address all risks to the lace monitor.</w:t>
      </w:r>
    </w:p>
    <w:p w14:paraId="5BB91FD9" w14:textId="28242D04" w:rsidR="00B024F1" w:rsidRDefault="00B024F1" w:rsidP="006670D2">
      <w:pPr>
        <w:pStyle w:val="PullOutBoxBullet"/>
      </w:pPr>
      <w:r w:rsidRPr="00CB1C33">
        <w:t xml:space="preserve">Values checking and mitigations at the operational delivery stage of bushfire management activities. This has been evaluated as </w:t>
      </w:r>
      <w:r w:rsidR="005D4C5A">
        <w:t xml:space="preserve">a </w:t>
      </w:r>
      <w:r w:rsidRPr="00CB1C33">
        <w:t>poor</w:t>
      </w:r>
      <w:r w:rsidR="005D4C5A">
        <w:t xml:space="preserve"> mitigation of risk to the </w:t>
      </w:r>
      <w:r w:rsidR="00F97026">
        <w:t>L</w:t>
      </w:r>
      <w:r w:rsidR="005D4C5A">
        <w:t xml:space="preserve">ace </w:t>
      </w:r>
      <w:r w:rsidR="00F97026">
        <w:t>M</w:t>
      </w:r>
      <w:r w:rsidR="005D4C5A">
        <w:t>onitor</w:t>
      </w:r>
      <w:r w:rsidR="00F97026">
        <w:t xml:space="preserve">, as this </w:t>
      </w:r>
      <w:r w:rsidR="00AA1FAE">
        <w:t>speices</w:t>
      </w:r>
      <w:r w:rsidR="00F97026">
        <w:t xml:space="preserve"> is a mobile animal with a large home range.</w:t>
      </w:r>
      <w:r w:rsidRPr="00CB1C33">
        <w:t xml:space="preserve"> </w:t>
      </w:r>
    </w:p>
    <w:p w14:paraId="08872D03" w14:textId="17989F4C" w:rsidR="00B024F1" w:rsidRPr="00FF310C" w:rsidRDefault="00B024F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9</w:t>
      </w:r>
      <w:r w:rsidR="000B6788" w:rsidRPr="00B6162A">
        <w:rPr>
          <w:bCs/>
          <w:noProof/>
        </w:rPr>
        <w:fldChar w:fldCharType="end"/>
      </w:r>
      <w:r w:rsidRPr="00FF310C">
        <w:t>. Lace Monitor protection requirements and recommendations for planned burning</w:t>
      </w:r>
    </w:p>
    <w:tbl>
      <w:tblPr>
        <w:tblStyle w:val="TableGrid"/>
        <w:tblW w:w="0" w:type="auto"/>
        <w:tblLook w:val="04A0" w:firstRow="1" w:lastRow="0" w:firstColumn="1" w:lastColumn="0" w:noHBand="0" w:noVBand="1"/>
      </w:tblPr>
      <w:tblGrid>
        <w:gridCol w:w="2268"/>
        <w:gridCol w:w="7371"/>
      </w:tblGrid>
      <w:tr w:rsidR="00B024F1" w14:paraId="6DB0805D" w14:textId="77777777" w:rsidTr="60664A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accent2"/>
              <w:left w:val="nil"/>
              <w:bottom w:val="single" w:sz="8" w:space="0" w:color="CDDC29" w:themeColor="accent2"/>
              <w:right w:val="nil"/>
            </w:tcBorders>
            <w:vAlign w:val="center"/>
            <w:hideMark/>
          </w:tcPr>
          <w:p w14:paraId="44D68808" w14:textId="77777777" w:rsidR="00B024F1" w:rsidRDefault="00B024F1" w:rsidP="00296E0F">
            <w:pPr>
              <w:pStyle w:val="BodyText"/>
            </w:pPr>
            <w:r>
              <w:t>Requirement</w:t>
            </w:r>
          </w:p>
        </w:tc>
        <w:tc>
          <w:tcPr>
            <w:tcW w:w="7371" w:type="dxa"/>
            <w:tcBorders>
              <w:top w:val="single" w:sz="8" w:space="0" w:color="CDDC29" w:themeColor="accent2"/>
              <w:left w:val="nil"/>
              <w:bottom w:val="single" w:sz="8" w:space="0" w:color="CDDC29" w:themeColor="accent2"/>
              <w:right w:val="nil"/>
            </w:tcBorders>
            <w:vAlign w:val="center"/>
            <w:hideMark/>
          </w:tcPr>
          <w:p w14:paraId="752D80BB" w14:textId="77777777" w:rsidR="00B024F1" w:rsidRDefault="00B024F1" w:rsidP="00296E0F">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024F1" w14:paraId="74DFC652" w14:textId="77777777" w:rsidTr="60664A41">
        <w:tc>
          <w:tcPr>
            <w:tcW w:w="2268" w:type="dxa"/>
            <w:tcBorders>
              <w:top w:val="single" w:sz="8" w:space="0" w:color="CDDC29" w:themeColor="accent2"/>
              <w:left w:val="nil"/>
              <w:bottom w:val="single" w:sz="8" w:space="0" w:color="CDDC29" w:themeColor="accent2"/>
              <w:right w:val="nil"/>
            </w:tcBorders>
            <w:hideMark/>
          </w:tcPr>
          <w:p w14:paraId="2739687F" w14:textId="0C2F4670" w:rsidR="00B024F1" w:rsidRDefault="00F17171" w:rsidP="00C73974">
            <w:pPr>
              <w:pStyle w:val="BodyText"/>
            </w:pPr>
            <w:r>
              <w:t>Priority management actions</w:t>
            </w:r>
          </w:p>
        </w:tc>
        <w:tc>
          <w:tcPr>
            <w:tcW w:w="7371" w:type="dxa"/>
            <w:tcBorders>
              <w:top w:val="single" w:sz="8" w:space="0" w:color="CDDC29" w:themeColor="accent2"/>
              <w:left w:val="nil"/>
              <w:bottom w:val="single" w:sz="8" w:space="0" w:color="CDDC29" w:themeColor="accent2"/>
              <w:right w:val="nil"/>
            </w:tcBorders>
            <w:hideMark/>
          </w:tcPr>
          <w:p w14:paraId="74A558E6" w14:textId="4146CABF" w:rsidR="00FE47A5" w:rsidRDefault="00890A1A" w:rsidP="006670D2">
            <w:pPr>
              <w:pStyle w:val="PullOutBoxBullet"/>
            </w:pPr>
            <w:r w:rsidRPr="00847D31">
              <w:t xml:space="preserve">Consider and account for habitat values of the </w:t>
            </w:r>
            <w:r w:rsidR="00D7471E">
              <w:t>species</w:t>
            </w:r>
            <w:r w:rsidRPr="00847D31">
              <w:t xml:space="preserve"> during planning and implementing planned burns</w:t>
            </w:r>
            <w:r w:rsidR="00CF7EBD">
              <w:t>, including where practicable:</w:t>
            </w:r>
          </w:p>
          <w:p w14:paraId="54FC2CBF" w14:textId="77777777" w:rsidR="00F83E70" w:rsidRPr="00847D31" w:rsidRDefault="00F83E70" w:rsidP="006670D2">
            <w:pPr>
              <w:pStyle w:val="PullOutBoxBullet"/>
            </w:pPr>
            <w:r w:rsidRPr="00847D31">
              <w:t xml:space="preserve">Flag live termitaria in burn area to clearly identify asset to be protected; </w:t>
            </w:r>
          </w:p>
          <w:p w14:paraId="01BC3867" w14:textId="77777777" w:rsidR="00F83E70" w:rsidRPr="00847D31" w:rsidRDefault="2A89D63A" w:rsidP="006670D2">
            <w:pPr>
              <w:pStyle w:val="PullOutBoxBullet"/>
            </w:pPr>
            <w:r>
              <w:t xml:space="preserve">Rakehoe around mound perimeter to take vegetation away for mounds; and </w:t>
            </w:r>
          </w:p>
          <w:p w14:paraId="606A9B96" w14:textId="450C3E3B" w:rsidR="00B024F1" w:rsidRDefault="00CF7EBD" w:rsidP="006670D2">
            <w:pPr>
              <w:pStyle w:val="PullOutBoxBullet"/>
            </w:pPr>
            <w:r w:rsidRPr="00847D31">
              <w:t>Educate machinery operators involved to ensure termitaria are not destroyed</w:t>
            </w:r>
            <w:r>
              <w:t>/harmed</w:t>
            </w:r>
            <w:r w:rsidR="00CE5018">
              <w:t>.</w:t>
            </w:r>
          </w:p>
        </w:tc>
      </w:tr>
      <w:tr w:rsidR="00B024F1" w14:paraId="1100E35B" w14:textId="77777777" w:rsidTr="60664A41">
        <w:tc>
          <w:tcPr>
            <w:tcW w:w="2268" w:type="dxa"/>
            <w:tcBorders>
              <w:top w:val="single" w:sz="8" w:space="0" w:color="CDDC29" w:themeColor="accent2"/>
              <w:left w:val="nil"/>
              <w:bottom w:val="single" w:sz="8" w:space="0" w:color="CDDC29" w:themeColor="accent2"/>
              <w:right w:val="nil"/>
            </w:tcBorders>
            <w:hideMark/>
          </w:tcPr>
          <w:p w14:paraId="186F254F" w14:textId="775E9E4B" w:rsidR="00B024F1" w:rsidRDefault="0090233E" w:rsidP="00C73974">
            <w:pPr>
              <w:pStyle w:val="BodyText"/>
            </w:pPr>
            <w:r>
              <w:t>Potential m</w:t>
            </w:r>
            <w:r w:rsidR="00B024F1">
              <w:t>anagement actions</w:t>
            </w:r>
          </w:p>
        </w:tc>
        <w:tc>
          <w:tcPr>
            <w:tcW w:w="7371" w:type="dxa"/>
            <w:tcBorders>
              <w:top w:val="single" w:sz="8" w:space="0" w:color="CDDC29" w:themeColor="accent2"/>
              <w:left w:val="nil"/>
              <w:bottom w:val="single" w:sz="8" w:space="0" w:color="CDDC29" w:themeColor="accent2"/>
              <w:right w:val="nil"/>
            </w:tcBorders>
            <w:hideMark/>
          </w:tcPr>
          <w:p w14:paraId="6CF8462C" w14:textId="7D7DD1AE" w:rsidR="009B699C" w:rsidRDefault="009B699C" w:rsidP="006670D2">
            <w:pPr>
              <w:pStyle w:val="PullOutBoxBullet"/>
            </w:pPr>
            <w:r w:rsidRPr="00915D82">
              <w:t>Limit, where practicable, planned burning in Box Ironbark Forest</w:t>
            </w:r>
            <w:r>
              <w:t>;</w:t>
            </w:r>
            <w:r w:rsidR="00CE5018">
              <w:t xml:space="preserve"> and</w:t>
            </w:r>
          </w:p>
          <w:p w14:paraId="09801060" w14:textId="5CA57B79" w:rsidR="00B024F1" w:rsidRPr="00847D31" w:rsidRDefault="00B024F1" w:rsidP="006670D2">
            <w:pPr>
              <w:pStyle w:val="PullOutBoxBullet"/>
            </w:pPr>
            <w:r w:rsidRPr="00847D31">
              <w:t xml:space="preserve">Research how fire effects the </w:t>
            </w:r>
            <w:r w:rsidR="00D7471E">
              <w:t>species</w:t>
            </w:r>
            <w:r w:rsidRPr="00847D31">
              <w:t>, identifying refuge sites used during fires, post-fire use of burnt habitats, and persistence of Lace Monitor populations in areas with different levels of burn impact</w:t>
            </w:r>
            <w:r w:rsidR="00CE5018">
              <w:t>.</w:t>
            </w:r>
          </w:p>
        </w:tc>
      </w:tr>
    </w:tbl>
    <w:p w14:paraId="6A1EE18A" w14:textId="070D2AEC" w:rsidR="00B024F1" w:rsidRDefault="00CF7EBD" w:rsidP="00B024F1">
      <w:pPr>
        <w:pStyle w:val="Heading5"/>
        <w:numPr>
          <w:ilvl w:val="0"/>
          <w:numId w:val="0"/>
        </w:numPr>
        <w:ind w:left="1008" w:hanging="1008"/>
      </w:pPr>
      <w:r>
        <w:t>R</w:t>
      </w:r>
      <w:r w:rsidR="00B024F1">
        <w:t>oad</w:t>
      </w:r>
      <w:r>
        <w:t xml:space="preserve"> construction and maintenance</w:t>
      </w:r>
    </w:p>
    <w:p w14:paraId="3DBF4FE9" w14:textId="4F4D6DFE" w:rsidR="00B024F1" w:rsidRPr="00CB1C33" w:rsidRDefault="00B024F1" w:rsidP="00B024F1">
      <w:pPr>
        <w:pStyle w:val="BodyText"/>
        <w:rPr>
          <w:rFonts w:ascii="Arial" w:hAnsi="Arial"/>
          <w:color w:val="363534"/>
        </w:rPr>
      </w:pPr>
      <w:r>
        <w:t xml:space="preserve">This hazard includes the removal of hollow trees and large trees next to roads and tracks that could disrupt firefighting vehicular traffic, which removes shelter for this </w:t>
      </w:r>
      <w:r w:rsidR="00D7471E">
        <w:t>species</w:t>
      </w:r>
      <w:r>
        <w:t xml:space="preserve"> and could cause direct mortality by crushing from falling trees. Termitaria </w:t>
      </w:r>
      <w:r>
        <w:rPr>
          <w:rFonts w:ascii="Arial" w:hAnsi="Arial"/>
          <w:color w:val="363534"/>
        </w:rPr>
        <w:t>can be an activity hub of Lace Monitor populations during the breeding seasons, with both males and females seen to gather around favoured termite mounds prior to mating and egg laying (Pianka</w:t>
      </w:r>
      <w:r w:rsidR="00E54509">
        <w:rPr>
          <w:rFonts w:ascii="Arial" w:hAnsi="Arial"/>
          <w:color w:val="363534"/>
        </w:rPr>
        <w:t xml:space="preserve"> and King</w:t>
      </w:r>
      <w:r>
        <w:rPr>
          <w:rFonts w:ascii="Arial" w:hAnsi="Arial"/>
          <w:color w:val="363534"/>
        </w:rPr>
        <w:t xml:space="preserve"> 2004), so </w:t>
      </w:r>
      <w:r>
        <w:t xml:space="preserve">road and track widening can kill live termitaria in </w:t>
      </w:r>
      <w:r w:rsidRPr="00CB1C33">
        <w:t xml:space="preserve">the works zone that may contain Lace Monitor eggs or be used for laying of eggs in the future. </w:t>
      </w:r>
      <w:r w:rsidRPr="00CB1C33">
        <w:rPr>
          <w:rFonts w:ascii="Arial" w:hAnsi="Arial"/>
          <w:color w:val="363534"/>
        </w:rPr>
        <w:t xml:space="preserve">This hazard will combine with similar hazard drivers like roading works, bushfires, planned burns and forestry operations to reduce the available shelter sites for adult Lace Monitors and reduce the numbers and viability of termitaria in a local area for </w:t>
      </w:r>
      <w:r w:rsidR="00750013">
        <w:rPr>
          <w:rFonts w:ascii="Arial" w:hAnsi="Arial"/>
          <w:color w:val="363534"/>
        </w:rPr>
        <w:t>egg laying</w:t>
      </w:r>
      <w:r w:rsidRPr="00CB1C33">
        <w:rPr>
          <w:rFonts w:ascii="Arial" w:hAnsi="Arial"/>
          <w:color w:val="363534"/>
        </w:rPr>
        <w:t xml:space="preserve"> sites. This hazard exists where these roading works are carried out in treed habitats.</w:t>
      </w:r>
    </w:p>
    <w:p w14:paraId="6F69833F" w14:textId="77777777" w:rsidR="00B024F1" w:rsidRPr="00CB1C33" w:rsidRDefault="00B024F1" w:rsidP="00B024F1">
      <w:pPr>
        <w:pStyle w:val="BodyText"/>
      </w:pPr>
      <w:r w:rsidRPr="00CB1C33">
        <w:t>Current existing controls for this hazard include:</w:t>
      </w:r>
    </w:p>
    <w:p w14:paraId="3DDCED6A" w14:textId="0D81208B" w:rsidR="004E3383" w:rsidRDefault="00B024F1" w:rsidP="006670D2">
      <w:pPr>
        <w:pStyle w:val="PullOutBoxBullet"/>
      </w:pPr>
      <w:r w:rsidRPr="00CB1C33">
        <w:t xml:space="preserve">The </w:t>
      </w:r>
      <w:r w:rsidRPr="00CB1C33">
        <w:rPr>
          <w:i/>
          <w:iCs/>
        </w:rPr>
        <w:t>Code of Practice for Bushfire Management on Public Land 2012</w:t>
      </w:r>
      <w:r w:rsidRPr="00CB1C33">
        <w:t>. The effectiveness of this control for this species has been evaluated as satisfactory because it is consistently applied through time and space where the hazard exists and appear</w:t>
      </w:r>
      <w:r w:rsidR="003C78FB">
        <w:t>s</w:t>
      </w:r>
      <w:r w:rsidRPr="00CB1C33">
        <w:t xml:space="preserve"> to be effective most of the time, however it does not always prevent impacts on key biodiversity values, with no importance given to retaining termitaria where possible.</w:t>
      </w:r>
    </w:p>
    <w:p w14:paraId="399980BA" w14:textId="75188800" w:rsidR="00B024F1" w:rsidRPr="00FF310C" w:rsidRDefault="00B024F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10</w:t>
      </w:r>
      <w:r w:rsidR="000B6788" w:rsidRPr="00B6162A">
        <w:rPr>
          <w:bCs/>
          <w:noProof/>
        </w:rPr>
        <w:fldChar w:fldCharType="end"/>
      </w:r>
      <w:r w:rsidRPr="00FF310C">
        <w:t xml:space="preserve">. Lace Monitor protection requirements and recommendations for </w:t>
      </w:r>
      <w:r w:rsidR="00202FFB" w:rsidRPr="00FF310C">
        <w:t>roading</w:t>
      </w:r>
    </w:p>
    <w:tbl>
      <w:tblPr>
        <w:tblStyle w:val="TableGrid"/>
        <w:tblW w:w="0" w:type="auto"/>
        <w:tblLook w:val="04A0" w:firstRow="1" w:lastRow="0" w:firstColumn="1" w:lastColumn="0" w:noHBand="0" w:noVBand="1"/>
      </w:tblPr>
      <w:tblGrid>
        <w:gridCol w:w="2268"/>
        <w:gridCol w:w="7371"/>
      </w:tblGrid>
      <w:tr w:rsidR="00B024F1" w14:paraId="23FB22FA"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0EC3DC1" w14:textId="77777777" w:rsidR="00B024F1" w:rsidRDefault="00B024F1" w:rsidP="00296E0F">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1209FB52" w14:textId="77777777" w:rsidR="00B024F1" w:rsidRDefault="00B024F1" w:rsidP="00296E0F">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024F1" w14:paraId="57BF5FDC" w14:textId="77777777" w:rsidTr="00C73974">
        <w:tc>
          <w:tcPr>
            <w:tcW w:w="2268" w:type="dxa"/>
            <w:tcBorders>
              <w:top w:val="single" w:sz="8" w:space="0" w:color="CDDC29" w:themeColor="text2"/>
              <w:left w:val="nil"/>
              <w:bottom w:val="single" w:sz="8" w:space="0" w:color="CDDC29" w:themeColor="text2"/>
              <w:right w:val="nil"/>
            </w:tcBorders>
            <w:hideMark/>
          </w:tcPr>
          <w:p w14:paraId="74798E69" w14:textId="031560DE" w:rsidR="00B024F1" w:rsidRDefault="00EA6400" w:rsidP="00C73974">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765937D2" w14:textId="77777777" w:rsidR="00B024F1" w:rsidRDefault="00B024F1" w:rsidP="00C73974">
            <w:pPr>
              <w:pStyle w:val="BodyText"/>
            </w:pPr>
            <w:r>
              <w:t>Not required for this hazard based on the overall risk level of medium.</w:t>
            </w:r>
          </w:p>
        </w:tc>
      </w:tr>
      <w:tr w:rsidR="00B024F1" w14:paraId="6BAF348E" w14:textId="77777777" w:rsidTr="00C73974">
        <w:tc>
          <w:tcPr>
            <w:tcW w:w="2268" w:type="dxa"/>
            <w:tcBorders>
              <w:top w:val="single" w:sz="8" w:space="0" w:color="CDDC29" w:themeColor="text2"/>
              <w:left w:val="nil"/>
              <w:bottom w:val="single" w:sz="8" w:space="0" w:color="CDDC29" w:themeColor="text2"/>
              <w:right w:val="nil"/>
            </w:tcBorders>
            <w:hideMark/>
          </w:tcPr>
          <w:p w14:paraId="04893018" w14:textId="0EB7C05C" w:rsidR="00B024F1" w:rsidRDefault="003516D3" w:rsidP="00C73974">
            <w:pPr>
              <w:pStyle w:val="BodyText"/>
            </w:pPr>
            <w:r>
              <w:t>Potential m</w:t>
            </w:r>
            <w:r w:rsidR="00B024F1">
              <w:t>anagement actions</w:t>
            </w:r>
          </w:p>
        </w:tc>
        <w:tc>
          <w:tcPr>
            <w:tcW w:w="7371" w:type="dxa"/>
            <w:tcBorders>
              <w:top w:val="single" w:sz="8" w:space="0" w:color="CDDC29" w:themeColor="text2"/>
              <w:left w:val="nil"/>
              <w:bottom w:val="single" w:sz="8" w:space="0" w:color="CDDC29" w:themeColor="text2"/>
              <w:right w:val="nil"/>
            </w:tcBorders>
            <w:hideMark/>
          </w:tcPr>
          <w:p w14:paraId="1E06C689" w14:textId="77777777" w:rsidR="00B024F1" w:rsidRPr="00202FFB" w:rsidRDefault="00B024F1" w:rsidP="006670D2">
            <w:pPr>
              <w:pStyle w:val="PullOutBoxBullet"/>
            </w:pPr>
            <w:r w:rsidRPr="00202FFB">
              <w:t xml:space="preserve">Train and educate at all levels of implementation regarding desirable biodiversity outcomes; </w:t>
            </w:r>
          </w:p>
          <w:p w14:paraId="04FB49FE" w14:textId="77777777" w:rsidR="00B024F1" w:rsidRPr="00202FFB" w:rsidRDefault="00B024F1" w:rsidP="006670D2">
            <w:pPr>
              <w:pStyle w:val="PullOutBoxBullet"/>
            </w:pPr>
            <w:r w:rsidRPr="00202FFB">
              <w:t xml:space="preserve">Educate machinery operators involved to ensure termitaria are not destroyed or harmed; and </w:t>
            </w:r>
          </w:p>
          <w:p w14:paraId="37524F0B" w14:textId="3A5B5001" w:rsidR="00B024F1" w:rsidRPr="00202FFB" w:rsidRDefault="00B024F1" w:rsidP="006670D2">
            <w:pPr>
              <w:pStyle w:val="PullOutBoxBullet"/>
            </w:pPr>
            <w:r w:rsidRPr="00202FFB">
              <w:t>Flag live termitaria along road and track edges to clearly identify assets to be protected.</w:t>
            </w:r>
          </w:p>
        </w:tc>
      </w:tr>
    </w:tbl>
    <w:p w14:paraId="3B802A71" w14:textId="77777777" w:rsidR="00B024F1" w:rsidRDefault="00B024F1" w:rsidP="007E5EBF">
      <w:pPr>
        <w:pStyle w:val="Heading3"/>
      </w:pPr>
      <w:r>
        <w:t>Forestry operations</w:t>
      </w:r>
    </w:p>
    <w:p w14:paraId="3EE8F875" w14:textId="77777777" w:rsidR="00B024F1" w:rsidRDefault="00B024F1" w:rsidP="00B024F1">
      <w:pPr>
        <w:pStyle w:val="Heading5"/>
        <w:numPr>
          <w:ilvl w:val="0"/>
          <w:numId w:val="0"/>
        </w:numPr>
        <w:ind w:left="1008" w:hanging="1008"/>
      </w:pPr>
      <w:r>
        <w:t>Forestry operations</w:t>
      </w:r>
    </w:p>
    <w:p w14:paraId="0A907E51" w14:textId="10CE07F9" w:rsidR="00B024F1" w:rsidRDefault="003F1827" w:rsidP="00B024F1">
      <w:pPr>
        <w:pStyle w:val="BodyText"/>
        <w:rPr>
          <w:rFonts w:ascii="Arial" w:hAnsi="Arial"/>
          <w:color w:val="363534"/>
        </w:rPr>
      </w:pPr>
      <w:r w:rsidRPr="00915D82">
        <w:t>The disturbance associated with forestry operations has localised impacts on Lace Monitor habitat</w:t>
      </w:r>
      <w:r w:rsidR="000D2B92">
        <w:t xml:space="preserve">, as they require </w:t>
      </w:r>
      <w:r w:rsidR="00B024F1">
        <w:t>large tree hollows for refuge and thermoregulation (Stebbins 1968). The Lace Monitor has been noted to likely be an obligate termite mound nester in the southern parts of its range (Kirshner 2007), and</w:t>
      </w:r>
      <w:r w:rsidR="0022243D" w:rsidRPr="0022243D">
        <w:rPr>
          <w:color w:val="7030A0"/>
        </w:rPr>
        <w:t xml:space="preserve"> </w:t>
      </w:r>
      <w:r w:rsidR="0022243D">
        <w:rPr>
          <w:color w:val="7030A0"/>
        </w:rPr>
        <w:t>f</w:t>
      </w:r>
      <w:r w:rsidR="0022243D" w:rsidRPr="00915D82">
        <w:rPr>
          <w:rFonts w:ascii="Arial" w:hAnsi="Arial"/>
          <w:color w:val="363534"/>
        </w:rPr>
        <w:t>orestry operations may cause mechanical damage to nesting sites within termite mounds</w:t>
      </w:r>
      <w:r w:rsidR="001065AC">
        <w:rPr>
          <w:rFonts w:ascii="Arial" w:hAnsi="Arial"/>
          <w:color w:val="363534"/>
        </w:rPr>
        <w:t>,</w:t>
      </w:r>
      <w:r w:rsidR="0022243D" w:rsidRPr="00915D82">
        <w:rPr>
          <w:rFonts w:ascii="Arial" w:hAnsi="Arial"/>
          <w:color w:val="363534"/>
        </w:rPr>
        <w:t xml:space="preserve"> which can contribute</w:t>
      </w:r>
      <w:r w:rsidR="00B024F1">
        <w:t xml:space="preserve"> to direct mortality of young during their breeding season (Kirshner 2007). Forestry operations </w:t>
      </w:r>
      <w:r w:rsidR="00D03479">
        <w:t xml:space="preserve">can </w:t>
      </w:r>
      <w:r w:rsidR="00B024F1">
        <w:t xml:space="preserve">also reduce available food resources for the </w:t>
      </w:r>
      <w:r w:rsidR="00F86DC5">
        <w:t>species</w:t>
      </w:r>
      <w:r w:rsidR="00B024F1">
        <w:t xml:space="preserve"> as they rely on a variety of arboreal mammals and birds in their diet (Weavers 1989). </w:t>
      </w:r>
      <w:r w:rsidR="00B024F1">
        <w:rPr>
          <w:rFonts w:ascii="Arial" w:hAnsi="Arial"/>
          <w:color w:val="363534"/>
        </w:rPr>
        <w:t xml:space="preserve">Current forestry operations </w:t>
      </w:r>
      <w:r w:rsidR="000E73C2">
        <w:t>do not require protection</w:t>
      </w:r>
      <w:r w:rsidR="000E73C2" w:rsidRPr="00450EAF">
        <w:t xml:space="preserve"> </w:t>
      </w:r>
      <w:r w:rsidR="000E73C2">
        <w:t>of termitaria (arboreal or terrestrial) which are the only oviposition sites used by the Lace Monitor in Victoria, though this may be considered on a site</w:t>
      </w:r>
      <w:r w:rsidR="00DD2268">
        <w:t>-</w:t>
      </w:r>
      <w:r w:rsidR="000E73C2">
        <w:t>by</w:t>
      </w:r>
      <w:r w:rsidR="00DD2268">
        <w:t>-</w:t>
      </w:r>
      <w:r w:rsidR="000E73C2">
        <w:t>site basis</w:t>
      </w:r>
      <w:r w:rsidR="00774B0F" w:rsidRPr="009A371D">
        <w:rPr>
          <w:rFonts w:ascii="Arial" w:hAnsi="Arial"/>
          <w:color w:val="363534"/>
        </w:rPr>
        <w:t xml:space="preserve">. </w:t>
      </w:r>
      <w:r w:rsidR="00774B0F" w:rsidRPr="00915D82">
        <w:rPr>
          <w:rFonts w:ascii="Arial" w:hAnsi="Arial"/>
          <w:color w:val="363534"/>
        </w:rPr>
        <w:t>If oviposition sites are lost, it takes roughly 5-6 years for new termitaria to be formed, meaning there is no effective recruitment of Lace Monitors at the site during this time, which represents 1/3 of the species’ potential lifespan.</w:t>
      </w:r>
      <w:r w:rsidR="00774B0F">
        <w:rPr>
          <w:rFonts w:ascii="Arial" w:hAnsi="Arial"/>
          <w:color w:val="363534"/>
        </w:rPr>
        <w:t xml:space="preserve"> </w:t>
      </w:r>
    </w:p>
    <w:p w14:paraId="644AACC9" w14:textId="6BACC490" w:rsidR="00B024F1" w:rsidRDefault="005B5556" w:rsidP="00B024F1">
      <w:pPr>
        <w:pStyle w:val="BodyText"/>
      </w:pPr>
      <w:r w:rsidRPr="00915D82">
        <w:t>Current forestry operations and management practices may also increase the risks and exacerbate the effects of bushfires (</w:t>
      </w:r>
      <w:r w:rsidR="00993EBF" w:rsidRPr="005B5556">
        <w:t>e.g</w:t>
      </w:r>
      <w:r w:rsidR="00ED69CF" w:rsidRPr="005B5556">
        <w:t>.,</w:t>
      </w:r>
      <w:r w:rsidRPr="00915D82">
        <w:t xml:space="preserve"> Furlaud et al. 2021). However, the strength of this relationship is contested within the scientific community (e.g</w:t>
      </w:r>
      <w:r w:rsidR="00B67D40" w:rsidRPr="00915D82">
        <w:t>.,</w:t>
      </w:r>
      <w:r w:rsidRPr="00915D82">
        <w:t xml:space="preserve"> </w:t>
      </w:r>
      <w:r w:rsidR="00236138">
        <w:t>Keenan</w:t>
      </w:r>
      <w:r w:rsidRPr="00915D82">
        <w:t xml:space="preserve"> et al</w:t>
      </w:r>
      <w:r w:rsidR="00D42C3D">
        <w:t>.</w:t>
      </w:r>
      <w:r w:rsidRPr="00915D82">
        <w:t xml:space="preserve"> 2021), and the extent of this effect may be less significant in the face of mega fires driven primarily by extreme heat and drought caused by human-induced climate-change (e.g</w:t>
      </w:r>
      <w:r w:rsidR="00B67D40" w:rsidRPr="00915D82">
        <w:t>.,</w:t>
      </w:r>
      <w:r w:rsidRPr="00915D82">
        <w:t xml:space="preserve"> Bowman et al. 2021). </w:t>
      </w:r>
      <w:r w:rsidR="00B024F1">
        <w:t xml:space="preserve">Cumulatively, these hazards </w:t>
      </w:r>
      <w:r w:rsidR="003D5A4D">
        <w:t>may</w:t>
      </w:r>
      <w:r w:rsidR="00B024F1">
        <w:t xml:space="preserve"> result in less habitat refugia for viable populations to persist in</w:t>
      </w:r>
      <w:r w:rsidR="00926352">
        <w:t>,</w:t>
      </w:r>
      <w:r w:rsidR="00B024F1">
        <w:t xml:space="preserve"> which can create genetic issues where populations can become isolated, more inbred and with less adaptive potential. Fragmentation and disturbance caused by road establishment and forestry operations </w:t>
      </w:r>
      <w:r w:rsidR="00322DCA">
        <w:t>may</w:t>
      </w:r>
      <w:r w:rsidR="0039449B">
        <w:t xml:space="preserve"> </w:t>
      </w:r>
      <w:r w:rsidR="00B024F1">
        <w:t xml:space="preserve">expose native fauna like the Lace </w:t>
      </w:r>
      <w:r w:rsidR="003F4FC7">
        <w:t>M</w:t>
      </w:r>
      <w:r w:rsidR="00B024F1">
        <w:t>onitor in these areas to</w:t>
      </w:r>
      <w:r w:rsidR="00C02057">
        <w:t xml:space="preserve"> a</w:t>
      </w:r>
      <w:r w:rsidR="00B024F1">
        <w:t xml:space="preserve"> higher risk of predation (Hradsky et al. 2017) and greater competition (Hu et al. 2019) from invasive vertebrates like the Red Fox. These, along with the</w:t>
      </w:r>
      <w:r w:rsidR="00B656D1">
        <w:t xml:space="preserve"> </w:t>
      </w:r>
      <w:r w:rsidR="00322DCA">
        <w:t>potential</w:t>
      </w:r>
      <w:r w:rsidR="00B024F1">
        <w:t xml:space="preserve"> loss of termitaria, effectively reduce recruitment of young animals into the population, such that losses in the adult population are noticed because they are not readily replaced by younger animals</w:t>
      </w:r>
      <w:r w:rsidR="00555D30">
        <w:t xml:space="preserve">, </w:t>
      </w:r>
      <w:r w:rsidR="00B024F1">
        <w:t>leading to a perceived fall in population level</w:t>
      </w:r>
      <w:r w:rsidR="004B1B30">
        <w:t>.</w:t>
      </w:r>
      <w:r w:rsidR="00B024F1" w:rsidRPr="00A2668C">
        <w:rPr>
          <w:color w:val="FF0000"/>
        </w:rPr>
        <w:t xml:space="preserve"> </w:t>
      </w:r>
      <w:r w:rsidR="00A86FA1" w:rsidRPr="00FD57DB">
        <w:t>Forestry operations may impact Lace Monitor populations across all RFA regions, however impac</w:t>
      </w:r>
      <w:r w:rsidR="003449D3" w:rsidRPr="00FD57DB">
        <w:t xml:space="preserve">t </w:t>
      </w:r>
      <w:r w:rsidR="00A86FA1" w:rsidRPr="00FD57DB">
        <w:t xml:space="preserve">on populations is minimal </w:t>
      </w:r>
      <w:r w:rsidR="00A347D2" w:rsidRPr="00FD57DB">
        <w:t>in</w:t>
      </w:r>
      <w:r w:rsidR="00A86FA1" w:rsidRPr="00FD57DB">
        <w:t xml:space="preserve"> the West</w:t>
      </w:r>
      <w:r w:rsidR="00A347D2" w:rsidRPr="00FD57DB">
        <w:t>,</w:t>
      </w:r>
      <w:r w:rsidR="00A86FA1" w:rsidRPr="00FD57DB">
        <w:t xml:space="preserve"> North East</w:t>
      </w:r>
      <w:r w:rsidR="00A347D2" w:rsidRPr="00FD57DB">
        <w:t>,</w:t>
      </w:r>
      <w:r w:rsidR="00AA7D32" w:rsidRPr="00FD57DB">
        <w:t xml:space="preserve"> and Gippsland RFA regions. Forestry operations may have a higher impact on Lace Monitor populations in the Central Highlands (9% merchantable, 5% operable) and East Gippsland (</w:t>
      </w:r>
      <w:r w:rsidR="003449D3" w:rsidRPr="00FD57DB">
        <w:t xml:space="preserve">17% merchantable, 6% operable) RFA regions. </w:t>
      </w:r>
    </w:p>
    <w:p w14:paraId="1FD3802D" w14:textId="77777777" w:rsidR="00B024F1" w:rsidRPr="00CB1C33" w:rsidRDefault="00B024F1" w:rsidP="00B024F1">
      <w:pPr>
        <w:pStyle w:val="BodyText"/>
      </w:pPr>
      <w:r w:rsidRPr="00CB1C33">
        <w:t xml:space="preserve">Current existing controls for this hazard include: </w:t>
      </w:r>
    </w:p>
    <w:p w14:paraId="0FE8FA12" w14:textId="13B8F62B" w:rsidR="00B024F1" w:rsidRPr="00CB1C33" w:rsidRDefault="00B024F1" w:rsidP="006670D2">
      <w:pPr>
        <w:pStyle w:val="PullOutBoxBullet"/>
      </w:pPr>
      <w:r w:rsidRPr="00CB1C33">
        <w:t xml:space="preserve">The </w:t>
      </w:r>
      <w:r w:rsidRPr="00CB1C33">
        <w:rPr>
          <w:i/>
        </w:rPr>
        <w:t xml:space="preserve">Code of Practice for Timber Production 2014. </w:t>
      </w:r>
      <w:r w:rsidR="009A5E90" w:rsidRPr="009A371D">
        <w:t xml:space="preserve">The effectiveness of this control for this species has been evaluated as uncontrolled to poor as it only has prescriptions in parts of the West RFA region. Some habitat values preserved in other prescriptions may benefit the Lace Monitor, but currently there </w:t>
      </w:r>
      <w:r w:rsidR="005E0CA7">
        <w:t>is</w:t>
      </w:r>
      <w:r w:rsidR="009A5E90" w:rsidRPr="009A371D">
        <w:t xml:space="preserve"> no species-specific protection</w:t>
      </w:r>
      <w:r w:rsidR="007C1A6E">
        <w:t xml:space="preserve"> </w:t>
      </w:r>
      <w:r w:rsidR="009A5E90" w:rsidRPr="009A371D">
        <w:t xml:space="preserve">in place. </w:t>
      </w:r>
      <w:r w:rsidR="009A5E90" w:rsidRPr="00915D82">
        <w:t xml:space="preserve">The </w:t>
      </w:r>
      <w:r w:rsidR="00F86DC5">
        <w:t>species</w:t>
      </w:r>
      <w:r w:rsidR="009A5E90" w:rsidRPr="00915D82">
        <w:t xml:space="preserve"> has a very large home range and relies on extensive habitat for food and shelter, so localised management areas are unlikely to be effective mitigations.</w:t>
      </w:r>
    </w:p>
    <w:p w14:paraId="77CE2F18" w14:textId="5E7786EC" w:rsidR="00B024F1" w:rsidRPr="00CB1C33" w:rsidRDefault="00B024F1" w:rsidP="006670D2">
      <w:pPr>
        <w:pStyle w:val="PullOutBoxBullet"/>
        <w:rPr>
          <w:rFonts w:eastAsiaTheme="minorEastAsia" w:cstheme="minorBidi"/>
        </w:rPr>
      </w:pPr>
      <w:r w:rsidRPr="00CB1C33">
        <w:t xml:space="preserve">The CAR reserve system. The effectiveness of this control for this species has been evaluated as poor as 30% of the </w:t>
      </w:r>
      <w:r w:rsidR="00F86DC5">
        <w:t xml:space="preserve">species’ </w:t>
      </w:r>
      <w:r w:rsidRPr="00CB1C33">
        <w:t>modelled distribution and 55% of important populations are within the reserve system</w:t>
      </w:r>
      <w:r w:rsidR="00B43292">
        <w:t>.</w:t>
      </w:r>
    </w:p>
    <w:p w14:paraId="68F3E493" w14:textId="77777777" w:rsidR="004B1B30" w:rsidRDefault="004B1B30">
      <w:pPr>
        <w:rPr>
          <w:b/>
          <w:bCs/>
          <w:sz w:val="16"/>
          <w:szCs w:val="16"/>
        </w:rPr>
      </w:pPr>
      <w:r>
        <w:br w:type="page"/>
      </w:r>
    </w:p>
    <w:p w14:paraId="3BF1B284" w14:textId="1A6D6864" w:rsidR="00B024F1" w:rsidRPr="00FF310C" w:rsidRDefault="00B024F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11</w:t>
      </w:r>
      <w:r w:rsidR="000B6788" w:rsidRPr="00B6162A">
        <w:rPr>
          <w:bCs/>
          <w:noProof/>
        </w:rPr>
        <w:fldChar w:fldCharType="end"/>
      </w:r>
      <w:r w:rsidRPr="00FF310C">
        <w:t xml:space="preserve">. Lace Monitor protection requirements and recommendations for </w:t>
      </w:r>
      <w:r w:rsidR="00D6142D" w:rsidRPr="00FF310C">
        <w:t>f</w:t>
      </w:r>
      <w:r w:rsidRPr="00FF310C">
        <w:t>orestry operations</w:t>
      </w:r>
    </w:p>
    <w:tbl>
      <w:tblPr>
        <w:tblStyle w:val="TableGrid"/>
        <w:tblW w:w="0" w:type="auto"/>
        <w:tblLook w:val="04A0" w:firstRow="1" w:lastRow="0" w:firstColumn="1" w:lastColumn="0" w:noHBand="0" w:noVBand="1"/>
      </w:tblPr>
      <w:tblGrid>
        <w:gridCol w:w="2268"/>
        <w:gridCol w:w="7371"/>
      </w:tblGrid>
      <w:tr w:rsidR="00B024F1" w14:paraId="243BF2F2"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425A431A" w14:textId="77777777" w:rsidR="00B024F1" w:rsidRDefault="00B024F1" w:rsidP="00296E0F">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1BCD0B6C" w14:textId="77777777" w:rsidR="00B024F1" w:rsidRDefault="00B024F1" w:rsidP="00296E0F">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024F1" w14:paraId="5B40E2CA" w14:textId="77777777" w:rsidTr="00C73974">
        <w:tc>
          <w:tcPr>
            <w:tcW w:w="2268" w:type="dxa"/>
            <w:tcBorders>
              <w:top w:val="single" w:sz="8" w:space="0" w:color="CDDC29" w:themeColor="text2"/>
              <w:left w:val="nil"/>
              <w:bottom w:val="single" w:sz="8" w:space="0" w:color="CDDC29" w:themeColor="text2"/>
              <w:right w:val="nil"/>
            </w:tcBorders>
            <w:hideMark/>
          </w:tcPr>
          <w:p w14:paraId="2AE3F70C" w14:textId="111A4A08" w:rsidR="00B024F1" w:rsidRDefault="00B024F1" w:rsidP="00C73974">
            <w:pPr>
              <w:pStyle w:val="BodyText"/>
            </w:pPr>
            <w:r>
              <w:t>Interim protections</w:t>
            </w:r>
            <w:r w:rsidR="00612CB7">
              <w:t xml:space="preserve"> </w:t>
            </w:r>
          </w:p>
        </w:tc>
        <w:tc>
          <w:tcPr>
            <w:tcW w:w="7371" w:type="dxa"/>
            <w:tcBorders>
              <w:top w:val="single" w:sz="8" w:space="0" w:color="CDDC29" w:themeColor="text2"/>
              <w:left w:val="nil"/>
              <w:bottom w:val="single" w:sz="8" w:space="0" w:color="CDDC29" w:themeColor="text2"/>
              <w:right w:val="nil"/>
            </w:tcBorders>
            <w:hideMark/>
          </w:tcPr>
          <w:p w14:paraId="068945A1" w14:textId="77777777" w:rsidR="00B024F1" w:rsidRDefault="00B024F1" w:rsidP="00C73974">
            <w:pPr>
              <w:pStyle w:val="BodyText"/>
            </w:pPr>
            <w:r>
              <w:t xml:space="preserve">Not required for this hazard based on the overall risk levels of low and medium. </w:t>
            </w:r>
          </w:p>
        </w:tc>
      </w:tr>
      <w:tr w:rsidR="00AC52A0" w14:paraId="37145508" w14:textId="77777777" w:rsidTr="00C73974">
        <w:tc>
          <w:tcPr>
            <w:tcW w:w="2268" w:type="dxa"/>
            <w:tcBorders>
              <w:top w:val="single" w:sz="8" w:space="0" w:color="CDDC29" w:themeColor="text2"/>
              <w:left w:val="nil"/>
              <w:bottom w:val="single" w:sz="8" w:space="0" w:color="CDDC29" w:themeColor="text2"/>
              <w:right w:val="nil"/>
            </w:tcBorders>
          </w:tcPr>
          <w:p w14:paraId="1E64CA55" w14:textId="36FEC335" w:rsidR="00AC52A0" w:rsidRDefault="00AC52A0" w:rsidP="00C73974">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1BB2D7FA" w14:textId="5A1220FF" w:rsidR="00AC52A0" w:rsidRDefault="00AC52A0" w:rsidP="00C73974">
            <w:pPr>
              <w:pStyle w:val="BodyText"/>
            </w:pPr>
            <w:r>
              <w:t>Not required for this hazard based on the overall risk levels of low and medium.</w:t>
            </w:r>
          </w:p>
        </w:tc>
      </w:tr>
      <w:tr w:rsidR="00B024F1" w14:paraId="3D42968B" w14:textId="77777777" w:rsidTr="00C73974">
        <w:tc>
          <w:tcPr>
            <w:tcW w:w="2268" w:type="dxa"/>
            <w:tcBorders>
              <w:top w:val="single" w:sz="8" w:space="0" w:color="CDDC29" w:themeColor="text2"/>
              <w:left w:val="nil"/>
              <w:bottom w:val="single" w:sz="8" w:space="0" w:color="CDDC29" w:themeColor="text2"/>
              <w:right w:val="nil"/>
            </w:tcBorders>
            <w:hideMark/>
          </w:tcPr>
          <w:p w14:paraId="63494D27" w14:textId="77777777" w:rsidR="00B024F1" w:rsidRDefault="00B024F1" w:rsidP="00C73974">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0E21AEFB" w14:textId="77777777" w:rsidR="00B024F1" w:rsidRDefault="00B024F1" w:rsidP="00C73974">
            <w:pPr>
              <w:pStyle w:val="BodyText"/>
            </w:pPr>
            <w:r>
              <w:t>Additional permanent protections may be required in the longer-term.</w:t>
            </w:r>
          </w:p>
        </w:tc>
      </w:tr>
      <w:tr w:rsidR="00B024F1" w14:paraId="0B2F59DA" w14:textId="77777777" w:rsidTr="00C73974">
        <w:tc>
          <w:tcPr>
            <w:tcW w:w="2268" w:type="dxa"/>
            <w:tcBorders>
              <w:top w:val="single" w:sz="8" w:space="0" w:color="CDDC29" w:themeColor="text2"/>
              <w:left w:val="nil"/>
              <w:bottom w:val="single" w:sz="8" w:space="0" w:color="CDDC29" w:themeColor="text2"/>
              <w:right w:val="nil"/>
            </w:tcBorders>
            <w:hideMark/>
          </w:tcPr>
          <w:p w14:paraId="3E9637A6" w14:textId="3896DEDC" w:rsidR="00B024F1" w:rsidRDefault="00612CB7" w:rsidP="00C73974">
            <w:pPr>
              <w:pStyle w:val="BodyText"/>
            </w:pPr>
            <w:r>
              <w:t>Potential m</w:t>
            </w:r>
            <w:r w:rsidR="00B024F1">
              <w:t>anagement actions</w:t>
            </w:r>
          </w:p>
        </w:tc>
        <w:tc>
          <w:tcPr>
            <w:tcW w:w="7371" w:type="dxa"/>
            <w:tcBorders>
              <w:top w:val="single" w:sz="8" w:space="0" w:color="CDDC29" w:themeColor="text2"/>
              <w:left w:val="nil"/>
              <w:bottom w:val="single" w:sz="8" w:space="0" w:color="CDDC29" w:themeColor="text2"/>
              <w:right w:val="nil"/>
            </w:tcBorders>
            <w:hideMark/>
          </w:tcPr>
          <w:p w14:paraId="23E1BD63" w14:textId="6F78E261" w:rsidR="00B024F1" w:rsidRDefault="00B024F1" w:rsidP="006670D2">
            <w:pPr>
              <w:pStyle w:val="PullOutBoxBullet"/>
            </w:pPr>
            <w:r>
              <w:t>Monitor and survey populations in East Gippsland to better understand post-fire distribution and abundance post 2019</w:t>
            </w:r>
            <w:r w:rsidR="009A328D">
              <w:t>-</w:t>
            </w:r>
            <w:r>
              <w:t xml:space="preserve">20 bushfires; </w:t>
            </w:r>
          </w:p>
          <w:p w14:paraId="262B4FE4" w14:textId="3DF2FDA4" w:rsidR="00B024F1" w:rsidRDefault="00B024F1" w:rsidP="006670D2">
            <w:pPr>
              <w:pStyle w:val="PullOutBoxBullet"/>
            </w:pPr>
            <w:r>
              <w:t xml:space="preserve">Limit forestry operations </w:t>
            </w:r>
            <w:r w:rsidR="007F7ED8">
              <w:t xml:space="preserve">in </w:t>
            </w:r>
            <w:r>
              <w:t xml:space="preserve">the </w:t>
            </w:r>
            <w:r w:rsidR="00F86DC5">
              <w:t xml:space="preserve">species’ </w:t>
            </w:r>
            <w:r>
              <w:t xml:space="preserve">habitat impacted by those fires; </w:t>
            </w:r>
          </w:p>
          <w:p w14:paraId="66A497E5" w14:textId="3BCA5305" w:rsidR="00B024F1" w:rsidRDefault="00993EBF" w:rsidP="006670D2">
            <w:pPr>
              <w:pStyle w:val="PullOutBoxBullet"/>
            </w:pPr>
            <w:r>
              <w:t>State-wide</w:t>
            </w:r>
            <w:r w:rsidR="00B024F1">
              <w:t xml:space="preserve"> species-specific code prescriptions should be considered in any future Code amendments</w:t>
            </w:r>
            <w:r w:rsidR="00644B15">
              <w:t>;</w:t>
            </w:r>
          </w:p>
          <w:p w14:paraId="536423A0" w14:textId="5A8BC0A9" w:rsidR="00B024F1" w:rsidRDefault="00B024F1" w:rsidP="006670D2">
            <w:pPr>
              <w:pStyle w:val="PullOutBoxBullet"/>
            </w:pPr>
            <w:r>
              <w:t xml:space="preserve">Use the </w:t>
            </w:r>
            <w:r w:rsidR="004F20EF">
              <w:t>species’</w:t>
            </w:r>
            <w:r>
              <w:t xml:space="preserve"> habitat distribution model to identify suitable </w:t>
            </w:r>
            <w:r w:rsidR="000E646C">
              <w:t>f</w:t>
            </w:r>
            <w:r w:rsidR="004D01E4">
              <w:t xml:space="preserve">orest </w:t>
            </w:r>
            <w:r w:rsidR="000E646C">
              <w:t>p</w:t>
            </w:r>
            <w:r w:rsidR="004D01E4">
              <w:t xml:space="preserve">rotection </w:t>
            </w:r>
            <w:r w:rsidR="000E646C">
              <w:t>survey program (FPSP)</w:t>
            </w:r>
            <w:r>
              <w:t xml:space="preserve"> survey sites across each RFA region; </w:t>
            </w:r>
          </w:p>
          <w:p w14:paraId="43B79F7F" w14:textId="7224619A" w:rsidR="00B024F1" w:rsidRDefault="00B024F1" w:rsidP="006670D2">
            <w:pPr>
              <w:pStyle w:val="PullOutBoxBullet"/>
            </w:pPr>
            <w:r>
              <w:t xml:space="preserve">Prevent destruction of live termitaria on forestry coupes and access roads; and </w:t>
            </w:r>
          </w:p>
          <w:p w14:paraId="766E93F7" w14:textId="77777777" w:rsidR="00B024F1" w:rsidRDefault="00B024F1" w:rsidP="006670D2">
            <w:pPr>
              <w:pStyle w:val="PullOutBoxBullet"/>
            </w:pPr>
            <w:r>
              <w:t>Provide education for machinery operators to ensure termitaria are not impacted.</w:t>
            </w:r>
          </w:p>
        </w:tc>
      </w:tr>
    </w:tbl>
    <w:p w14:paraId="3296C20F" w14:textId="77777777" w:rsidR="00B024F1" w:rsidRDefault="00B024F1" w:rsidP="007E5EBF">
      <w:pPr>
        <w:pStyle w:val="Heading3"/>
      </w:pPr>
      <w:r>
        <w:t>Invasive species</w:t>
      </w:r>
    </w:p>
    <w:p w14:paraId="5C9F8653" w14:textId="77777777" w:rsidR="00B024F1" w:rsidRDefault="00B024F1" w:rsidP="00B024F1">
      <w:pPr>
        <w:pStyle w:val="Heading5"/>
        <w:numPr>
          <w:ilvl w:val="0"/>
          <w:numId w:val="0"/>
        </w:numPr>
        <w:ind w:left="1008" w:hanging="1008"/>
      </w:pPr>
      <w:r>
        <w:t>Invasive vertebrate (foxes and cats)</w:t>
      </w:r>
    </w:p>
    <w:p w14:paraId="6EF105ED" w14:textId="5DFDB854" w:rsidR="00B024F1" w:rsidRPr="00CB1C33" w:rsidRDefault="00B024F1" w:rsidP="00B024F1">
      <w:pPr>
        <w:pStyle w:val="BodyText"/>
        <w:rPr>
          <w:rFonts w:ascii="Arial" w:hAnsi="Arial"/>
          <w:color w:val="363534"/>
        </w:rPr>
      </w:pPr>
      <w:r>
        <w:t xml:space="preserve">Lace monitors may be in competition for food resources from invasive predators, and young Lace monitors are likely to be affected by predation from Red Foxes </w:t>
      </w:r>
      <w:r>
        <w:rPr>
          <w:rFonts w:ascii="Arial" w:hAnsi="Arial"/>
          <w:color w:val="363534"/>
        </w:rPr>
        <w:t xml:space="preserve">(Anson et al. 2013; Jessop et al. 2016; Hu et al. 2019) and feral cats. This can result in the direct mortality of juvenile animals, with indirect impacts on mature animals such as food competition leading to lack of body condition, which in turn may affect growth or breeding fitness. Lace Monitors occupying areas of disturbance caused by forestry operations and areas recently burnt from planned burning or bushfire </w:t>
      </w:r>
      <w:r w:rsidR="00871E76">
        <w:rPr>
          <w:rFonts w:ascii="Arial" w:hAnsi="Arial"/>
          <w:color w:val="363534"/>
        </w:rPr>
        <w:t>may</w:t>
      </w:r>
      <w:r>
        <w:rPr>
          <w:rFonts w:ascii="Arial" w:hAnsi="Arial"/>
          <w:color w:val="363534"/>
        </w:rPr>
        <w:t xml:space="preserve"> be exposed to greater levels of predation and competition from the Red Fox (Hradsky et al. 2017). The cumulation of hazards such as bushfire, planned burns, forestry operations and roading may reduce the structural complexity of forest habitats, providing less cover and facilitating fox and cat movements thought the forest, exacerbating the predation risk of juvenile animals. Predation can result in the </w:t>
      </w:r>
      <w:r w:rsidRPr="00CB1C33">
        <w:rPr>
          <w:rFonts w:ascii="Arial" w:hAnsi="Arial"/>
          <w:color w:val="363534"/>
        </w:rPr>
        <w:t>removal of some of the young Lace Monitors that manage to hatch if other hazards haven’t impacted nesting sites, leaving even fewer neonates to add to the overall population. Red Foxes and feral cats occur in all the occupied habitat of the Lace Monitor in Victoria.</w:t>
      </w:r>
    </w:p>
    <w:p w14:paraId="2F7D44E4" w14:textId="77777777" w:rsidR="00B024F1" w:rsidRPr="00CB1C33" w:rsidRDefault="00B024F1" w:rsidP="00B024F1">
      <w:pPr>
        <w:pStyle w:val="BodyText"/>
      </w:pPr>
      <w:r w:rsidRPr="00CB1C33">
        <w:t>Current existing controls for this hazard include:</w:t>
      </w:r>
    </w:p>
    <w:p w14:paraId="73C8B8F7" w14:textId="77777777" w:rsidR="00B024F1" w:rsidRPr="00CB1C33" w:rsidRDefault="00B024F1" w:rsidP="006670D2">
      <w:pPr>
        <w:pStyle w:val="PullOutBoxBullet"/>
      </w:pPr>
      <w:r w:rsidRPr="00CB1C33">
        <w:t>The Southern Ark Fox control program. The effectiveness of this control for this species has been evaluated as satisfactory in the East Gippsland and Gippsland RFA regions. The Southern Ark fox control program has been underway for many years to lower the impacts of Foxes in East Gippsland, which covers the key areas of occupied habitat for the Lace Monitor. It includes a comprehensive monitoring program to assess abundance of foxes and target species.</w:t>
      </w:r>
    </w:p>
    <w:p w14:paraId="766CC946" w14:textId="2FC9B768" w:rsidR="00B024F1" w:rsidRPr="00CB1C33" w:rsidRDefault="00B024F1" w:rsidP="006670D2">
      <w:pPr>
        <w:pStyle w:val="PullOutBoxBullet"/>
      </w:pPr>
      <w:r w:rsidRPr="00CB1C33">
        <w:t xml:space="preserve">Weeds and Pests on Public Land program. The effectiveness of this control for this species has been evaluated as poor to satisfactory as fox baiting programs such as the Ark projects can be effective at controlling fox numbers, leading to an increase in abundance of the Lace Monitor (Hu et al. 2019) and their prey (Dexter and Murray 2009). Of note is the uptake of fox baits by the Lace Monitor (Woodford et al. 2012), which should be mitigated to ensure the efficacy of control programs. </w:t>
      </w:r>
    </w:p>
    <w:p w14:paraId="467271D9" w14:textId="6BC6592B" w:rsidR="00B024F1" w:rsidRPr="00CB1C33" w:rsidRDefault="00B024F1" w:rsidP="006670D2">
      <w:pPr>
        <w:pStyle w:val="PullOutBoxBullet"/>
      </w:pPr>
      <w:r>
        <w:t xml:space="preserve">The Bushfire Biodiversity Response and Recovery program. The effectiveness of this control for this species has been evaluated as satisfactory as the expansion of current </w:t>
      </w:r>
      <w:r w:rsidR="00833956">
        <w:t>f</w:t>
      </w:r>
      <w:r>
        <w:t>ox baiting programs in response to large scale fires of 2019</w:t>
      </w:r>
      <w:r w:rsidR="009A328D">
        <w:t>-2</w:t>
      </w:r>
      <w:r>
        <w:t>0 should improve outlook for native fauna in the face of increased fox predation following the fire event (Hradsky et al. 2017).</w:t>
      </w:r>
    </w:p>
    <w:p w14:paraId="4ACFD82F" w14:textId="77777777" w:rsidR="00AB65FA" w:rsidRDefault="00AB65FA">
      <w:pPr>
        <w:rPr>
          <w:b/>
          <w:sz w:val="16"/>
          <w:szCs w:val="16"/>
        </w:rPr>
      </w:pPr>
      <w:r>
        <w:br w:type="page"/>
      </w:r>
    </w:p>
    <w:p w14:paraId="2F866F92" w14:textId="7DD36826" w:rsidR="00B024F1" w:rsidRPr="00FF310C" w:rsidRDefault="00B024F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12</w:t>
      </w:r>
      <w:r w:rsidR="000B6788" w:rsidRPr="00B6162A">
        <w:rPr>
          <w:bCs/>
          <w:noProof/>
        </w:rPr>
        <w:fldChar w:fldCharType="end"/>
      </w:r>
      <w:r w:rsidRPr="00FF310C">
        <w:t>. Lace Monitor protection requirements and recommendations for invasive vertebrate (foxes and cats)</w:t>
      </w:r>
    </w:p>
    <w:tbl>
      <w:tblPr>
        <w:tblStyle w:val="TableGrid"/>
        <w:tblW w:w="0" w:type="auto"/>
        <w:tblLook w:val="04A0" w:firstRow="1" w:lastRow="0" w:firstColumn="1" w:lastColumn="0" w:noHBand="0" w:noVBand="1"/>
      </w:tblPr>
      <w:tblGrid>
        <w:gridCol w:w="2268"/>
        <w:gridCol w:w="7371"/>
      </w:tblGrid>
      <w:tr w:rsidR="00B024F1" w14:paraId="42300081"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372F06E" w14:textId="77777777" w:rsidR="00B024F1" w:rsidRDefault="00B024F1" w:rsidP="00296E0F">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B7E953B" w14:textId="77777777" w:rsidR="00B024F1" w:rsidRDefault="00B024F1" w:rsidP="00296E0F">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024F1" w14:paraId="08025414" w14:textId="77777777" w:rsidTr="00C73974">
        <w:tc>
          <w:tcPr>
            <w:tcW w:w="2268" w:type="dxa"/>
            <w:tcBorders>
              <w:top w:val="single" w:sz="8" w:space="0" w:color="CDDC29" w:themeColor="text2"/>
              <w:left w:val="nil"/>
              <w:bottom w:val="single" w:sz="8" w:space="0" w:color="CDDC29" w:themeColor="text2"/>
              <w:right w:val="nil"/>
            </w:tcBorders>
            <w:hideMark/>
          </w:tcPr>
          <w:p w14:paraId="4690294F" w14:textId="5F838060" w:rsidR="00B024F1" w:rsidRDefault="00612CB7" w:rsidP="00C73974">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238D8A60" w14:textId="77777777" w:rsidR="00B024F1" w:rsidRDefault="00B024F1" w:rsidP="00C73974">
            <w:pPr>
              <w:pStyle w:val="BodyText"/>
            </w:pPr>
            <w:r>
              <w:t xml:space="preserve">Not required for this hazard based on the overall risk level of medium. </w:t>
            </w:r>
          </w:p>
        </w:tc>
      </w:tr>
      <w:tr w:rsidR="00B024F1" w14:paraId="4BC320BE" w14:textId="77777777" w:rsidTr="00C73974">
        <w:tc>
          <w:tcPr>
            <w:tcW w:w="2268" w:type="dxa"/>
            <w:tcBorders>
              <w:top w:val="single" w:sz="8" w:space="0" w:color="CDDC29" w:themeColor="text2"/>
              <w:left w:val="nil"/>
              <w:bottom w:val="single" w:sz="8" w:space="0" w:color="CDDC29" w:themeColor="text2"/>
              <w:right w:val="nil"/>
            </w:tcBorders>
            <w:hideMark/>
          </w:tcPr>
          <w:p w14:paraId="4B87CCDA" w14:textId="0194380A" w:rsidR="00B024F1" w:rsidRDefault="00412DD7" w:rsidP="00C73974">
            <w:pPr>
              <w:pStyle w:val="BodyText"/>
            </w:pPr>
            <w:r>
              <w:t>Poten</w:t>
            </w:r>
            <w:r w:rsidR="00620403">
              <w:t>tial m</w:t>
            </w:r>
            <w:r w:rsidR="00B024F1">
              <w:t>anagement actions</w:t>
            </w:r>
          </w:p>
        </w:tc>
        <w:tc>
          <w:tcPr>
            <w:tcW w:w="7371" w:type="dxa"/>
            <w:tcBorders>
              <w:top w:val="single" w:sz="8" w:space="0" w:color="CDDC29" w:themeColor="text2"/>
              <w:left w:val="nil"/>
              <w:bottom w:val="single" w:sz="8" w:space="0" w:color="CDDC29" w:themeColor="text2"/>
              <w:right w:val="nil"/>
            </w:tcBorders>
            <w:hideMark/>
          </w:tcPr>
          <w:p w14:paraId="33CAAB73" w14:textId="77777777" w:rsidR="00B024F1" w:rsidRDefault="00B024F1" w:rsidP="006670D2">
            <w:pPr>
              <w:pStyle w:val="PullOutBoxBullet"/>
            </w:pPr>
            <w:r>
              <w:t xml:space="preserve">Continue Southern Ark program in East Gippsland and expand into other RFA regions, ensuring controls are maintained consistently across space and time; and </w:t>
            </w:r>
          </w:p>
          <w:p w14:paraId="012035F8" w14:textId="77777777" w:rsidR="00B024F1" w:rsidRDefault="00B024F1" w:rsidP="006670D2">
            <w:pPr>
              <w:pStyle w:val="PullOutBoxBullet"/>
            </w:pPr>
            <w:r>
              <w:t>Investigate predation threat posed by cats on juvenile Lace Monitors and implement control measures accordingly.</w:t>
            </w:r>
          </w:p>
        </w:tc>
      </w:tr>
    </w:tbl>
    <w:p w14:paraId="17CBF4F7" w14:textId="77777777" w:rsidR="00B024F1" w:rsidRDefault="00B024F1" w:rsidP="00B024F1">
      <w:pPr>
        <w:pStyle w:val="BodyText"/>
      </w:pPr>
    </w:p>
    <w:p w14:paraId="068161CE" w14:textId="77777777" w:rsidR="00B024F1" w:rsidRDefault="00B024F1" w:rsidP="00B024F1">
      <w:pPr>
        <w:rPr>
          <w:rFonts w:cs="Times New Roman"/>
          <w:lang w:eastAsia="en-US"/>
        </w:rPr>
      </w:pPr>
      <w:r>
        <w:rPr>
          <w:color w:val="auto"/>
        </w:rPr>
        <w:br w:type="page"/>
      </w:r>
    </w:p>
    <w:p w14:paraId="302DE77E" w14:textId="103C9242" w:rsidR="007B60AB" w:rsidRPr="00FB5A2B" w:rsidRDefault="007B60AB" w:rsidP="00FB5A2B">
      <w:pPr>
        <w:pStyle w:val="Heading2"/>
        <w:ind w:left="0"/>
        <w:rPr>
          <w:i/>
        </w:rPr>
      </w:pPr>
      <w:bookmarkStart w:id="32" w:name="_Toc88557992"/>
      <w:bookmarkStart w:id="33" w:name="_Toc95233345"/>
      <w:bookmarkStart w:id="34" w:name="_Toc113271025"/>
      <w:r w:rsidRPr="00A92E0A">
        <w:t>Claytons Spiny Crayfish</w:t>
      </w:r>
      <w:r w:rsidRPr="0096566E">
        <w:t> </w:t>
      </w:r>
      <w:r w:rsidRPr="00FB5A2B">
        <w:rPr>
          <w:i/>
          <w:iCs/>
        </w:rPr>
        <w:t>(Euastacus claytoni)</w:t>
      </w:r>
      <w:bookmarkEnd w:id="32"/>
      <w:bookmarkEnd w:id="33"/>
      <w:bookmarkEnd w:id="34"/>
      <w:r w:rsidRPr="00FB5A2B">
        <w:rPr>
          <w:i/>
          <w:iCs/>
        </w:rPr>
        <w:t> </w:t>
      </w:r>
    </w:p>
    <w:p w14:paraId="6C1698F9" w14:textId="04BCB7F4" w:rsidR="007B60AB" w:rsidRDefault="007B60AB" w:rsidP="007B60AB">
      <w:pPr>
        <w:pStyle w:val="BodyText"/>
      </w:pPr>
      <w:r>
        <w:rPr>
          <w:rFonts w:ascii="Arial" w:hAnsi="Arial"/>
          <w:color w:val="363534"/>
        </w:rPr>
        <w:t>T</w:t>
      </w:r>
      <w:r>
        <w:t xml:space="preserve">he Claytons Spiny Crayfish was listed as </w:t>
      </w:r>
      <w:r w:rsidRPr="007935D4">
        <w:t>Endangered</w:t>
      </w:r>
      <w:r>
        <w:t xml:space="preserve"> in Australia under the FFG Act in May 2021. The </w:t>
      </w:r>
      <w:r w:rsidR="004F20EF">
        <w:t>species</w:t>
      </w:r>
      <w:r>
        <w:t xml:space="preserve"> occurs in </w:t>
      </w:r>
      <w:r w:rsidRPr="00D05A3B">
        <w:t xml:space="preserve">the </w:t>
      </w:r>
      <w:r>
        <w:t xml:space="preserve">East Gippsland (100% of catchment) </w:t>
      </w:r>
      <w:r w:rsidRPr="008F703F">
        <w:t>RFA region</w:t>
      </w:r>
      <w: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 </w:t>
      </w:r>
    </w:p>
    <w:p w14:paraId="39F77E3F" w14:textId="77777777" w:rsidR="007B60AB" w:rsidRDefault="007B60AB" w:rsidP="007E5EBF">
      <w:pPr>
        <w:pStyle w:val="Heading3"/>
      </w:pPr>
      <w:r>
        <w:t>Risk Assessment</w:t>
      </w:r>
    </w:p>
    <w:p w14:paraId="66B2FF0A" w14:textId="632A6D6D" w:rsidR="007B60AB" w:rsidRPr="00FF310C" w:rsidRDefault="007B60AB" w:rsidP="006670D2">
      <w:pPr>
        <w:pStyle w:val="Caption"/>
      </w:pPr>
      <w:r w:rsidRPr="00FF310C">
        <w:t xml:space="preserve">Table </w:t>
      </w:r>
      <w:r w:rsidRPr="00B6162A">
        <w:rPr>
          <w:bCs/>
        </w:rPr>
        <w:fldChar w:fldCharType="begin"/>
      </w:r>
      <w:r w:rsidRPr="00FF310C">
        <w:instrText>SEQ Table \* ARABIC</w:instrText>
      </w:r>
      <w:r w:rsidRPr="00B6162A">
        <w:rPr>
          <w:bCs/>
        </w:rPr>
        <w:fldChar w:fldCharType="separate"/>
      </w:r>
      <w:r w:rsidR="00692F0D">
        <w:rPr>
          <w:noProof/>
        </w:rPr>
        <w:t>13</w:t>
      </w:r>
      <w:r w:rsidRPr="00B6162A">
        <w:rPr>
          <w:bCs/>
        </w:rPr>
        <w:fldChar w:fldCharType="end"/>
      </w:r>
      <w:r w:rsidRPr="00FF310C">
        <w:t>. Claytons Spiny Crayfish risk ratings in the East Gippsland RFA region:</w:t>
      </w:r>
    </w:p>
    <w:tbl>
      <w:tblPr>
        <w:tblStyle w:val="TableGrid"/>
        <w:tblW w:w="9798" w:type="dxa"/>
        <w:tblLayout w:type="fixed"/>
        <w:tblLook w:val="04A0" w:firstRow="1" w:lastRow="0" w:firstColumn="1" w:lastColumn="0" w:noHBand="0" w:noVBand="1"/>
      </w:tblPr>
      <w:tblGrid>
        <w:gridCol w:w="1633"/>
        <w:gridCol w:w="1633"/>
        <w:gridCol w:w="1633"/>
        <w:gridCol w:w="1633"/>
        <w:gridCol w:w="1633"/>
        <w:gridCol w:w="1633"/>
      </w:tblGrid>
      <w:tr w:rsidR="007B60AB" w:rsidRPr="007637B7" w14:paraId="03F7602F" w14:textId="77777777" w:rsidTr="008071F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33" w:type="dxa"/>
            <w:vAlign w:val="center"/>
          </w:tcPr>
          <w:p w14:paraId="7BEF1FC2" w14:textId="77777777" w:rsidR="007B60AB" w:rsidRPr="00643008" w:rsidRDefault="007B60AB" w:rsidP="006670D2">
            <w:pPr>
              <w:pStyle w:val="CaptionImageorFigure"/>
            </w:pPr>
          </w:p>
        </w:tc>
        <w:tc>
          <w:tcPr>
            <w:tcW w:w="1633" w:type="dxa"/>
            <w:vAlign w:val="center"/>
          </w:tcPr>
          <w:p w14:paraId="1FA262B8" w14:textId="77777777" w:rsidR="007B60AB" w:rsidRDefault="007B60A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Climate change and severe weather</w:t>
            </w:r>
          </w:p>
        </w:tc>
        <w:tc>
          <w:tcPr>
            <w:tcW w:w="1633" w:type="dxa"/>
            <w:vAlign w:val="center"/>
          </w:tcPr>
          <w:p w14:paraId="33B1EF75" w14:textId="573CF594" w:rsidR="007B60AB" w:rsidRDefault="007B60A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Bushfire</w:t>
            </w:r>
          </w:p>
        </w:tc>
        <w:tc>
          <w:tcPr>
            <w:tcW w:w="1633" w:type="dxa"/>
            <w:vAlign w:val="center"/>
          </w:tcPr>
          <w:p w14:paraId="4C3C2156" w14:textId="68D3F9F2" w:rsidR="007B60AB" w:rsidRDefault="00BC4502"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7B60AB">
              <w:t>orestry operations</w:t>
            </w:r>
          </w:p>
        </w:tc>
        <w:tc>
          <w:tcPr>
            <w:tcW w:w="1633" w:type="dxa"/>
            <w:vAlign w:val="center"/>
          </w:tcPr>
          <w:p w14:paraId="39D7C52C" w14:textId="119643AD" w:rsidR="007B60AB" w:rsidRDefault="0061085A"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R</w:t>
            </w:r>
            <w:r w:rsidR="007B60AB">
              <w:t>oading</w:t>
            </w:r>
          </w:p>
        </w:tc>
        <w:tc>
          <w:tcPr>
            <w:tcW w:w="1633" w:type="dxa"/>
            <w:vAlign w:val="center"/>
          </w:tcPr>
          <w:p w14:paraId="25B3F62A" w14:textId="77777777" w:rsidR="007B60AB" w:rsidDel="00A32376" w:rsidRDefault="007B60A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Aquatic predators</w:t>
            </w:r>
          </w:p>
        </w:tc>
      </w:tr>
      <w:tr w:rsidR="007B60AB" w14:paraId="7B631B8C" w14:textId="77777777" w:rsidTr="008071FC">
        <w:tc>
          <w:tcPr>
            <w:tcW w:w="1633" w:type="dxa"/>
            <w:vAlign w:val="center"/>
          </w:tcPr>
          <w:p w14:paraId="4431A405" w14:textId="77777777" w:rsidR="007B60AB" w:rsidRPr="0053677B" w:rsidRDefault="007B60AB" w:rsidP="00296E0F">
            <w:pPr>
              <w:pStyle w:val="BodyText"/>
              <w:jc w:val="center"/>
            </w:pPr>
            <w:r w:rsidRPr="0053677B">
              <w:t>Consequence</w:t>
            </w:r>
          </w:p>
        </w:tc>
        <w:tc>
          <w:tcPr>
            <w:tcW w:w="1633" w:type="dxa"/>
            <w:vAlign w:val="center"/>
          </w:tcPr>
          <w:p w14:paraId="3F6E2F74" w14:textId="77777777" w:rsidR="007B60AB" w:rsidRDefault="007B60AB" w:rsidP="00296E0F">
            <w:pPr>
              <w:pStyle w:val="BodyText"/>
              <w:jc w:val="center"/>
            </w:pPr>
            <w:r>
              <w:t>Extreme</w:t>
            </w:r>
          </w:p>
        </w:tc>
        <w:tc>
          <w:tcPr>
            <w:tcW w:w="1633" w:type="dxa"/>
            <w:vAlign w:val="center"/>
          </w:tcPr>
          <w:p w14:paraId="011F549A" w14:textId="2E367C80" w:rsidR="007B60AB" w:rsidRDefault="008071FC" w:rsidP="00296E0F">
            <w:pPr>
              <w:pStyle w:val="BodyText"/>
              <w:jc w:val="center"/>
            </w:pPr>
            <w:r>
              <w:t>Major</w:t>
            </w:r>
          </w:p>
        </w:tc>
        <w:tc>
          <w:tcPr>
            <w:tcW w:w="1633" w:type="dxa"/>
            <w:vAlign w:val="center"/>
          </w:tcPr>
          <w:p w14:paraId="29FD5B28" w14:textId="77777777" w:rsidR="007B60AB" w:rsidRDefault="007B60AB" w:rsidP="00296E0F">
            <w:pPr>
              <w:pStyle w:val="BodyText"/>
              <w:jc w:val="center"/>
            </w:pPr>
            <w:r>
              <w:t>Major</w:t>
            </w:r>
          </w:p>
        </w:tc>
        <w:tc>
          <w:tcPr>
            <w:tcW w:w="1633" w:type="dxa"/>
            <w:vAlign w:val="center"/>
          </w:tcPr>
          <w:p w14:paraId="779EE4BF" w14:textId="77777777" w:rsidR="007B60AB" w:rsidRDefault="007B60AB" w:rsidP="00296E0F">
            <w:pPr>
              <w:pStyle w:val="BodyText"/>
              <w:jc w:val="center"/>
            </w:pPr>
            <w:r>
              <w:t>Minor</w:t>
            </w:r>
          </w:p>
        </w:tc>
        <w:tc>
          <w:tcPr>
            <w:tcW w:w="1633" w:type="dxa"/>
            <w:vAlign w:val="center"/>
          </w:tcPr>
          <w:p w14:paraId="25BA6937" w14:textId="77777777" w:rsidR="007B60AB" w:rsidRDefault="007B60AB" w:rsidP="00296E0F">
            <w:pPr>
              <w:pStyle w:val="BodyText"/>
              <w:jc w:val="center"/>
            </w:pPr>
            <w:r>
              <w:t>Moderate</w:t>
            </w:r>
          </w:p>
        </w:tc>
      </w:tr>
      <w:tr w:rsidR="007B60AB" w14:paraId="05759497" w14:textId="77777777" w:rsidTr="008071FC">
        <w:tc>
          <w:tcPr>
            <w:tcW w:w="1633" w:type="dxa"/>
            <w:vAlign w:val="center"/>
          </w:tcPr>
          <w:p w14:paraId="2424CF62" w14:textId="77777777" w:rsidR="007B60AB" w:rsidRPr="0053677B" w:rsidRDefault="007B60AB" w:rsidP="00296E0F">
            <w:pPr>
              <w:pStyle w:val="BodyText"/>
              <w:jc w:val="center"/>
            </w:pPr>
            <w:r w:rsidRPr="0053677B">
              <w:t>Likelihood</w:t>
            </w:r>
          </w:p>
        </w:tc>
        <w:tc>
          <w:tcPr>
            <w:tcW w:w="1633" w:type="dxa"/>
            <w:vAlign w:val="center"/>
          </w:tcPr>
          <w:p w14:paraId="3334B074" w14:textId="77777777" w:rsidR="007B60AB" w:rsidRDefault="007B60AB" w:rsidP="00296E0F">
            <w:pPr>
              <w:pStyle w:val="BodyText"/>
              <w:jc w:val="center"/>
            </w:pPr>
            <w:r>
              <w:t>Likely</w:t>
            </w:r>
          </w:p>
        </w:tc>
        <w:tc>
          <w:tcPr>
            <w:tcW w:w="1633" w:type="dxa"/>
            <w:vAlign w:val="center"/>
          </w:tcPr>
          <w:p w14:paraId="0762216B" w14:textId="7B52FC0F" w:rsidR="007B60AB" w:rsidRDefault="008071FC" w:rsidP="00296E0F">
            <w:pPr>
              <w:pStyle w:val="BodyText"/>
              <w:jc w:val="center"/>
            </w:pPr>
            <w:r>
              <w:t>Likely</w:t>
            </w:r>
          </w:p>
        </w:tc>
        <w:tc>
          <w:tcPr>
            <w:tcW w:w="1633" w:type="dxa"/>
            <w:vAlign w:val="center"/>
          </w:tcPr>
          <w:p w14:paraId="5AA8C017" w14:textId="77777777" w:rsidR="007B60AB" w:rsidRDefault="007B60AB" w:rsidP="00296E0F">
            <w:pPr>
              <w:pStyle w:val="BodyText"/>
              <w:jc w:val="center"/>
            </w:pPr>
            <w:r>
              <w:t>Likely</w:t>
            </w:r>
          </w:p>
        </w:tc>
        <w:tc>
          <w:tcPr>
            <w:tcW w:w="1633" w:type="dxa"/>
            <w:vAlign w:val="center"/>
          </w:tcPr>
          <w:p w14:paraId="16DE115E" w14:textId="77777777" w:rsidR="007B60AB" w:rsidRDefault="007B60AB" w:rsidP="00296E0F">
            <w:pPr>
              <w:pStyle w:val="BodyText"/>
              <w:jc w:val="center"/>
            </w:pPr>
            <w:r>
              <w:t>Likely</w:t>
            </w:r>
          </w:p>
        </w:tc>
        <w:tc>
          <w:tcPr>
            <w:tcW w:w="1633" w:type="dxa"/>
            <w:vAlign w:val="center"/>
          </w:tcPr>
          <w:p w14:paraId="604D02E9" w14:textId="77777777" w:rsidR="007B60AB" w:rsidRDefault="007B60AB" w:rsidP="00296E0F">
            <w:pPr>
              <w:pStyle w:val="BodyText"/>
              <w:jc w:val="center"/>
            </w:pPr>
            <w:r>
              <w:t>Likely</w:t>
            </w:r>
          </w:p>
        </w:tc>
      </w:tr>
      <w:tr w:rsidR="007B60AB" w14:paraId="27AC15E5" w14:textId="77777777" w:rsidTr="0045799B">
        <w:tc>
          <w:tcPr>
            <w:tcW w:w="0" w:type="dxa"/>
            <w:vAlign w:val="center"/>
          </w:tcPr>
          <w:p w14:paraId="0AD22692" w14:textId="77777777" w:rsidR="007B60AB" w:rsidRPr="0053677B" w:rsidRDefault="007B60AB" w:rsidP="00296E0F">
            <w:pPr>
              <w:pStyle w:val="BodyText"/>
              <w:jc w:val="center"/>
            </w:pPr>
            <w:r w:rsidRPr="0053677B">
              <w:t>Overall risk rating</w:t>
            </w:r>
          </w:p>
        </w:tc>
        <w:tc>
          <w:tcPr>
            <w:tcW w:w="0" w:type="dxa"/>
            <w:shd w:val="clear" w:color="auto" w:fill="FF0000"/>
            <w:vAlign w:val="center"/>
          </w:tcPr>
          <w:p w14:paraId="3B1E6DFB" w14:textId="77777777" w:rsidR="007B60AB" w:rsidRDefault="007B60AB" w:rsidP="00296E0F">
            <w:pPr>
              <w:pStyle w:val="BodyText"/>
              <w:jc w:val="center"/>
            </w:pPr>
            <w:r>
              <w:t>High</w:t>
            </w:r>
          </w:p>
        </w:tc>
        <w:tc>
          <w:tcPr>
            <w:tcW w:w="0" w:type="dxa"/>
            <w:shd w:val="clear" w:color="auto" w:fill="FF0000"/>
            <w:vAlign w:val="center"/>
          </w:tcPr>
          <w:p w14:paraId="196DFFD7" w14:textId="399CD4AE" w:rsidR="007B60AB" w:rsidRDefault="008071FC" w:rsidP="00296E0F">
            <w:pPr>
              <w:pStyle w:val="BodyText"/>
              <w:jc w:val="center"/>
            </w:pPr>
            <w:r>
              <w:t>High</w:t>
            </w:r>
          </w:p>
        </w:tc>
        <w:tc>
          <w:tcPr>
            <w:tcW w:w="0" w:type="dxa"/>
            <w:shd w:val="clear" w:color="auto" w:fill="FF0000"/>
            <w:vAlign w:val="center"/>
          </w:tcPr>
          <w:p w14:paraId="2BFCA3CA" w14:textId="77777777" w:rsidR="007B60AB" w:rsidRDefault="007B60AB" w:rsidP="00296E0F">
            <w:pPr>
              <w:pStyle w:val="BodyText"/>
              <w:jc w:val="center"/>
            </w:pPr>
            <w:r>
              <w:t>High</w:t>
            </w:r>
          </w:p>
        </w:tc>
        <w:tc>
          <w:tcPr>
            <w:tcW w:w="0" w:type="dxa"/>
            <w:shd w:val="clear" w:color="auto" w:fill="FFFF00"/>
            <w:vAlign w:val="center"/>
          </w:tcPr>
          <w:p w14:paraId="16243734" w14:textId="77777777" w:rsidR="007B60AB" w:rsidRDefault="007B60AB" w:rsidP="00296E0F">
            <w:pPr>
              <w:pStyle w:val="BodyText"/>
              <w:jc w:val="center"/>
            </w:pPr>
            <w:r>
              <w:t>Medium</w:t>
            </w:r>
          </w:p>
        </w:tc>
        <w:tc>
          <w:tcPr>
            <w:tcW w:w="0" w:type="dxa"/>
            <w:shd w:val="clear" w:color="auto" w:fill="FFC000"/>
            <w:vAlign w:val="center"/>
          </w:tcPr>
          <w:p w14:paraId="06668FEC" w14:textId="77777777" w:rsidR="007B60AB" w:rsidRDefault="007B60AB" w:rsidP="00296E0F">
            <w:pPr>
              <w:pStyle w:val="BodyText"/>
              <w:jc w:val="center"/>
            </w:pPr>
            <w:r>
              <w:t>Significant</w:t>
            </w:r>
          </w:p>
        </w:tc>
      </w:tr>
    </w:tbl>
    <w:p w14:paraId="0FD0BEC5" w14:textId="77777777" w:rsidR="007B60AB" w:rsidRDefault="007B60AB" w:rsidP="007E5EBF">
      <w:pPr>
        <w:pStyle w:val="Heading3"/>
      </w:pPr>
      <w:r w:rsidRPr="00D55628">
        <w:rPr>
          <w:noProof/>
        </w:rPr>
        <mc:AlternateContent>
          <mc:Choice Requires="wps">
            <w:drawing>
              <wp:anchor distT="0" distB="0" distL="114300" distR="114300" simplePos="1" relativeHeight="251658514" behindDoc="1" locked="1" layoutInCell="1" allowOverlap="1" wp14:anchorId="3AA27769" wp14:editId="05CBD901">
                <wp:simplePos x="359410" y="9071610"/>
                <wp:positionH relativeFrom="page">
                  <wp:posOffset>359410</wp:posOffset>
                </wp:positionH>
                <wp:positionV relativeFrom="page">
                  <wp:posOffset>9071610</wp:posOffset>
                </wp:positionV>
                <wp:extent cx="6840001" cy="432000"/>
                <wp:effectExtent l="0" t="0" r="0" b="0"/>
                <wp:wrapNone/>
                <wp:docPr id="1674"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D715F" w14:textId="77777777" w:rsidR="007B60AB" w:rsidRPr="00455A7E" w:rsidRDefault="007B60AB" w:rsidP="007B60AB">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27769" id="_x0000_s1031" type="#_x0000_t202" alt="Title: Decorative Cover Shape" style="position:absolute;left:0;text-align:left;margin-left:28.3pt;margin-top:714.3pt;width:538.6pt;height:34pt;z-index:-25165796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" fillcolor="#201547" stroked="f" strokeweight=".5pt">
                <v:textbox inset="10mm,0,10mm,0">
                  <w:txbxContent>
                    <w:p w14:paraId="247D715F" w14:textId="77777777" w:rsidR="007B60AB" w:rsidRPr="00455A7E" w:rsidRDefault="007B60AB" w:rsidP="007B60AB">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658513" behindDoc="0" locked="1" layoutInCell="1" allowOverlap="1" wp14:anchorId="7850B761" wp14:editId="4B97F109">
                <wp:simplePos x="0" y="0"/>
                <wp:positionH relativeFrom="page">
                  <wp:posOffset>360045</wp:posOffset>
                </wp:positionH>
                <wp:positionV relativeFrom="page">
                  <wp:posOffset>360045</wp:posOffset>
                </wp:positionV>
                <wp:extent cx="1864800" cy="1976400"/>
                <wp:effectExtent l="0" t="0" r="0" b="0"/>
                <wp:wrapNone/>
                <wp:docPr id="53"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1D2F695" id="TriangleTopACIMono" o:spid="_x0000_s1026" style="position:absolute;margin-left:28.35pt;margin-top:28.35pt;width:146.85pt;height:155.6pt;z-index:25165851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noProof/>
        </w:rPr>
        <mc:AlternateContent>
          <mc:Choice Requires="wps">
            <w:drawing>
              <wp:anchor distT="0" distB="0" distL="114300" distR="114300" simplePos="0" relativeHeight="251658512" behindDoc="0" locked="1" layoutInCell="1" allowOverlap="1" wp14:anchorId="1F06B638" wp14:editId="5F8954EA">
                <wp:simplePos x="0" y="0"/>
                <wp:positionH relativeFrom="page">
                  <wp:posOffset>359410</wp:posOffset>
                </wp:positionH>
                <wp:positionV relativeFrom="page">
                  <wp:posOffset>359410</wp:posOffset>
                </wp:positionV>
                <wp:extent cx="1864800" cy="1976400"/>
                <wp:effectExtent l="0" t="0" r="0" b="0"/>
                <wp:wrapNone/>
                <wp:docPr id="54"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4F46188" id="TriangleTop" o:spid="_x0000_s1026" style="position:absolute;margin-left:28.3pt;margin-top:28.3pt;width:146.85pt;height:155.6pt;z-index:25165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noProof/>
        </w:rPr>
        <mc:AlternateContent>
          <mc:Choice Requires="wps">
            <w:drawing>
              <wp:anchor distT="0" distB="0" distL="114300" distR="114300" simplePos="0" relativeHeight="251658511" behindDoc="0" locked="1" layoutInCell="1" allowOverlap="1" wp14:anchorId="328B754B" wp14:editId="2B1F8162">
                <wp:simplePos x="0" y="0"/>
                <wp:positionH relativeFrom="page">
                  <wp:posOffset>0</wp:posOffset>
                </wp:positionH>
                <wp:positionV relativeFrom="page">
                  <wp:align>bottom</wp:align>
                </wp:positionV>
                <wp:extent cx="3848400" cy="720000"/>
                <wp:effectExtent l="0" t="0" r="0" b="0"/>
                <wp:wrapNone/>
                <wp:docPr id="1677"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309F2" w14:textId="77777777" w:rsidR="007B60AB" w:rsidRPr="009F69FA" w:rsidRDefault="007B60AB" w:rsidP="007B60AB">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754B" id="_x0000_s1032" type="#_x0000_t202" style="position:absolute;left:0;text-align:left;margin-left:0;margin-top:0;width:303pt;height:56.7pt;z-index:25165851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" filled="f" stroked="f" strokeweight=".5pt">
                <v:textbox inset="20mm">
                  <w:txbxContent>
                    <w:p w14:paraId="7B7309F2" w14:textId="77777777" w:rsidR="007B60AB" w:rsidRPr="009F69FA" w:rsidRDefault="007B60AB" w:rsidP="007B60AB">
                      <w:pPr>
                        <w:pStyle w:val="xWebCoverPage"/>
                      </w:pPr>
                      <w:r w:rsidRPr="009F69FA">
                        <w:t>de</w:t>
                      </w:r>
                      <w:r>
                        <w:t>lw</w:t>
                      </w:r>
                      <w:r w:rsidRPr="009F69FA">
                        <w:t>p.vic.gov.au</w:t>
                      </w:r>
                    </w:p>
                  </w:txbxContent>
                </v:textbox>
                <w10:wrap anchorx="page" anchory="page"/>
                <w10:anchorlock/>
              </v:shape>
            </w:pict>
          </mc:Fallback>
        </mc:AlternateContent>
      </w:r>
      <w:r>
        <w:t>Climate change</w:t>
      </w:r>
    </w:p>
    <w:p w14:paraId="56335778" w14:textId="77777777" w:rsidR="007B60AB" w:rsidRPr="001C0DE0" w:rsidRDefault="007B60AB" w:rsidP="007B60AB">
      <w:pPr>
        <w:pStyle w:val="Heading5"/>
        <w:numPr>
          <w:ilvl w:val="0"/>
          <w:numId w:val="0"/>
        </w:numPr>
        <w:ind w:left="1008" w:hanging="1008"/>
      </w:pPr>
      <w:r>
        <w:t>Climate change and severe weather</w:t>
      </w:r>
    </w:p>
    <w:p w14:paraId="0AAF7083" w14:textId="45E938A1" w:rsidR="007B60AB" w:rsidRDefault="007B60AB" w:rsidP="007B60AB">
      <w:pPr>
        <w:pStyle w:val="BodyText"/>
      </w:pPr>
      <w:r>
        <w:t xml:space="preserve">This </w:t>
      </w:r>
      <w:r w:rsidR="004F20EF">
        <w:t>species</w:t>
      </w:r>
      <w:r>
        <w:t xml:space="preserve"> is endemic to highland areas over 750m altitude, and so is likely highly specialised and restricted to cool waters. Warming of these streams through increased average temperatures and extreme heat events </w:t>
      </w:r>
      <w:r w:rsidR="00E24327">
        <w:t>because of</w:t>
      </w:r>
      <w:r>
        <w:t xml:space="preserve"> human-induced climate change will likely be a major driver of range retraction and population decline for this </w:t>
      </w:r>
      <w:r w:rsidR="004F20EF">
        <w:t>species</w:t>
      </w:r>
      <w:r>
        <w:t xml:space="preserve">, which will have impacts that effect its entire range. Increased severe weather events of high heat and </w:t>
      </w:r>
      <w:r w:rsidRPr="00F26BEE">
        <w:t xml:space="preserve">prolonged droughts caused by human-induced climate change will also lead </w:t>
      </w:r>
      <w:r w:rsidR="00AC0DD6">
        <w:t>to</w:t>
      </w:r>
      <w:r w:rsidR="00AC0DD6" w:rsidRPr="00F26BEE">
        <w:t xml:space="preserve"> </w:t>
      </w:r>
      <w:r w:rsidRPr="00F26BEE">
        <w:t>an increase in the frequency and severity of bushfires (Sharples et al. 2016). Contrasting extremes from climate change, such as large rainfall events following fires, will lead to detrimental amounts of run-off</w:t>
      </w:r>
      <w:r>
        <w:t xml:space="preserve"> and sedimentation that can cause declines in this </w:t>
      </w:r>
      <w:r w:rsidR="004F20EF">
        <w:t>species</w:t>
      </w:r>
      <w:r>
        <w:t xml:space="preserve">. Similarly, extreme rainfall events will likely exacerbate run-off and sedimentation caused by forestry operations. </w:t>
      </w:r>
    </w:p>
    <w:p w14:paraId="5D4EEED7" w14:textId="2BD95189" w:rsidR="00C67733" w:rsidRPr="00CA4A1D" w:rsidRDefault="00C67733" w:rsidP="00C67733">
      <w:pPr>
        <w:pStyle w:val="BodyText"/>
      </w:pPr>
      <w:r w:rsidRPr="00CA4A1D">
        <w:t xml:space="preserve">Current control measures for this hazard are strategic in nature and are not considered effective in managing the risk to this </w:t>
      </w:r>
      <w:r w:rsidR="004F20EF">
        <w:t>species</w:t>
      </w:r>
      <w:r w:rsidRPr="00CA4A1D">
        <w:t xml:space="preserve"> at the scale relevant to its conservation at this stage.</w:t>
      </w:r>
    </w:p>
    <w:p w14:paraId="3BAD30EB" w14:textId="4A3138A9" w:rsidR="007B60AB" w:rsidRPr="00FF310C" w:rsidRDefault="007B60A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14</w:t>
      </w:r>
      <w:r w:rsidR="000B6788" w:rsidRPr="00B6162A">
        <w:rPr>
          <w:bCs/>
          <w:noProof/>
        </w:rPr>
        <w:fldChar w:fldCharType="end"/>
      </w:r>
      <w:r w:rsidRPr="00FF310C">
        <w:t>. Claytons Spiny Crayfish protection requirements and recommendations for climate change and severe weather</w:t>
      </w:r>
    </w:p>
    <w:tbl>
      <w:tblPr>
        <w:tblStyle w:val="TableGrid"/>
        <w:tblW w:w="9781" w:type="dxa"/>
        <w:tblLook w:val="04A0" w:firstRow="1" w:lastRow="0" w:firstColumn="1" w:lastColumn="0" w:noHBand="0" w:noVBand="1"/>
      </w:tblPr>
      <w:tblGrid>
        <w:gridCol w:w="2977"/>
        <w:gridCol w:w="6804"/>
      </w:tblGrid>
      <w:tr w:rsidR="007B60AB" w:rsidRPr="00867DAA" w14:paraId="7B30D2AB" w14:textId="77777777" w:rsidTr="0045799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77" w:type="dxa"/>
            <w:vAlign w:val="center"/>
          </w:tcPr>
          <w:p w14:paraId="7E3A75F8" w14:textId="77777777" w:rsidR="007B60AB" w:rsidRPr="007B5B86" w:rsidRDefault="007B60AB" w:rsidP="00296E0F">
            <w:pPr>
              <w:pStyle w:val="BodyText"/>
            </w:pPr>
            <w:r w:rsidRPr="007B5B86">
              <w:t>Requirement</w:t>
            </w:r>
          </w:p>
        </w:tc>
        <w:tc>
          <w:tcPr>
            <w:tcW w:w="6804" w:type="dxa"/>
            <w:vAlign w:val="center"/>
          </w:tcPr>
          <w:p w14:paraId="23CC99B1" w14:textId="77777777" w:rsidR="007B60AB" w:rsidRPr="007B5B86" w:rsidRDefault="007B60AB"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7B60AB" w:rsidRPr="00867DAA" w14:paraId="4D37C7C6" w14:textId="77777777" w:rsidTr="0045799B">
        <w:tc>
          <w:tcPr>
            <w:tcW w:w="2977" w:type="dxa"/>
          </w:tcPr>
          <w:p w14:paraId="1B0EF33E" w14:textId="5097F7CB" w:rsidR="007B60AB" w:rsidRPr="00867DAA" w:rsidRDefault="00620403" w:rsidP="00452D08">
            <w:pPr>
              <w:pStyle w:val="BodyText"/>
            </w:pPr>
            <w:r>
              <w:t>Priority management actions</w:t>
            </w:r>
          </w:p>
        </w:tc>
        <w:tc>
          <w:tcPr>
            <w:tcW w:w="6804" w:type="dxa"/>
          </w:tcPr>
          <w:p w14:paraId="27965496" w14:textId="77777777" w:rsidR="007B60AB" w:rsidRPr="00867DAA" w:rsidRDefault="007B60AB" w:rsidP="00452D08">
            <w:pPr>
              <w:pStyle w:val="BodyText"/>
            </w:pPr>
            <w:r>
              <w:t>Not required for this hazard as it is a longer-term threat.</w:t>
            </w:r>
          </w:p>
        </w:tc>
      </w:tr>
      <w:tr w:rsidR="007B60AB" w:rsidRPr="00867DAA" w14:paraId="754B5669" w14:textId="77777777" w:rsidTr="0045799B">
        <w:trPr>
          <w:trHeight w:val="454"/>
        </w:trPr>
        <w:tc>
          <w:tcPr>
            <w:tcW w:w="2977" w:type="dxa"/>
          </w:tcPr>
          <w:p w14:paraId="173C328C" w14:textId="5F6D98EB" w:rsidR="007B60AB" w:rsidRPr="00867DAA" w:rsidRDefault="00620403" w:rsidP="00452D08">
            <w:pPr>
              <w:pStyle w:val="BodyText"/>
            </w:pPr>
            <w:r>
              <w:t>Potential m</w:t>
            </w:r>
            <w:r w:rsidR="007B60AB" w:rsidRPr="00867DAA">
              <w:t>anagement actions</w:t>
            </w:r>
          </w:p>
        </w:tc>
        <w:tc>
          <w:tcPr>
            <w:tcW w:w="6804" w:type="dxa"/>
          </w:tcPr>
          <w:p w14:paraId="7B6BE55F" w14:textId="727B3391" w:rsidR="007B60AB" w:rsidRPr="006F1079" w:rsidRDefault="00154D7D" w:rsidP="006670D2">
            <w:pPr>
              <w:pStyle w:val="PullOutBoxBullet"/>
            </w:pPr>
            <w:r>
              <w:t xml:space="preserve">Establish </w:t>
            </w:r>
            <w:r w:rsidR="007B60AB">
              <w:t xml:space="preserve">a captive colony of this </w:t>
            </w:r>
            <w:r w:rsidR="004F20EF">
              <w:t>species</w:t>
            </w:r>
            <w:r w:rsidR="00BA5CE9">
              <w:t>.</w:t>
            </w:r>
          </w:p>
        </w:tc>
      </w:tr>
    </w:tbl>
    <w:p w14:paraId="663EDF5F" w14:textId="77777777" w:rsidR="007B60AB" w:rsidRDefault="007B60AB" w:rsidP="007E5EBF">
      <w:pPr>
        <w:pStyle w:val="Heading3"/>
      </w:pPr>
      <w:r w:rsidRPr="00D55628">
        <w:rPr>
          <w:rFonts w:cs="Times New Roman"/>
          <w:noProof/>
        </w:rPr>
        <mc:AlternateContent>
          <mc:Choice Requires="wps">
            <w:drawing>
              <wp:anchor distT="0" distB="0" distL="114300" distR="114300" simplePos="1" relativeHeight="251658518" behindDoc="1" locked="1" layoutInCell="1" allowOverlap="1" wp14:anchorId="72B35CD9" wp14:editId="65FDDF46">
                <wp:simplePos x="359410" y="9071610"/>
                <wp:positionH relativeFrom="page">
                  <wp:posOffset>359410</wp:posOffset>
                </wp:positionH>
                <wp:positionV relativeFrom="page">
                  <wp:posOffset>9071610</wp:posOffset>
                </wp:positionV>
                <wp:extent cx="6840001" cy="432000"/>
                <wp:effectExtent l="0" t="0" r="0" b="0"/>
                <wp:wrapNone/>
                <wp:docPr id="167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19136" w14:textId="77777777" w:rsidR="007B60AB" w:rsidRPr="00455A7E" w:rsidRDefault="007B60AB" w:rsidP="007B60AB">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35CD9" id="_x0000_s1033" type="#_x0000_t202" alt="Title: Decorative Cover Shape" style="position:absolute;left:0;text-align:left;margin-left:28.3pt;margin-top:714.3pt;width:538.6pt;height:34pt;z-index:-25165796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" fillcolor="#201547" stroked="f" strokeweight=".5pt">
                <v:textbox inset="10mm,0,10mm,0">
                  <w:txbxContent>
                    <w:p w14:paraId="07519136" w14:textId="77777777" w:rsidR="007B60AB" w:rsidRPr="00455A7E" w:rsidRDefault="007B60AB" w:rsidP="007B60AB">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rPr>
        <mc:AlternateContent>
          <mc:Choice Requires="wps">
            <w:drawing>
              <wp:anchor distT="0" distB="0" distL="114300" distR="114300" simplePos="0" relativeHeight="251658517" behindDoc="0" locked="1" layoutInCell="1" allowOverlap="1" wp14:anchorId="576B76BE" wp14:editId="50B72998">
                <wp:simplePos x="0" y="0"/>
                <wp:positionH relativeFrom="page">
                  <wp:posOffset>360045</wp:posOffset>
                </wp:positionH>
                <wp:positionV relativeFrom="page">
                  <wp:posOffset>360045</wp:posOffset>
                </wp:positionV>
                <wp:extent cx="1864800" cy="1976400"/>
                <wp:effectExtent l="0" t="0" r="0" b="0"/>
                <wp:wrapNone/>
                <wp:docPr id="55"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0565DA8" id="TriangleTopACIMono" o:spid="_x0000_s1026" style="position:absolute;margin-left:28.35pt;margin-top:28.35pt;width:146.85pt;height:155.6pt;z-index:25165851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rPr>
        <mc:AlternateContent>
          <mc:Choice Requires="wps">
            <w:drawing>
              <wp:anchor distT="0" distB="0" distL="114300" distR="114300" simplePos="0" relativeHeight="251658516" behindDoc="0" locked="1" layoutInCell="1" allowOverlap="1" wp14:anchorId="1DC38C81" wp14:editId="71F1F3FF">
                <wp:simplePos x="0" y="0"/>
                <wp:positionH relativeFrom="page">
                  <wp:posOffset>359410</wp:posOffset>
                </wp:positionH>
                <wp:positionV relativeFrom="page">
                  <wp:posOffset>359410</wp:posOffset>
                </wp:positionV>
                <wp:extent cx="1864800" cy="1976400"/>
                <wp:effectExtent l="0" t="0" r="0" b="0"/>
                <wp:wrapNone/>
                <wp:docPr id="56"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0AE778" id="TriangleTop" o:spid="_x0000_s1026" style="position:absolute;margin-left:28.3pt;margin-top:28.3pt;width:146.85pt;height:155.6pt;z-index:2516585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rPr>
        <mc:AlternateContent>
          <mc:Choice Requires="wps">
            <w:drawing>
              <wp:anchor distT="0" distB="0" distL="114300" distR="114300" simplePos="0" relativeHeight="251658515" behindDoc="0" locked="1" layoutInCell="1" allowOverlap="1" wp14:anchorId="6A2A743F" wp14:editId="79BA8367">
                <wp:simplePos x="0" y="0"/>
                <wp:positionH relativeFrom="page">
                  <wp:posOffset>0</wp:posOffset>
                </wp:positionH>
                <wp:positionV relativeFrom="page">
                  <wp:align>bottom</wp:align>
                </wp:positionV>
                <wp:extent cx="3848400" cy="720000"/>
                <wp:effectExtent l="0" t="0" r="0" b="0"/>
                <wp:wrapNone/>
                <wp:docPr id="1682"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C87AD" w14:textId="77777777" w:rsidR="007B60AB" w:rsidRPr="009F69FA" w:rsidRDefault="007B60AB" w:rsidP="007B60AB">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743F" id="_x0000_s1034" type="#_x0000_t202" style="position:absolute;left:0;text-align:left;margin-left:0;margin-top:0;width:303pt;height:56.7pt;z-index:25165851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Hcq2SttAgAARQUAAA4AAAAAAAAAAAAAAAAALgIA&#10;AGRycy9lMm9Eb2MueG1sUEsBAi0AFAAGAAgAAAAhAPTKz6jaAAAABQEAAA8AAAAAAAAAAAAAAAAA&#10;xwQAAGRycy9kb3ducmV2LnhtbFBLBQYAAAAABAAEAPMAAADOBQAAAAA=&#10;" filled="f" stroked="f" strokeweight=".5pt">
                <v:textbox inset="20mm">
                  <w:txbxContent>
                    <w:p w14:paraId="5F3C87AD" w14:textId="77777777" w:rsidR="007B60AB" w:rsidRPr="009F69FA" w:rsidRDefault="007B60AB" w:rsidP="007B60AB">
                      <w:pPr>
                        <w:pStyle w:val="xWebCoverPage"/>
                      </w:pPr>
                      <w:r w:rsidRPr="009F69FA">
                        <w:t>de</w:t>
                      </w:r>
                      <w:r>
                        <w:t>lw</w:t>
                      </w:r>
                      <w:r w:rsidRPr="009F69FA">
                        <w:t>p.vic.gov.au</w:t>
                      </w:r>
                    </w:p>
                  </w:txbxContent>
                </v:textbox>
                <w10:wrap anchorx="page" anchory="page"/>
                <w10:anchorlock/>
              </v:shape>
            </w:pict>
          </mc:Fallback>
        </mc:AlternateContent>
      </w:r>
      <w:r>
        <w:t>Fire</w:t>
      </w:r>
    </w:p>
    <w:p w14:paraId="150C28A4" w14:textId="77777777" w:rsidR="007B60AB" w:rsidRPr="001C0DE0" w:rsidRDefault="007B60AB" w:rsidP="007B60AB">
      <w:pPr>
        <w:pStyle w:val="Heading5"/>
        <w:numPr>
          <w:ilvl w:val="0"/>
          <w:numId w:val="0"/>
        </w:numPr>
        <w:ind w:left="1008" w:hanging="1008"/>
      </w:pPr>
      <w:r>
        <w:t>Bushfire</w:t>
      </w:r>
    </w:p>
    <w:p w14:paraId="0E7FC8FD" w14:textId="4A05A1CB" w:rsidR="007B60AB" w:rsidRPr="00F26BEE" w:rsidRDefault="007B60AB" w:rsidP="007B60AB">
      <w:pPr>
        <w:pStyle w:val="BodyText"/>
      </w:pPr>
      <w:r w:rsidRPr="00704719">
        <w:rPr>
          <w:rStyle w:val="normaltextrun"/>
        </w:rPr>
        <w:t>Bushfires have the potential to degrade water quality and alter the dynamics of stream ecosystems. Most critical effects occur if there is heavy rain soon after fire, as loss of vegetation and altered soil structure can make fire-affected soils more erodible. Runoff can carry sediments and pollutants that affect aquatic environments and consequently aquatic species</w:t>
      </w:r>
      <w:r>
        <w:rPr>
          <w:rStyle w:val="normaltextrun"/>
        </w:rPr>
        <w:t xml:space="preserve">. </w:t>
      </w:r>
      <w:r w:rsidRPr="00EA46D9">
        <w:t>Apart from impacts to water quality and sedimentation of streams following bush</w:t>
      </w:r>
      <w:r w:rsidRPr="00CD5484">
        <w:t xml:space="preserve">fires, burns can also result in the loss of riparian vegetation impacting water temperature and available food resources. This </w:t>
      </w:r>
      <w:r w:rsidR="004F20EF">
        <w:t>species</w:t>
      </w:r>
      <w:r w:rsidRPr="00CD5484">
        <w:t xml:space="preserve"> is endemic to highland areas over 750m altitude, and so is likely highly specialised and restricted to cool waters. Any mechanism</w:t>
      </w:r>
      <w:r>
        <w:t xml:space="preserve"> that leads to increased water temperatures like loss of riparian vegetation should be considered as a significant impact. In East Gippsland, bushfires have impacted a moderate proportion of the geographical range of this </w:t>
      </w:r>
      <w:r w:rsidR="004F20EF">
        <w:t>species</w:t>
      </w:r>
      <w:r>
        <w:t xml:space="preserve"> with over 20% of catchments this </w:t>
      </w:r>
      <w:r w:rsidR="004F20EF">
        <w:t>species</w:t>
      </w:r>
      <w:r>
        <w:t xml:space="preserve"> occurs in and 19% of all important populations being burnt since 2000. Along with </w:t>
      </w:r>
      <w:r w:rsidRPr="00F26BEE">
        <w:t xml:space="preserve">sedimentation, soil erosion and water quality decline, habitat loss through the loss of riparian vegetation could also be considered a mechanism leading to decline. Increased severe weather events of high heat and prolonged droughts caused by human-induced climate change will lead in an increase in the frequency and severity of bushfires (Sharples et al. 2016). Contrasting extremes from climate change, such as large rainfall events following fires, will lead to detrimental amounts of run-off and sedimentation that can cause declines in the </w:t>
      </w:r>
      <w:r w:rsidR="004F20EF">
        <w:t>species</w:t>
      </w:r>
      <w:r w:rsidR="00173410">
        <w:t>.</w:t>
      </w:r>
      <w:r w:rsidR="00F861B3" w:rsidRPr="00B25B89">
        <w:t xml:space="preserve"> </w:t>
      </w:r>
      <w:r w:rsidR="00F861B3" w:rsidRPr="00915D82">
        <w:t>Post-fire run-off and sedimentation, which cause declines in water quality and habitat value, may contribute to the cumulative impact of sedimentation, including any impacts resulting from forestry operations.</w:t>
      </w:r>
      <w:r w:rsidR="00F861B3">
        <w:t xml:space="preserve"> </w:t>
      </w:r>
      <w:r w:rsidR="001A1218" w:rsidRPr="00915D82">
        <w:t>Spiny crayfish likely rely on deep pools, and structurally complex habitat to survive fires (Bryant et al. 2012). Any impacts to these habitat components from environmental disturbances including fire and forestry operations, may be detrimental to the species.</w:t>
      </w:r>
      <w:r w:rsidRPr="00F26BEE">
        <w:t xml:space="preserve"> </w:t>
      </w:r>
    </w:p>
    <w:p w14:paraId="574E483B" w14:textId="77777777" w:rsidR="007B60AB" w:rsidRPr="00F26BEE" w:rsidRDefault="007B60AB" w:rsidP="007B60AB">
      <w:pPr>
        <w:pStyle w:val="BodyText"/>
      </w:pPr>
      <w:r w:rsidRPr="00F26BEE">
        <w:t>Current existing controls for this hazard include:</w:t>
      </w:r>
    </w:p>
    <w:p w14:paraId="7135F3B8" w14:textId="4E45F988" w:rsidR="007B60AB" w:rsidRPr="00F26BEE" w:rsidRDefault="007B60AB" w:rsidP="006670D2">
      <w:pPr>
        <w:pStyle w:val="PullOutBoxBullet"/>
      </w:pPr>
      <w:r w:rsidRPr="00F26BEE">
        <w:t>Bushfire suppression. Th</w:t>
      </w:r>
      <w:r w:rsidR="00E51521">
        <w:t>e</w:t>
      </w:r>
      <w:r w:rsidRPr="00F26BEE">
        <w:t xml:space="preserve"> risk</w:t>
      </w:r>
      <w:r w:rsidR="00E51521">
        <w:t xml:space="preserve"> to this species</w:t>
      </w:r>
      <w:r w:rsidRPr="00F26BEE">
        <w:t xml:space="preserve"> is not effectively controlled; the scale and intensity of recent bushfires means that, despite the frameworks and available resources, emergency response does not always </w:t>
      </w:r>
      <w:r w:rsidR="002534BB">
        <w:t>mitigate</w:t>
      </w:r>
      <w:r w:rsidRPr="00F26BEE">
        <w:t xml:space="preserve"> impacts on </w:t>
      </w:r>
      <w:r w:rsidR="002B62F2">
        <w:t>this species.</w:t>
      </w:r>
    </w:p>
    <w:p w14:paraId="3DD3D673" w14:textId="328735CF" w:rsidR="007B60AB" w:rsidRPr="00FF310C" w:rsidRDefault="007B60A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15</w:t>
      </w:r>
      <w:r w:rsidR="000B6788" w:rsidRPr="00B6162A">
        <w:rPr>
          <w:bCs/>
          <w:noProof/>
        </w:rPr>
        <w:fldChar w:fldCharType="end"/>
      </w:r>
      <w:r w:rsidRPr="00FF310C">
        <w:t>. Claytons Spiny Crayfish protection requirements and recommendations for bushfire</w:t>
      </w:r>
    </w:p>
    <w:tbl>
      <w:tblPr>
        <w:tblStyle w:val="TableGrid"/>
        <w:tblW w:w="0" w:type="auto"/>
        <w:tblLook w:val="04A0" w:firstRow="1" w:lastRow="0" w:firstColumn="1" w:lastColumn="0" w:noHBand="0" w:noVBand="1"/>
      </w:tblPr>
      <w:tblGrid>
        <w:gridCol w:w="2694"/>
        <w:gridCol w:w="6945"/>
      </w:tblGrid>
      <w:tr w:rsidR="007B60AB" w:rsidRPr="00F26BEE" w14:paraId="25853DFF" w14:textId="77777777" w:rsidTr="0045799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vAlign w:val="center"/>
          </w:tcPr>
          <w:p w14:paraId="02D6D651" w14:textId="77777777" w:rsidR="007B60AB" w:rsidRPr="00F26BEE" w:rsidRDefault="007B60AB" w:rsidP="00296E0F">
            <w:pPr>
              <w:pStyle w:val="BodyText"/>
            </w:pPr>
            <w:r w:rsidRPr="00F26BEE">
              <w:t>Requirement</w:t>
            </w:r>
          </w:p>
        </w:tc>
        <w:tc>
          <w:tcPr>
            <w:tcW w:w="6945" w:type="dxa"/>
            <w:vAlign w:val="center"/>
          </w:tcPr>
          <w:p w14:paraId="06E8A16B" w14:textId="77777777" w:rsidR="007B60AB" w:rsidRPr="00F26BEE" w:rsidRDefault="007B60AB" w:rsidP="00296E0F">
            <w:pPr>
              <w:pStyle w:val="BodyText"/>
              <w:cnfStyle w:val="100000000000" w:firstRow="1" w:lastRow="0" w:firstColumn="0" w:lastColumn="0" w:oddVBand="0" w:evenVBand="0" w:oddHBand="0" w:evenHBand="0" w:firstRowFirstColumn="0" w:firstRowLastColumn="0" w:lastRowFirstColumn="0" w:lastRowLastColumn="0"/>
            </w:pPr>
            <w:r w:rsidRPr="00F26BEE">
              <w:t>Recommendation</w:t>
            </w:r>
          </w:p>
        </w:tc>
      </w:tr>
      <w:tr w:rsidR="007B60AB" w:rsidRPr="00F26BEE" w14:paraId="1413DA18" w14:textId="77777777" w:rsidTr="0045799B">
        <w:tc>
          <w:tcPr>
            <w:tcW w:w="2694" w:type="dxa"/>
            <w:vAlign w:val="center"/>
          </w:tcPr>
          <w:p w14:paraId="03A82BFC" w14:textId="5138F1CE" w:rsidR="007B60AB" w:rsidRPr="00F26BEE" w:rsidRDefault="00620403" w:rsidP="00296E0F">
            <w:pPr>
              <w:pStyle w:val="BodyText"/>
            </w:pPr>
            <w:r>
              <w:t>Priority management actions</w:t>
            </w:r>
          </w:p>
        </w:tc>
        <w:tc>
          <w:tcPr>
            <w:tcW w:w="6945" w:type="dxa"/>
            <w:vAlign w:val="center"/>
          </w:tcPr>
          <w:p w14:paraId="65AC0A4B" w14:textId="7A6A412E" w:rsidR="007B60AB" w:rsidRPr="00F26BEE" w:rsidRDefault="00AD0AE0" w:rsidP="006670D2">
            <w:pPr>
              <w:pStyle w:val="PullOutBoxBullet"/>
            </w:pPr>
            <w:r w:rsidRPr="00DA300A">
              <w:t xml:space="preserve">Target fire suppression activities to protect important populations </w:t>
            </w:r>
            <w:r>
              <w:t>and</w:t>
            </w:r>
            <w:r w:rsidRPr="00DA300A">
              <w:t xml:space="preserve"> unburnt habitat</w:t>
            </w:r>
            <w:r w:rsidR="00DC512A">
              <w:t>.</w:t>
            </w:r>
          </w:p>
        </w:tc>
      </w:tr>
      <w:tr w:rsidR="007B60AB" w:rsidRPr="00867DAA" w14:paraId="4679DD0E" w14:textId="77777777" w:rsidTr="0045799B">
        <w:tc>
          <w:tcPr>
            <w:tcW w:w="2694" w:type="dxa"/>
            <w:vAlign w:val="center"/>
          </w:tcPr>
          <w:p w14:paraId="57C2B1C0" w14:textId="789E9221" w:rsidR="007B60AB" w:rsidRPr="00F26BEE" w:rsidRDefault="00620403" w:rsidP="00296E0F">
            <w:pPr>
              <w:pStyle w:val="BodyText"/>
            </w:pPr>
            <w:r>
              <w:t>Potential m</w:t>
            </w:r>
            <w:r w:rsidR="007B60AB" w:rsidRPr="00F26BEE">
              <w:t>anagement actions</w:t>
            </w:r>
          </w:p>
        </w:tc>
        <w:tc>
          <w:tcPr>
            <w:tcW w:w="6945" w:type="dxa"/>
            <w:vAlign w:val="center"/>
          </w:tcPr>
          <w:p w14:paraId="5A2131A1" w14:textId="72C2FD29" w:rsidR="007B60AB" w:rsidRPr="00DA300A" w:rsidRDefault="007B60AB" w:rsidP="006670D2">
            <w:pPr>
              <w:pStyle w:val="PullOutBoxBullet"/>
              <w:rPr>
                <w:rFonts w:ascii="Arial" w:hAnsi="Arial"/>
                <w:color w:val="363534"/>
              </w:rPr>
            </w:pPr>
            <w:r w:rsidRPr="00DA300A">
              <w:t>Undertake extensive surveys to confirm population persistence and extant in the post fire landscape, with research into how fire effects habitat values and population persistence.</w:t>
            </w:r>
          </w:p>
        </w:tc>
      </w:tr>
    </w:tbl>
    <w:p w14:paraId="4C224DAF" w14:textId="77777777" w:rsidR="007B60AB" w:rsidRDefault="007B60AB" w:rsidP="007E5EBF">
      <w:pPr>
        <w:pStyle w:val="Heading3"/>
      </w:pPr>
      <w:r>
        <w:t>Forestry operations</w:t>
      </w:r>
    </w:p>
    <w:p w14:paraId="5B0B061E" w14:textId="65C621E1" w:rsidR="007B60AB" w:rsidRPr="001C0DE0" w:rsidRDefault="00DA300A" w:rsidP="007B60AB">
      <w:pPr>
        <w:pStyle w:val="Heading5"/>
        <w:numPr>
          <w:ilvl w:val="0"/>
          <w:numId w:val="0"/>
        </w:numPr>
        <w:ind w:left="1008" w:hanging="1008"/>
      </w:pPr>
      <w:r>
        <w:t>Forestry</w:t>
      </w:r>
      <w:r w:rsidR="007B60AB">
        <w:t xml:space="preserve"> operations and roading</w:t>
      </w:r>
    </w:p>
    <w:p w14:paraId="50F69B0B" w14:textId="12283695" w:rsidR="007B60AB" w:rsidRDefault="007B60AB" w:rsidP="007B60AB">
      <w:pPr>
        <w:pStyle w:val="BodyText"/>
      </w:pPr>
      <w:r w:rsidRPr="005A0D65">
        <w:t xml:space="preserve">Soil erosion and instream sedimentation can impact this </w:t>
      </w:r>
      <w:r w:rsidR="004F20EF">
        <w:t>species</w:t>
      </w:r>
      <w:r w:rsidRPr="005A0D65">
        <w:t xml:space="preserve"> by negatively affecting the quality of the </w:t>
      </w:r>
      <w:r>
        <w:t>water</w:t>
      </w:r>
      <w:r w:rsidRPr="005A0D65">
        <w:t xml:space="preserve"> they </w:t>
      </w:r>
      <w:r>
        <w:t>occur in,</w:t>
      </w:r>
      <w:r w:rsidRPr="005A0D65">
        <w:t xml:space="preserve"> smothering the stream bed which reduces food supplies</w:t>
      </w:r>
      <w:r>
        <w:t xml:space="preserve"> and </w:t>
      </w:r>
      <w:r w:rsidRPr="005A0D65">
        <w:t>preferred heterogeneous habitat, and eliminat</w:t>
      </w:r>
      <w:r>
        <w:t>ing</w:t>
      </w:r>
      <w:r w:rsidRPr="005A0D65">
        <w:t xml:space="preserve"> key spawning areas. These outcomes can directly affect the </w:t>
      </w:r>
      <w:r w:rsidR="004F20EF">
        <w:t>species</w:t>
      </w:r>
      <w:r>
        <w:t xml:space="preserve"> </w:t>
      </w:r>
      <w:r w:rsidRPr="005A0D65">
        <w:t xml:space="preserve">by increasing mortality </w:t>
      </w:r>
      <w:r>
        <w:t xml:space="preserve">by </w:t>
      </w:r>
      <w:r w:rsidRPr="005A0D65">
        <w:t xml:space="preserve">choking and starving, </w:t>
      </w:r>
      <w:r>
        <w:t>by making them more</w:t>
      </w:r>
      <w:r w:rsidRPr="005A0D65">
        <w:t xml:space="preserve"> prone to aquatic predators</w:t>
      </w:r>
      <w:r>
        <w:t xml:space="preserve"> and </w:t>
      </w:r>
      <w:r w:rsidRPr="005A0D65">
        <w:t>smothering of eggs</w:t>
      </w:r>
      <w:r>
        <w:t xml:space="preserve">, </w:t>
      </w:r>
      <w:r w:rsidRPr="005A0D65">
        <w:t xml:space="preserve">and indirectly </w:t>
      </w:r>
      <w:r>
        <w:t xml:space="preserve">by </w:t>
      </w:r>
      <w:r w:rsidRPr="005A0D65">
        <w:t>reducing population abundance, leading to lower resilience/less evolutionary potential</w:t>
      </w:r>
      <w:r>
        <w:t xml:space="preserve"> and</w:t>
      </w:r>
      <w:r w:rsidRPr="005A0D65">
        <w:t xml:space="preserve"> increased extinction risk. Timber harvesting activities of particular concern are those which facilitate soil disturbance and soil transport by rainfall/water flow into the catchment drainage network </w:t>
      </w:r>
      <w:r>
        <w:t>such as t</w:t>
      </w:r>
      <w:r w:rsidRPr="005A0D65">
        <w:t xml:space="preserve">he wet and dry connected linear system of drainage lines and stream channels. Broadly, these relate to roading </w:t>
      </w:r>
      <w:r>
        <w:t xml:space="preserve">with </w:t>
      </w:r>
      <w:r w:rsidRPr="005A0D65">
        <w:t>direct sediment input at stream crossings and from road drainage and harvesting operations</w:t>
      </w:r>
      <w:r>
        <w:t>,</w:t>
      </w:r>
      <w:r w:rsidRPr="005A0D65">
        <w:t xml:space="preserve"> </w:t>
      </w:r>
      <w:r>
        <w:t xml:space="preserve">with </w:t>
      </w:r>
      <w:r w:rsidRPr="005A0D65">
        <w:t>direct sediment input into unbuffered sections of drainage lines or via harvesting disturbance in filter strips</w:t>
      </w:r>
      <w:r>
        <w:t xml:space="preserve">, and </w:t>
      </w:r>
      <w:r w:rsidRPr="005A0D65">
        <w:t>indirectly through inappropriate buffers which lack the ability to prevent sediment reaching the drainage network during high rainfall events.</w:t>
      </w:r>
      <w:r w:rsidRPr="005C53A0">
        <w:t xml:space="preserve"> This </w:t>
      </w:r>
      <w:r w:rsidR="008C3AED">
        <w:t>species</w:t>
      </w:r>
      <w:r w:rsidRPr="005C53A0">
        <w:t xml:space="preserve"> is a ‘species of concern’ for forestry following the 2019-20 bushfires. </w:t>
      </w:r>
    </w:p>
    <w:p w14:paraId="43EC8B85" w14:textId="1270EE20" w:rsidR="00DC7311" w:rsidRPr="00FD57DB" w:rsidRDefault="008C284E" w:rsidP="007B60AB">
      <w:pPr>
        <w:pStyle w:val="BodyText"/>
        <w:rPr>
          <w:rFonts w:ascii="Arial" w:hAnsi="Arial"/>
        </w:rPr>
      </w:pPr>
      <w:r w:rsidRPr="00FD57DB">
        <w:rPr>
          <w:rFonts w:ascii="Arial" w:hAnsi="Arial"/>
        </w:rPr>
        <w:t>Based on the 2015 net harvest area layer</w:t>
      </w:r>
      <w:r w:rsidR="00F3065C" w:rsidRPr="00FD57DB">
        <w:rPr>
          <w:rFonts w:ascii="Arial" w:hAnsi="Arial"/>
        </w:rPr>
        <w:t>,</w:t>
      </w:r>
      <w:r w:rsidR="00DC7311" w:rsidRPr="00FD57DB">
        <w:rPr>
          <w:rFonts w:ascii="Arial" w:hAnsi="Arial"/>
        </w:rPr>
        <w:t xml:space="preserve"> 25% of the </w:t>
      </w:r>
      <w:r w:rsidR="00204DA9">
        <w:rPr>
          <w:rFonts w:ascii="Arial" w:hAnsi="Arial"/>
        </w:rPr>
        <w:t>species’</w:t>
      </w:r>
      <w:r w:rsidR="00DC7311" w:rsidRPr="00FD57DB">
        <w:rPr>
          <w:rFonts w:ascii="Arial" w:hAnsi="Arial"/>
        </w:rPr>
        <w:t xml:space="preserve"> catchment and important populations occur in merchantable area</w:t>
      </w:r>
      <w:r w:rsidR="00C367E0" w:rsidRPr="00FD57DB">
        <w:rPr>
          <w:rFonts w:ascii="Arial" w:hAnsi="Arial"/>
        </w:rPr>
        <w:t>s</w:t>
      </w:r>
      <w:r w:rsidR="00DC7311" w:rsidRPr="00FD57DB">
        <w:rPr>
          <w:rFonts w:ascii="Arial" w:hAnsi="Arial"/>
        </w:rPr>
        <w:t>. Using the revised operable area layer this has reduced to 7%</w:t>
      </w:r>
      <w:r w:rsidR="000A261F" w:rsidRPr="00FD57DB">
        <w:rPr>
          <w:rFonts w:ascii="Arial" w:hAnsi="Arial"/>
        </w:rPr>
        <w:t>. The impact of roading for forestry operations is related to the number and</w:t>
      </w:r>
      <w:r w:rsidR="00D15639" w:rsidRPr="00FD57DB">
        <w:rPr>
          <w:rFonts w:ascii="Arial" w:hAnsi="Arial"/>
        </w:rPr>
        <w:t xml:space="preserve"> location of permanent, secondary</w:t>
      </w:r>
      <w:r w:rsidR="008903DF" w:rsidRPr="00FD57DB">
        <w:rPr>
          <w:rFonts w:ascii="Arial" w:hAnsi="Arial"/>
        </w:rPr>
        <w:t>,</w:t>
      </w:r>
      <w:r w:rsidR="00D15639" w:rsidRPr="00FD57DB">
        <w:rPr>
          <w:rFonts w:ascii="Arial" w:hAnsi="Arial"/>
        </w:rPr>
        <w:t xml:space="preserve"> or temporary coupe tracks which cross the stream network (drainage lines to stream channels). </w:t>
      </w:r>
    </w:p>
    <w:p w14:paraId="5D6AF8A3" w14:textId="527127C6" w:rsidR="007B60AB" w:rsidRDefault="007B60AB" w:rsidP="007B60AB">
      <w:pPr>
        <w:pStyle w:val="BodyText"/>
      </w:pPr>
      <w:r w:rsidRPr="00660ABA">
        <w:t>Current existing controls for this hazard includ</w:t>
      </w:r>
      <w:r>
        <w:t>e:</w:t>
      </w:r>
    </w:p>
    <w:p w14:paraId="6BD16C3D" w14:textId="767C2234" w:rsidR="007B60AB" w:rsidRDefault="007B60AB" w:rsidP="006670D2">
      <w:pPr>
        <w:pStyle w:val="PullOutBoxBullet"/>
        <w:rPr>
          <w:rFonts w:eastAsiaTheme="minorEastAsia" w:cstheme="minorBidi"/>
          <w:sz w:val="22"/>
          <w:szCs w:val="22"/>
        </w:rPr>
      </w:pPr>
      <w:r w:rsidRPr="4F453272">
        <w:t xml:space="preserve">The </w:t>
      </w:r>
      <w:r w:rsidRPr="4F453272">
        <w:rPr>
          <w:i/>
          <w:iCs/>
        </w:rPr>
        <w:t xml:space="preserve">Code of Practice for Timber Production 2014. </w:t>
      </w:r>
      <w:r>
        <w:t xml:space="preserve">There </w:t>
      </w:r>
      <w:r w:rsidR="007C1A6E">
        <w:t>is</w:t>
      </w:r>
      <w:r>
        <w:t xml:space="preserve"> no species-specific prescription </w:t>
      </w:r>
      <w:r w:rsidRPr="4F453272">
        <w:t xml:space="preserve">for this </w:t>
      </w:r>
      <w:r w:rsidR="00EE5465">
        <w:t>species</w:t>
      </w:r>
      <w:r w:rsidRPr="4F453272">
        <w:t xml:space="preserve"> in the Code, however the Code includes general protections for waterways including a prohibition on harvesting, the application of buffers and </w:t>
      </w:r>
      <w:r w:rsidR="00253811" w:rsidRPr="00915D82">
        <w:t>design standards for roads, crossings</w:t>
      </w:r>
      <w:r w:rsidR="008903DF" w:rsidRPr="00915D82">
        <w:t>,</w:t>
      </w:r>
      <w:r w:rsidR="00253811" w:rsidRPr="00915D82">
        <w:t xml:space="preserve"> and coupe infrastructure</w:t>
      </w:r>
      <w:r w:rsidRPr="4F453272">
        <w:t xml:space="preserve">. The lack of a specific prescription </w:t>
      </w:r>
      <w:r>
        <w:t xml:space="preserve">and ongoing uncertainty about the effectiveness of current waterway prescriptions </w:t>
      </w:r>
      <w:r w:rsidRPr="4F453272">
        <w:t xml:space="preserve">leads to the effectiveness of the Code being assessed as poor for this </w:t>
      </w:r>
      <w:r w:rsidR="00C83BF2">
        <w:t>species</w:t>
      </w:r>
      <w:r w:rsidRPr="4F453272">
        <w:t>.</w:t>
      </w:r>
    </w:p>
    <w:p w14:paraId="5C3256FF" w14:textId="280BA05E" w:rsidR="007B60AB" w:rsidRPr="00D829C5" w:rsidRDefault="007B60AB"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poor</w:t>
      </w:r>
      <w:r w:rsidRPr="4F453272">
        <w:t xml:space="preserve"> as </w:t>
      </w:r>
      <w:r>
        <w:t>only 30</w:t>
      </w:r>
      <w:r w:rsidRPr="4F453272">
        <w:t xml:space="preserve">% of the </w:t>
      </w:r>
      <w:r w:rsidR="00C83BF2">
        <w:t>species’</w:t>
      </w:r>
      <w:r w:rsidRPr="4F453272">
        <w:t xml:space="preserve"> </w:t>
      </w:r>
      <w:r>
        <w:t>catchments</w:t>
      </w:r>
      <w:r w:rsidRPr="4F453272">
        <w:t xml:space="preserve"> and important populations are within the reserve system</w:t>
      </w:r>
      <w:r w:rsidR="006D0CAC">
        <w:t>.</w:t>
      </w:r>
    </w:p>
    <w:p w14:paraId="3E06E1E0" w14:textId="77777777" w:rsidR="00AB65FA" w:rsidRDefault="00AB65FA">
      <w:pPr>
        <w:rPr>
          <w:b/>
          <w:sz w:val="16"/>
          <w:szCs w:val="16"/>
        </w:rPr>
      </w:pPr>
      <w:r>
        <w:br w:type="page"/>
      </w:r>
    </w:p>
    <w:p w14:paraId="124051C7" w14:textId="11E8592E" w:rsidR="007B60AB" w:rsidRPr="00FF310C" w:rsidRDefault="007B60A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16</w:t>
      </w:r>
      <w:r w:rsidR="000B6788" w:rsidRPr="00B6162A">
        <w:rPr>
          <w:bCs/>
          <w:noProof/>
        </w:rPr>
        <w:fldChar w:fldCharType="end"/>
      </w:r>
      <w:r w:rsidRPr="00FF310C">
        <w:t>. Claytons Spiny Crayfish protection requirements and recommendations for forestry operations and roading</w:t>
      </w:r>
    </w:p>
    <w:tbl>
      <w:tblPr>
        <w:tblStyle w:val="TableGrid"/>
        <w:tblW w:w="0" w:type="auto"/>
        <w:tblLook w:val="04A0" w:firstRow="1" w:lastRow="0" w:firstColumn="1" w:lastColumn="0" w:noHBand="0" w:noVBand="1"/>
      </w:tblPr>
      <w:tblGrid>
        <w:gridCol w:w="2268"/>
        <w:gridCol w:w="7087"/>
      </w:tblGrid>
      <w:tr w:rsidR="007B60AB" w:rsidRPr="00867DAA" w14:paraId="6669DCE7" w14:textId="77777777" w:rsidTr="0045799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88DEA4D" w14:textId="77777777" w:rsidR="007B60AB" w:rsidRPr="007B5B86" w:rsidRDefault="007B60AB" w:rsidP="00452D08">
            <w:pPr>
              <w:pStyle w:val="BodyText"/>
            </w:pPr>
            <w:r w:rsidRPr="007B5B86">
              <w:t>Requirement</w:t>
            </w:r>
          </w:p>
        </w:tc>
        <w:tc>
          <w:tcPr>
            <w:tcW w:w="7087" w:type="dxa"/>
          </w:tcPr>
          <w:p w14:paraId="07626FDB" w14:textId="77777777" w:rsidR="007B60AB" w:rsidRPr="007B5B86" w:rsidRDefault="007B60AB" w:rsidP="00452D08">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7B60AB" w:rsidRPr="00867DAA" w14:paraId="6EC49525" w14:textId="77777777" w:rsidTr="0045799B">
        <w:tc>
          <w:tcPr>
            <w:tcW w:w="2268" w:type="dxa"/>
          </w:tcPr>
          <w:p w14:paraId="064C7A8A" w14:textId="77777777" w:rsidR="007B60AB" w:rsidRPr="00867DAA" w:rsidRDefault="007B60AB" w:rsidP="00452D08">
            <w:pPr>
              <w:pStyle w:val="BodyText"/>
            </w:pPr>
            <w:r w:rsidRPr="00867DAA">
              <w:t>Interim protections</w:t>
            </w:r>
          </w:p>
        </w:tc>
        <w:tc>
          <w:tcPr>
            <w:tcW w:w="7087" w:type="dxa"/>
          </w:tcPr>
          <w:p w14:paraId="53AE25CC" w14:textId="19B59773" w:rsidR="007F59BF" w:rsidRDefault="007F59BF" w:rsidP="007F59BF">
            <w:pPr>
              <w:pStyle w:val="BodyText"/>
              <w:rPr>
                <w:rFonts w:ascii="Arial" w:eastAsia="Calibri" w:hAnsi="Arial" w:cs="Arial"/>
              </w:rPr>
            </w:pPr>
            <w:r w:rsidRPr="002A10F6">
              <w:rPr>
                <w:rFonts w:ascii="Arial" w:eastAsia="Calibri" w:hAnsi="Arial" w:cs="Arial"/>
              </w:rPr>
              <w:t xml:space="preserve">Within </w:t>
            </w:r>
            <w:r w:rsidRPr="00486957">
              <w:rPr>
                <w:rFonts w:ascii="Arial" w:eastAsia="Calibri" w:hAnsi="Arial" w:cs="Arial"/>
              </w:rPr>
              <w:t>the East Gippsland RFA</w:t>
            </w:r>
            <w:r w:rsidR="006D2FED">
              <w:rPr>
                <w:rFonts w:ascii="Arial" w:eastAsia="Calibri" w:hAnsi="Arial" w:cs="Arial"/>
              </w:rPr>
              <w:t xml:space="preserve"> region</w:t>
            </w:r>
            <w:r w:rsidRPr="00486957">
              <w:rPr>
                <w:rFonts w:ascii="Arial" w:eastAsia="Calibri" w:hAnsi="Arial" w:cs="Arial"/>
              </w:rPr>
              <w:t xml:space="preserve">, the </w:t>
            </w:r>
            <w:r w:rsidRPr="00FD57DB">
              <w:rPr>
                <w:rFonts w:ascii="Arial" w:eastAsia="Calibri" w:hAnsi="Arial" w:cs="Arial"/>
              </w:rPr>
              <w:t xml:space="preserve">Secretary </w:t>
            </w:r>
            <w:r w:rsidRPr="002A10F6">
              <w:rPr>
                <w:rFonts w:ascii="Arial" w:eastAsia="Calibri" w:hAnsi="Arial" w:cs="Arial"/>
              </w:rPr>
              <w:t xml:space="preserve">will establish </w:t>
            </w:r>
            <w:r w:rsidRPr="00FD57DB">
              <w:rPr>
                <w:rFonts w:ascii="Arial" w:eastAsia="Calibri" w:hAnsi="Arial" w:cs="Arial"/>
              </w:rPr>
              <w:t>Special Management Zone(s)</w:t>
            </w:r>
            <w:r>
              <w:rPr>
                <w:rFonts w:ascii="Arial" w:eastAsia="Calibri" w:hAnsi="Arial" w:cs="Arial"/>
              </w:rPr>
              <w:t xml:space="preserve"> (SMZ)</w:t>
            </w:r>
            <w:r w:rsidRPr="002A10F6">
              <w:rPr>
                <w:rFonts w:ascii="Arial" w:eastAsia="Calibri" w:hAnsi="Arial" w:cs="Arial"/>
              </w:rPr>
              <w:t xml:space="preserve"> to the</w:t>
            </w:r>
            <w:r w:rsidRPr="00486957">
              <w:rPr>
                <w:rFonts w:ascii="Arial" w:eastAsia="Calibri" w:hAnsi="Arial" w:cs="Arial"/>
              </w:rPr>
              <w:t xml:space="preserve"> catchment of the Claytons Spiny Crayfish with the following conditions: </w:t>
            </w:r>
          </w:p>
          <w:p w14:paraId="5AECF0E1" w14:textId="77777777" w:rsidR="007F59BF" w:rsidRDefault="007F59BF" w:rsidP="007F59BF">
            <w:pPr>
              <w:pStyle w:val="BodyText"/>
              <w:spacing w:line="240" w:lineRule="auto"/>
            </w:pPr>
            <w:r w:rsidRPr="00BF3332">
              <w:t xml:space="preserve">Where one or more individuals of </w:t>
            </w:r>
            <w:r>
              <w:t>Clayton’s Spiny Crayfish</w:t>
            </w:r>
            <w:r w:rsidRPr="00BF3332">
              <w:t xml:space="preserve"> have been verified:</w:t>
            </w:r>
          </w:p>
          <w:p w14:paraId="4EE1C58C" w14:textId="57E00EA9" w:rsidR="007F59BF" w:rsidRPr="00330A6C" w:rsidRDefault="007F59BF" w:rsidP="006670D2">
            <w:pPr>
              <w:pStyle w:val="PullOutBoxBullet"/>
            </w:pPr>
            <w:r>
              <w:t xml:space="preserve">Environments with high soil absorption capacity </w:t>
            </w:r>
            <w:r w:rsidRPr="00330A6C">
              <w:t xml:space="preserve">(refer to Appendix </w:t>
            </w:r>
            <w:r w:rsidR="00F64DB7">
              <w:t>3</w:t>
            </w:r>
            <w:r w:rsidRPr="00330A6C">
              <w:t>)</w:t>
            </w:r>
            <w:r>
              <w:t>:</w:t>
            </w:r>
          </w:p>
          <w:p w14:paraId="46647595" w14:textId="77777777" w:rsidR="007F59BF" w:rsidRPr="00603FA2" w:rsidRDefault="007F59BF" w:rsidP="0029709B">
            <w:pPr>
              <w:pStyle w:val="PullOutBoxBullet2"/>
            </w:pPr>
            <w:r w:rsidRPr="00603FA2">
              <w:t xml:space="preserve">Apply </w:t>
            </w:r>
            <w:r>
              <w:t>40</w:t>
            </w:r>
            <w:r w:rsidRPr="00603FA2">
              <w:t xml:space="preserve"> metre (m) buffers either side of all mapped and unmapped permanent streams and temporary streams upstream and downstream of the value to the watershed boundary (on average 1km but responsive to local </w:t>
            </w:r>
            <w:r>
              <w:t>topography; see Figure 1</w:t>
            </w:r>
            <w:r w:rsidRPr="00603FA2">
              <w:t xml:space="preserve">); </w:t>
            </w:r>
          </w:p>
          <w:p w14:paraId="16FFBA49" w14:textId="77777777" w:rsidR="007F59BF" w:rsidRPr="00603FA2" w:rsidRDefault="007F59BF" w:rsidP="0029709B">
            <w:pPr>
              <w:pStyle w:val="PullOutBoxBullet2"/>
            </w:pPr>
            <w:r w:rsidRPr="00603FA2">
              <w:t xml:space="preserve">Apply </w:t>
            </w:r>
            <w:r>
              <w:t>30</w:t>
            </w:r>
            <w:r w:rsidRPr="00603FA2">
              <w:t xml:space="preserve"> metre (m) buffers </w:t>
            </w:r>
            <w:r>
              <w:t xml:space="preserve">plus 10 metre (m) filter strips </w:t>
            </w:r>
            <w:r w:rsidRPr="00603FA2">
              <w:t xml:space="preserve">to either side of drainage lines upstream and downstream of the value to the watershed boundary (on average 1km but responsive to local </w:t>
            </w:r>
            <w:r>
              <w:t>topography</w:t>
            </w:r>
            <w:r w:rsidRPr="00603FA2">
              <w:t>);</w:t>
            </w:r>
          </w:p>
          <w:p w14:paraId="6B9A3E3C" w14:textId="7D1FAF42" w:rsidR="007F59BF" w:rsidRPr="00330A6C" w:rsidRDefault="007F59BF" w:rsidP="006670D2">
            <w:pPr>
              <w:pStyle w:val="PullOutBoxBullet"/>
            </w:pPr>
            <w:r>
              <w:t xml:space="preserve">Environments with low soil absorption capacity </w:t>
            </w:r>
            <w:r w:rsidRPr="00330A6C">
              <w:t xml:space="preserve">(refer to Appendix </w:t>
            </w:r>
            <w:r w:rsidR="00F64DB7">
              <w:t>3</w:t>
            </w:r>
            <w:r w:rsidRPr="00330A6C">
              <w:t>)</w:t>
            </w:r>
            <w:r>
              <w:t>:</w:t>
            </w:r>
          </w:p>
          <w:p w14:paraId="17527B16" w14:textId="77777777" w:rsidR="007F59BF" w:rsidRPr="00603FA2" w:rsidRDefault="007F59BF" w:rsidP="0029709B">
            <w:pPr>
              <w:pStyle w:val="PullOutBoxBullet2"/>
            </w:pPr>
            <w:r w:rsidRPr="00603FA2">
              <w:t xml:space="preserve">Apply </w:t>
            </w:r>
            <w:r>
              <w:t>60</w:t>
            </w:r>
            <w:r w:rsidRPr="00603FA2">
              <w:t xml:space="preserve"> metre (m) buffers either side of all mapped and unmapped permanent streams and temporary streams upstream and downstream of the value to the watershed boundary (on average 1km but responsive to local </w:t>
            </w:r>
            <w:r>
              <w:t>topography</w:t>
            </w:r>
            <w:r w:rsidRPr="00603FA2">
              <w:t xml:space="preserve">); </w:t>
            </w:r>
          </w:p>
          <w:p w14:paraId="5248B510" w14:textId="77777777" w:rsidR="007F59BF" w:rsidRPr="00603FA2" w:rsidRDefault="007F59BF" w:rsidP="0029709B">
            <w:pPr>
              <w:pStyle w:val="PullOutBoxBullet2"/>
            </w:pPr>
            <w:r w:rsidRPr="00603FA2">
              <w:t xml:space="preserve">Apply </w:t>
            </w:r>
            <w:r>
              <w:t>40</w:t>
            </w:r>
            <w:r w:rsidRPr="00603FA2">
              <w:t xml:space="preserve"> metre (m) buffers </w:t>
            </w:r>
            <w:r>
              <w:t xml:space="preserve">plus 20 metre (m) filter strips </w:t>
            </w:r>
            <w:r w:rsidRPr="00603FA2">
              <w:t xml:space="preserve">to either side of drainage lines upstream and downstream of the value to the watershed boundary (on average 1km but responsive to local </w:t>
            </w:r>
            <w:r>
              <w:t>topography</w:t>
            </w:r>
            <w:r w:rsidRPr="00603FA2">
              <w:t>);</w:t>
            </w:r>
          </w:p>
          <w:p w14:paraId="54A23B2A" w14:textId="0951E85E" w:rsidR="00981782" w:rsidRPr="008608A0" w:rsidRDefault="00C96A64" w:rsidP="006670D2">
            <w:pPr>
              <w:pStyle w:val="PullOutBoxBullet"/>
            </w:pPr>
            <w:r w:rsidRPr="00291BDC">
              <w:t xml:space="preserve">No new </w:t>
            </w:r>
            <w:r w:rsidRPr="00FD57DB">
              <w:t>road</w:t>
            </w:r>
            <w:r w:rsidRPr="00B6162A">
              <w:t xml:space="preserve">, </w:t>
            </w:r>
            <w:r w:rsidRPr="00FD57DB">
              <w:t>snig track</w:t>
            </w:r>
            <w:r w:rsidRPr="00B6162A">
              <w:t xml:space="preserve">, </w:t>
            </w:r>
            <w:r w:rsidRPr="00FD57DB">
              <w:t>in-coupe road</w:t>
            </w:r>
            <w:r w:rsidRPr="00B6162A">
              <w:t xml:space="preserve">, </w:t>
            </w:r>
            <w:r w:rsidRPr="00FD57DB">
              <w:t>coupe driveway,</w:t>
            </w:r>
            <w:r w:rsidRPr="00603FA2">
              <w:t xml:space="preserve"> </w:t>
            </w:r>
            <w:r w:rsidRPr="00FD57DB">
              <w:t>coupe infrastructure</w:t>
            </w:r>
            <w:r w:rsidRPr="00B6162A">
              <w:t xml:space="preserve"> or stream crossing shall be constructed within or through any </w:t>
            </w:r>
            <w:r w:rsidRPr="00FD57DB">
              <w:t>buffer</w:t>
            </w:r>
            <w:r w:rsidRPr="00B6162A">
              <w:t xml:space="preserve"> without an approved exemption from the </w:t>
            </w:r>
            <w:r w:rsidRPr="00FD57DB">
              <w:t>Secretary</w:t>
            </w:r>
            <w:r w:rsidR="00442C84" w:rsidRPr="00603FA2">
              <w:t xml:space="preserve"> </w:t>
            </w:r>
            <w:r w:rsidR="00442C84">
              <w:rPr>
                <w:rFonts w:ascii="Arial" w:hAnsi="Arial" w:cs="Arial"/>
              </w:rPr>
              <w:t>(See Map 1).</w:t>
            </w:r>
          </w:p>
        </w:tc>
      </w:tr>
      <w:tr w:rsidR="0038598B" w:rsidRPr="00867DAA" w14:paraId="23729CCF" w14:textId="77777777" w:rsidTr="003A2682">
        <w:tc>
          <w:tcPr>
            <w:tcW w:w="2268" w:type="dxa"/>
          </w:tcPr>
          <w:p w14:paraId="7891D587" w14:textId="4A6A3387" w:rsidR="0038598B" w:rsidRPr="00867DAA" w:rsidRDefault="0038598B" w:rsidP="00452D08">
            <w:pPr>
              <w:pStyle w:val="BodyText"/>
            </w:pPr>
            <w:r>
              <w:t>Priority management actions</w:t>
            </w:r>
          </w:p>
        </w:tc>
        <w:tc>
          <w:tcPr>
            <w:tcW w:w="7087" w:type="dxa"/>
          </w:tcPr>
          <w:p w14:paraId="0DB99415" w14:textId="5D469FD3" w:rsidR="0038598B" w:rsidRPr="003566BD" w:rsidRDefault="006458A2" w:rsidP="00363504">
            <w:pPr>
              <w:pStyle w:val="BodyText"/>
            </w:pPr>
            <w:r>
              <w:t xml:space="preserve">None </w:t>
            </w:r>
            <w:r w:rsidRPr="00363504">
              <w:rPr>
                <w:rStyle w:val="BodyTextChar"/>
              </w:rPr>
              <w:t>currently</w:t>
            </w:r>
            <w:r>
              <w:t xml:space="preserve"> identified</w:t>
            </w:r>
            <w:r w:rsidR="001A6502">
              <w:t>.</w:t>
            </w:r>
          </w:p>
        </w:tc>
      </w:tr>
      <w:tr w:rsidR="007B60AB" w:rsidRPr="00867DAA" w14:paraId="7E7F0AEC" w14:textId="77777777" w:rsidTr="003A2682">
        <w:tc>
          <w:tcPr>
            <w:tcW w:w="2268" w:type="dxa"/>
          </w:tcPr>
          <w:p w14:paraId="069A92F2" w14:textId="77777777" w:rsidR="007B60AB" w:rsidRPr="00867DAA" w:rsidRDefault="007B60AB" w:rsidP="00452D08">
            <w:pPr>
              <w:pStyle w:val="BodyText"/>
            </w:pPr>
            <w:r w:rsidRPr="00867DAA">
              <w:t>Permanent protections</w:t>
            </w:r>
          </w:p>
        </w:tc>
        <w:tc>
          <w:tcPr>
            <w:tcW w:w="7087" w:type="dxa"/>
          </w:tcPr>
          <w:p w14:paraId="730413F8" w14:textId="77777777" w:rsidR="007B60AB" w:rsidRPr="00867DAA" w:rsidRDefault="007B60AB" w:rsidP="00452D08">
            <w:pPr>
              <w:pStyle w:val="BodyText"/>
            </w:pPr>
            <w:r w:rsidRPr="003566BD">
              <w:t>Additional permanent protections may be required in the longer-term</w:t>
            </w:r>
            <w:r>
              <w:t>.</w:t>
            </w:r>
          </w:p>
        </w:tc>
      </w:tr>
      <w:tr w:rsidR="007B60AB" w:rsidRPr="00867DAA" w14:paraId="4C3AFA26" w14:textId="77777777" w:rsidTr="0045799B">
        <w:tc>
          <w:tcPr>
            <w:tcW w:w="2268" w:type="dxa"/>
          </w:tcPr>
          <w:p w14:paraId="6AD30D6C" w14:textId="39EE4831" w:rsidR="007B60AB" w:rsidRPr="00867DAA" w:rsidRDefault="00620403" w:rsidP="00452D08">
            <w:pPr>
              <w:pStyle w:val="BodyText"/>
            </w:pPr>
            <w:r>
              <w:t>Potential m</w:t>
            </w:r>
            <w:r w:rsidR="007B60AB" w:rsidRPr="00867DAA">
              <w:t>anagement actions</w:t>
            </w:r>
          </w:p>
        </w:tc>
        <w:tc>
          <w:tcPr>
            <w:tcW w:w="7087" w:type="dxa"/>
          </w:tcPr>
          <w:p w14:paraId="62F9A885" w14:textId="77777777" w:rsidR="00393769" w:rsidRPr="00393769" w:rsidRDefault="00393769" w:rsidP="006670D2">
            <w:pPr>
              <w:pStyle w:val="PullOutBoxBullet"/>
            </w:pPr>
            <w:r w:rsidRPr="00393769">
              <w:t xml:space="preserve">Species-specific code prescriptions should be considered in any future Code amendments; </w:t>
            </w:r>
          </w:p>
          <w:p w14:paraId="1EC2EEE1" w14:textId="77777777" w:rsidR="00393769" w:rsidRPr="00393769" w:rsidRDefault="00393769" w:rsidP="006670D2">
            <w:pPr>
              <w:pStyle w:val="PullOutBoxBullet"/>
            </w:pPr>
            <w:r w:rsidRPr="00393769">
              <w:t>Use the aquatic catchments for this species to identify suitable FPSP survey sites and implement and encourage surveys for this species for FPSP contractors; and</w:t>
            </w:r>
          </w:p>
          <w:p w14:paraId="3701698C" w14:textId="6BE66A49" w:rsidR="007B60AB" w:rsidRPr="00393769" w:rsidRDefault="00393769" w:rsidP="006670D2">
            <w:pPr>
              <w:pStyle w:val="PullOutBoxBullet"/>
              <w:rPr>
                <w:rFonts w:ascii="Arial" w:hAnsi="Arial"/>
                <w:color w:val="363534"/>
              </w:rPr>
            </w:pPr>
            <w:r>
              <w:t>Review and refine measures to limit stream sedimentation associated with road construction and operation.</w:t>
            </w:r>
          </w:p>
        </w:tc>
      </w:tr>
    </w:tbl>
    <w:p w14:paraId="5CB7772B" w14:textId="77777777" w:rsidR="003A2682" w:rsidRDefault="003A2682" w:rsidP="003A2682">
      <w:pPr>
        <w:pStyle w:val="BodyText"/>
        <w:spacing w:line="240" w:lineRule="auto"/>
      </w:pPr>
      <w:r>
        <w:rPr>
          <w:noProof/>
        </w:rPr>
        <w:drawing>
          <wp:inline distT="0" distB="0" distL="0" distR="0" wp14:anchorId="5AE5C810" wp14:editId="3C39065F">
            <wp:extent cx="6120765" cy="43014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765" cy="4301490"/>
                    </a:xfrm>
                    <a:prstGeom prst="rect">
                      <a:avLst/>
                    </a:prstGeom>
                  </pic:spPr>
                </pic:pic>
              </a:graphicData>
            </a:graphic>
          </wp:inline>
        </w:drawing>
      </w:r>
    </w:p>
    <w:p w14:paraId="3BC7B794" w14:textId="1D7E028B" w:rsidR="00E2072D" w:rsidRDefault="003A2682" w:rsidP="006670D2">
      <w:pPr>
        <w:pStyle w:val="Caption"/>
      </w:pPr>
      <w:bookmarkStart w:id="35" w:name="_Toc111473511"/>
      <w:r>
        <w:t>Figure 1. Example detection of a threatened aquatic species, existing Code minimum buffers and filter strips (example from sites with low water quality risk), and additional buffering from proposed prescriptions (example from galaxiid species in environments with high soil absorption capacity). Dashed line indicates 1 km radius around detections, red line shows how the 1 km radius has been modified in response to local hydrological conditions.</w:t>
      </w:r>
      <w:bookmarkEnd w:id="35"/>
      <w:r>
        <w:t xml:space="preserve"> </w:t>
      </w:r>
    </w:p>
    <w:p w14:paraId="06866736" w14:textId="775D45FD" w:rsidR="00E2072D" w:rsidRPr="00E2072D" w:rsidRDefault="00E2072D" w:rsidP="00E2072D">
      <w:pPr>
        <w:pStyle w:val="Heading3"/>
        <w:numPr>
          <w:ilvl w:val="0"/>
          <w:numId w:val="0"/>
        </w:numPr>
        <w:ind w:left="141"/>
      </w:pPr>
      <w:r>
        <w:t xml:space="preserve">4.2.5 </w:t>
      </w:r>
      <w:r w:rsidR="007B60AB">
        <w:t>Invasive species</w:t>
      </w:r>
    </w:p>
    <w:p w14:paraId="1BAF3CC3" w14:textId="77777777" w:rsidR="007B60AB" w:rsidRPr="001C0DE0" w:rsidRDefault="007B60AB" w:rsidP="007B60AB">
      <w:pPr>
        <w:pStyle w:val="Heading5"/>
        <w:numPr>
          <w:ilvl w:val="0"/>
          <w:numId w:val="0"/>
        </w:numPr>
        <w:ind w:left="1008" w:hanging="1008"/>
      </w:pPr>
      <w:r>
        <w:t>Aquatic predators</w:t>
      </w:r>
    </w:p>
    <w:p w14:paraId="2CBAD550" w14:textId="10CF17E1" w:rsidR="007B60AB" w:rsidRPr="00F26BEE" w:rsidRDefault="007B60AB" w:rsidP="007B60AB">
      <w:pPr>
        <w:pStyle w:val="BodyText"/>
      </w:pPr>
      <w:r w:rsidRPr="00704719">
        <w:rPr>
          <w:rStyle w:val="normaltextrun"/>
        </w:rPr>
        <w:t xml:space="preserve">The introduction of exotic biota could be a threat due to predation, competition, or the spread of disease. </w:t>
      </w:r>
      <w:r w:rsidRPr="00F26BEE">
        <w:rPr>
          <w:rStyle w:val="normaltextrun"/>
        </w:rPr>
        <w:t>Introduced fish, including Brown Trout</w:t>
      </w:r>
      <w:r w:rsidR="00726347">
        <w:rPr>
          <w:rStyle w:val="normaltextrun"/>
        </w:rPr>
        <w:t xml:space="preserve">, </w:t>
      </w:r>
      <w:r w:rsidRPr="00F26BEE">
        <w:rPr>
          <w:rStyle w:val="normaltextrun"/>
        </w:rPr>
        <w:t xml:space="preserve">occur throughout many of the river systems within the </w:t>
      </w:r>
      <w:r w:rsidR="00C83BF2">
        <w:rPr>
          <w:rStyle w:val="normaltextrun"/>
        </w:rPr>
        <w:t>species’</w:t>
      </w:r>
      <w:r w:rsidRPr="00F26BEE">
        <w:rPr>
          <w:rStyle w:val="normaltextrun"/>
        </w:rPr>
        <w:t xml:space="preserve"> range, and may have a detrimental impact on populations of the crayfish.</w:t>
      </w:r>
      <w:r w:rsidRPr="00F26BEE">
        <w:rPr>
          <w:rStyle w:val="eop"/>
        </w:rPr>
        <w:t> </w:t>
      </w:r>
      <w:r w:rsidRPr="00F26BEE">
        <w:t xml:space="preserve">Rainbow Trout are also present in the river systems that Claytons Spiny Crayfish is distributed in, and along with Brown Trout may contribute to declines via predation (Merrick 1995, Tay et al. 2007), particularly of juvenile crayfish (Englund and Krupa 2000). Indeed, predation from trout has been highlighted as a key threat to other </w:t>
      </w:r>
      <w:r w:rsidRPr="00F26BEE">
        <w:rPr>
          <w:i/>
          <w:iCs/>
        </w:rPr>
        <w:t xml:space="preserve">Euastacus </w:t>
      </w:r>
      <w:r w:rsidRPr="00F26BEE">
        <w:t xml:space="preserve">species with restricted ranges (McCormack 2013), and anecdotal declines of related species have been associated with the presence of Brown Trout (Lieschke et al. 2014). Based on VBA and </w:t>
      </w:r>
      <w:r w:rsidR="00241B98">
        <w:t>Atlas of Living Australia (</w:t>
      </w:r>
      <w:r w:rsidRPr="00F26BEE">
        <w:t>ALA</w:t>
      </w:r>
      <w:r w:rsidR="00241B98">
        <w:t>)</w:t>
      </w:r>
      <w:r w:rsidRPr="00F26BEE">
        <w:t xml:space="preserve"> records of both Brown and Rainbow Trout, at least 65% of this </w:t>
      </w:r>
      <w:r w:rsidR="00C83BF2">
        <w:t>species’</w:t>
      </w:r>
      <w:r w:rsidRPr="00F26BEE">
        <w:t xml:space="preserve"> range will be impacted by these aquatic predators. </w:t>
      </w:r>
      <w:r w:rsidR="005B2773" w:rsidRPr="00915D82">
        <w:t xml:space="preserve">The impacts of invasive species on populations of this </w:t>
      </w:r>
      <w:r w:rsidR="00C83BF2">
        <w:t>species</w:t>
      </w:r>
      <w:r w:rsidR="005B2773" w:rsidRPr="00915D82">
        <w:t xml:space="preserve"> are likely compounded in areas of highly modified habitat (McCormack 2013).</w:t>
      </w:r>
    </w:p>
    <w:p w14:paraId="606ADA70" w14:textId="26A080BC" w:rsidR="00E30F60" w:rsidRDefault="007B60AB" w:rsidP="00E30F60">
      <w:pPr>
        <w:pStyle w:val="BodyText"/>
      </w:pPr>
      <w:r w:rsidRPr="00F26BEE">
        <w:t>There are no current control measures to manage this risk at the scale required to mitigate its impact on this species.</w:t>
      </w:r>
    </w:p>
    <w:p w14:paraId="73E1CED6" w14:textId="77777777" w:rsidR="00AA5D4F" w:rsidRDefault="00AA5D4F">
      <w:pPr>
        <w:rPr>
          <w:b/>
          <w:sz w:val="16"/>
          <w:szCs w:val="16"/>
        </w:rPr>
      </w:pPr>
      <w:r>
        <w:br w:type="page"/>
      </w:r>
    </w:p>
    <w:p w14:paraId="48F25BA7" w14:textId="60287926" w:rsidR="007B60AB" w:rsidRPr="00FF310C" w:rsidRDefault="007B60A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17</w:t>
      </w:r>
      <w:r w:rsidR="000B6788" w:rsidRPr="00B6162A">
        <w:rPr>
          <w:bCs/>
          <w:noProof/>
        </w:rPr>
        <w:fldChar w:fldCharType="end"/>
      </w:r>
      <w:r w:rsidRPr="00FF310C">
        <w:t>. Claytons Spiny Crayfish protection requirements and recommendations for aquatic predators</w:t>
      </w:r>
    </w:p>
    <w:tbl>
      <w:tblPr>
        <w:tblStyle w:val="TableGrid"/>
        <w:tblW w:w="0" w:type="auto"/>
        <w:tblLook w:val="04A0" w:firstRow="1" w:lastRow="0" w:firstColumn="1" w:lastColumn="0" w:noHBand="0" w:noVBand="1"/>
      </w:tblPr>
      <w:tblGrid>
        <w:gridCol w:w="2268"/>
        <w:gridCol w:w="7088"/>
      </w:tblGrid>
      <w:tr w:rsidR="007B60AB" w:rsidRPr="00867DAA" w14:paraId="1E4453EF" w14:textId="77777777" w:rsidTr="0045799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14B2F3A2" w14:textId="77777777" w:rsidR="007B60AB" w:rsidRPr="007B5B86" w:rsidRDefault="007B60AB" w:rsidP="00296E0F">
            <w:pPr>
              <w:pStyle w:val="BodyText"/>
            </w:pPr>
            <w:r w:rsidRPr="007B5B86">
              <w:t>Requirement</w:t>
            </w:r>
          </w:p>
        </w:tc>
        <w:tc>
          <w:tcPr>
            <w:tcW w:w="7088" w:type="dxa"/>
            <w:vAlign w:val="center"/>
          </w:tcPr>
          <w:p w14:paraId="303938C9" w14:textId="77777777" w:rsidR="007B60AB" w:rsidRPr="007B5B86" w:rsidRDefault="007B60AB"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117D09" w:rsidRPr="00867DAA" w14:paraId="5CA7D80C" w14:textId="77777777" w:rsidTr="0045799B">
        <w:tc>
          <w:tcPr>
            <w:tcW w:w="2268" w:type="dxa"/>
          </w:tcPr>
          <w:p w14:paraId="3213B4D9" w14:textId="77777777" w:rsidR="00117D09" w:rsidRPr="00867DAA" w:rsidRDefault="00117D09" w:rsidP="00452D08">
            <w:pPr>
              <w:pStyle w:val="BodyText"/>
            </w:pPr>
            <w:r>
              <w:t>Priority management actions</w:t>
            </w:r>
          </w:p>
        </w:tc>
        <w:tc>
          <w:tcPr>
            <w:tcW w:w="7088" w:type="dxa"/>
          </w:tcPr>
          <w:p w14:paraId="390DACB8" w14:textId="23E5B02D" w:rsidR="00117D09" w:rsidRPr="00867DAA" w:rsidRDefault="00117D09" w:rsidP="006670D2">
            <w:pPr>
              <w:pStyle w:val="PullOutBoxBullet"/>
            </w:pPr>
            <w:r>
              <w:t xml:space="preserve">Establish a captive colony of this </w:t>
            </w:r>
            <w:r w:rsidR="00C83BF2">
              <w:t>species</w:t>
            </w:r>
            <w:r>
              <w:t>.</w:t>
            </w:r>
          </w:p>
        </w:tc>
      </w:tr>
      <w:tr w:rsidR="007B60AB" w:rsidRPr="00867DAA" w14:paraId="33DB2ABB" w14:textId="77777777" w:rsidTr="0045799B">
        <w:tc>
          <w:tcPr>
            <w:tcW w:w="2268" w:type="dxa"/>
          </w:tcPr>
          <w:p w14:paraId="1A016574" w14:textId="441E7FB2" w:rsidR="007B60AB" w:rsidRPr="00F26BEE" w:rsidRDefault="00E24DE8" w:rsidP="00452D08">
            <w:pPr>
              <w:pStyle w:val="BodyText"/>
            </w:pPr>
            <w:r>
              <w:t>Potential m</w:t>
            </w:r>
            <w:r w:rsidR="007B60AB" w:rsidRPr="00F26BEE">
              <w:t>anagement actions</w:t>
            </w:r>
          </w:p>
        </w:tc>
        <w:tc>
          <w:tcPr>
            <w:tcW w:w="7088" w:type="dxa"/>
          </w:tcPr>
          <w:p w14:paraId="429DCC3C" w14:textId="77777777" w:rsidR="007B60AB" w:rsidRPr="00F26BEE" w:rsidRDefault="007B60AB" w:rsidP="006670D2">
            <w:pPr>
              <w:pStyle w:val="PullOutBoxBullet"/>
            </w:pPr>
            <w:r w:rsidRPr="00F26BEE">
              <w:t>Identify and evaluate policy and operational measures to limit the impacts of Brown Trout and Rainbow Trout; and</w:t>
            </w:r>
          </w:p>
          <w:p w14:paraId="3AB1035F" w14:textId="50694500" w:rsidR="007B60AB" w:rsidRPr="00F26BEE" w:rsidRDefault="007B60AB" w:rsidP="006670D2">
            <w:pPr>
              <w:pStyle w:val="PullOutBoxBullet"/>
            </w:pPr>
            <w:r w:rsidRPr="00F26BEE">
              <w:t xml:space="preserve">Determine the extent of trout over the range of the </w:t>
            </w:r>
            <w:r w:rsidR="00C83BF2">
              <w:t>species</w:t>
            </w:r>
            <w:r w:rsidRPr="00F26BEE">
              <w:t xml:space="preserve"> and research these invasive species effects on their occupancy and persistence. </w:t>
            </w:r>
          </w:p>
        </w:tc>
      </w:tr>
    </w:tbl>
    <w:p w14:paraId="7A030BE4" w14:textId="77777777" w:rsidR="007B60AB" w:rsidRDefault="007B60AB" w:rsidP="007B60AB">
      <w:pPr>
        <w:pStyle w:val="BodyText"/>
      </w:pPr>
    </w:p>
    <w:p w14:paraId="50682A16" w14:textId="103C9242" w:rsidR="007B60AB" w:rsidRPr="00B36249" w:rsidRDefault="007B60AB" w:rsidP="00FB5A2B">
      <w:pPr>
        <w:pStyle w:val="Heading2"/>
        <w:ind w:left="0"/>
        <w:rPr>
          <w:i/>
        </w:rPr>
      </w:pPr>
      <w:r>
        <w:rPr>
          <w:rFonts w:cs="Times New Roman"/>
          <w:lang w:eastAsia="en-US"/>
        </w:rPr>
        <w:br w:type="page"/>
      </w:r>
      <w:bookmarkStart w:id="36" w:name="_Toc88557994"/>
      <w:bookmarkStart w:id="37" w:name="_Toc95233347"/>
      <w:bookmarkStart w:id="38" w:name="_Toc113271026"/>
      <w:r w:rsidRPr="00A92E0A">
        <w:t>East Gippsland Spiny Crayfish</w:t>
      </w:r>
      <w:r w:rsidRPr="00B36249">
        <w:t> </w:t>
      </w:r>
      <w:r w:rsidRPr="005F7D8C">
        <w:rPr>
          <w:i/>
          <w:iCs/>
        </w:rPr>
        <w:t>(Euastacus bidawalus)</w:t>
      </w:r>
      <w:bookmarkEnd w:id="36"/>
      <w:bookmarkEnd w:id="37"/>
      <w:bookmarkEnd w:id="38"/>
      <w:r w:rsidRPr="005F7D8C">
        <w:rPr>
          <w:i/>
          <w:iCs/>
        </w:rPr>
        <w:t> </w:t>
      </w:r>
    </w:p>
    <w:p w14:paraId="47235C24" w14:textId="323C44DF" w:rsidR="007B60AB" w:rsidRDefault="007B60AB" w:rsidP="007B60AB">
      <w:pPr>
        <w:pStyle w:val="BodyText"/>
      </w:pPr>
      <w:r>
        <w:rPr>
          <w:rFonts w:ascii="Arial" w:hAnsi="Arial"/>
          <w:color w:val="363534"/>
        </w:rPr>
        <w:t>T</w:t>
      </w:r>
      <w:r>
        <w:t xml:space="preserve">he East Gippsland Spiny Crayfish was listed as Vulnerable in Australia under the FFG Act in May 2021. The </w:t>
      </w:r>
      <w:r w:rsidR="00C83BF2">
        <w:t>species</w:t>
      </w:r>
      <w:r>
        <w:t xml:space="preserve"> occurs in </w:t>
      </w:r>
      <w:r w:rsidRPr="00D05A3B">
        <w:t xml:space="preserve">the </w:t>
      </w:r>
      <w:r>
        <w:t xml:space="preserve">East Gippsland (100% of catchment) </w:t>
      </w:r>
      <w:r w:rsidRPr="008F703F">
        <w:t>RFA region</w:t>
      </w:r>
      <w: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 </w:t>
      </w:r>
    </w:p>
    <w:p w14:paraId="3292BC3A" w14:textId="77777777" w:rsidR="007B60AB" w:rsidRDefault="007B60AB" w:rsidP="007E5EBF">
      <w:pPr>
        <w:pStyle w:val="Heading3"/>
      </w:pPr>
      <w:r>
        <w:t>Risk Assessment</w:t>
      </w:r>
    </w:p>
    <w:p w14:paraId="424BCD2B" w14:textId="59BB09BC" w:rsidR="007B60AB" w:rsidRPr="00FF310C" w:rsidRDefault="007B60AB" w:rsidP="006670D2">
      <w:pPr>
        <w:pStyle w:val="Caption"/>
      </w:pPr>
      <w:r w:rsidRPr="00FF310C">
        <w:t xml:space="preserve">Table </w:t>
      </w:r>
      <w:r w:rsidRPr="00B6162A">
        <w:rPr>
          <w:bCs/>
        </w:rPr>
        <w:fldChar w:fldCharType="begin"/>
      </w:r>
      <w:r w:rsidRPr="00FF310C">
        <w:instrText>SEQ Table \* ARABIC</w:instrText>
      </w:r>
      <w:r w:rsidRPr="00B6162A">
        <w:rPr>
          <w:bCs/>
        </w:rPr>
        <w:fldChar w:fldCharType="separate"/>
      </w:r>
      <w:r w:rsidR="00692F0D">
        <w:rPr>
          <w:noProof/>
        </w:rPr>
        <w:t>18</w:t>
      </w:r>
      <w:r w:rsidRPr="00B6162A">
        <w:rPr>
          <w:bCs/>
        </w:rPr>
        <w:fldChar w:fldCharType="end"/>
      </w:r>
      <w:r w:rsidRPr="00FF310C">
        <w:t>. East Gippsland Spiny Crayfish risk ratings in the East Gippsland RFA region:</w:t>
      </w:r>
    </w:p>
    <w:tbl>
      <w:tblPr>
        <w:tblStyle w:val="TableGrid"/>
        <w:tblW w:w="9639" w:type="dxa"/>
        <w:tblLayout w:type="fixed"/>
        <w:tblLook w:val="04A0" w:firstRow="1" w:lastRow="0" w:firstColumn="1" w:lastColumn="0" w:noHBand="0" w:noVBand="1"/>
      </w:tblPr>
      <w:tblGrid>
        <w:gridCol w:w="1927"/>
        <w:gridCol w:w="1928"/>
        <w:gridCol w:w="1928"/>
        <w:gridCol w:w="1928"/>
        <w:gridCol w:w="1928"/>
      </w:tblGrid>
      <w:tr w:rsidR="007B60AB" w14:paraId="19A81120"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vAlign w:val="center"/>
          </w:tcPr>
          <w:p w14:paraId="710ACB20" w14:textId="77777777" w:rsidR="007B60AB" w:rsidRPr="00643008" w:rsidRDefault="007B60AB" w:rsidP="006670D2">
            <w:pPr>
              <w:pStyle w:val="CaptionImageorFigure"/>
            </w:pPr>
          </w:p>
        </w:tc>
        <w:tc>
          <w:tcPr>
            <w:tcW w:w="0" w:type="dxa"/>
            <w:vAlign w:val="center"/>
          </w:tcPr>
          <w:p w14:paraId="461F8907" w14:textId="77777777" w:rsidR="007B60AB" w:rsidRDefault="007B60A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Climate change and severe weather</w:t>
            </w:r>
          </w:p>
        </w:tc>
        <w:tc>
          <w:tcPr>
            <w:tcW w:w="0" w:type="dxa"/>
            <w:vAlign w:val="center"/>
          </w:tcPr>
          <w:p w14:paraId="42D8BBDE" w14:textId="2A785F26" w:rsidR="007B60AB" w:rsidRDefault="007B60A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Bushfire</w:t>
            </w:r>
          </w:p>
        </w:tc>
        <w:tc>
          <w:tcPr>
            <w:tcW w:w="0" w:type="dxa"/>
            <w:vAlign w:val="center"/>
          </w:tcPr>
          <w:p w14:paraId="0FAC03D3" w14:textId="50036B6D" w:rsidR="007B60AB" w:rsidRDefault="00E4407F"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7B60AB">
              <w:t>orestry operations</w:t>
            </w:r>
          </w:p>
        </w:tc>
        <w:tc>
          <w:tcPr>
            <w:tcW w:w="0" w:type="dxa"/>
            <w:vAlign w:val="center"/>
          </w:tcPr>
          <w:p w14:paraId="551B76C4" w14:textId="77777777" w:rsidR="007B60AB" w:rsidRDefault="007B60A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Aquatic predators</w:t>
            </w:r>
          </w:p>
        </w:tc>
      </w:tr>
      <w:tr w:rsidR="007B60AB" w14:paraId="6F8C5601" w14:textId="77777777" w:rsidTr="00296E0F">
        <w:tc>
          <w:tcPr>
            <w:tcW w:w="0" w:type="dxa"/>
            <w:vAlign w:val="center"/>
          </w:tcPr>
          <w:p w14:paraId="5FA5BCE2" w14:textId="77777777" w:rsidR="007B60AB" w:rsidRPr="006F1079" w:rsidRDefault="007B60AB" w:rsidP="00E0219E">
            <w:pPr>
              <w:pStyle w:val="BodyText"/>
              <w:jc w:val="center"/>
            </w:pPr>
            <w:r w:rsidRPr="006F1079">
              <w:t>Consequence</w:t>
            </w:r>
          </w:p>
        </w:tc>
        <w:tc>
          <w:tcPr>
            <w:tcW w:w="0" w:type="dxa"/>
            <w:vAlign w:val="center"/>
          </w:tcPr>
          <w:p w14:paraId="744C1625" w14:textId="663732E5" w:rsidR="007B60AB" w:rsidRPr="006F1079" w:rsidRDefault="007B60AB" w:rsidP="00E4407F">
            <w:pPr>
              <w:pStyle w:val="BodyText"/>
              <w:jc w:val="center"/>
            </w:pPr>
            <w:r w:rsidRPr="006F1079">
              <w:t>Extreme</w:t>
            </w:r>
          </w:p>
        </w:tc>
        <w:tc>
          <w:tcPr>
            <w:tcW w:w="0" w:type="dxa"/>
            <w:vAlign w:val="center"/>
          </w:tcPr>
          <w:p w14:paraId="25FA86CC" w14:textId="77777777" w:rsidR="007B60AB" w:rsidRPr="006F1079" w:rsidRDefault="007B60AB" w:rsidP="00E4407F">
            <w:pPr>
              <w:pStyle w:val="BodyText"/>
              <w:jc w:val="center"/>
            </w:pPr>
            <w:r w:rsidRPr="006F1079">
              <w:t>Major</w:t>
            </w:r>
          </w:p>
        </w:tc>
        <w:tc>
          <w:tcPr>
            <w:tcW w:w="0" w:type="dxa"/>
            <w:vAlign w:val="center"/>
          </w:tcPr>
          <w:p w14:paraId="1712159B" w14:textId="77777777" w:rsidR="007B60AB" w:rsidRPr="006F1079" w:rsidRDefault="007B60AB" w:rsidP="00E4407F">
            <w:pPr>
              <w:pStyle w:val="BodyText"/>
              <w:jc w:val="center"/>
            </w:pPr>
            <w:r w:rsidRPr="006F1079">
              <w:t>Moderate</w:t>
            </w:r>
          </w:p>
        </w:tc>
        <w:tc>
          <w:tcPr>
            <w:tcW w:w="0" w:type="dxa"/>
            <w:vAlign w:val="center"/>
          </w:tcPr>
          <w:p w14:paraId="2BD39874" w14:textId="6EA87985" w:rsidR="007B60AB" w:rsidRPr="006F1079" w:rsidRDefault="007B60AB" w:rsidP="00E4407F">
            <w:pPr>
              <w:pStyle w:val="BodyText"/>
              <w:jc w:val="center"/>
            </w:pPr>
            <w:r w:rsidRPr="006F1079">
              <w:t>Moderate</w:t>
            </w:r>
          </w:p>
        </w:tc>
      </w:tr>
      <w:tr w:rsidR="007B60AB" w14:paraId="3454CCA8" w14:textId="77777777" w:rsidTr="00296E0F">
        <w:tc>
          <w:tcPr>
            <w:tcW w:w="0" w:type="dxa"/>
            <w:vAlign w:val="center"/>
          </w:tcPr>
          <w:p w14:paraId="75CC6995" w14:textId="77777777" w:rsidR="007B60AB" w:rsidRPr="006F1079" w:rsidRDefault="007B60AB" w:rsidP="00E0219E">
            <w:pPr>
              <w:pStyle w:val="BodyText"/>
              <w:jc w:val="center"/>
            </w:pPr>
            <w:r w:rsidRPr="006F1079">
              <w:t>Likelihood</w:t>
            </w:r>
          </w:p>
        </w:tc>
        <w:tc>
          <w:tcPr>
            <w:tcW w:w="0" w:type="dxa"/>
            <w:vAlign w:val="center"/>
          </w:tcPr>
          <w:p w14:paraId="3DFB77D5" w14:textId="77777777" w:rsidR="007B60AB" w:rsidRPr="006F1079" w:rsidRDefault="007B60AB" w:rsidP="00E4407F">
            <w:pPr>
              <w:pStyle w:val="BodyText"/>
              <w:jc w:val="center"/>
            </w:pPr>
            <w:r w:rsidRPr="006F1079">
              <w:t>Likely</w:t>
            </w:r>
          </w:p>
        </w:tc>
        <w:tc>
          <w:tcPr>
            <w:tcW w:w="0" w:type="dxa"/>
            <w:vAlign w:val="center"/>
          </w:tcPr>
          <w:p w14:paraId="73310636" w14:textId="6115BA5C" w:rsidR="007B60AB" w:rsidRPr="006F1079" w:rsidRDefault="00DA1890" w:rsidP="00E4407F">
            <w:pPr>
              <w:pStyle w:val="BodyText"/>
              <w:jc w:val="center"/>
            </w:pPr>
            <w:r w:rsidRPr="006F1079">
              <w:t>Likely</w:t>
            </w:r>
          </w:p>
        </w:tc>
        <w:tc>
          <w:tcPr>
            <w:tcW w:w="0" w:type="dxa"/>
            <w:vAlign w:val="center"/>
          </w:tcPr>
          <w:p w14:paraId="3AC82BAC" w14:textId="77777777" w:rsidR="007B60AB" w:rsidRPr="006F1079" w:rsidRDefault="007B60AB" w:rsidP="00E4407F">
            <w:pPr>
              <w:pStyle w:val="BodyText"/>
              <w:jc w:val="center"/>
            </w:pPr>
            <w:r w:rsidRPr="006F1079">
              <w:t>Likely</w:t>
            </w:r>
          </w:p>
        </w:tc>
        <w:tc>
          <w:tcPr>
            <w:tcW w:w="0" w:type="dxa"/>
            <w:vAlign w:val="center"/>
          </w:tcPr>
          <w:p w14:paraId="2C40283F" w14:textId="504AC699" w:rsidR="007B60AB" w:rsidRPr="006F1079" w:rsidRDefault="007B60AB" w:rsidP="00E4407F">
            <w:pPr>
              <w:pStyle w:val="BodyText"/>
              <w:jc w:val="center"/>
            </w:pPr>
            <w:r w:rsidRPr="006F1079">
              <w:t>Possible</w:t>
            </w:r>
          </w:p>
        </w:tc>
      </w:tr>
      <w:tr w:rsidR="007B60AB" w14:paraId="77D94810" w14:textId="77777777" w:rsidTr="0045799B">
        <w:tc>
          <w:tcPr>
            <w:tcW w:w="0" w:type="dxa"/>
            <w:vAlign w:val="center"/>
          </w:tcPr>
          <w:p w14:paraId="343C25B8" w14:textId="77777777" w:rsidR="007B60AB" w:rsidRPr="006F1079" w:rsidRDefault="007B60AB" w:rsidP="00E0219E">
            <w:pPr>
              <w:pStyle w:val="BodyText"/>
              <w:jc w:val="center"/>
            </w:pPr>
            <w:r w:rsidRPr="006F1079">
              <w:t>Overall risk rating</w:t>
            </w:r>
          </w:p>
        </w:tc>
        <w:tc>
          <w:tcPr>
            <w:tcW w:w="0" w:type="dxa"/>
            <w:shd w:val="clear" w:color="auto" w:fill="FF0000"/>
            <w:vAlign w:val="center"/>
          </w:tcPr>
          <w:p w14:paraId="027FD1C6" w14:textId="77777777" w:rsidR="007B60AB" w:rsidRPr="006F1079" w:rsidRDefault="007B60AB" w:rsidP="00E4407F">
            <w:pPr>
              <w:pStyle w:val="BodyText"/>
              <w:jc w:val="center"/>
            </w:pPr>
            <w:r w:rsidRPr="006F1079">
              <w:t>High</w:t>
            </w:r>
          </w:p>
        </w:tc>
        <w:tc>
          <w:tcPr>
            <w:tcW w:w="0" w:type="dxa"/>
            <w:shd w:val="clear" w:color="auto" w:fill="FF0000"/>
            <w:vAlign w:val="center"/>
          </w:tcPr>
          <w:p w14:paraId="7C9F48CE" w14:textId="199B4E71" w:rsidR="007B60AB" w:rsidRPr="006F1079" w:rsidRDefault="00DA1890" w:rsidP="00E4407F">
            <w:pPr>
              <w:pStyle w:val="BodyText"/>
              <w:jc w:val="center"/>
            </w:pPr>
            <w:r w:rsidRPr="006F1079">
              <w:t>High</w:t>
            </w:r>
          </w:p>
        </w:tc>
        <w:tc>
          <w:tcPr>
            <w:tcW w:w="0" w:type="dxa"/>
            <w:shd w:val="clear" w:color="auto" w:fill="FFC000"/>
            <w:vAlign w:val="center"/>
          </w:tcPr>
          <w:p w14:paraId="05B909AB" w14:textId="77777777" w:rsidR="007B60AB" w:rsidRPr="006F1079" w:rsidRDefault="007B60AB" w:rsidP="00E4407F">
            <w:pPr>
              <w:pStyle w:val="BodyText"/>
              <w:jc w:val="center"/>
            </w:pPr>
            <w:r w:rsidRPr="006F1079">
              <w:t>Significant</w:t>
            </w:r>
          </w:p>
        </w:tc>
        <w:tc>
          <w:tcPr>
            <w:tcW w:w="0" w:type="dxa"/>
            <w:shd w:val="clear" w:color="auto" w:fill="FFFF00"/>
            <w:vAlign w:val="center"/>
          </w:tcPr>
          <w:p w14:paraId="26B48EDC" w14:textId="77777777" w:rsidR="007B60AB" w:rsidRPr="006F1079" w:rsidRDefault="007B60AB" w:rsidP="00E4407F">
            <w:pPr>
              <w:pStyle w:val="BodyText"/>
              <w:jc w:val="center"/>
            </w:pPr>
            <w:r w:rsidRPr="006F1079">
              <w:t>Medium</w:t>
            </w:r>
          </w:p>
        </w:tc>
      </w:tr>
    </w:tbl>
    <w:p w14:paraId="65AE8C37" w14:textId="77777777" w:rsidR="007B60AB" w:rsidRDefault="007B60AB" w:rsidP="007E5EBF">
      <w:pPr>
        <w:pStyle w:val="Heading3"/>
      </w:pPr>
      <w:r w:rsidRPr="00D55628">
        <w:rPr>
          <w:rFonts w:cs="Times New Roman"/>
          <w:noProof/>
        </w:rPr>
        <mc:AlternateContent>
          <mc:Choice Requires="wps">
            <w:drawing>
              <wp:anchor distT="0" distB="0" distL="114300" distR="114300" simplePos="1" relativeHeight="251658526" behindDoc="1" locked="1" layoutInCell="1" allowOverlap="1" wp14:anchorId="32E93F42" wp14:editId="392C9FFE">
                <wp:simplePos x="359410" y="9071610"/>
                <wp:positionH relativeFrom="page">
                  <wp:posOffset>359410</wp:posOffset>
                </wp:positionH>
                <wp:positionV relativeFrom="page">
                  <wp:posOffset>9071610</wp:posOffset>
                </wp:positionV>
                <wp:extent cx="6840001" cy="432000"/>
                <wp:effectExtent l="0" t="0" r="0" b="0"/>
                <wp:wrapNone/>
                <wp:docPr id="1630"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2B33D" w14:textId="77777777" w:rsidR="007B60AB" w:rsidRPr="00455A7E" w:rsidRDefault="007B60AB" w:rsidP="007B60AB">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93F42" id="_x0000_s1035" type="#_x0000_t202" alt="Title: Decorative Cover Shape" style="position:absolute;left:0;text-align:left;margin-left:28.3pt;margin-top:714.3pt;width:538.6pt;height:34pt;z-index:-2516579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" fillcolor="#201547" stroked="f" strokeweight=".5pt">
                <v:textbox inset="10mm,0,10mm,0">
                  <w:txbxContent>
                    <w:p w14:paraId="4602B33D" w14:textId="77777777" w:rsidR="007B60AB" w:rsidRPr="00455A7E" w:rsidRDefault="007B60AB" w:rsidP="007B60AB">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rPr>
        <mc:AlternateContent>
          <mc:Choice Requires="wps">
            <w:drawing>
              <wp:anchor distT="0" distB="0" distL="114300" distR="114300" simplePos="0" relativeHeight="251658525" behindDoc="0" locked="1" layoutInCell="1" allowOverlap="1" wp14:anchorId="0002A506" wp14:editId="0081912E">
                <wp:simplePos x="0" y="0"/>
                <wp:positionH relativeFrom="page">
                  <wp:posOffset>360045</wp:posOffset>
                </wp:positionH>
                <wp:positionV relativeFrom="page">
                  <wp:posOffset>360045</wp:posOffset>
                </wp:positionV>
                <wp:extent cx="1864800" cy="1976400"/>
                <wp:effectExtent l="0" t="0" r="0" b="0"/>
                <wp:wrapNone/>
                <wp:docPr id="61"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C0E8D79" id="TriangleTopACIMono" o:spid="_x0000_s1026" style="position:absolute;margin-left:28.35pt;margin-top:28.35pt;width:146.85pt;height:155.6pt;z-index:25165852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rPr>
        <mc:AlternateContent>
          <mc:Choice Requires="wps">
            <w:drawing>
              <wp:anchor distT="0" distB="0" distL="114300" distR="114300" simplePos="0" relativeHeight="251658524" behindDoc="0" locked="1" layoutInCell="1" allowOverlap="1" wp14:anchorId="05AB3575" wp14:editId="142E7D1B">
                <wp:simplePos x="0" y="0"/>
                <wp:positionH relativeFrom="page">
                  <wp:posOffset>359410</wp:posOffset>
                </wp:positionH>
                <wp:positionV relativeFrom="page">
                  <wp:posOffset>359410</wp:posOffset>
                </wp:positionV>
                <wp:extent cx="1864800" cy="1976400"/>
                <wp:effectExtent l="0" t="0" r="0" b="0"/>
                <wp:wrapNone/>
                <wp:docPr id="62"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23D0E27" id="TriangleTop" o:spid="_x0000_s1026" style="position:absolute;margin-left:28.3pt;margin-top:28.3pt;width:146.85pt;height:155.6pt;z-index:2516585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rPr>
        <mc:AlternateContent>
          <mc:Choice Requires="wps">
            <w:drawing>
              <wp:anchor distT="0" distB="0" distL="114300" distR="114300" simplePos="0" relativeHeight="251658523" behindDoc="0" locked="1" layoutInCell="1" allowOverlap="1" wp14:anchorId="56823224" wp14:editId="5BCA772C">
                <wp:simplePos x="0" y="0"/>
                <wp:positionH relativeFrom="page">
                  <wp:posOffset>0</wp:posOffset>
                </wp:positionH>
                <wp:positionV relativeFrom="page">
                  <wp:align>bottom</wp:align>
                </wp:positionV>
                <wp:extent cx="3848400" cy="720000"/>
                <wp:effectExtent l="0" t="0" r="0" b="0"/>
                <wp:wrapNone/>
                <wp:docPr id="219"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3187A" w14:textId="77777777" w:rsidR="007B60AB" w:rsidRPr="009F69FA" w:rsidRDefault="007B60AB" w:rsidP="007B60AB">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23224" id="_x0000_s1036" type="#_x0000_t202" style="position:absolute;left:0;text-align:left;margin-left:0;margin-top:0;width:303pt;height:56.7pt;z-index:25165852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" filled="f" stroked="f" strokeweight=".5pt">
                <v:textbox inset="20mm">
                  <w:txbxContent>
                    <w:p w14:paraId="70A3187A" w14:textId="77777777" w:rsidR="007B60AB" w:rsidRPr="009F69FA" w:rsidRDefault="007B60AB" w:rsidP="007B60AB">
                      <w:pPr>
                        <w:pStyle w:val="xWebCoverPage"/>
                      </w:pPr>
                      <w:r w:rsidRPr="009F69FA">
                        <w:t>de</w:t>
                      </w:r>
                      <w:r>
                        <w:t>lw</w:t>
                      </w:r>
                      <w:r w:rsidRPr="009F69FA">
                        <w:t>p.vic.gov.au</w:t>
                      </w:r>
                    </w:p>
                  </w:txbxContent>
                </v:textbox>
                <w10:wrap anchorx="page" anchory="page"/>
                <w10:anchorlock/>
              </v:shape>
            </w:pict>
          </mc:Fallback>
        </mc:AlternateContent>
      </w:r>
      <w:r>
        <w:t>Climate change</w:t>
      </w:r>
    </w:p>
    <w:p w14:paraId="7446044D" w14:textId="77777777" w:rsidR="007B60AB" w:rsidRPr="001C0DE0" w:rsidRDefault="007B60AB" w:rsidP="007B60AB">
      <w:pPr>
        <w:pStyle w:val="Heading5"/>
        <w:numPr>
          <w:ilvl w:val="0"/>
          <w:numId w:val="0"/>
        </w:numPr>
        <w:ind w:left="1008" w:hanging="1008"/>
      </w:pPr>
      <w:r>
        <w:t>Climate change and severe weather</w:t>
      </w:r>
    </w:p>
    <w:p w14:paraId="3D1FF482" w14:textId="5F769E64" w:rsidR="007B60AB" w:rsidRDefault="007B60AB" w:rsidP="007B60AB">
      <w:pPr>
        <w:pStyle w:val="BodyText"/>
      </w:pPr>
      <w:r>
        <w:t xml:space="preserve">This </w:t>
      </w:r>
      <w:r w:rsidR="00C83BF2">
        <w:t>species</w:t>
      </w:r>
      <w:r>
        <w:t xml:space="preserve"> is characterised by </w:t>
      </w:r>
      <w:r w:rsidR="0093510D">
        <w:t xml:space="preserve">inhabiting </w:t>
      </w:r>
      <w:r>
        <w:t xml:space="preserve">deep burrow systems that may buffer it for some time against the effects of severe droughts, however long-term disruption to water flow </w:t>
      </w:r>
      <w:r w:rsidRPr="00F26BEE">
        <w:t xml:space="preserve">and temperature will likely result in its decline. Increased severe weather events of high heat and prolonged droughts caused by human-induced climate change will lead </w:t>
      </w:r>
      <w:r w:rsidR="007A587E">
        <w:t>to</w:t>
      </w:r>
      <w:r w:rsidR="007A587E" w:rsidRPr="00F26BEE">
        <w:t xml:space="preserve"> </w:t>
      </w:r>
      <w:r w:rsidRPr="00F26BEE">
        <w:t>an increase in the frequency and severity of bushfires (Sharples et al. 2016). Contrasting extremes from climate change, such as large rainfall events following fires, will lead to</w:t>
      </w:r>
      <w:r>
        <w:t xml:space="preserve"> detrimental amounts of run-off and sedimentation that can cause declines in this </w:t>
      </w:r>
      <w:r w:rsidR="00C83BF2">
        <w:t>species</w:t>
      </w:r>
      <w:r>
        <w:t xml:space="preserve">. </w:t>
      </w:r>
      <w:r w:rsidR="0081599A" w:rsidRPr="00915D82">
        <w:t>Similarly extreme rainfall events may increase the risk of run-off and sedimentation from forestry operations and roads</w:t>
      </w:r>
      <w:r>
        <w:t xml:space="preserve">. Climate change will have impacts that affect the entire range of this </w:t>
      </w:r>
      <w:r w:rsidR="00C83BF2">
        <w:t>species</w:t>
      </w:r>
      <w:r>
        <w:t>.</w:t>
      </w:r>
    </w:p>
    <w:p w14:paraId="0DF406DB" w14:textId="00BE25E3" w:rsidR="007B60AB" w:rsidRPr="00CA4A1D" w:rsidRDefault="007B60AB" w:rsidP="007B60AB">
      <w:pPr>
        <w:pStyle w:val="BodyText"/>
      </w:pPr>
      <w:r w:rsidRPr="00CA4A1D">
        <w:t xml:space="preserve">Current control measures for this hazard are strategic in nature and are not considered effective in managing the risk to this </w:t>
      </w:r>
      <w:r w:rsidR="00C83BF2">
        <w:t>species</w:t>
      </w:r>
      <w:r w:rsidRPr="00CA4A1D">
        <w:t xml:space="preserve"> at the scale relevant to its conservation at this stage.</w:t>
      </w:r>
    </w:p>
    <w:p w14:paraId="65B7BB0D" w14:textId="7DCE8E90" w:rsidR="007B60AB" w:rsidRPr="00FF310C" w:rsidRDefault="007B60A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19</w:t>
      </w:r>
      <w:r w:rsidR="000B6788" w:rsidRPr="00B6162A">
        <w:rPr>
          <w:bCs/>
          <w:noProof/>
        </w:rPr>
        <w:fldChar w:fldCharType="end"/>
      </w:r>
      <w:r w:rsidRPr="00FF310C">
        <w:t>. East Gippsland Spiny Crayfish protection requirements and recommendations for climate change and severe weather</w:t>
      </w:r>
    </w:p>
    <w:tbl>
      <w:tblPr>
        <w:tblStyle w:val="TableGrid"/>
        <w:tblW w:w="0" w:type="auto"/>
        <w:tblLayout w:type="fixed"/>
        <w:tblLook w:val="04A0" w:firstRow="1" w:lastRow="0" w:firstColumn="1" w:lastColumn="0" w:noHBand="0" w:noVBand="1"/>
      </w:tblPr>
      <w:tblGrid>
        <w:gridCol w:w="2268"/>
        <w:gridCol w:w="7371"/>
      </w:tblGrid>
      <w:tr w:rsidR="00E14348" w:rsidRPr="00867DAA" w14:paraId="33F34879" w14:textId="77777777" w:rsidTr="00E1434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548FC41A" w14:textId="77777777" w:rsidR="007B60AB" w:rsidRPr="007B5B86" w:rsidRDefault="007B60AB" w:rsidP="00296E0F">
            <w:pPr>
              <w:pStyle w:val="BodyText"/>
            </w:pPr>
            <w:r w:rsidRPr="007B5B86">
              <w:t>Requirement</w:t>
            </w:r>
          </w:p>
        </w:tc>
        <w:tc>
          <w:tcPr>
            <w:tcW w:w="7371" w:type="dxa"/>
            <w:vAlign w:val="center"/>
          </w:tcPr>
          <w:p w14:paraId="2A63063E" w14:textId="77777777" w:rsidR="007B60AB" w:rsidRPr="007B5B86" w:rsidRDefault="007B60AB"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7B60AB" w:rsidRPr="00867DAA" w14:paraId="7D9424A6" w14:textId="77777777" w:rsidTr="0045799B">
        <w:tc>
          <w:tcPr>
            <w:tcW w:w="0" w:type="dxa"/>
            <w:vAlign w:val="center"/>
          </w:tcPr>
          <w:p w14:paraId="17301C88" w14:textId="4F6BD0BE" w:rsidR="007B60AB" w:rsidRPr="00867DAA" w:rsidRDefault="00E24DE8" w:rsidP="00296E0F">
            <w:pPr>
              <w:pStyle w:val="BodyText"/>
            </w:pPr>
            <w:r>
              <w:t>Priority management actions</w:t>
            </w:r>
          </w:p>
        </w:tc>
        <w:tc>
          <w:tcPr>
            <w:tcW w:w="0" w:type="dxa"/>
            <w:vAlign w:val="center"/>
          </w:tcPr>
          <w:p w14:paraId="2BC34754" w14:textId="3AB3ED94" w:rsidR="007B60AB" w:rsidRPr="00867DAA" w:rsidRDefault="00E72422" w:rsidP="006670D2">
            <w:pPr>
              <w:pStyle w:val="PullOutBoxBullet"/>
            </w:pPr>
            <w:r>
              <w:t xml:space="preserve">Establish a captive colony of this </w:t>
            </w:r>
            <w:r w:rsidR="00C83BF2">
              <w:t>species</w:t>
            </w:r>
            <w:r w:rsidR="00C05E58">
              <w:t>.</w:t>
            </w:r>
          </w:p>
        </w:tc>
      </w:tr>
      <w:tr w:rsidR="007B60AB" w:rsidRPr="00867DAA" w14:paraId="16C2C38B" w14:textId="77777777" w:rsidTr="0045799B">
        <w:tc>
          <w:tcPr>
            <w:tcW w:w="0" w:type="dxa"/>
            <w:vAlign w:val="center"/>
          </w:tcPr>
          <w:p w14:paraId="0101E214" w14:textId="67D055E8" w:rsidR="007B60AB" w:rsidRPr="00867DAA" w:rsidRDefault="00E24DE8" w:rsidP="00296E0F">
            <w:pPr>
              <w:pStyle w:val="BodyText"/>
            </w:pPr>
            <w:r>
              <w:t>Potential m</w:t>
            </w:r>
            <w:r w:rsidR="007B60AB" w:rsidRPr="00867DAA">
              <w:t>anagement actions</w:t>
            </w:r>
          </w:p>
        </w:tc>
        <w:tc>
          <w:tcPr>
            <w:tcW w:w="0" w:type="dxa"/>
            <w:vAlign w:val="center"/>
          </w:tcPr>
          <w:p w14:paraId="12DF2CB4" w14:textId="12960F0B" w:rsidR="007B60AB" w:rsidRPr="006F1079" w:rsidRDefault="007B60AB" w:rsidP="006670D2">
            <w:pPr>
              <w:pStyle w:val="PullOutBoxBullet"/>
            </w:pPr>
            <w:r>
              <w:t xml:space="preserve">Research the effects climate change on the </w:t>
            </w:r>
            <w:r w:rsidR="00C83BF2">
              <w:t>species</w:t>
            </w:r>
            <w:r>
              <w:t xml:space="preserve">, particularly its thermal tolerance. Modelling water temperature changes in response to future climate change may identify cool refuge areas for this </w:t>
            </w:r>
            <w:r w:rsidR="00C83BF2">
              <w:t>species</w:t>
            </w:r>
            <w:r>
              <w:t xml:space="preserve">. </w:t>
            </w:r>
          </w:p>
        </w:tc>
      </w:tr>
    </w:tbl>
    <w:p w14:paraId="48D47048" w14:textId="77777777" w:rsidR="007B60AB" w:rsidRDefault="007B60AB" w:rsidP="007E5EBF">
      <w:pPr>
        <w:pStyle w:val="Heading3"/>
      </w:pPr>
      <w:r w:rsidRPr="00D55628">
        <w:rPr>
          <w:rFonts w:cs="Times New Roman"/>
          <w:noProof/>
        </w:rPr>
        <mc:AlternateContent>
          <mc:Choice Requires="wps">
            <w:drawing>
              <wp:anchor distT="0" distB="0" distL="114300" distR="114300" simplePos="1" relativeHeight="251658530" behindDoc="1" locked="1" layoutInCell="1" allowOverlap="1" wp14:anchorId="014AB06D" wp14:editId="295EE61E">
                <wp:simplePos x="359410" y="9071610"/>
                <wp:positionH relativeFrom="page">
                  <wp:posOffset>359410</wp:posOffset>
                </wp:positionH>
                <wp:positionV relativeFrom="page">
                  <wp:posOffset>9071610</wp:posOffset>
                </wp:positionV>
                <wp:extent cx="6840001" cy="432000"/>
                <wp:effectExtent l="0" t="0" r="0" b="0"/>
                <wp:wrapNone/>
                <wp:docPr id="221"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F010C" w14:textId="77777777" w:rsidR="007B60AB" w:rsidRPr="00455A7E" w:rsidRDefault="007B60AB" w:rsidP="007B60AB">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AB06D" id="_x0000_s1037" type="#_x0000_t202" alt="Title: Decorative Cover Shape" style="position:absolute;left:0;text-align:left;margin-left:28.3pt;margin-top:714.3pt;width:538.6pt;height:34pt;z-index:-2516579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" fillcolor="#201547" stroked="f" strokeweight=".5pt">
                <v:textbox inset="10mm,0,10mm,0">
                  <w:txbxContent>
                    <w:p w14:paraId="3BEF010C" w14:textId="77777777" w:rsidR="007B60AB" w:rsidRPr="00455A7E" w:rsidRDefault="007B60AB" w:rsidP="007B60AB">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rPr>
        <mc:AlternateContent>
          <mc:Choice Requires="wps">
            <w:drawing>
              <wp:anchor distT="0" distB="0" distL="114300" distR="114300" simplePos="0" relativeHeight="251658529" behindDoc="0" locked="1" layoutInCell="1" allowOverlap="1" wp14:anchorId="38AEE04C" wp14:editId="27DF88F5">
                <wp:simplePos x="0" y="0"/>
                <wp:positionH relativeFrom="page">
                  <wp:posOffset>360045</wp:posOffset>
                </wp:positionH>
                <wp:positionV relativeFrom="page">
                  <wp:posOffset>360045</wp:posOffset>
                </wp:positionV>
                <wp:extent cx="1864800" cy="1976400"/>
                <wp:effectExtent l="0" t="0" r="0" b="0"/>
                <wp:wrapNone/>
                <wp:docPr id="63"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1F96509" id="TriangleTopACIMono" o:spid="_x0000_s1026" style="position:absolute;margin-left:28.35pt;margin-top:28.35pt;width:146.85pt;height:155.6pt;z-index:2516585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rPr>
        <mc:AlternateContent>
          <mc:Choice Requires="wps">
            <w:drawing>
              <wp:anchor distT="0" distB="0" distL="114300" distR="114300" simplePos="0" relativeHeight="251658528" behindDoc="0" locked="1" layoutInCell="1" allowOverlap="1" wp14:anchorId="4595E9C8" wp14:editId="23368223">
                <wp:simplePos x="0" y="0"/>
                <wp:positionH relativeFrom="page">
                  <wp:posOffset>359410</wp:posOffset>
                </wp:positionH>
                <wp:positionV relativeFrom="page">
                  <wp:posOffset>359410</wp:posOffset>
                </wp:positionV>
                <wp:extent cx="1864800" cy="1976400"/>
                <wp:effectExtent l="0" t="0" r="0" b="0"/>
                <wp:wrapNone/>
                <wp:docPr id="1600"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99C3E8F" id="TriangleTop" o:spid="_x0000_s1026" style="position:absolute;margin-left:28.3pt;margin-top:28.3pt;width:146.85pt;height:155.6pt;z-index:2516585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rPr>
        <mc:AlternateContent>
          <mc:Choice Requires="wps">
            <w:drawing>
              <wp:anchor distT="0" distB="0" distL="114300" distR="114300" simplePos="0" relativeHeight="251658527" behindDoc="0" locked="1" layoutInCell="1" allowOverlap="1" wp14:anchorId="7D2B4271" wp14:editId="7FA0DF0F">
                <wp:simplePos x="0" y="0"/>
                <wp:positionH relativeFrom="page">
                  <wp:posOffset>0</wp:posOffset>
                </wp:positionH>
                <wp:positionV relativeFrom="page">
                  <wp:align>bottom</wp:align>
                </wp:positionV>
                <wp:extent cx="3848400" cy="720000"/>
                <wp:effectExtent l="0" t="0" r="0" b="0"/>
                <wp:wrapNone/>
                <wp:docPr id="1633"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80598" w14:textId="77777777" w:rsidR="007B60AB" w:rsidRPr="009F69FA" w:rsidRDefault="007B60AB" w:rsidP="007B60AB">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B4271" id="_x0000_s1038" type="#_x0000_t202" style="position:absolute;left:0;text-align:left;margin-left:0;margin-top:0;width:303pt;height:56.7pt;z-index:25165852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NnEIxttAgAARgUAAA4AAAAAAAAAAAAAAAAALgIA&#10;AGRycy9lMm9Eb2MueG1sUEsBAi0AFAAGAAgAAAAhAPTKz6jaAAAABQEAAA8AAAAAAAAAAAAAAAAA&#10;xwQAAGRycy9kb3ducmV2LnhtbFBLBQYAAAAABAAEAPMAAADOBQAAAAA=&#10;" filled="f" stroked="f" strokeweight=".5pt">
                <v:textbox inset="20mm">
                  <w:txbxContent>
                    <w:p w14:paraId="5B080598" w14:textId="77777777" w:rsidR="007B60AB" w:rsidRPr="009F69FA" w:rsidRDefault="007B60AB" w:rsidP="007B60AB">
                      <w:pPr>
                        <w:pStyle w:val="xWebCoverPage"/>
                      </w:pPr>
                      <w:r w:rsidRPr="009F69FA">
                        <w:t>de</w:t>
                      </w:r>
                      <w:r>
                        <w:t>lw</w:t>
                      </w:r>
                      <w:r w:rsidRPr="009F69FA">
                        <w:t>p.vic.gov.au</w:t>
                      </w:r>
                    </w:p>
                  </w:txbxContent>
                </v:textbox>
                <w10:wrap anchorx="page" anchory="page"/>
                <w10:anchorlock/>
              </v:shape>
            </w:pict>
          </mc:Fallback>
        </mc:AlternateContent>
      </w:r>
      <w:r>
        <w:t>Fire</w:t>
      </w:r>
    </w:p>
    <w:p w14:paraId="18E44A42" w14:textId="77777777" w:rsidR="007B60AB" w:rsidRPr="001C0DE0" w:rsidRDefault="007B60AB" w:rsidP="007B60AB">
      <w:pPr>
        <w:pStyle w:val="Heading5"/>
        <w:numPr>
          <w:ilvl w:val="0"/>
          <w:numId w:val="0"/>
        </w:numPr>
        <w:ind w:left="1008" w:hanging="1008"/>
      </w:pPr>
      <w:r>
        <w:t>Bushfire</w:t>
      </w:r>
    </w:p>
    <w:p w14:paraId="09018020" w14:textId="53AC4115" w:rsidR="007B60AB" w:rsidRPr="00F26BEE" w:rsidRDefault="007B60AB" w:rsidP="007B60AB">
      <w:pPr>
        <w:pStyle w:val="BodyText"/>
      </w:pPr>
      <w:r>
        <w:t xml:space="preserve">Apart from impacts to water quality and sedimentation of streams following bushfires, burns can also result in the loss of riparian vegetation impacting water temperature and available food resources. </w:t>
      </w:r>
      <w:r w:rsidRPr="00704719">
        <w:t>Most critical effects occur if there is heavy rain soon after fire, as loss of vegetation and altered soil structure can make fire-affected soils more erodible. Runoff can carry sediments and pollutants that affect aquatic environments and consequently aquatic species</w:t>
      </w:r>
      <w:r>
        <w:rPr>
          <w:rStyle w:val="CommentReference"/>
          <w:rFonts w:cs="Arial"/>
          <w:lang w:eastAsia="en-AU"/>
        </w:rPr>
        <w:t>. A</w:t>
      </w:r>
      <w:r>
        <w:t xml:space="preserve">long with sedimentation, soil erosion and water quality decline, habitat loss </w:t>
      </w:r>
      <w:r w:rsidRPr="00F26BEE">
        <w:t xml:space="preserve">through the loss of riparian vegetation could also be considered a mechanism leading to decline. Increased severe weather events of high heat and prolonged droughts caused by human-induced climate change will lead </w:t>
      </w:r>
      <w:r w:rsidR="00E05442">
        <w:t>to</w:t>
      </w:r>
      <w:r w:rsidR="00E05442" w:rsidRPr="00F26BEE">
        <w:t xml:space="preserve"> </w:t>
      </w:r>
      <w:r w:rsidRPr="00F26BEE">
        <w:t xml:space="preserve">an increase in the frequency and severity of bushfires (Sharples et al. 2016). Contrasting extremes from climate change, such as large rainfall events following fires, will lead to detrimental amounts of run-off and sedimentation that can cause declines of this </w:t>
      </w:r>
      <w:r w:rsidR="00C83BF2">
        <w:t>species</w:t>
      </w:r>
      <w:r w:rsidRPr="00F26BEE">
        <w:t xml:space="preserve">. </w:t>
      </w:r>
      <w:r w:rsidR="00A83EB2" w:rsidRPr="00915D82">
        <w:t xml:space="preserve">Post-fire run-off and sedimentation, which cause declines in water quality and habitat value, may contribute to the cumulative impact of sedimentation, including any impacts resulting from forestry operations. </w:t>
      </w:r>
      <w:r w:rsidR="00B97807" w:rsidRPr="00915D82">
        <w:t xml:space="preserve">Spiny crayfish likely rely on deep pools, and structurally complex habitat to survive fires (Bryant et al. 2012). Any impacts to these habitat components from environmental disturbances including </w:t>
      </w:r>
      <w:r w:rsidR="007079EF">
        <w:t>bush</w:t>
      </w:r>
      <w:r w:rsidR="00B97807" w:rsidRPr="00915D82">
        <w:t>fire and forestry operations, may be detrimental to the species.</w:t>
      </w:r>
      <w:r w:rsidR="00B97807">
        <w:t xml:space="preserve"> </w:t>
      </w:r>
      <w:r w:rsidRPr="00F26BEE">
        <w:t xml:space="preserve">In East Gippsland, bushfires have impacted a very significant proportion of the geographical range of this </w:t>
      </w:r>
      <w:r w:rsidR="00C83BF2">
        <w:t>species</w:t>
      </w:r>
      <w:r w:rsidRPr="00F26BEE">
        <w:t xml:space="preserve"> with over 90% of catchments it occurs in and 92% of all important populations burnt since 2000.</w:t>
      </w:r>
    </w:p>
    <w:p w14:paraId="199CFD4E" w14:textId="77777777" w:rsidR="007B60AB" w:rsidRPr="00F26BEE" w:rsidRDefault="007B60AB" w:rsidP="007B60AB">
      <w:pPr>
        <w:pStyle w:val="BodyText"/>
      </w:pPr>
      <w:r w:rsidRPr="00F26BEE">
        <w:t>Current existing controls for this hazard include:</w:t>
      </w:r>
    </w:p>
    <w:p w14:paraId="36AE5D39" w14:textId="4D172B5F" w:rsidR="007B60AB" w:rsidRPr="00F26BEE" w:rsidRDefault="007B60AB" w:rsidP="006670D2">
      <w:pPr>
        <w:pStyle w:val="PullOutBoxBullet"/>
      </w:pPr>
      <w:r w:rsidRPr="00F26BEE">
        <w:t>Bushfire suppression. Th</w:t>
      </w:r>
      <w:r w:rsidR="00E51521">
        <w:t>e</w:t>
      </w:r>
      <w:r w:rsidRPr="00F26BEE">
        <w:t xml:space="preserve"> risk</w:t>
      </w:r>
      <w:r w:rsidR="00E51521">
        <w:t xml:space="preserve"> to this species</w:t>
      </w:r>
      <w:r w:rsidRPr="00F26BEE">
        <w:t xml:space="preserve"> is not effectively controlled; the scale and intensity of recent bushfires means that, despite the frameworks and available resources, emergency response does not always </w:t>
      </w:r>
      <w:r w:rsidR="009D40E5">
        <w:t>mitigate</w:t>
      </w:r>
      <w:r w:rsidRPr="00F26BEE">
        <w:t xml:space="preserve"> impacts on </w:t>
      </w:r>
      <w:r w:rsidR="002B62F2">
        <w:t>this species.</w:t>
      </w:r>
    </w:p>
    <w:p w14:paraId="5A3B1CE9" w14:textId="42749710" w:rsidR="007B60AB" w:rsidRPr="00FF310C" w:rsidRDefault="007B60A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20</w:t>
      </w:r>
      <w:r w:rsidR="000B6788" w:rsidRPr="00B6162A">
        <w:rPr>
          <w:bCs/>
          <w:noProof/>
        </w:rPr>
        <w:fldChar w:fldCharType="end"/>
      </w:r>
      <w:r w:rsidRPr="00FF310C">
        <w:t>. East Gippsland Spiny Crayfish protection requirements and recommendations for bushfire</w:t>
      </w:r>
    </w:p>
    <w:tbl>
      <w:tblPr>
        <w:tblStyle w:val="TableGrid"/>
        <w:tblW w:w="9638" w:type="dxa"/>
        <w:tblLayout w:type="fixed"/>
        <w:tblLook w:val="04A0" w:firstRow="1" w:lastRow="0" w:firstColumn="1" w:lastColumn="0" w:noHBand="0" w:noVBand="1"/>
      </w:tblPr>
      <w:tblGrid>
        <w:gridCol w:w="2268"/>
        <w:gridCol w:w="7370"/>
      </w:tblGrid>
      <w:tr w:rsidR="00D84331" w:rsidRPr="00867DAA" w14:paraId="1320F253"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28D1023E" w14:textId="77777777" w:rsidR="007B60AB" w:rsidRPr="007B5B86" w:rsidRDefault="007B60AB" w:rsidP="00296E0F">
            <w:pPr>
              <w:pStyle w:val="BodyText"/>
            </w:pPr>
            <w:r w:rsidRPr="007B5B86">
              <w:t>Requirement</w:t>
            </w:r>
          </w:p>
        </w:tc>
        <w:tc>
          <w:tcPr>
            <w:tcW w:w="7370" w:type="dxa"/>
            <w:vAlign w:val="center"/>
          </w:tcPr>
          <w:p w14:paraId="754FD811" w14:textId="77777777" w:rsidR="007B60AB" w:rsidRPr="007B5B86" w:rsidRDefault="007B60AB"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FE2765" w:rsidRPr="00867DAA" w14:paraId="6AE66C8F" w14:textId="77777777" w:rsidTr="0045799B">
        <w:tc>
          <w:tcPr>
            <w:tcW w:w="2268" w:type="dxa"/>
          </w:tcPr>
          <w:p w14:paraId="71FD0E3A" w14:textId="18AD81BD" w:rsidR="007B60AB" w:rsidRPr="00867DAA" w:rsidRDefault="00E24DE8" w:rsidP="00296E0F">
            <w:pPr>
              <w:pStyle w:val="BodyText"/>
            </w:pPr>
            <w:r>
              <w:t>Priority management actions</w:t>
            </w:r>
          </w:p>
        </w:tc>
        <w:tc>
          <w:tcPr>
            <w:tcW w:w="7370" w:type="dxa"/>
            <w:vAlign w:val="center"/>
          </w:tcPr>
          <w:p w14:paraId="1417AA21" w14:textId="3215A91D" w:rsidR="007B60AB" w:rsidRPr="00EF21EE" w:rsidRDefault="00E64B78" w:rsidP="006670D2">
            <w:pPr>
              <w:pStyle w:val="PullOutBoxBullet"/>
            </w:pPr>
            <w:r w:rsidRPr="00701200">
              <w:t>Target fire suppression activities to protect important populations and unburnt habitat</w:t>
            </w:r>
            <w:r w:rsidR="00502C64">
              <w:t>.</w:t>
            </w:r>
            <w:r w:rsidRPr="00701200">
              <w:t xml:space="preserve"> </w:t>
            </w:r>
          </w:p>
        </w:tc>
      </w:tr>
      <w:tr w:rsidR="00FE2765" w:rsidRPr="00867DAA" w14:paraId="043AD7C1" w14:textId="77777777" w:rsidTr="0045799B">
        <w:tc>
          <w:tcPr>
            <w:tcW w:w="2268" w:type="dxa"/>
            <w:vAlign w:val="center"/>
          </w:tcPr>
          <w:p w14:paraId="0BB5B0BA" w14:textId="1D848F5D" w:rsidR="007B60AB" w:rsidRPr="00867DAA" w:rsidRDefault="00E24DE8" w:rsidP="00296E0F">
            <w:pPr>
              <w:pStyle w:val="BodyText"/>
            </w:pPr>
            <w:r>
              <w:t>Potential m</w:t>
            </w:r>
            <w:r w:rsidR="007B60AB" w:rsidRPr="00867DAA">
              <w:t>anagement actions</w:t>
            </w:r>
          </w:p>
        </w:tc>
        <w:tc>
          <w:tcPr>
            <w:tcW w:w="7370" w:type="dxa"/>
          </w:tcPr>
          <w:p w14:paraId="23FB8C1C" w14:textId="77777777" w:rsidR="007B60AB" w:rsidRPr="00701200" w:rsidRDefault="007B60AB" w:rsidP="006670D2">
            <w:pPr>
              <w:pStyle w:val="PullOutBoxBullet"/>
            </w:pPr>
            <w:r w:rsidRPr="00701200">
              <w:t>Undertake extensive surveys to confirm population persistence and extant in the post fire landscape, with research into how fire effects habitat values and population persistence.</w:t>
            </w:r>
          </w:p>
        </w:tc>
      </w:tr>
    </w:tbl>
    <w:p w14:paraId="6073C8D3" w14:textId="77777777" w:rsidR="007B60AB" w:rsidRDefault="007B60AB" w:rsidP="007E5EBF">
      <w:pPr>
        <w:pStyle w:val="Heading3"/>
      </w:pPr>
      <w:r w:rsidRPr="00D55628">
        <w:rPr>
          <w:rFonts w:cs="Times New Roman"/>
          <w:noProof/>
          <w:lang w:eastAsia="en-US"/>
        </w:rPr>
        <mc:AlternateContent>
          <mc:Choice Requires="wps">
            <w:drawing>
              <wp:anchor distT="0" distB="0" distL="114300" distR="114300" simplePos="1" relativeHeight="251658522" behindDoc="1" locked="1" layoutInCell="1" allowOverlap="1" wp14:anchorId="599A45F2" wp14:editId="0E7A4CBA">
                <wp:simplePos x="359410" y="9071610"/>
                <wp:positionH relativeFrom="page">
                  <wp:posOffset>359410</wp:posOffset>
                </wp:positionH>
                <wp:positionV relativeFrom="page">
                  <wp:posOffset>9071610</wp:posOffset>
                </wp:positionV>
                <wp:extent cx="6840001" cy="432000"/>
                <wp:effectExtent l="0" t="0" r="0" b="0"/>
                <wp:wrapNone/>
                <wp:docPr id="1625"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B890F" w14:textId="77777777" w:rsidR="007B60AB" w:rsidRPr="00455A7E" w:rsidRDefault="007B60AB" w:rsidP="007B60AB">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A45F2" id="_x0000_s1039" type="#_x0000_t202" alt="Title: Decorative Cover Shape" style="position:absolute;left:0;text-align:left;margin-left:28.3pt;margin-top:714.3pt;width:538.6pt;height:34pt;z-index:-2516579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" fillcolor="#201547" stroked="f" strokeweight=".5pt">
                <v:textbox inset="10mm,0,10mm,0">
                  <w:txbxContent>
                    <w:p w14:paraId="5DCB890F" w14:textId="77777777" w:rsidR="007B60AB" w:rsidRPr="00455A7E" w:rsidRDefault="007B60AB" w:rsidP="007B60AB">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521" behindDoc="0" locked="1" layoutInCell="1" allowOverlap="1" wp14:anchorId="04DE400F" wp14:editId="5D4C33AC">
                <wp:simplePos x="0" y="0"/>
                <wp:positionH relativeFrom="page">
                  <wp:posOffset>360045</wp:posOffset>
                </wp:positionH>
                <wp:positionV relativeFrom="page">
                  <wp:posOffset>360045</wp:posOffset>
                </wp:positionV>
                <wp:extent cx="1864800" cy="1976400"/>
                <wp:effectExtent l="0" t="0" r="0" b="0"/>
                <wp:wrapNone/>
                <wp:docPr id="1601"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CAC04E0" id="TriangleTopACIMono" o:spid="_x0000_s1026" style="position:absolute;margin-left:28.35pt;margin-top:28.35pt;width:146.85pt;height:155.6pt;z-index:25165852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520" behindDoc="0" locked="1" layoutInCell="1" allowOverlap="1" wp14:anchorId="4F673E7A" wp14:editId="46D4A4DD">
                <wp:simplePos x="0" y="0"/>
                <wp:positionH relativeFrom="page">
                  <wp:posOffset>359410</wp:posOffset>
                </wp:positionH>
                <wp:positionV relativeFrom="page">
                  <wp:posOffset>359410</wp:posOffset>
                </wp:positionV>
                <wp:extent cx="1864800" cy="1976400"/>
                <wp:effectExtent l="0" t="0" r="0" b="0"/>
                <wp:wrapNone/>
                <wp:docPr id="1602"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9E40BD2" id="TriangleTop" o:spid="_x0000_s1026" style="position:absolute;margin-left:28.3pt;margin-top:28.3pt;width:146.85pt;height:155.6pt;z-index:2516585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519" behindDoc="0" locked="1" layoutInCell="1" allowOverlap="1" wp14:anchorId="66C58441" wp14:editId="426FA6E0">
                <wp:simplePos x="0" y="0"/>
                <wp:positionH relativeFrom="page">
                  <wp:posOffset>0</wp:posOffset>
                </wp:positionH>
                <wp:positionV relativeFrom="page">
                  <wp:align>bottom</wp:align>
                </wp:positionV>
                <wp:extent cx="3848400" cy="720000"/>
                <wp:effectExtent l="0" t="0" r="0" b="0"/>
                <wp:wrapNone/>
                <wp:docPr id="162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5F36B" w14:textId="77777777" w:rsidR="007B60AB" w:rsidRPr="009F69FA" w:rsidRDefault="007B60AB" w:rsidP="007B60AB">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58441" id="_x0000_s1040" type="#_x0000_t202" style="position:absolute;left:0;text-align:left;margin-left:0;margin-top:0;width:303pt;height:56.7pt;z-index:25165851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FgE0vdtAgAARgUAAA4AAAAAAAAAAAAAAAAALgIA&#10;AGRycy9lMm9Eb2MueG1sUEsBAi0AFAAGAAgAAAAhAPTKz6jaAAAABQEAAA8AAAAAAAAAAAAAAAAA&#10;xwQAAGRycy9kb3ducmV2LnhtbFBLBQYAAAAABAAEAPMAAADOBQAAAAA=&#10;" filled="f" stroked="f" strokeweight=".5pt">
                <v:textbox inset="20mm">
                  <w:txbxContent>
                    <w:p w14:paraId="6455F36B" w14:textId="77777777" w:rsidR="007B60AB" w:rsidRPr="009F69FA" w:rsidRDefault="007B60AB" w:rsidP="007B60AB">
                      <w:pPr>
                        <w:pStyle w:val="xWebCoverPage"/>
                      </w:pPr>
                      <w:r w:rsidRPr="009F69FA">
                        <w:t>de</w:t>
                      </w:r>
                      <w:r>
                        <w:t>lw</w:t>
                      </w:r>
                      <w:r w:rsidRPr="009F69FA">
                        <w:t>p.vic.gov.au</w:t>
                      </w:r>
                    </w:p>
                  </w:txbxContent>
                </v:textbox>
                <w10:wrap anchorx="page" anchory="page"/>
                <w10:anchorlock/>
              </v:shape>
            </w:pict>
          </mc:Fallback>
        </mc:AlternateContent>
      </w:r>
      <w:r>
        <w:t>Forestry operations</w:t>
      </w:r>
    </w:p>
    <w:p w14:paraId="54EC2BF4" w14:textId="6E242B0C" w:rsidR="007B60AB" w:rsidRPr="001C0DE0" w:rsidRDefault="00122AAB" w:rsidP="007B60AB">
      <w:pPr>
        <w:pStyle w:val="Heading5"/>
        <w:numPr>
          <w:ilvl w:val="0"/>
          <w:numId w:val="0"/>
        </w:numPr>
        <w:ind w:left="1008" w:hanging="1008"/>
      </w:pPr>
      <w:r>
        <w:t>F</w:t>
      </w:r>
      <w:r w:rsidR="007B60AB">
        <w:t>orestry operations</w:t>
      </w:r>
    </w:p>
    <w:p w14:paraId="035F1FAA" w14:textId="1D94E9F2" w:rsidR="007B60AB" w:rsidRPr="00A2719B" w:rsidRDefault="007B60AB" w:rsidP="007B60AB">
      <w:pPr>
        <w:pStyle w:val="BodyText"/>
      </w:pPr>
      <w:r>
        <w:t xml:space="preserve">Threats may be driven by a range of land and water management activities, including road construction and maintenance and forestry operations. Loss of food resources due to soil disturbance or loss of riparian vegetation can lead to various ecological changes, particularly sedimentation affecting instream processes, increased water temperature from greater incidence of light, and reduction in the type and amount of debris accumulation in streams, changes which generally reduce the suitability of streams as habitat for </w:t>
      </w:r>
      <w:r w:rsidRPr="00704719">
        <w:rPr>
          <w:i/>
          <w:iCs/>
        </w:rPr>
        <w:t>Euastacus</w:t>
      </w:r>
      <w:r>
        <w:t xml:space="preserve"> species. The </w:t>
      </w:r>
      <w:r w:rsidRPr="00F26BEE">
        <w:t>coarse woody debris provides important crayfish habitat</w:t>
      </w:r>
      <w:r w:rsidR="00B339A5" w:rsidRPr="00F26BEE">
        <w:t>,</w:t>
      </w:r>
      <w:r w:rsidRPr="00F26BEE">
        <w:t xml:space="preserve"> and the finer debris would provide an important food source for the species. </w:t>
      </w:r>
      <w:r w:rsidR="00C43E17" w:rsidRPr="00FD57DB">
        <w:t>Based on the 2015 net harvest area layer</w:t>
      </w:r>
      <w:r w:rsidR="0099709D" w:rsidRPr="00FD57DB">
        <w:rPr>
          <w:rFonts w:ascii="Arial" w:hAnsi="Arial"/>
        </w:rPr>
        <w:t xml:space="preserve"> 19% of the </w:t>
      </w:r>
      <w:r w:rsidR="00C83BF2">
        <w:rPr>
          <w:rFonts w:ascii="Arial" w:hAnsi="Arial"/>
        </w:rPr>
        <w:t>species’</w:t>
      </w:r>
      <w:r w:rsidR="0099709D" w:rsidRPr="00FD57DB">
        <w:rPr>
          <w:rFonts w:ascii="Arial" w:hAnsi="Arial"/>
        </w:rPr>
        <w:t xml:space="preserve"> catchment </w:t>
      </w:r>
      <w:r w:rsidR="00C43E17" w:rsidRPr="00FD57DB">
        <w:rPr>
          <w:rFonts w:ascii="Arial" w:hAnsi="Arial"/>
        </w:rPr>
        <w:t>occurs</w:t>
      </w:r>
      <w:r w:rsidR="0099709D" w:rsidRPr="00FD57DB">
        <w:rPr>
          <w:rFonts w:ascii="Arial" w:hAnsi="Arial"/>
        </w:rPr>
        <w:t xml:space="preserve"> in merchantable area</w:t>
      </w:r>
      <w:r w:rsidR="00C43E17" w:rsidRPr="00FD57DB">
        <w:rPr>
          <w:rFonts w:ascii="Arial" w:hAnsi="Arial"/>
        </w:rPr>
        <w:t>s</w:t>
      </w:r>
      <w:r w:rsidR="0099709D" w:rsidRPr="00FD57DB">
        <w:rPr>
          <w:rFonts w:ascii="Arial" w:hAnsi="Arial"/>
        </w:rPr>
        <w:t xml:space="preserve">. Using the revised operable area layer this has </w:t>
      </w:r>
      <w:r w:rsidR="00C43E17" w:rsidRPr="00FD57DB">
        <w:rPr>
          <w:rFonts w:ascii="Arial" w:hAnsi="Arial"/>
        </w:rPr>
        <w:t>reduced</w:t>
      </w:r>
      <w:r w:rsidR="0099709D" w:rsidRPr="00FD57DB">
        <w:rPr>
          <w:rFonts w:ascii="Arial" w:hAnsi="Arial"/>
        </w:rPr>
        <w:t xml:space="preserve"> to 6%. Since 1970, forestry operations have impacted 13% of the species’ catchment. </w:t>
      </w:r>
      <w:r w:rsidRPr="00F26BEE">
        <w:t xml:space="preserve">During extreme flood or rainfall events, disturbance from forestry operations likely exacerbates run-off and sedimentation effects that degrade streams which the </w:t>
      </w:r>
      <w:r w:rsidR="00C83BF2">
        <w:t>species</w:t>
      </w:r>
      <w:r w:rsidRPr="00F26BEE">
        <w:t xml:space="preserve"> use</w:t>
      </w:r>
      <w:r w:rsidR="006E0DCA">
        <w:t>s</w:t>
      </w:r>
      <w:r w:rsidRPr="00F26BEE">
        <w:t xml:space="preserve"> as habitat</w:t>
      </w:r>
      <w:r w:rsidR="00946608">
        <w:t>.</w:t>
      </w:r>
      <w:r w:rsidRPr="00F26BEE">
        <w:t xml:space="preserve"> </w:t>
      </w:r>
      <w:r w:rsidR="00B56050" w:rsidRPr="00915D82">
        <w:t>Current forestry operations and management practices may also increase the risks and exacerbate the effects of bushfires (e.g</w:t>
      </w:r>
      <w:r w:rsidR="00A52E22" w:rsidRPr="00915D82">
        <w:t>.,</w:t>
      </w:r>
      <w:r w:rsidR="00B56050" w:rsidRPr="00915D82">
        <w:t xml:space="preserve"> Furlaud et al. 2021). However, the strength of this relationship is contested within the scientific community (e.g</w:t>
      </w:r>
      <w:r w:rsidR="00A52E22" w:rsidRPr="00915D82">
        <w:t>.,</w:t>
      </w:r>
      <w:r w:rsidR="00B56050" w:rsidRPr="00915D82">
        <w:t xml:space="preserve"> </w:t>
      </w:r>
      <w:r w:rsidR="00CA1389">
        <w:t xml:space="preserve">Keenan </w:t>
      </w:r>
      <w:r w:rsidR="00B56050" w:rsidRPr="00915D82">
        <w:t>et al</w:t>
      </w:r>
      <w:r w:rsidR="005C7DFC">
        <w:t>.</w:t>
      </w:r>
      <w:r w:rsidR="00B56050" w:rsidRPr="00915D82">
        <w:t xml:space="preserve"> 2021), and the extent of this effect may be less significant in the face of mega fires driven primarily by extreme heat and drought caused by human-induced climate-change (e.g</w:t>
      </w:r>
      <w:r w:rsidR="00A52E22" w:rsidRPr="00915D82">
        <w:t>.,</w:t>
      </w:r>
      <w:r w:rsidR="00B56050" w:rsidRPr="00915D82">
        <w:t xml:space="preserve"> Bowman et al. 2021).</w:t>
      </w:r>
      <w:r w:rsidRPr="00F26BEE">
        <w:t xml:space="preserve"> Sedimentation, soil erosion and decline in water quality from instream sedimentation can be exacerbated during wet periods (i.e</w:t>
      </w:r>
      <w:r w:rsidR="00A52E22" w:rsidRPr="00F26BEE">
        <w:t>.,</w:t>
      </w:r>
      <w:r w:rsidRPr="00F26BEE">
        <w:t xml:space="preserve"> during localised intense rainfall events, wetter months</w:t>
      </w:r>
      <w:r w:rsidR="00D50D5C" w:rsidRPr="00F26BEE">
        <w:t>,</w:t>
      </w:r>
      <w:r w:rsidRPr="00F26BEE">
        <w:t xml:space="preserve"> and La Niña events</w:t>
      </w:r>
      <w:r w:rsidR="00DA77E5">
        <w:t>).</w:t>
      </w:r>
      <w:r w:rsidRPr="001E461A">
        <w:t xml:space="preserve"> </w:t>
      </w:r>
      <w:r w:rsidR="006C5D56" w:rsidRPr="00915D82">
        <w:rPr>
          <w:rStyle w:val="BodyTextChar"/>
        </w:rPr>
        <w:t>Instream sedimentation, particularly sediment which settles on the streambed, may remain for long periods of time and cause negative impacts to freshwater invertebrates (e.g</w:t>
      </w:r>
      <w:r w:rsidR="00D50D5C" w:rsidRPr="00915D82">
        <w:rPr>
          <w:rStyle w:val="BodyTextChar"/>
        </w:rPr>
        <w:t>.,</w:t>
      </w:r>
      <w:r w:rsidR="006C5D56" w:rsidRPr="00915D82">
        <w:rPr>
          <w:rStyle w:val="BodyTextChar"/>
        </w:rPr>
        <w:t xml:space="preserve"> Campbell and Doeg, 1989).</w:t>
      </w:r>
      <w:r w:rsidR="006C5D56">
        <w:rPr>
          <w:color w:val="7030A0"/>
        </w:rPr>
        <w:t xml:space="preserve"> </w:t>
      </w:r>
      <w:r w:rsidRPr="001E461A">
        <w:rPr>
          <w:rStyle w:val="BodyTextChar"/>
        </w:rPr>
        <w:t xml:space="preserve">Filter strips may be ineffective in protecting this </w:t>
      </w:r>
      <w:r w:rsidR="00C83BF2">
        <w:rPr>
          <w:rStyle w:val="BodyTextChar"/>
        </w:rPr>
        <w:t>species</w:t>
      </w:r>
      <w:r w:rsidRPr="001E461A">
        <w:rPr>
          <w:rStyle w:val="BodyTextChar"/>
        </w:rPr>
        <w:t xml:space="preserve"> in the riparian zone of drainage lines as burrow</w:t>
      </w:r>
      <w:r w:rsidR="00666288">
        <w:rPr>
          <w:rStyle w:val="BodyTextChar"/>
        </w:rPr>
        <w:t>s</w:t>
      </w:r>
      <w:r w:rsidRPr="001E461A">
        <w:rPr>
          <w:rStyle w:val="BodyTextChar"/>
        </w:rPr>
        <w:t xml:space="preserve"> m</w:t>
      </w:r>
      <w:r>
        <w:rPr>
          <w:rStyle w:val="BodyTextChar"/>
        </w:rPr>
        <w:t>a</w:t>
      </w:r>
      <w:r w:rsidRPr="001E461A">
        <w:rPr>
          <w:rStyle w:val="BodyTextChar"/>
        </w:rPr>
        <w:t>y extend further from the stream system.</w:t>
      </w:r>
    </w:p>
    <w:p w14:paraId="734E5F12" w14:textId="77777777" w:rsidR="007B60AB" w:rsidRDefault="007B60AB" w:rsidP="007B60AB">
      <w:pPr>
        <w:pStyle w:val="BodyText"/>
      </w:pPr>
      <w:r w:rsidRPr="00660ABA">
        <w:t>Current existing controls for this hazard includ</w:t>
      </w:r>
      <w:r>
        <w:t>e:</w:t>
      </w:r>
    </w:p>
    <w:p w14:paraId="20A23D16" w14:textId="3B7BA532" w:rsidR="007B60AB" w:rsidRDefault="007B60AB" w:rsidP="006670D2">
      <w:pPr>
        <w:pStyle w:val="PullOutBoxBullet"/>
      </w:pPr>
      <w:r w:rsidRPr="4F453272">
        <w:t xml:space="preserve">The </w:t>
      </w:r>
      <w:r w:rsidRPr="00CC7F45">
        <w:rPr>
          <w:i/>
          <w:iCs/>
        </w:rPr>
        <w:t xml:space="preserve">Code of Practice for Timber Production 2014. </w:t>
      </w:r>
      <w:r>
        <w:t xml:space="preserve">There </w:t>
      </w:r>
      <w:r w:rsidR="007C1A6E">
        <w:t>is</w:t>
      </w:r>
      <w:r>
        <w:t xml:space="preserve"> no species-specific prescription </w:t>
      </w:r>
      <w:r w:rsidRPr="4F453272">
        <w:t xml:space="preserve">for this </w:t>
      </w:r>
      <w:r w:rsidR="00C83BF2">
        <w:t>species</w:t>
      </w:r>
      <w:r w:rsidRPr="4F453272">
        <w:t xml:space="preserve"> in the Code, however the Code includes general protections for waterways including a prohibition on harvesting, the application of buffers and </w:t>
      </w:r>
      <w:r w:rsidR="005835FD" w:rsidRPr="00915D82">
        <w:t>design standards for roads, crossings</w:t>
      </w:r>
      <w:r w:rsidR="009C2782" w:rsidRPr="00915D82">
        <w:t>,</w:t>
      </w:r>
      <w:r w:rsidR="005835FD" w:rsidRPr="00915D82">
        <w:t xml:space="preserve"> and coupe infrastructure</w:t>
      </w:r>
      <w:r w:rsidRPr="4F453272">
        <w:t xml:space="preserve">. </w:t>
      </w:r>
      <w:r>
        <w:t>These prescriptions do not account for specific species requirements such as effective filter strips and buffer width to avoid mechanical damage to burrow systems and to stop debris flow and instream sedimentation</w:t>
      </w:r>
      <w:r w:rsidR="009C2782">
        <w:t xml:space="preserve"> and</w:t>
      </w:r>
      <w:r>
        <w:t xml:space="preserve"> have therefore been evaluated as poor for this </w:t>
      </w:r>
      <w:r w:rsidR="00C83BF2">
        <w:t>species</w:t>
      </w:r>
      <w:r>
        <w:t>.</w:t>
      </w:r>
    </w:p>
    <w:p w14:paraId="0B0E3F1A" w14:textId="7106F2F8" w:rsidR="007B60AB" w:rsidRDefault="007B60AB"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w:t>
      </w:r>
      <w:r w:rsidRPr="4F453272">
        <w:t>satisfactory as 5</w:t>
      </w:r>
      <w:r>
        <w:t>7</w:t>
      </w:r>
      <w:r w:rsidRPr="4F453272">
        <w:t xml:space="preserve">% of the </w:t>
      </w:r>
      <w:r w:rsidR="00C83BF2">
        <w:t>species’</w:t>
      </w:r>
      <w:r w:rsidRPr="4F453272">
        <w:t xml:space="preserve"> </w:t>
      </w:r>
      <w:r>
        <w:t xml:space="preserve">catchments </w:t>
      </w:r>
      <w:r w:rsidRPr="4F453272">
        <w:t>and important populations are within the reserve system</w:t>
      </w:r>
      <w:r w:rsidR="008B3506">
        <w:t>.</w:t>
      </w:r>
    </w:p>
    <w:p w14:paraId="3C976E36" w14:textId="3F453A85" w:rsidR="007B60AB" w:rsidRPr="00FF310C" w:rsidRDefault="007B60A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21</w:t>
      </w:r>
      <w:r w:rsidR="000B6788" w:rsidRPr="00B6162A">
        <w:rPr>
          <w:bCs/>
          <w:noProof/>
        </w:rPr>
        <w:fldChar w:fldCharType="end"/>
      </w:r>
      <w:r w:rsidRPr="00FF310C">
        <w:t xml:space="preserve">. East Gippsland Spiny Crayfish protection requirements and recommendations for </w:t>
      </w:r>
      <w:r w:rsidR="00A450B4" w:rsidRPr="00FF310C">
        <w:t>f</w:t>
      </w:r>
      <w:r w:rsidRPr="00FF310C">
        <w:t>orestry operations</w:t>
      </w:r>
    </w:p>
    <w:tbl>
      <w:tblPr>
        <w:tblStyle w:val="TableGrid"/>
        <w:tblW w:w="0" w:type="auto"/>
        <w:tblLook w:val="04A0" w:firstRow="1" w:lastRow="0" w:firstColumn="1" w:lastColumn="0" w:noHBand="0" w:noVBand="1"/>
      </w:tblPr>
      <w:tblGrid>
        <w:gridCol w:w="2268"/>
        <w:gridCol w:w="7371"/>
      </w:tblGrid>
      <w:tr w:rsidR="003F25FD" w:rsidRPr="00867DAA" w14:paraId="35E9B21B" w14:textId="77777777" w:rsidTr="0070120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86BD613" w14:textId="77777777" w:rsidR="007B60AB" w:rsidRPr="007B5B86" w:rsidRDefault="007B60AB">
            <w:pPr>
              <w:pStyle w:val="BodyText"/>
            </w:pPr>
            <w:r w:rsidRPr="007B5B86">
              <w:t>Requirement</w:t>
            </w:r>
          </w:p>
        </w:tc>
        <w:tc>
          <w:tcPr>
            <w:tcW w:w="7371" w:type="dxa"/>
          </w:tcPr>
          <w:p w14:paraId="7C00632D" w14:textId="77777777" w:rsidR="007B60AB" w:rsidRPr="007B5B86" w:rsidRDefault="007B60AB">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7B60AB" w:rsidRPr="00867DAA" w14:paraId="22984C53" w14:textId="77777777" w:rsidTr="0045799B">
        <w:tc>
          <w:tcPr>
            <w:tcW w:w="0" w:type="dxa"/>
          </w:tcPr>
          <w:p w14:paraId="616279EB" w14:textId="77777777" w:rsidR="007B60AB" w:rsidRPr="00867DAA" w:rsidRDefault="007B60AB" w:rsidP="005611CD">
            <w:pPr>
              <w:pStyle w:val="BodyText"/>
            </w:pPr>
            <w:r w:rsidRPr="00867DAA">
              <w:t>Interim protections</w:t>
            </w:r>
          </w:p>
        </w:tc>
        <w:tc>
          <w:tcPr>
            <w:tcW w:w="0" w:type="dxa"/>
          </w:tcPr>
          <w:p w14:paraId="5567F753" w14:textId="1EFA2FCF" w:rsidR="00A43A78" w:rsidRDefault="00A43A78" w:rsidP="00A43A78">
            <w:pPr>
              <w:pStyle w:val="BodyText"/>
              <w:rPr>
                <w:rFonts w:ascii="Arial" w:eastAsia="Calibri" w:hAnsi="Arial" w:cs="Arial"/>
              </w:rPr>
            </w:pPr>
            <w:r w:rsidRPr="002A10F6">
              <w:rPr>
                <w:rFonts w:ascii="Arial" w:eastAsia="Calibri" w:hAnsi="Arial" w:cs="Arial"/>
              </w:rPr>
              <w:t xml:space="preserve">Within </w:t>
            </w:r>
            <w:r w:rsidRPr="00486957">
              <w:rPr>
                <w:rFonts w:ascii="Arial" w:eastAsia="Calibri" w:hAnsi="Arial" w:cs="Arial"/>
              </w:rPr>
              <w:t>the East Gippsland RFA</w:t>
            </w:r>
            <w:r w:rsidR="00660271">
              <w:rPr>
                <w:rFonts w:ascii="Arial" w:eastAsia="Calibri" w:hAnsi="Arial" w:cs="Arial"/>
              </w:rPr>
              <w:t xml:space="preserve"> region</w:t>
            </w:r>
            <w:r w:rsidRPr="00486957">
              <w:rPr>
                <w:rFonts w:ascii="Arial" w:eastAsia="Calibri" w:hAnsi="Arial" w:cs="Arial"/>
              </w:rPr>
              <w:t xml:space="preserve">, the </w:t>
            </w:r>
            <w:r w:rsidRPr="00FD57DB">
              <w:rPr>
                <w:rFonts w:ascii="Arial" w:eastAsia="Calibri" w:hAnsi="Arial" w:cs="Arial"/>
              </w:rPr>
              <w:t xml:space="preserve">Secretary </w:t>
            </w:r>
            <w:r w:rsidRPr="002A10F6">
              <w:rPr>
                <w:rFonts w:ascii="Arial" w:eastAsia="Calibri" w:hAnsi="Arial" w:cs="Arial"/>
              </w:rPr>
              <w:t xml:space="preserve">will establish </w:t>
            </w:r>
            <w:r w:rsidRPr="00FD57DB">
              <w:rPr>
                <w:rFonts w:ascii="Arial" w:eastAsia="Calibri" w:hAnsi="Arial" w:cs="Arial"/>
              </w:rPr>
              <w:t>Special Management Zone(s)</w:t>
            </w:r>
            <w:r>
              <w:rPr>
                <w:rFonts w:ascii="Arial" w:eastAsia="Calibri" w:hAnsi="Arial" w:cs="Arial"/>
              </w:rPr>
              <w:t xml:space="preserve"> (SMZ)</w:t>
            </w:r>
            <w:r w:rsidRPr="002A10F6">
              <w:rPr>
                <w:rFonts w:ascii="Arial" w:eastAsia="Calibri" w:hAnsi="Arial" w:cs="Arial"/>
              </w:rPr>
              <w:t xml:space="preserve"> to the</w:t>
            </w:r>
            <w:r w:rsidRPr="00486957">
              <w:rPr>
                <w:rFonts w:ascii="Arial" w:eastAsia="Calibri" w:hAnsi="Arial" w:cs="Arial"/>
              </w:rPr>
              <w:t xml:space="preserve"> catchment of the </w:t>
            </w:r>
            <w:r>
              <w:rPr>
                <w:rFonts w:ascii="Arial" w:eastAsia="Calibri" w:hAnsi="Arial" w:cs="Arial"/>
              </w:rPr>
              <w:t>East Gippsland</w:t>
            </w:r>
            <w:r w:rsidRPr="00486957">
              <w:rPr>
                <w:rFonts w:ascii="Arial" w:eastAsia="Calibri" w:hAnsi="Arial" w:cs="Arial"/>
              </w:rPr>
              <w:t xml:space="preserve"> Spiny Crayfish</w:t>
            </w:r>
            <w:r w:rsidR="003A7EA8">
              <w:rPr>
                <w:rFonts w:ascii="Arial" w:eastAsia="Calibri" w:hAnsi="Arial" w:cs="Arial"/>
              </w:rPr>
              <w:t>, plus two recent VBA records that fall outside of the mapped catchment,</w:t>
            </w:r>
            <w:r w:rsidRPr="00486957">
              <w:rPr>
                <w:rFonts w:ascii="Arial" w:eastAsia="Calibri" w:hAnsi="Arial" w:cs="Arial"/>
              </w:rPr>
              <w:t xml:space="preserve"> with the following conditions: </w:t>
            </w:r>
          </w:p>
          <w:p w14:paraId="1088201E" w14:textId="0F568848" w:rsidR="00A43A78" w:rsidRDefault="00A43A78" w:rsidP="00A43A78">
            <w:pPr>
              <w:pStyle w:val="BodyText"/>
              <w:spacing w:line="240" w:lineRule="auto"/>
            </w:pPr>
            <w:r w:rsidRPr="00BF3332">
              <w:t xml:space="preserve">Where one or more individuals of </w:t>
            </w:r>
            <w:r>
              <w:t>East Gippsland Spiny Crayfish</w:t>
            </w:r>
            <w:r w:rsidRPr="00BF3332">
              <w:t xml:space="preserve"> have been verified:</w:t>
            </w:r>
          </w:p>
          <w:p w14:paraId="5144E721" w14:textId="0CFF1E10" w:rsidR="00A43A78" w:rsidRPr="00330A6C" w:rsidRDefault="00A43A78" w:rsidP="006670D2">
            <w:pPr>
              <w:pStyle w:val="PullOutBoxBullet"/>
            </w:pPr>
            <w:r>
              <w:t xml:space="preserve">Environments with high soil absorption capacity </w:t>
            </w:r>
            <w:r w:rsidRPr="00330A6C">
              <w:t xml:space="preserve">(refer to Appendix </w:t>
            </w:r>
            <w:r w:rsidR="00F64DB7">
              <w:t>3</w:t>
            </w:r>
            <w:r w:rsidRPr="00330A6C">
              <w:t>)</w:t>
            </w:r>
            <w:r>
              <w:t>:</w:t>
            </w:r>
          </w:p>
          <w:p w14:paraId="5B63BAB9" w14:textId="77777777" w:rsidR="00A43A78" w:rsidRPr="00603FA2" w:rsidRDefault="00A43A78" w:rsidP="0029709B">
            <w:pPr>
              <w:pStyle w:val="PullOutBoxBullet2"/>
            </w:pPr>
            <w:r w:rsidRPr="00603FA2">
              <w:t xml:space="preserve">Apply </w:t>
            </w:r>
            <w:r>
              <w:t>40</w:t>
            </w:r>
            <w:r w:rsidRPr="00603FA2">
              <w:t xml:space="preserve"> metre (m) buffers either side of all mapped and unmapped permanent streams and temporary streams upstream and downstream of the value to the watershed boundary (on average 1km but responsive to local </w:t>
            </w:r>
            <w:r>
              <w:t>topography; see Figure 1</w:t>
            </w:r>
            <w:r w:rsidRPr="00603FA2">
              <w:t xml:space="preserve">); </w:t>
            </w:r>
          </w:p>
          <w:p w14:paraId="1BFF2DF7" w14:textId="77777777" w:rsidR="00A43A78" w:rsidRPr="00603FA2" w:rsidRDefault="00A43A78" w:rsidP="0029709B">
            <w:pPr>
              <w:pStyle w:val="PullOutBoxBullet2"/>
            </w:pPr>
            <w:r w:rsidRPr="00603FA2">
              <w:t xml:space="preserve">Apply </w:t>
            </w:r>
            <w:r>
              <w:t>30</w:t>
            </w:r>
            <w:r w:rsidRPr="00603FA2">
              <w:t xml:space="preserve"> metre (m) buffers </w:t>
            </w:r>
            <w:r>
              <w:t xml:space="preserve">plus 10 metre (m) filter strips </w:t>
            </w:r>
            <w:r w:rsidRPr="00603FA2">
              <w:t xml:space="preserve">to either side of drainage lines upstream and downstream of the value to the watershed boundary (on average 1km but responsive to local </w:t>
            </w:r>
            <w:r>
              <w:t>topography</w:t>
            </w:r>
            <w:r w:rsidRPr="00603FA2">
              <w:t>);</w:t>
            </w:r>
          </w:p>
          <w:p w14:paraId="27931FA5" w14:textId="1D11E7CF" w:rsidR="00A43A78" w:rsidRPr="00330A6C" w:rsidRDefault="00A43A78" w:rsidP="006670D2">
            <w:pPr>
              <w:pStyle w:val="PullOutBoxBullet"/>
            </w:pPr>
            <w:r>
              <w:t xml:space="preserve">Environments with low soil absorption capacity </w:t>
            </w:r>
            <w:r w:rsidRPr="00330A6C">
              <w:t xml:space="preserve">(refer to Appendix </w:t>
            </w:r>
            <w:r w:rsidR="00F64DB7">
              <w:t>3</w:t>
            </w:r>
            <w:r w:rsidRPr="00330A6C">
              <w:t>)</w:t>
            </w:r>
            <w:r>
              <w:t>:</w:t>
            </w:r>
          </w:p>
          <w:p w14:paraId="5231B849" w14:textId="77777777" w:rsidR="00A43A78" w:rsidRPr="00603FA2" w:rsidRDefault="00A43A78" w:rsidP="0029709B">
            <w:pPr>
              <w:pStyle w:val="PullOutBoxBullet2"/>
            </w:pPr>
            <w:r w:rsidRPr="00603FA2">
              <w:t xml:space="preserve">Apply </w:t>
            </w:r>
            <w:r>
              <w:t>60</w:t>
            </w:r>
            <w:r w:rsidRPr="00603FA2">
              <w:t xml:space="preserve"> metre (m) buffers either side of all mapped and unmapped permanent streams and temporary streams upstream and downstream of the value to the watershed boundary (on average 1km but responsive to local </w:t>
            </w:r>
            <w:r>
              <w:t>topography</w:t>
            </w:r>
            <w:r w:rsidRPr="00603FA2">
              <w:t xml:space="preserve">); </w:t>
            </w:r>
          </w:p>
          <w:p w14:paraId="58779CF6" w14:textId="77777777" w:rsidR="00A43A78" w:rsidRPr="00603FA2" w:rsidRDefault="00A43A78" w:rsidP="0029709B">
            <w:pPr>
              <w:pStyle w:val="PullOutBoxBullet2"/>
            </w:pPr>
            <w:r w:rsidRPr="00603FA2">
              <w:t xml:space="preserve">Apply </w:t>
            </w:r>
            <w:r>
              <w:t>40</w:t>
            </w:r>
            <w:r w:rsidRPr="00603FA2">
              <w:t xml:space="preserve"> metre (m) buffers </w:t>
            </w:r>
            <w:r>
              <w:t xml:space="preserve">plus 20 metre (m) filter strips </w:t>
            </w:r>
            <w:r w:rsidRPr="00603FA2">
              <w:t xml:space="preserve">to either side of drainage lines upstream and downstream of the value to the watershed boundary (on average 1km but responsive to local </w:t>
            </w:r>
            <w:r>
              <w:t>topography</w:t>
            </w:r>
            <w:r w:rsidRPr="00603FA2">
              <w:t>);</w:t>
            </w:r>
          </w:p>
          <w:p w14:paraId="3EE642AA" w14:textId="3B56A1A7" w:rsidR="007B60AB" w:rsidRPr="008608A0" w:rsidRDefault="001613D7" w:rsidP="006670D2">
            <w:pPr>
              <w:pStyle w:val="PullOutBoxBullet"/>
            </w:pPr>
            <w:r w:rsidRPr="00291BDC">
              <w:t xml:space="preserve">No new </w:t>
            </w:r>
            <w:r w:rsidRPr="00FD57DB">
              <w:t>road</w:t>
            </w:r>
            <w:r w:rsidRPr="00B6162A">
              <w:t xml:space="preserve">, </w:t>
            </w:r>
            <w:r w:rsidRPr="00FD57DB">
              <w:t>snig track</w:t>
            </w:r>
            <w:r w:rsidRPr="00B6162A">
              <w:t xml:space="preserve">, </w:t>
            </w:r>
            <w:r w:rsidRPr="00FD57DB">
              <w:t>in-coupe road</w:t>
            </w:r>
            <w:r w:rsidRPr="00B6162A">
              <w:t xml:space="preserve">, </w:t>
            </w:r>
            <w:r w:rsidRPr="00FD57DB">
              <w:t>coupe driveway,</w:t>
            </w:r>
            <w:r w:rsidRPr="00603FA2">
              <w:t xml:space="preserve"> </w:t>
            </w:r>
            <w:r w:rsidRPr="00FD57DB">
              <w:t>coupe infrastructure</w:t>
            </w:r>
            <w:r w:rsidRPr="00B6162A">
              <w:t xml:space="preserve"> or stream crossing shall be constructed within or through any </w:t>
            </w:r>
            <w:r w:rsidRPr="00FD57DB">
              <w:t>buffer</w:t>
            </w:r>
            <w:r w:rsidRPr="00B6162A">
              <w:t xml:space="preserve"> without an approved exemption from the </w:t>
            </w:r>
            <w:r w:rsidRPr="00FD57DB">
              <w:t>Secretary</w:t>
            </w:r>
            <w:r w:rsidR="00442C84" w:rsidRPr="00603FA2">
              <w:t xml:space="preserve"> </w:t>
            </w:r>
            <w:r w:rsidR="00442C84">
              <w:rPr>
                <w:rFonts w:ascii="Arial" w:hAnsi="Arial" w:cs="Arial"/>
              </w:rPr>
              <w:t>(See Map 2).</w:t>
            </w:r>
          </w:p>
        </w:tc>
      </w:tr>
      <w:tr w:rsidR="00701200" w:rsidRPr="00867DAA" w14:paraId="26CE23C6" w14:textId="77777777" w:rsidTr="005611CD">
        <w:tc>
          <w:tcPr>
            <w:tcW w:w="2268" w:type="dxa"/>
          </w:tcPr>
          <w:p w14:paraId="47D49A19" w14:textId="09C1C35D" w:rsidR="00FB3558" w:rsidRPr="00867DAA" w:rsidRDefault="00FB3558" w:rsidP="005611CD">
            <w:pPr>
              <w:pStyle w:val="BodyText"/>
            </w:pPr>
            <w:r>
              <w:t>Priority management actions</w:t>
            </w:r>
          </w:p>
        </w:tc>
        <w:tc>
          <w:tcPr>
            <w:tcW w:w="7371" w:type="dxa"/>
          </w:tcPr>
          <w:p w14:paraId="42288048" w14:textId="36953DD3" w:rsidR="00FB3558" w:rsidRPr="003566BD" w:rsidRDefault="00A43A78" w:rsidP="006670D2">
            <w:pPr>
              <w:pStyle w:val="PullOutBoxBullet"/>
              <w:numPr>
                <w:ilvl w:val="0"/>
                <w:numId w:val="0"/>
              </w:numPr>
              <w:ind w:left="312"/>
            </w:pPr>
            <w:r>
              <w:t>None currently identified</w:t>
            </w:r>
            <w:r w:rsidR="007C42AD">
              <w:t>.</w:t>
            </w:r>
          </w:p>
        </w:tc>
      </w:tr>
      <w:tr w:rsidR="007B60AB" w:rsidRPr="00867DAA" w14:paraId="68CFF424" w14:textId="77777777" w:rsidTr="005611CD">
        <w:tc>
          <w:tcPr>
            <w:tcW w:w="2268" w:type="dxa"/>
          </w:tcPr>
          <w:p w14:paraId="47B4DA74" w14:textId="77777777" w:rsidR="007B60AB" w:rsidRPr="00867DAA" w:rsidRDefault="007B60AB" w:rsidP="005611CD">
            <w:pPr>
              <w:pStyle w:val="BodyText"/>
            </w:pPr>
            <w:r w:rsidRPr="00867DAA">
              <w:t>Permanent protections</w:t>
            </w:r>
          </w:p>
        </w:tc>
        <w:tc>
          <w:tcPr>
            <w:tcW w:w="7371" w:type="dxa"/>
          </w:tcPr>
          <w:p w14:paraId="002D66DE" w14:textId="77777777" w:rsidR="007B60AB" w:rsidRPr="00867DAA" w:rsidRDefault="007B60AB" w:rsidP="005611CD">
            <w:pPr>
              <w:pStyle w:val="BodyText"/>
            </w:pPr>
            <w:r w:rsidRPr="003566BD">
              <w:t>Additional permanent protections may be required in the longer-term</w:t>
            </w:r>
            <w:r>
              <w:t>.</w:t>
            </w:r>
          </w:p>
        </w:tc>
      </w:tr>
      <w:tr w:rsidR="007B60AB" w:rsidRPr="00867DAA" w14:paraId="36A5B146" w14:textId="77777777" w:rsidTr="0045799B">
        <w:tc>
          <w:tcPr>
            <w:tcW w:w="0" w:type="dxa"/>
          </w:tcPr>
          <w:p w14:paraId="0CD5EA57" w14:textId="47B1E864" w:rsidR="007B60AB" w:rsidRPr="00867DAA" w:rsidRDefault="00E24DE8" w:rsidP="005611CD">
            <w:pPr>
              <w:pStyle w:val="BodyText"/>
            </w:pPr>
            <w:r>
              <w:t>Potential m</w:t>
            </w:r>
            <w:r w:rsidR="007B60AB" w:rsidRPr="00867DAA">
              <w:t>anagement actions</w:t>
            </w:r>
          </w:p>
        </w:tc>
        <w:tc>
          <w:tcPr>
            <w:tcW w:w="0" w:type="dxa"/>
          </w:tcPr>
          <w:p w14:paraId="0774E2C3" w14:textId="1CCFB006" w:rsidR="006F79DF" w:rsidRDefault="006F79DF" w:rsidP="006670D2">
            <w:pPr>
              <w:pStyle w:val="PullOutBoxBullet"/>
            </w:pPr>
            <w:r w:rsidRPr="0016677A">
              <w:t xml:space="preserve">Species-specific code prescriptions should be considered in any future Code amendments; </w:t>
            </w:r>
          </w:p>
          <w:p w14:paraId="2A2BF6BB" w14:textId="07EFAA92" w:rsidR="006F79DF" w:rsidRDefault="006F79DF" w:rsidP="006670D2">
            <w:pPr>
              <w:pStyle w:val="PullOutBoxBullet"/>
            </w:pPr>
            <w:r w:rsidRPr="00232125">
              <w:t>Use the aquatic catchments for this species to identify suitable FPSP survey sites and implement and encourage surveys for this species for FPSP contractors</w:t>
            </w:r>
            <w:r>
              <w:t>; and</w:t>
            </w:r>
          </w:p>
          <w:p w14:paraId="5E0310BB" w14:textId="1AA2252B" w:rsidR="007B60AB" w:rsidRPr="006F1079" w:rsidRDefault="006F79DF" w:rsidP="006670D2">
            <w:pPr>
              <w:pStyle w:val="PullOutBoxBullet"/>
              <w:rPr>
                <w:rFonts w:ascii="Arial" w:hAnsi="Arial"/>
                <w:color w:val="363534"/>
              </w:rPr>
            </w:pPr>
            <w:r>
              <w:t>Review and refine measures to limit stream sedimentation associated with road construction and operation.</w:t>
            </w:r>
          </w:p>
        </w:tc>
      </w:tr>
    </w:tbl>
    <w:p w14:paraId="0D8E8E05" w14:textId="77777777" w:rsidR="007B60AB" w:rsidRDefault="007B60AB" w:rsidP="007E5EBF">
      <w:pPr>
        <w:pStyle w:val="Heading3"/>
      </w:pPr>
      <w:r>
        <w:t>Invasive species</w:t>
      </w:r>
    </w:p>
    <w:p w14:paraId="30EB0326" w14:textId="77777777" w:rsidR="007B60AB" w:rsidRPr="00F26BEE" w:rsidRDefault="007B60AB" w:rsidP="007B60AB">
      <w:pPr>
        <w:pStyle w:val="Heading5"/>
        <w:numPr>
          <w:ilvl w:val="0"/>
          <w:numId w:val="0"/>
        </w:numPr>
        <w:ind w:left="1008" w:hanging="1008"/>
      </w:pPr>
      <w:r w:rsidRPr="00F26BEE">
        <w:t>Aquatic predators</w:t>
      </w:r>
    </w:p>
    <w:p w14:paraId="42E49E86" w14:textId="182EDD4B" w:rsidR="007B60AB" w:rsidRPr="00F26BEE" w:rsidRDefault="007B60AB" w:rsidP="007B60AB">
      <w:pPr>
        <w:pStyle w:val="BodyText"/>
      </w:pPr>
      <w:r w:rsidRPr="00F26BEE">
        <w:t xml:space="preserve">Brown Trout may contribute to declines of the </w:t>
      </w:r>
      <w:r w:rsidR="00C83BF2">
        <w:t>species</w:t>
      </w:r>
      <w:r w:rsidRPr="00F26BEE">
        <w:t xml:space="preserve"> via predation (Merrick 1995</w:t>
      </w:r>
      <w:r w:rsidR="000E646C">
        <w:t>;</w:t>
      </w:r>
      <w:r w:rsidRPr="00F26BEE">
        <w:t xml:space="preserve"> Tay et al. 2007), particularly of juvenile crayfish (Englund and Krupa 2000). Anecdotal declines of closely related species have also been associated with the presence of Brown Trout (Lieschke et al. 2014). </w:t>
      </w:r>
      <w:r w:rsidR="00DF68C0" w:rsidRPr="00915D82">
        <w:t xml:space="preserve">The impacts of invasive species on populations of this </w:t>
      </w:r>
      <w:r w:rsidR="00A903C9">
        <w:t>species</w:t>
      </w:r>
      <w:r w:rsidR="00DF68C0" w:rsidRPr="00915D82">
        <w:t xml:space="preserve"> are likely compounded in areas of highly modified habitat (McCormack 2013). </w:t>
      </w:r>
      <w:r w:rsidRPr="00F26BEE">
        <w:t xml:space="preserve">Based on VBA and ALA records of both Brown and Rainbow Trout, at least 35% of this </w:t>
      </w:r>
      <w:r w:rsidR="00A903C9">
        <w:t>species</w:t>
      </w:r>
      <w:r w:rsidRPr="00F26BEE">
        <w:t xml:space="preserve"> range will be impacted by these aquatic predators.</w:t>
      </w:r>
    </w:p>
    <w:p w14:paraId="0735B130" w14:textId="3024C502" w:rsidR="004F2D43" w:rsidRDefault="003F67AF" w:rsidP="003F67AF">
      <w:pPr>
        <w:pStyle w:val="BodyText"/>
      </w:pPr>
      <w:r w:rsidRPr="00F26BEE">
        <w:t>There are no current control measures to manage this risk at the scale required to mitigate its impact on this species.</w:t>
      </w:r>
    </w:p>
    <w:p w14:paraId="1082402D" w14:textId="77777777" w:rsidR="003F67AF" w:rsidRDefault="003F67AF" w:rsidP="00915D82"/>
    <w:p w14:paraId="185F0976" w14:textId="77777777" w:rsidR="004F2D43" w:rsidRDefault="004F2D43">
      <w:pPr>
        <w:rPr>
          <w:b/>
          <w:bCs/>
          <w:sz w:val="16"/>
        </w:rPr>
      </w:pPr>
      <w:r>
        <w:br w:type="page"/>
      </w:r>
    </w:p>
    <w:p w14:paraId="584F15AB" w14:textId="35D2A7BF" w:rsidR="007B60AB" w:rsidRPr="00FF310C" w:rsidRDefault="007B60A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22</w:t>
      </w:r>
      <w:r w:rsidR="000B6788" w:rsidRPr="00B6162A">
        <w:rPr>
          <w:bCs/>
          <w:noProof/>
        </w:rPr>
        <w:fldChar w:fldCharType="end"/>
      </w:r>
      <w:r w:rsidRPr="00FF310C">
        <w:t>. East Gippsland Spiny Crayfish protection requirements and recommendations for aquatic predators</w:t>
      </w:r>
    </w:p>
    <w:tbl>
      <w:tblPr>
        <w:tblStyle w:val="TableGrid"/>
        <w:tblW w:w="0" w:type="auto"/>
        <w:tblLook w:val="04A0" w:firstRow="1" w:lastRow="0" w:firstColumn="1" w:lastColumn="0" w:noHBand="0" w:noVBand="1"/>
      </w:tblPr>
      <w:tblGrid>
        <w:gridCol w:w="2268"/>
        <w:gridCol w:w="7371"/>
      </w:tblGrid>
      <w:tr w:rsidR="007B60AB" w:rsidRPr="00867DAA" w14:paraId="0290B1F1" w14:textId="77777777" w:rsidTr="003F25F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CFF351C" w14:textId="77777777" w:rsidR="007B60AB" w:rsidRPr="007B5B86" w:rsidRDefault="007B60AB" w:rsidP="00296E0F">
            <w:pPr>
              <w:pStyle w:val="BodyText"/>
            </w:pPr>
            <w:r w:rsidRPr="007B5B86">
              <w:t>Requirement</w:t>
            </w:r>
          </w:p>
        </w:tc>
        <w:tc>
          <w:tcPr>
            <w:tcW w:w="7371" w:type="dxa"/>
          </w:tcPr>
          <w:p w14:paraId="15A553E8" w14:textId="77777777" w:rsidR="007B60AB" w:rsidRPr="007B5B86" w:rsidRDefault="007B60AB"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7B60AB" w:rsidRPr="00867DAA" w14:paraId="1D3E304B" w14:textId="77777777" w:rsidTr="0045799B">
        <w:tc>
          <w:tcPr>
            <w:tcW w:w="0" w:type="dxa"/>
          </w:tcPr>
          <w:p w14:paraId="0407290C" w14:textId="3626C166" w:rsidR="007B60AB" w:rsidRPr="00867DAA" w:rsidRDefault="00E24DE8" w:rsidP="005611CD">
            <w:pPr>
              <w:pStyle w:val="BodyText"/>
            </w:pPr>
            <w:r>
              <w:t>Priority management actions</w:t>
            </w:r>
          </w:p>
        </w:tc>
        <w:tc>
          <w:tcPr>
            <w:tcW w:w="0" w:type="dxa"/>
          </w:tcPr>
          <w:p w14:paraId="21BE5135" w14:textId="77777777" w:rsidR="007B60AB" w:rsidRPr="00867DAA" w:rsidRDefault="007B60AB" w:rsidP="005611CD">
            <w:pPr>
              <w:pStyle w:val="BodyText"/>
            </w:pPr>
            <w:r w:rsidRPr="00200995">
              <w:t>Not required for this hazard based on the overall risk level of medium</w:t>
            </w:r>
            <w:r>
              <w:t>.</w:t>
            </w:r>
          </w:p>
        </w:tc>
      </w:tr>
      <w:tr w:rsidR="007B60AB" w:rsidRPr="00867DAA" w14:paraId="324CFD76" w14:textId="77777777" w:rsidTr="0045799B">
        <w:tc>
          <w:tcPr>
            <w:tcW w:w="0" w:type="dxa"/>
          </w:tcPr>
          <w:p w14:paraId="15F122F5" w14:textId="1D503E22" w:rsidR="007B60AB" w:rsidRPr="00867DAA" w:rsidRDefault="002C5B33" w:rsidP="005611CD">
            <w:pPr>
              <w:pStyle w:val="BodyText"/>
            </w:pPr>
            <w:r>
              <w:t>Potential m</w:t>
            </w:r>
            <w:r w:rsidR="007B60AB" w:rsidRPr="00867DAA">
              <w:t>anagement actions</w:t>
            </w:r>
          </w:p>
        </w:tc>
        <w:tc>
          <w:tcPr>
            <w:tcW w:w="0" w:type="dxa"/>
          </w:tcPr>
          <w:p w14:paraId="5ED6DC75" w14:textId="6A98E9B5" w:rsidR="007B60AB" w:rsidRPr="00F26BEE" w:rsidRDefault="007B60AB" w:rsidP="006670D2">
            <w:pPr>
              <w:pStyle w:val="PullOutBoxBullet"/>
            </w:pPr>
            <w:r w:rsidRPr="00F26BEE">
              <w:t>Identify and evaluate policy and operational measures to limit the impacts of Brown Trout and Rainbow Trout</w:t>
            </w:r>
            <w:r w:rsidR="00365886">
              <w:t xml:space="preserve">; and </w:t>
            </w:r>
          </w:p>
          <w:p w14:paraId="73D44AF8" w14:textId="362C43A2" w:rsidR="007B60AB" w:rsidRPr="006F1079" w:rsidRDefault="007B60AB" w:rsidP="006670D2">
            <w:pPr>
              <w:pStyle w:val="PullOutBoxBullet"/>
            </w:pPr>
            <w:r>
              <w:t xml:space="preserve">Determine the extent of trout over the range of the </w:t>
            </w:r>
            <w:r w:rsidR="00A903C9">
              <w:t>species</w:t>
            </w:r>
            <w:r>
              <w:t xml:space="preserve"> and research these invasive species effects on their occupancy and persistence.</w:t>
            </w:r>
          </w:p>
        </w:tc>
      </w:tr>
    </w:tbl>
    <w:p w14:paraId="4EA46AF6" w14:textId="77777777" w:rsidR="007B60AB" w:rsidRDefault="007B60AB" w:rsidP="007B60AB">
      <w:pPr>
        <w:spacing w:line="240" w:lineRule="auto"/>
        <w:textAlignment w:val="baseline"/>
        <w:rPr>
          <w:rFonts w:ascii="Arial" w:hAnsi="Arial"/>
          <w:color w:val="363534"/>
        </w:rPr>
      </w:pPr>
      <w:r>
        <w:t xml:space="preserve"> </w:t>
      </w:r>
    </w:p>
    <w:p w14:paraId="14A84A11" w14:textId="77777777" w:rsidR="007B60AB" w:rsidRDefault="007B60AB" w:rsidP="007B60AB">
      <w:r>
        <w:br w:type="page"/>
      </w:r>
    </w:p>
    <w:p w14:paraId="379D3050" w14:textId="77777777" w:rsidR="00420AB6" w:rsidRPr="001D69B7" w:rsidRDefault="00420AB6" w:rsidP="00FB5A2B">
      <w:pPr>
        <w:pStyle w:val="Heading2"/>
        <w:ind w:left="0"/>
        <w:rPr>
          <w:i/>
          <w:iCs/>
        </w:rPr>
      </w:pPr>
      <w:bookmarkStart w:id="39" w:name="_Toc88568486"/>
      <w:bookmarkStart w:id="40" w:name="_Toc113271027"/>
      <w:r w:rsidRPr="001D69B7">
        <w:t>Tubercle Burrowing Crayfish </w:t>
      </w:r>
      <w:r w:rsidRPr="005F7D8C">
        <w:rPr>
          <w:i/>
          <w:iCs/>
        </w:rPr>
        <w:t>(Engaeus tuberculatus)</w:t>
      </w:r>
      <w:bookmarkEnd w:id="39"/>
      <w:bookmarkEnd w:id="40"/>
      <w:r w:rsidRPr="00081854">
        <w:t> </w:t>
      </w:r>
    </w:p>
    <w:p w14:paraId="245349C0" w14:textId="0743B778" w:rsidR="00420AB6" w:rsidRDefault="00420AB6" w:rsidP="00420AB6">
      <w:pPr>
        <w:pStyle w:val="BodyText"/>
      </w:pPr>
      <w:r>
        <w:rPr>
          <w:rFonts w:ascii="Arial" w:hAnsi="Arial"/>
          <w:color w:val="363534"/>
        </w:rPr>
        <w:t>The Tubercle Burrowing Crayfish</w:t>
      </w:r>
      <w:r>
        <w:t xml:space="preserve"> was listed as Endangered in Australia under the FFG Act in May 2021. The </w:t>
      </w:r>
      <w:r w:rsidR="00A903C9">
        <w:t>species</w:t>
      </w:r>
      <w:r>
        <w:t xml:space="preserve"> occurs in the Central Highlands (100% of VBA points) RFA region. </w:t>
      </w:r>
      <w:r w:rsidR="00753256" w:rsidRPr="00C02DCA">
        <w:t xml:space="preserve">While </w:t>
      </w:r>
      <w:r w:rsidR="00753256">
        <w:t>it is</w:t>
      </w:r>
      <w:r w:rsidR="00753256" w:rsidRPr="00C02DCA">
        <w:t xml:space="preserve"> </w:t>
      </w:r>
      <w:r w:rsidR="00753256">
        <w:t xml:space="preserve">acknowledged that other hazards impact on this </w:t>
      </w:r>
      <w:r w:rsidR="00A903C9">
        <w:t>species</w:t>
      </w:r>
      <w:r w:rsidR="00753256">
        <w:t xml:space="preserve">, as per the </w:t>
      </w:r>
      <w:r w:rsidR="00B220C3">
        <w:t>Common Assessment Method (</w:t>
      </w:r>
      <w:r w:rsidR="00753256">
        <w:t>CAM</w:t>
      </w:r>
      <w:r w:rsidR="00B220C3">
        <w:t>)</w:t>
      </w:r>
      <w:r w:rsidR="00753256">
        <w:t xml:space="preserve"> assessment, the</w:t>
      </w:r>
      <w:r w:rsidR="00753256" w:rsidRPr="00C02DCA">
        <w:t xml:space="preserve"> expert</w:t>
      </w:r>
      <w:r w:rsidR="00753256">
        <w:t>/s</w:t>
      </w:r>
      <w:r w:rsidR="00753256" w:rsidRPr="00C02DCA">
        <w:t xml:space="preserve"> </w:t>
      </w:r>
      <w:r w:rsidR="00753256">
        <w:t xml:space="preserve">only assessed forestry operations as part of </w:t>
      </w:r>
      <w:r w:rsidR="00753256" w:rsidRPr="00C02DCA">
        <w:t>this risk assessment.</w:t>
      </w:r>
      <w:r w:rsidR="00753256">
        <w:t xml:space="preserve"> </w:t>
      </w:r>
      <w:r>
        <w:rPr>
          <w:rStyle w:val="BodyTextChar"/>
        </w:rPr>
        <w:t>Permanent protections are recommended to address any hazards identified at a significant or high risk, and all</w:t>
      </w:r>
      <w:r>
        <w:t xml:space="preserve"> hazards rated a medium risk or higher will be considered in future management planning.</w:t>
      </w:r>
    </w:p>
    <w:p w14:paraId="2A4118AD" w14:textId="77777777" w:rsidR="00420AB6" w:rsidRDefault="00420AB6" w:rsidP="007E5EBF">
      <w:pPr>
        <w:pStyle w:val="Heading3"/>
      </w:pPr>
      <w:r>
        <w:t>Risk Assessment</w:t>
      </w:r>
    </w:p>
    <w:p w14:paraId="1E5C7B18" w14:textId="5B61F6BE" w:rsidR="00420AB6" w:rsidRPr="00FF310C" w:rsidRDefault="00420AB6" w:rsidP="006670D2">
      <w:pPr>
        <w:pStyle w:val="Caption"/>
      </w:pPr>
      <w:r w:rsidRPr="00FF310C">
        <w:t xml:space="preserve">Table </w:t>
      </w:r>
      <w:r w:rsidRPr="00B6162A">
        <w:rPr>
          <w:bCs/>
        </w:rPr>
        <w:fldChar w:fldCharType="begin"/>
      </w:r>
      <w:r w:rsidRPr="00FF310C">
        <w:instrText>SEQ Table \* ARABIC</w:instrText>
      </w:r>
      <w:r w:rsidRPr="00B6162A">
        <w:rPr>
          <w:bCs/>
        </w:rPr>
        <w:fldChar w:fldCharType="separate"/>
      </w:r>
      <w:r w:rsidR="00692F0D">
        <w:rPr>
          <w:noProof/>
        </w:rPr>
        <w:t>23</w:t>
      </w:r>
      <w:r w:rsidRPr="00B6162A">
        <w:rPr>
          <w:bCs/>
        </w:rPr>
        <w:fldChar w:fldCharType="end"/>
      </w:r>
      <w:r w:rsidRPr="00FF310C">
        <w:t>. Tubercle Burrowing Crayfish risk ratings in the Central Highlands RFA Region:</w:t>
      </w:r>
    </w:p>
    <w:tbl>
      <w:tblPr>
        <w:tblStyle w:val="TableGrid"/>
        <w:tblW w:w="4820" w:type="dxa"/>
        <w:tblLook w:val="04A0" w:firstRow="1" w:lastRow="0" w:firstColumn="1" w:lastColumn="0" w:noHBand="0" w:noVBand="1"/>
      </w:tblPr>
      <w:tblGrid>
        <w:gridCol w:w="2410"/>
        <w:gridCol w:w="2410"/>
      </w:tblGrid>
      <w:tr w:rsidR="00420AB6" w14:paraId="3DB62B4E"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tcBorders>
              <w:top w:val="single" w:sz="8" w:space="0" w:color="CDDC29" w:themeColor="text2"/>
              <w:left w:val="nil"/>
              <w:bottom w:val="single" w:sz="8" w:space="0" w:color="CDDC29" w:themeColor="text2"/>
              <w:right w:val="nil"/>
            </w:tcBorders>
            <w:vAlign w:val="center"/>
          </w:tcPr>
          <w:p w14:paraId="5CEAFDD1" w14:textId="77777777" w:rsidR="00420AB6" w:rsidRDefault="00420AB6" w:rsidP="006670D2">
            <w:pPr>
              <w:pStyle w:val="CaptionImageorFigure"/>
            </w:pPr>
          </w:p>
        </w:tc>
        <w:tc>
          <w:tcPr>
            <w:tcW w:w="2410" w:type="dxa"/>
            <w:tcBorders>
              <w:top w:val="single" w:sz="8" w:space="0" w:color="CDDC29" w:themeColor="text2"/>
              <w:left w:val="nil"/>
              <w:bottom w:val="single" w:sz="8" w:space="0" w:color="CDDC29" w:themeColor="text2"/>
              <w:right w:val="nil"/>
            </w:tcBorders>
            <w:vAlign w:val="center"/>
            <w:hideMark/>
          </w:tcPr>
          <w:p w14:paraId="3E181A4F" w14:textId="22D192BB" w:rsidR="00420AB6" w:rsidRDefault="00E0219E"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w:t>
            </w:r>
            <w:r w:rsidR="00420AB6">
              <w:t xml:space="preserve"> operations</w:t>
            </w:r>
          </w:p>
        </w:tc>
      </w:tr>
      <w:tr w:rsidR="00420AB6" w14:paraId="47566005" w14:textId="77777777" w:rsidTr="00296E0F">
        <w:tc>
          <w:tcPr>
            <w:tcW w:w="2410" w:type="dxa"/>
            <w:tcBorders>
              <w:top w:val="single" w:sz="8" w:space="0" w:color="CDDC29" w:themeColor="text2"/>
              <w:left w:val="nil"/>
              <w:bottom w:val="single" w:sz="8" w:space="0" w:color="CDDC29" w:themeColor="text2"/>
              <w:right w:val="nil"/>
            </w:tcBorders>
            <w:vAlign w:val="center"/>
            <w:hideMark/>
          </w:tcPr>
          <w:p w14:paraId="10A82AAD" w14:textId="77777777" w:rsidR="00420AB6" w:rsidRDefault="00420AB6" w:rsidP="00296E0F">
            <w:pPr>
              <w:pStyle w:val="BodyText"/>
              <w:jc w:val="center"/>
            </w:pPr>
            <w:r>
              <w:t>Consequence</w:t>
            </w:r>
          </w:p>
        </w:tc>
        <w:tc>
          <w:tcPr>
            <w:tcW w:w="2410" w:type="dxa"/>
            <w:tcBorders>
              <w:top w:val="single" w:sz="8" w:space="0" w:color="CDDC29" w:themeColor="text2"/>
              <w:left w:val="nil"/>
              <w:bottom w:val="single" w:sz="8" w:space="0" w:color="CDDC29" w:themeColor="text2"/>
              <w:right w:val="nil"/>
            </w:tcBorders>
            <w:vAlign w:val="center"/>
            <w:hideMark/>
          </w:tcPr>
          <w:p w14:paraId="1E79F26F" w14:textId="77777777" w:rsidR="00420AB6" w:rsidRDefault="00420AB6" w:rsidP="00296E0F">
            <w:pPr>
              <w:pStyle w:val="BodyText"/>
              <w:jc w:val="center"/>
            </w:pPr>
            <w:r>
              <w:t>Major</w:t>
            </w:r>
          </w:p>
        </w:tc>
      </w:tr>
      <w:tr w:rsidR="00420AB6" w14:paraId="58DA59CB" w14:textId="77777777" w:rsidTr="00296E0F">
        <w:tc>
          <w:tcPr>
            <w:tcW w:w="2410" w:type="dxa"/>
            <w:tcBorders>
              <w:top w:val="single" w:sz="8" w:space="0" w:color="CDDC29" w:themeColor="text2"/>
              <w:left w:val="nil"/>
              <w:bottom w:val="single" w:sz="8" w:space="0" w:color="CDDC29" w:themeColor="text2"/>
              <w:right w:val="nil"/>
            </w:tcBorders>
            <w:vAlign w:val="center"/>
            <w:hideMark/>
          </w:tcPr>
          <w:p w14:paraId="57AE7589" w14:textId="77777777" w:rsidR="00420AB6" w:rsidRDefault="00420AB6" w:rsidP="00296E0F">
            <w:pPr>
              <w:pStyle w:val="BodyText"/>
              <w:jc w:val="center"/>
            </w:pPr>
            <w:r>
              <w:t>Likelihood</w:t>
            </w:r>
          </w:p>
        </w:tc>
        <w:tc>
          <w:tcPr>
            <w:tcW w:w="2410" w:type="dxa"/>
            <w:tcBorders>
              <w:top w:val="single" w:sz="8" w:space="0" w:color="CDDC29" w:themeColor="text2"/>
              <w:left w:val="nil"/>
              <w:bottom w:val="single" w:sz="8" w:space="0" w:color="CDDC29" w:themeColor="text2"/>
              <w:right w:val="nil"/>
            </w:tcBorders>
            <w:vAlign w:val="center"/>
            <w:hideMark/>
          </w:tcPr>
          <w:p w14:paraId="5ADFDAD1" w14:textId="77777777" w:rsidR="00420AB6" w:rsidRDefault="00420AB6" w:rsidP="00296E0F">
            <w:pPr>
              <w:pStyle w:val="BodyText"/>
              <w:jc w:val="center"/>
            </w:pPr>
            <w:r>
              <w:t>Possible</w:t>
            </w:r>
          </w:p>
        </w:tc>
      </w:tr>
      <w:tr w:rsidR="00420AB6" w14:paraId="757195AE" w14:textId="77777777" w:rsidTr="00296E0F">
        <w:tc>
          <w:tcPr>
            <w:tcW w:w="2410" w:type="dxa"/>
            <w:tcBorders>
              <w:top w:val="single" w:sz="8" w:space="0" w:color="CDDC29" w:themeColor="text2"/>
              <w:left w:val="nil"/>
              <w:bottom w:val="single" w:sz="8" w:space="0" w:color="CDDC29" w:themeColor="text2"/>
              <w:right w:val="nil"/>
            </w:tcBorders>
            <w:vAlign w:val="center"/>
            <w:hideMark/>
          </w:tcPr>
          <w:p w14:paraId="4BB3A0BB" w14:textId="77777777" w:rsidR="00420AB6" w:rsidRDefault="00420AB6" w:rsidP="00296E0F">
            <w:pPr>
              <w:pStyle w:val="BodyText"/>
              <w:jc w:val="center"/>
            </w:pPr>
            <w:r>
              <w:t>Overall risk rating</w:t>
            </w:r>
          </w:p>
        </w:tc>
        <w:tc>
          <w:tcPr>
            <w:tcW w:w="2410" w:type="dxa"/>
            <w:tcBorders>
              <w:top w:val="single" w:sz="8" w:space="0" w:color="CDDC29" w:themeColor="text2"/>
              <w:left w:val="nil"/>
              <w:bottom w:val="single" w:sz="8" w:space="0" w:color="CDDC29" w:themeColor="text2"/>
              <w:right w:val="nil"/>
            </w:tcBorders>
            <w:shd w:val="clear" w:color="auto" w:fill="FFC000"/>
            <w:vAlign w:val="center"/>
            <w:hideMark/>
          </w:tcPr>
          <w:p w14:paraId="4529F38F" w14:textId="77777777" w:rsidR="00420AB6" w:rsidRDefault="00420AB6" w:rsidP="00296E0F">
            <w:pPr>
              <w:pStyle w:val="BodyText"/>
              <w:jc w:val="center"/>
            </w:pPr>
            <w:r>
              <w:t>Significant</w:t>
            </w:r>
          </w:p>
        </w:tc>
      </w:tr>
    </w:tbl>
    <w:p w14:paraId="21882129" w14:textId="77777777" w:rsidR="00420AB6" w:rsidRDefault="00420AB6" w:rsidP="007E5EBF">
      <w:pPr>
        <w:pStyle w:val="Heading3"/>
      </w:pPr>
      <w:r>
        <w:t>Forestry operations</w:t>
      </w:r>
    </w:p>
    <w:p w14:paraId="7E6CD990" w14:textId="2EC36B86" w:rsidR="00420AB6" w:rsidRDefault="00E0219E" w:rsidP="007E5EBF">
      <w:pPr>
        <w:pStyle w:val="Heading5"/>
      </w:pPr>
      <w:r>
        <w:t>F</w:t>
      </w:r>
      <w:r w:rsidR="00420AB6">
        <w:t>orestry operations</w:t>
      </w:r>
    </w:p>
    <w:p w14:paraId="30E367F1" w14:textId="1869CDA9" w:rsidR="00420AB6" w:rsidRDefault="00420AB6" w:rsidP="00420AB6">
      <w:pPr>
        <w:pStyle w:val="BodyText"/>
      </w:pPr>
      <w:r>
        <w:t xml:space="preserve">This </w:t>
      </w:r>
      <w:r w:rsidR="00A903C9">
        <w:t>species</w:t>
      </w:r>
      <w:r>
        <w:t xml:space="preserve"> is a burrowing crayfish which is found well away from the stream network and floodplain, </w:t>
      </w:r>
      <w:r w:rsidR="00C01826">
        <w:t>and therefore away from many</w:t>
      </w:r>
      <w:r>
        <w:t xml:space="preserve"> vegetated buffers if present, extending well up slopes at mid to higher elevations. It lives in burrows which contain a pool of water in a chamber, which is derived mainly from rainfall, and burrow systems extend to about 0.3 to 0.5 m underground. During forestry operations burrows can be </w:t>
      </w:r>
      <w:r w:rsidR="00E30B07">
        <w:t>impacted</w:t>
      </w:r>
      <w:r>
        <w:t xml:space="preserve"> by soil disturbance from machinery or dragging trees along the ground, which can either kill the crayfish, or cause the water source within the burrow to evaporate. Opening of the burrows exposes the crayfish to predation and to higher air temperatures than are usually found down in the burrow system. Damage to burrow systems will leave burrows unoccupied and it is unknown whether a surviving crayfish will even try to dig another burrow system, which is a huge undertaking. </w:t>
      </w:r>
      <w:r w:rsidRPr="00FD57DB">
        <w:t xml:space="preserve">50-70% of estimated proportion of habitat/population </w:t>
      </w:r>
      <w:r w:rsidR="00C16FD3" w:rsidRPr="00FD57DB">
        <w:t>could be</w:t>
      </w:r>
      <w:r w:rsidRPr="00FD57DB">
        <w:t xml:space="preserve"> exposed to the hazard within timber harvesting areas</w:t>
      </w:r>
      <w:r w:rsidRPr="00B6162A">
        <w:t xml:space="preserve"> </w:t>
      </w:r>
      <w:r>
        <w:t>which can result in direct or relatively rapid indirect mortality, direct loss of habitat, sedimentation</w:t>
      </w:r>
      <w:r w:rsidR="0046150C">
        <w:t>,</w:t>
      </w:r>
      <w:r>
        <w:t xml:space="preserve"> and soil erosion. This hazard can be more pronounced during drought when there is less rainfall/soil seepage and higher temperatures – consequently during these times it is expected that the exposure/loss of moist habitat will cause a much higher level of crayfish mortality. Soil erosion/sedimentation is also exacerbated during wet periods (i.e., during localised intense rainfall events, wetter months</w:t>
      </w:r>
      <w:r w:rsidR="0046150C">
        <w:t>,</w:t>
      </w:r>
      <w:r>
        <w:t xml:space="preserve"> and La Niña events). Physical soil disturbance will continue to impact on this burrowing crayfish on hill slopes as no effective control measures are being applied and may well lead to major decline in populations within coupes where burrows are not deep enough to avoid being damaged/exposed. </w:t>
      </w:r>
    </w:p>
    <w:p w14:paraId="1F17617E" w14:textId="77777777" w:rsidR="00420AB6" w:rsidRDefault="00420AB6" w:rsidP="00420AB6">
      <w:pPr>
        <w:pStyle w:val="BodyText"/>
      </w:pPr>
      <w:r>
        <w:t>Current controls for this hazard include:</w:t>
      </w:r>
    </w:p>
    <w:p w14:paraId="2B347DDD" w14:textId="21520A03" w:rsidR="007B52F6" w:rsidRDefault="007B52F6" w:rsidP="006670D2">
      <w:pPr>
        <w:pStyle w:val="PullOutBoxBullet"/>
      </w:pPr>
      <w:r w:rsidRPr="4F453272">
        <w:t xml:space="preserve">The </w:t>
      </w:r>
      <w:r w:rsidRPr="00CC7F45">
        <w:rPr>
          <w:i/>
          <w:iCs/>
        </w:rPr>
        <w:t xml:space="preserve">Code of Practice for Timber Production 2014. </w:t>
      </w:r>
      <w:r>
        <w:t xml:space="preserve">There </w:t>
      </w:r>
      <w:r w:rsidR="007C1A6E">
        <w:t>is</w:t>
      </w:r>
      <w:r>
        <w:t xml:space="preserve"> no species-specific prescription </w:t>
      </w:r>
      <w:r w:rsidRPr="4F453272">
        <w:t xml:space="preserve">for this </w:t>
      </w:r>
      <w:r w:rsidR="00A903C9">
        <w:t>species</w:t>
      </w:r>
      <w:r w:rsidRPr="4F453272">
        <w:t xml:space="preserve"> in the Code, however the Code includes general protections for waterways including a prohibition on harvesting, the application of buffers and </w:t>
      </w:r>
      <w:r w:rsidR="000D065A" w:rsidRPr="00C02DCA">
        <w:t>design standards for roads, crossings</w:t>
      </w:r>
      <w:r w:rsidR="0046150C" w:rsidRPr="00C02DCA">
        <w:t>,</w:t>
      </w:r>
      <w:r w:rsidR="000D065A" w:rsidRPr="00C02DCA">
        <w:t xml:space="preserve"> and coupe infrastructure</w:t>
      </w:r>
      <w:r w:rsidR="000D065A" w:rsidRPr="4F453272">
        <w:t xml:space="preserve">. </w:t>
      </w:r>
      <w:r>
        <w:t xml:space="preserve">These prescriptions do not account for specific species requirements and have therefore been evaluated as poor for this </w:t>
      </w:r>
      <w:r w:rsidR="00A903C9">
        <w:t>species</w:t>
      </w:r>
      <w:r>
        <w:t>.</w:t>
      </w:r>
    </w:p>
    <w:p w14:paraId="3423AAB4" w14:textId="5D17FB8D" w:rsidR="00420AB6" w:rsidRDefault="00420AB6" w:rsidP="006670D2">
      <w:pPr>
        <w:pStyle w:val="PullOutBoxBullet"/>
        <w:rPr>
          <w:rFonts w:eastAsiaTheme="minorEastAsia" w:cstheme="minorBidi"/>
          <w:sz w:val="22"/>
          <w:szCs w:val="22"/>
        </w:rPr>
      </w:pPr>
      <w:r>
        <w:t xml:space="preserve">The CAR reserve system. </w:t>
      </w:r>
      <w:r w:rsidR="0082005F" w:rsidRPr="00160F2E">
        <w:t xml:space="preserve">The effectiveness of this control for this species </w:t>
      </w:r>
      <w:r w:rsidR="00ED16EC">
        <w:t>has been evaluated</w:t>
      </w:r>
      <w:r>
        <w:t xml:space="preserve"> as poor as 39% of the </w:t>
      </w:r>
      <w:r w:rsidR="00A903C9">
        <w:t>species’</w:t>
      </w:r>
      <w:r>
        <w:t xml:space="preserve"> important populations and 40% of post-1970 VBA points are within the reserve system</w:t>
      </w:r>
      <w:r w:rsidR="009D33EA">
        <w:t>.</w:t>
      </w:r>
    </w:p>
    <w:p w14:paraId="5758851E" w14:textId="77777777" w:rsidR="00420AB6" w:rsidRDefault="00420AB6" w:rsidP="00420AB6">
      <w:pPr>
        <w:rPr>
          <w:b/>
          <w:bCs/>
          <w:sz w:val="16"/>
        </w:rPr>
      </w:pPr>
      <w:r>
        <w:rPr>
          <w:color w:val="auto"/>
        </w:rPr>
        <w:br w:type="page"/>
      </w:r>
    </w:p>
    <w:p w14:paraId="79F7C5E8" w14:textId="66E764E4" w:rsidR="00420AB6" w:rsidRPr="00FF310C" w:rsidRDefault="00420AB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24</w:t>
      </w:r>
      <w:r w:rsidR="000B6788" w:rsidRPr="00B6162A">
        <w:rPr>
          <w:bCs/>
          <w:noProof/>
        </w:rPr>
        <w:fldChar w:fldCharType="end"/>
      </w:r>
      <w:r w:rsidRPr="00FF310C">
        <w:t>. Tubercle Burrowing Crayfish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420AB6" w14:paraId="4F81C046"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hideMark/>
          </w:tcPr>
          <w:p w14:paraId="317058B5" w14:textId="77777777" w:rsidR="00420AB6" w:rsidRDefault="00420AB6" w:rsidP="005611CD">
            <w:pPr>
              <w:pStyle w:val="BodyText"/>
            </w:pPr>
            <w:r>
              <w:t>Requirement</w:t>
            </w:r>
          </w:p>
        </w:tc>
        <w:tc>
          <w:tcPr>
            <w:tcW w:w="7371" w:type="dxa"/>
            <w:tcBorders>
              <w:top w:val="single" w:sz="8" w:space="0" w:color="CDDC29" w:themeColor="text2"/>
              <w:left w:val="nil"/>
              <w:bottom w:val="single" w:sz="8" w:space="0" w:color="CDDC29" w:themeColor="text2"/>
              <w:right w:val="nil"/>
            </w:tcBorders>
            <w:hideMark/>
          </w:tcPr>
          <w:p w14:paraId="3E07E24F" w14:textId="77777777" w:rsidR="00420AB6" w:rsidRDefault="00420AB6" w:rsidP="005611CD">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420AB6" w14:paraId="6DD91484" w14:textId="77777777" w:rsidTr="005611CD">
        <w:tc>
          <w:tcPr>
            <w:tcW w:w="2268" w:type="dxa"/>
            <w:tcBorders>
              <w:top w:val="single" w:sz="8" w:space="0" w:color="CDDC29" w:themeColor="text2"/>
              <w:left w:val="nil"/>
              <w:bottom w:val="single" w:sz="8" w:space="0" w:color="CDDC29" w:themeColor="text2"/>
              <w:right w:val="nil"/>
            </w:tcBorders>
            <w:hideMark/>
          </w:tcPr>
          <w:p w14:paraId="3FBA1386" w14:textId="2C653FDB" w:rsidR="00420AB6" w:rsidRDefault="00420AB6" w:rsidP="005611CD">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608BCA34" w14:textId="77777777" w:rsidR="00420AB6" w:rsidRDefault="00420AB6" w:rsidP="005611CD">
            <w:pPr>
              <w:pStyle w:val="BodyText"/>
            </w:pPr>
            <w:r>
              <w:t>Not required for this hazard.</w:t>
            </w:r>
          </w:p>
        </w:tc>
      </w:tr>
      <w:tr w:rsidR="006E3454" w14:paraId="7F2F3DA3" w14:textId="77777777" w:rsidTr="005611CD">
        <w:tc>
          <w:tcPr>
            <w:tcW w:w="2268" w:type="dxa"/>
            <w:tcBorders>
              <w:top w:val="single" w:sz="8" w:space="0" w:color="CDDC29" w:themeColor="text2"/>
              <w:left w:val="nil"/>
              <w:bottom w:val="single" w:sz="8" w:space="0" w:color="CDDC29" w:themeColor="text2"/>
              <w:right w:val="nil"/>
            </w:tcBorders>
          </w:tcPr>
          <w:p w14:paraId="01D715D5" w14:textId="0276A063" w:rsidR="006E3454" w:rsidRDefault="006E3454" w:rsidP="005611CD">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336D324B" w14:textId="5A792296" w:rsidR="006E3454" w:rsidRDefault="006E3454" w:rsidP="006670D2">
            <w:pPr>
              <w:pStyle w:val="PullOutBoxBullet"/>
            </w:pPr>
            <w:r>
              <w:t>Conduct surveys across known range in likely habitat to improve understanding of distribution, abundance</w:t>
            </w:r>
            <w:r w:rsidR="0046150C">
              <w:t>,</w:t>
            </w:r>
            <w:r>
              <w:t xml:space="preserve"> and exposure to forestry operations</w:t>
            </w:r>
            <w:r w:rsidR="00E602DC">
              <w:t>.</w:t>
            </w:r>
          </w:p>
        </w:tc>
      </w:tr>
      <w:tr w:rsidR="00420AB6" w14:paraId="37ACDA4E" w14:textId="77777777" w:rsidTr="005611CD">
        <w:tc>
          <w:tcPr>
            <w:tcW w:w="2268" w:type="dxa"/>
            <w:tcBorders>
              <w:top w:val="single" w:sz="8" w:space="0" w:color="CDDC29" w:themeColor="text2"/>
              <w:left w:val="nil"/>
              <w:bottom w:val="single" w:sz="8" w:space="0" w:color="CDDC29" w:themeColor="text2"/>
              <w:right w:val="nil"/>
            </w:tcBorders>
            <w:hideMark/>
          </w:tcPr>
          <w:p w14:paraId="3BF4EDCF" w14:textId="77777777" w:rsidR="00420AB6" w:rsidRDefault="00420AB6" w:rsidP="005611CD">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3E5400BB" w14:textId="77777777" w:rsidR="00420AB6" w:rsidRDefault="00420AB6" w:rsidP="005611CD">
            <w:pPr>
              <w:pStyle w:val="BodyText"/>
            </w:pPr>
            <w:r>
              <w:t>Additional permanent protections may be required in the longer-term.</w:t>
            </w:r>
          </w:p>
        </w:tc>
      </w:tr>
      <w:tr w:rsidR="00420AB6" w14:paraId="16277324" w14:textId="77777777" w:rsidTr="005611CD">
        <w:tc>
          <w:tcPr>
            <w:tcW w:w="2268" w:type="dxa"/>
            <w:tcBorders>
              <w:top w:val="single" w:sz="8" w:space="0" w:color="CDDC29" w:themeColor="text2"/>
              <w:left w:val="nil"/>
              <w:bottom w:val="single" w:sz="8" w:space="0" w:color="CDDC29" w:themeColor="text2"/>
              <w:right w:val="nil"/>
            </w:tcBorders>
            <w:hideMark/>
          </w:tcPr>
          <w:p w14:paraId="7D3FAA0A" w14:textId="434F8DCC" w:rsidR="00420AB6" w:rsidRDefault="00362E0D" w:rsidP="005611CD">
            <w:pPr>
              <w:pStyle w:val="BodyText"/>
            </w:pPr>
            <w:r>
              <w:t>Potential m</w:t>
            </w:r>
            <w:r w:rsidR="00420AB6">
              <w:t>anagement actions</w:t>
            </w:r>
          </w:p>
        </w:tc>
        <w:tc>
          <w:tcPr>
            <w:tcW w:w="7371" w:type="dxa"/>
            <w:tcBorders>
              <w:top w:val="single" w:sz="8" w:space="0" w:color="CDDC29" w:themeColor="text2"/>
              <w:left w:val="nil"/>
              <w:bottom w:val="single" w:sz="8" w:space="0" w:color="CDDC29" w:themeColor="text2"/>
              <w:right w:val="nil"/>
            </w:tcBorders>
            <w:hideMark/>
          </w:tcPr>
          <w:p w14:paraId="42CF6BAA" w14:textId="036CA57F" w:rsidR="00420AB6" w:rsidRDefault="00420AB6" w:rsidP="006670D2">
            <w:pPr>
              <w:pStyle w:val="PullOutBoxBullet"/>
            </w:pPr>
            <w:r>
              <w:t>Investigate prevalence and density of burrows in coupes, the level of within coupe impact on populations, the level of post-impact survival, and post-impact recovery</w:t>
            </w:r>
            <w:r w:rsidR="00951CCF">
              <w:t>; and</w:t>
            </w:r>
          </w:p>
          <w:p w14:paraId="2A623F69" w14:textId="269B637E" w:rsidR="00420AB6" w:rsidRDefault="008779C0" w:rsidP="006670D2">
            <w:pPr>
              <w:pStyle w:val="PullOutBoxBullet"/>
            </w:pPr>
            <w:r>
              <w:t>Consider</w:t>
            </w:r>
            <w:r w:rsidR="00420AB6">
              <w:t xml:space="preserve"> introducing a species-specific code prescription as part of any future Code amendments</w:t>
            </w:r>
            <w:r w:rsidR="009A7FFD">
              <w:t>.</w:t>
            </w:r>
          </w:p>
        </w:tc>
      </w:tr>
    </w:tbl>
    <w:p w14:paraId="0278F74F" w14:textId="77777777" w:rsidR="00420AB6" w:rsidRDefault="00420AB6" w:rsidP="00420AB6">
      <w:pPr>
        <w:rPr>
          <w:rFonts w:cs="Times New Roman"/>
          <w:lang w:eastAsia="en-US"/>
        </w:rPr>
      </w:pPr>
      <w:r>
        <w:rPr>
          <w:color w:val="auto"/>
        </w:rPr>
        <w:br w:type="page"/>
      </w:r>
    </w:p>
    <w:p w14:paraId="7729098C" w14:textId="77777777" w:rsidR="003679D4" w:rsidRPr="00D83BA5" w:rsidRDefault="003679D4" w:rsidP="00FB5A2B">
      <w:pPr>
        <w:pStyle w:val="Heading2"/>
        <w:ind w:left="0"/>
        <w:rPr>
          <w:rFonts w:asciiTheme="minorHAnsi" w:hAnsiTheme="minorHAnsi"/>
          <w:i/>
          <w:iCs/>
        </w:rPr>
      </w:pPr>
      <w:bookmarkStart w:id="41" w:name="_Toc88568489"/>
      <w:bookmarkStart w:id="42" w:name="_Toc113271028"/>
      <w:r w:rsidRPr="00D83BA5">
        <w:t>Variable Spiny Crayfish </w:t>
      </w:r>
      <w:r w:rsidRPr="005F7D8C">
        <w:rPr>
          <w:i/>
          <w:iCs/>
        </w:rPr>
        <w:t>(Euastacus yanga)</w:t>
      </w:r>
      <w:bookmarkEnd w:id="41"/>
      <w:bookmarkEnd w:id="42"/>
      <w:r w:rsidRPr="005F7D8C">
        <w:rPr>
          <w:i/>
          <w:iCs/>
        </w:rPr>
        <w:t> </w:t>
      </w:r>
    </w:p>
    <w:p w14:paraId="7C603C50" w14:textId="274B4F28" w:rsidR="003679D4" w:rsidRDefault="003679D4" w:rsidP="003679D4">
      <w:pPr>
        <w:pStyle w:val="BodyText"/>
        <w:rPr>
          <w:rFonts w:ascii="Arial" w:hAnsi="Arial"/>
          <w:color w:val="363534"/>
        </w:rPr>
      </w:pPr>
      <w:r>
        <w:rPr>
          <w:rFonts w:ascii="Arial" w:hAnsi="Arial"/>
          <w:color w:val="363534"/>
        </w:rPr>
        <w:t>The Variable Spiny Crayfish</w:t>
      </w:r>
      <w:r>
        <w:t xml:space="preserve"> was listed as Endangered in Australia under the FFG Act in May 2021. The </w:t>
      </w:r>
      <w:r w:rsidR="00A903C9">
        <w:t>species</w:t>
      </w:r>
      <w:r>
        <w:t xml:space="preserve"> occurs in the East Gippsland (100% of catchment) RFA region. </w:t>
      </w:r>
      <w:r>
        <w:rPr>
          <w:rStyle w:val="BodyTextChar"/>
        </w:rPr>
        <w:t>Permanent protections are recommended to address any hazards identified at a significant or high risk, and all</w:t>
      </w:r>
      <w:r>
        <w:t xml:space="preserve"> hazards rated a medium risk or higher will be considered in future management planning. </w:t>
      </w:r>
    </w:p>
    <w:p w14:paraId="12F6BE07" w14:textId="77777777" w:rsidR="003679D4" w:rsidRDefault="003679D4" w:rsidP="007E5EBF">
      <w:pPr>
        <w:pStyle w:val="Heading3"/>
      </w:pPr>
      <w:r>
        <w:t>Risk Assessment</w:t>
      </w:r>
    </w:p>
    <w:p w14:paraId="1EE4DADA" w14:textId="127D1D9E" w:rsidR="003679D4" w:rsidRPr="00FF310C" w:rsidRDefault="003679D4" w:rsidP="006670D2">
      <w:pPr>
        <w:pStyle w:val="Caption"/>
      </w:pPr>
      <w:r w:rsidRPr="00FF310C">
        <w:t xml:space="preserve">Table </w:t>
      </w:r>
      <w:r w:rsidRPr="00B6162A">
        <w:rPr>
          <w:bCs/>
        </w:rPr>
        <w:fldChar w:fldCharType="begin"/>
      </w:r>
      <w:r w:rsidRPr="00FF310C">
        <w:instrText>SEQ Table \* ARABIC</w:instrText>
      </w:r>
      <w:r w:rsidRPr="00B6162A">
        <w:rPr>
          <w:bCs/>
        </w:rPr>
        <w:fldChar w:fldCharType="separate"/>
      </w:r>
      <w:r w:rsidR="00692F0D">
        <w:rPr>
          <w:noProof/>
        </w:rPr>
        <w:t>25</w:t>
      </w:r>
      <w:r w:rsidRPr="00B6162A">
        <w:rPr>
          <w:bCs/>
        </w:rPr>
        <w:fldChar w:fldCharType="end"/>
      </w:r>
      <w:r w:rsidRPr="00FF310C">
        <w:t>. Variable Spiny Crayfish risk ratings in the East Gippsland RFA Region:</w:t>
      </w:r>
    </w:p>
    <w:tbl>
      <w:tblPr>
        <w:tblStyle w:val="TableGrid"/>
        <w:tblW w:w="0" w:type="auto"/>
        <w:tblLayout w:type="fixed"/>
        <w:tblLook w:val="04A0" w:firstRow="1" w:lastRow="0" w:firstColumn="1" w:lastColumn="0" w:noHBand="0" w:noVBand="1"/>
      </w:tblPr>
      <w:tblGrid>
        <w:gridCol w:w="2410"/>
        <w:gridCol w:w="2410"/>
        <w:gridCol w:w="2410"/>
        <w:gridCol w:w="2410"/>
      </w:tblGrid>
      <w:tr w:rsidR="003679D4" w14:paraId="74059B9F" w14:textId="77777777" w:rsidTr="007013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tcBorders>
              <w:top w:val="single" w:sz="8" w:space="0" w:color="CDDC29" w:themeColor="text2"/>
              <w:left w:val="nil"/>
              <w:bottom w:val="single" w:sz="8" w:space="0" w:color="CDDC29" w:themeColor="text2"/>
              <w:right w:val="nil"/>
            </w:tcBorders>
            <w:vAlign w:val="center"/>
          </w:tcPr>
          <w:p w14:paraId="4CAC9B89" w14:textId="77777777" w:rsidR="003679D4" w:rsidRDefault="003679D4" w:rsidP="006670D2">
            <w:pPr>
              <w:pStyle w:val="CaptionImageorFigure"/>
            </w:pPr>
          </w:p>
        </w:tc>
        <w:tc>
          <w:tcPr>
            <w:tcW w:w="2410" w:type="dxa"/>
            <w:tcBorders>
              <w:top w:val="single" w:sz="8" w:space="0" w:color="CDDC29" w:themeColor="text2"/>
              <w:left w:val="nil"/>
              <w:bottom w:val="single" w:sz="8" w:space="0" w:color="CDDC29" w:themeColor="text2"/>
              <w:right w:val="nil"/>
            </w:tcBorders>
            <w:vAlign w:val="center"/>
            <w:hideMark/>
          </w:tcPr>
          <w:p w14:paraId="14D7B568" w14:textId="77777777" w:rsidR="003679D4" w:rsidRDefault="003679D4"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Climate change and severe weather</w:t>
            </w:r>
          </w:p>
        </w:tc>
        <w:tc>
          <w:tcPr>
            <w:tcW w:w="2410" w:type="dxa"/>
            <w:tcBorders>
              <w:top w:val="single" w:sz="8" w:space="0" w:color="CDDC29" w:themeColor="text2"/>
              <w:left w:val="nil"/>
              <w:bottom w:val="single" w:sz="8" w:space="0" w:color="CDDC29" w:themeColor="text2"/>
              <w:right w:val="nil"/>
            </w:tcBorders>
            <w:vAlign w:val="center"/>
            <w:hideMark/>
          </w:tcPr>
          <w:p w14:paraId="32571A11" w14:textId="77777777" w:rsidR="003679D4" w:rsidRDefault="003679D4"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Bushfire</w:t>
            </w:r>
          </w:p>
        </w:tc>
        <w:tc>
          <w:tcPr>
            <w:tcW w:w="2410" w:type="dxa"/>
            <w:tcBorders>
              <w:top w:val="single" w:sz="8" w:space="0" w:color="CDDC29" w:themeColor="text2"/>
              <w:left w:val="nil"/>
              <w:bottom w:val="single" w:sz="8" w:space="0" w:color="CDDC29" w:themeColor="text2"/>
              <w:right w:val="nil"/>
            </w:tcBorders>
            <w:vAlign w:val="center"/>
            <w:hideMark/>
          </w:tcPr>
          <w:p w14:paraId="528FDC5C" w14:textId="09DE8FF9" w:rsidR="003679D4" w:rsidRDefault="00E0219E"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3679D4">
              <w:t>orestry operations</w:t>
            </w:r>
            <w:r>
              <w:t xml:space="preserve"> and</w:t>
            </w:r>
            <w:r w:rsidR="003679D4">
              <w:t xml:space="preserve"> roading</w:t>
            </w:r>
          </w:p>
        </w:tc>
      </w:tr>
      <w:tr w:rsidR="003679D4" w14:paraId="6B7639CC" w14:textId="77777777" w:rsidTr="007013BC">
        <w:tc>
          <w:tcPr>
            <w:tcW w:w="2410" w:type="dxa"/>
            <w:tcBorders>
              <w:top w:val="single" w:sz="8" w:space="0" w:color="CDDC29" w:themeColor="text2"/>
              <w:left w:val="nil"/>
              <w:bottom w:val="single" w:sz="8" w:space="0" w:color="CDDC29" w:themeColor="text2"/>
              <w:right w:val="nil"/>
            </w:tcBorders>
            <w:vAlign w:val="center"/>
            <w:hideMark/>
          </w:tcPr>
          <w:p w14:paraId="163019AD" w14:textId="77777777" w:rsidR="003679D4" w:rsidRDefault="003679D4" w:rsidP="00E0219E">
            <w:pPr>
              <w:pStyle w:val="BodyText"/>
              <w:jc w:val="center"/>
            </w:pPr>
            <w:r>
              <w:t>Consequence</w:t>
            </w:r>
          </w:p>
        </w:tc>
        <w:tc>
          <w:tcPr>
            <w:tcW w:w="2410" w:type="dxa"/>
            <w:tcBorders>
              <w:top w:val="single" w:sz="8" w:space="0" w:color="CDDC29" w:themeColor="text2"/>
              <w:left w:val="nil"/>
              <w:bottom w:val="single" w:sz="8" w:space="0" w:color="CDDC29" w:themeColor="text2"/>
              <w:right w:val="nil"/>
            </w:tcBorders>
            <w:vAlign w:val="center"/>
            <w:hideMark/>
          </w:tcPr>
          <w:p w14:paraId="4E55BF83" w14:textId="461CC1BC" w:rsidR="003679D4" w:rsidRDefault="003679D4" w:rsidP="00E0219E">
            <w:pPr>
              <w:pStyle w:val="BodyText"/>
              <w:jc w:val="center"/>
            </w:pPr>
            <w:r>
              <w:t>Extreme</w:t>
            </w:r>
          </w:p>
        </w:tc>
        <w:tc>
          <w:tcPr>
            <w:tcW w:w="2410" w:type="dxa"/>
            <w:tcBorders>
              <w:top w:val="single" w:sz="8" w:space="0" w:color="CDDC29" w:themeColor="text2"/>
              <w:left w:val="nil"/>
              <w:bottom w:val="single" w:sz="8" w:space="0" w:color="CDDC29" w:themeColor="text2"/>
              <w:right w:val="nil"/>
            </w:tcBorders>
            <w:vAlign w:val="center"/>
            <w:hideMark/>
          </w:tcPr>
          <w:p w14:paraId="4AA0F13C" w14:textId="77777777" w:rsidR="003679D4" w:rsidRDefault="003679D4" w:rsidP="00E0219E">
            <w:pPr>
              <w:pStyle w:val="BodyText"/>
              <w:jc w:val="center"/>
            </w:pPr>
            <w:r>
              <w:t>Extreme</w:t>
            </w:r>
          </w:p>
        </w:tc>
        <w:tc>
          <w:tcPr>
            <w:tcW w:w="2410" w:type="dxa"/>
            <w:tcBorders>
              <w:top w:val="single" w:sz="8" w:space="0" w:color="CDDC29" w:themeColor="text2"/>
              <w:left w:val="nil"/>
              <w:bottom w:val="single" w:sz="8" w:space="0" w:color="CDDC29" w:themeColor="text2"/>
              <w:right w:val="nil"/>
            </w:tcBorders>
            <w:vAlign w:val="center"/>
            <w:hideMark/>
          </w:tcPr>
          <w:p w14:paraId="1B53732D" w14:textId="77777777" w:rsidR="003679D4" w:rsidRDefault="003679D4" w:rsidP="00E0219E">
            <w:pPr>
              <w:pStyle w:val="BodyText"/>
              <w:jc w:val="center"/>
            </w:pPr>
            <w:r>
              <w:t>Major</w:t>
            </w:r>
          </w:p>
        </w:tc>
      </w:tr>
      <w:tr w:rsidR="003679D4" w14:paraId="0E713A56" w14:textId="77777777" w:rsidTr="007013BC">
        <w:tc>
          <w:tcPr>
            <w:tcW w:w="2410" w:type="dxa"/>
            <w:tcBorders>
              <w:top w:val="single" w:sz="8" w:space="0" w:color="CDDC29" w:themeColor="text2"/>
              <w:left w:val="nil"/>
              <w:bottom w:val="single" w:sz="8" w:space="0" w:color="CDDC29" w:themeColor="text2"/>
              <w:right w:val="nil"/>
            </w:tcBorders>
            <w:vAlign w:val="center"/>
            <w:hideMark/>
          </w:tcPr>
          <w:p w14:paraId="319426A5" w14:textId="77777777" w:rsidR="003679D4" w:rsidRDefault="003679D4" w:rsidP="00E0219E">
            <w:pPr>
              <w:pStyle w:val="BodyText"/>
              <w:jc w:val="center"/>
            </w:pPr>
            <w:r>
              <w:t>Likelihood</w:t>
            </w:r>
          </w:p>
        </w:tc>
        <w:tc>
          <w:tcPr>
            <w:tcW w:w="2410" w:type="dxa"/>
            <w:tcBorders>
              <w:top w:val="single" w:sz="8" w:space="0" w:color="CDDC29" w:themeColor="text2"/>
              <w:left w:val="nil"/>
              <w:bottom w:val="single" w:sz="8" w:space="0" w:color="CDDC29" w:themeColor="text2"/>
              <w:right w:val="nil"/>
            </w:tcBorders>
            <w:vAlign w:val="center"/>
            <w:hideMark/>
          </w:tcPr>
          <w:p w14:paraId="1B9B5233" w14:textId="77777777" w:rsidR="003679D4" w:rsidRDefault="003679D4" w:rsidP="00E0219E">
            <w:pPr>
              <w:pStyle w:val="BodyText"/>
              <w:jc w:val="center"/>
            </w:pPr>
            <w:r>
              <w:t>Likely</w:t>
            </w:r>
          </w:p>
        </w:tc>
        <w:tc>
          <w:tcPr>
            <w:tcW w:w="2410" w:type="dxa"/>
            <w:tcBorders>
              <w:top w:val="single" w:sz="8" w:space="0" w:color="CDDC29" w:themeColor="text2"/>
              <w:left w:val="nil"/>
              <w:bottom w:val="single" w:sz="8" w:space="0" w:color="CDDC29" w:themeColor="text2"/>
              <w:right w:val="nil"/>
            </w:tcBorders>
            <w:vAlign w:val="center"/>
            <w:hideMark/>
          </w:tcPr>
          <w:p w14:paraId="30AD223B" w14:textId="06B79A30" w:rsidR="003679D4" w:rsidRDefault="00CC5758" w:rsidP="00E0219E">
            <w:pPr>
              <w:pStyle w:val="BodyText"/>
              <w:jc w:val="center"/>
            </w:pPr>
            <w:r>
              <w:t>Likely</w:t>
            </w:r>
          </w:p>
        </w:tc>
        <w:tc>
          <w:tcPr>
            <w:tcW w:w="2410" w:type="dxa"/>
            <w:tcBorders>
              <w:top w:val="single" w:sz="8" w:space="0" w:color="CDDC29" w:themeColor="text2"/>
              <w:left w:val="nil"/>
              <w:bottom w:val="single" w:sz="8" w:space="0" w:color="CDDC29" w:themeColor="text2"/>
              <w:right w:val="nil"/>
            </w:tcBorders>
            <w:vAlign w:val="center"/>
            <w:hideMark/>
          </w:tcPr>
          <w:p w14:paraId="7D06F1A5" w14:textId="77777777" w:rsidR="003679D4" w:rsidRDefault="003679D4" w:rsidP="00E0219E">
            <w:pPr>
              <w:pStyle w:val="BodyText"/>
              <w:jc w:val="center"/>
            </w:pPr>
            <w:r>
              <w:t>Likely</w:t>
            </w:r>
          </w:p>
        </w:tc>
      </w:tr>
      <w:tr w:rsidR="003679D4" w14:paraId="50542D21" w14:textId="77777777" w:rsidTr="0045799B">
        <w:tc>
          <w:tcPr>
            <w:tcW w:w="0" w:type="dxa"/>
            <w:tcBorders>
              <w:top w:val="single" w:sz="8" w:space="0" w:color="CDDC29" w:themeColor="text2"/>
              <w:left w:val="nil"/>
              <w:bottom w:val="single" w:sz="8" w:space="0" w:color="CDDC29" w:themeColor="text2"/>
              <w:right w:val="nil"/>
            </w:tcBorders>
            <w:vAlign w:val="center"/>
            <w:hideMark/>
          </w:tcPr>
          <w:p w14:paraId="28D79E3B" w14:textId="77777777" w:rsidR="003679D4" w:rsidRDefault="003679D4" w:rsidP="00E0219E">
            <w:pPr>
              <w:pStyle w:val="BodyText"/>
              <w:jc w:val="center"/>
            </w:pPr>
            <w:r>
              <w:t>Overall risk rating</w:t>
            </w:r>
          </w:p>
        </w:tc>
        <w:tc>
          <w:tcPr>
            <w:tcW w:w="0" w:type="dxa"/>
            <w:tcBorders>
              <w:top w:val="single" w:sz="8" w:space="0" w:color="CDDC29" w:themeColor="text2"/>
              <w:left w:val="nil"/>
              <w:bottom w:val="single" w:sz="8" w:space="0" w:color="CDDC29" w:themeColor="text2"/>
              <w:right w:val="nil"/>
            </w:tcBorders>
            <w:shd w:val="clear" w:color="auto" w:fill="FF0000"/>
            <w:vAlign w:val="center"/>
            <w:hideMark/>
          </w:tcPr>
          <w:p w14:paraId="72DDFE9E" w14:textId="77777777" w:rsidR="003679D4" w:rsidRDefault="003679D4" w:rsidP="00E0219E">
            <w:pPr>
              <w:pStyle w:val="BodyText"/>
              <w:jc w:val="center"/>
            </w:pPr>
            <w:r>
              <w:t>High</w:t>
            </w:r>
          </w:p>
        </w:tc>
        <w:tc>
          <w:tcPr>
            <w:tcW w:w="0" w:type="dxa"/>
            <w:tcBorders>
              <w:top w:val="single" w:sz="8" w:space="0" w:color="CDDC29" w:themeColor="text2"/>
              <w:left w:val="nil"/>
              <w:bottom w:val="single" w:sz="8" w:space="0" w:color="CDDC29" w:themeColor="text2"/>
              <w:right w:val="nil"/>
            </w:tcBorders>
            <w:shd w:val="clear" w:color="auto" w:fill="FF0000"/>
            <w:vAlign w:val="center"/>
            <w:hideMark/>
          </w:tcPr>
          <w:p w14:paraId="497DF4A6" w14:textId="4CA2CF1F" w:rsidR="003679D4" w:rsidRDefault="00CC5758" w:rsidP="00E0219E">
            <w:pPr>
              <w:pStyle w:val="BodyText"/>
              <w:jc w:val="center"/>
            </w:pPr>
            <w:r>
              <w:t>High</w:t>
            </w:r>
          </w:p>
        </w:tc>
        <w:tc>
          <w:tcPr>
            <w:tcW w:w="0" w:type="dxa"/>
            <w:tcBorders>
              <w:top w:val="single" w:sz="8" w:space="0" w:color="CDDC29" w:themeColor="text2"/>
              <w:left w:val="nil"/>
              <w:bottom w:val="single" w:sz="8" w:space="0" w:color="CDDC29" w:themeColor="text2"/>
              <w:right w:val="nil"/>
            </w:tcBorders>
            <w:shd w:val="clear" w:color="auto" w:fill="FF0000"/>
            <w:vAlign w:val="center"/>
            <w:hideMark/>
          </w:tcPr>
          <w:p w14:paraId="001F6AE3" w14:textId="77777777" w:rsidR="003679D4" w:rsidRDefault="003679D4" w:rsidP="00E0219E">
            <w:pPr>
              <w:pStyle w:val="BodyText"/>
              <w:jc w:val="center"/>
            </w:pPr>
            <w:r>
              <w:t>High</w:t>
            </w:r>
          </w:p>
        </w:tc>
      </w:tr>
    </w:tbl>
    <w:p w14:paraId="48541A57" w14:textId="77777777" w:rsidR="003679D4" w:rsidRDefault="003679D4" w:rsidP="007E5EBF">
      <w:pPr>
        <w:pStyle w:val="Heading3"/>
      </w:pPr>
      <w:r>
        <w:rPr>
          <w:noProof/>
        </w:rPr>
        <mc:AlternateContent>
          <mc:Choice Requires="wps">
            <w:drawing>
              <wp:anchor distT="0" distB="0" distL="114300" distR="114300" simplePos="0" relativeHeight="251658534" behindDoc="1" locked="1" layoutInCell="1" allowOverlap="1" wp14:anchorId="58FEE263" wp14:editId="453FC71B">
                <wp:simplePos x="0" y="0"/>
                <wp:positionH relativeFrom="page">
                  <wp:posOffset>359410</wp:posOffset>
                </wp:positionH>
                <wp:positionV relativeFrom="page">
                  <wp:posOffset>9071610</wp:posOffset>
                </wp:positionV>
                <wp:extent cx="6840220" cy="431800"/>
                <wp:effectExtent l="0" t="0" r="0" b="0"/>
                <wp:wrapNone/>
                <wp:docPr id="1704" name="Text Box 1704"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91DA3" w14:textId="77777777" w:rsidR="003679D4" w:rsidRDefault="003679D4" w:rsidP="003679D4">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E263" id="Text Box 1704" o:spid="_x0000_s1041" type="#_x0000_t202" alt="Title: Decorative Cover Shape" style="position:absolute;left:0;text-align:left;margin-left:28.3pt;margin-top:714.3pt;width:538.6pt;height:34pt;z-index:-2516579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BPd0rHgAIA&#10;AGIFAAAOAAAAAAAAAAAAAAAAAC4CAABkcnMvZTJvRG9jLnhtbFBLAQItABQABgAIAAAAIQCRaybX&#10;3QAAAA0BAAAPAAAAAAAAAAAAAAAAANoEAABkcnMvZG93bnJldi54bWxQSwUGAAAAAAQABADzAAAA&#10;5AUAAAAA&#10;" fillcolor="#201547" stroked="f" strokeweight=".5pt">
                <v:textbox inset="10mm,0,10mm,0">
                  <w:txbxContent>
                    <w:p w14:paraId="30291DA3" w14:textId="77777777" w:rsidR="003679D4" w:rsidRDefault="003679D4" w:rsidP="003679D4">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533" behindDoc="0" locked="1" layoutInCell="1" allowOverlap="1" wp14:anchorId="3AC63A2A" wp14:editId="61B2318D">
                <wp:simplePos x="0" y="0"/>
                <wp:positionH relativeFrom="page">
                  <wp:posOffset>360045</wp:posOffset>
                </wp:positionH>
                <wp:positionV relativeFrom="page">
                  <wp:posOffset>360045</wp:posOffset>
                </wp:positionV>
                <wp:extent cx="1864995" cy="1976120"/>
                <wp:effectExtent l="0" t="0" r="0" b="0"/>
                <wp:wrapNone/>
                <wp:docPr id="1705" name="Freeform: Shape 170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BCDAC0A" id="Freeform: Shape 1705" o:spid="_x0000_s1026" style="position:absolute;margin-left:28.35pt;margin-top:28.35pt;width:146.85pt;height:155.6pt;z-index:2516585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532" behindDoc="0" locked="1" layoutInCell="1" allowOverlap="1" wp14:anchorId="0C23D554" wp14:editId="55BBA898">
                <wp:simplePos x="0" y="0"/>
                <wp:positionH relativeFrom="page">
                  <wp:posOffset>359410</wp:posOffset>
                </wp:positionH>
                <wp:positionV relativeFrom="page">
                  <wp:posOffset>359410</wp:posOffset>
                </wp:positionV>
                <wp:extent cx="1864995" cy="1976120"/>
                <wp:effectExtent l="0" t="0" r="0" b="0"/>
                <wp:wrapNone/>
                <wp:docPr id="1706" name="Freeform: Shape 170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AF5B122" id="Freeform: Shape 1706" o:spid="_x0000_s1026" style="position:absolute;margin-left:28.3pt;margin-top:28.3pt;width:146.85pt;height:155.6pt;z-index:2516585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531" behindDoc="0" locked="1" layoutInCell="1" allowOverlap="1" wp14:anchorId="1B3FA816" wp14:editId="742017CD">
                <wp:simplePos x="0" y="0"/>
                <wp:positionH relativeFrom="page">
                  <wp:posOffset>0</wp:posOffset>
                </wp:positionH>
                <wp:positionV relativeFrom="page">
                  <wp:align>bottom</wp:align>
                </wp:positionV>
                <wp:extent cx="3848100" cy="720090"/>
                <wp:effectExtent l="0" t="0" r="0" b="0"/>
                <wp:wrapNone/>
                <wp:docPr id="1707" name="Text Box 1707"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2B1A2" w14:textId="77777777" w:rsidR="003679D4" w:rsidRDefault="003679D4" w:rsidP="003679D4">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A816" id="Text Box 1707" o:spid="_x0000_s1042" type="#_x0000_t202" style="position:absolute;left:0;text-align:left;margin-left:0;margin-top:0;width:303pt;height:56.7pt;z-index:25165853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" filled="f" stroked="f" strokeweight=".5pt">
                <v:textbox inset="20mm">
                  <w:txbxContent>
                    <w:p w14:paraId="3462B1A2" w14:textId="77777777" w:rsidR="003679D4" w:rsidRDefault="003679D4" w:rsidP="003679D4">
                      <w:pPr>
                        <w:pStyle w:val="xWebCoverPage"/>
                      </w:pPr>
                      <w:r>
                        <w:t>delwp.vic.gov.au</w:t>
                      </w:r>
                    </w:p>
                  </w:txbxContent>
                </v:textbox>
                <w10:wrap anchorx="page" anchory="page"/>
                <w10:anchorlock/>
              </v:shape>
            </w:pict>
          </mc:Fallback>
        </mc:AlternateContent>
      </w:r>
      <w:r>
        <w:t>Climate change</w:t>
      </w:r>
    </w:p>
    <w:p w14:paraId="5D834B2E" w14:textId="77777777" w:rsidR="003679D4" w:rsidRDefault="003679D4" w:rsidP="007E5EBF">
      <w:pPr>
        <w:pStyle w:val="Heading5"/>
      </w:pPr>
      <w:r>
        <w:t>Climate change and severe weather</w:t>
      </w:r>
    </w:p>
    <w:p w14:paraId="10E7F9CF" w14:textId="38A78001" w:rsidR="003679D4" w:rsidRDefault="003679D4" w:rsidP="003679D4">
      <w:pPr>
        <w:pStyle w:val="BodyText"/>
      </w:pPr>
      <w:r>
        <w:t xml:space="preserve">This </w:t>
      </w:r>
      <w:r w:rsidR="00A903C9">
        <w:t>species</w:t>
      </w:r>
      <w:r>
        <w:t xml:space="preserve"> may </w:t>
      </w:r>
      <w:r w:rsidR="00885D41">
        <w:t>inhabit</w:t>
      </w:r>
      <w:r>
        <w:t xml:space="preserve"> burrow systems that may buffer it for some time against the effects of severe droughts, however long-term disruption to water flow and temperature will likely result in its decline, and climate change will have impacts that effect its entire range. Increased severe weather events of high heat and prolonged droughts caused by human-induced climate change will lead </w:t>
      </w:r>
      <w:r w:rsidR="00020C40">
        <w:t xml:space="preserve">to </w:t>
      </w:r>
      <w:r>
        <w:t xml:space="preserve">an increase in the frequency and severity of bushfires (Sharples et al. 2016). Contrasting extremes from climate change, such as large rainfall events following fires, will lead to detrimental amounts of run-off and sedimentation that can cause declines in this </w:t>
      </w:r>
      <w:r w:rsidR="00A903C9">
        <w:t>species</w:t>
      </w:r>
      <w:r>
        <w:t xml:space="preserve">. Similarly, extreme rainfall events will likely exacerbate run-off and sedimentation caused by forestry operations. </w:t>
      </w:r>
    </w:p>
    <w:p w14:paraId="459E0B0C" w14:textId="4F2809D4" w:rsidR="003679D4" w:rsidRDefault="00643D77" w:rsidP="00643D77">
      <w:pPr>
        <w:pStyle w:val="BodyText"/>
      </w:pPr>
      <w:r>
        <w:t>C</w:t>
      </w:r>
      <w:r w:rsidR="003679D4">
        <w:t xml:space="preserve">urrent control measures for this hazard are strategic in nature and are not considered effective in managing the risk to this </w:t>
      </w:r>
      <w:r w:rsidR="00A903C9">
        <w:t>species</w:t>
      </w:r>
      <w:r w:rsidR="003679D4">
        <w:t xml:space="preserve"> at the scale relevant to its conservation at this stage.</w:t>
      </w:r>
    </w:p>
    <w:p w14:paraId="5B1AAD37" w14:textId="4B644E99" w:rsidR="003679D4" w:rsidRPr="00FF310C" w:rsidRDefault="003679D4"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26</w:t>
      </w:r>
      <w:r w:rsidR="000B6788" w:rsidRPr="00B6162A">
        <w:rPr>
          <w:bCs/>
          <w:noProof/>
        </w:rPr>
        <w:fldChar w:fldCharType="end"/>
      </w:r>
      <w:r w:rsidRPr="00FF310C">
        <w:t>. Variable Spiny Crayfish protection requirements and recommendations for climate change and severe weather</w:t>
      </w:r>
    </w:p>
    <w:tbl>
      <w:tblPr>
        <w:tblStyle w:val="TableGrid"/>
        <w:tblW w:w="0" w:type="auto"/>
        <w:tblLook w:val="04A0" w:firstRow="1" w:lastRow="0" w:firstColumn="1" w:lastColumn="0" w:noHBand="0" w:noVBand="1"/>
      </w:tblPr>
      <w:tblGrid>
        <w:gridCol w:w="2268"/>
        <w:gridCol w:w="7371"/>
      </w:tblGrid>
      <w:tr w:rsidR="003679D4" w14:paraId="5CB0D34A"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hideMark/>
          </w:tcPr>
          <w:p w14:paraId="2973F95D" w14:textId="77777777" w:rsidR="003679D4" w:rsidRDefault="003679D4" w:rsidP="005611CD">
            <w:pPr>
              <w:pStyle w:val="BodyText"/>
            </w:pPr>
            <w:r>
              <w:t>Requirement</w:t>
            </w:r>
          </w:p>
        </w:tc>
        <w:tc>
          <w:tcPr>
            <w:tcW w:w="7371" w:type="dxa"/>
            <w:tcBorders>
              <w:top w:val="single" w:sz="8" w:space="0" w:color="CDDC29" w:themeColor="text2"/>
              <w:left w:val="nil"/>
              <w:bottom w:val="single" w:sz="8" w:space="0" w:color="CDDC29" w:themeColor="text2"/>
              <w:right w:val="nil"/>
            </w:tcBorders>
            <w:hideMark/>
          </w:tcPr>
          <w:p w14:paraId="61322B37" w14:textId="77777777" w:rsidR="003679D4" w:rsidRDefault="003679D4" w:rsidP="005611CD">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679D4" w14:paraId="20D1EAC1" w14:textId="77777777" w:rsidTr="005611CD">
        <w:tc>
          <w:tcPr>
            <w:tcW w:w="2268" w:type="dxa"/>
            <w:tcBorders>
              <w:top w:val="single" w:sz="8" w:space="0" w:color="CDDC29" w:themeColor="text2"/>
              <w:left w:val="nil"/>
              <w:bottom w:val="single" w:sz="8" w:space="0" w:color="CDDC29" w:themeColor="text2"/>
              <w:right w:val="nil"/>
            </w:tcBorders>
            <w:hideMark/>
          </w:tcPr>
          <w:p w14:paraId="06A6B6D2" w14:textId="1CF0AE22" w:rsidR="003679D4" w:rsidRDefault="00362E0D" w:rsidP="005611CD">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44C05035" w14:textId="4C6A378D" w:rsidR="003679D4" w:rsidRDefault="0005167C" w:rsidP="006670D2">
            <w:pPr>
              <w:pStyle w:val="PullOutBoxBullet"/>
            </w:pPr>
            <w:r>
              <w:t xml:space="preserve">Establish a captive colony of this </w:t>
            </w:r>
            <w:r w:rsidR="00A903C9">
              <w:t>species</w:t>
            </w:r>
            <w:r w:rsidR="003679D4">
              <w:t>.</w:t>
            </w:r>
          </w:p>
        </w:tc>
      </w:tr>
      <w:tr w:rsidR="003679D4" w14:paraId="7CDC0B94" w14:textId="77777777" w:rsidTr="005611CD">
        <w:tc>
          <w:tcPr>
            <w:tcW w:w="2268" w:type="dxa"/>
            <w:tcBorders>
              <w:top w:val="single" w:sz="8" w:space="0" w:color="CDDC29" w:themeColor="text2"/>
              <w:left w:val="nil"/>
              <w:bottom w:val="single" w:sz="8" w:space="0" w:color="CDDC29" w:themeColor="text2"/>
              <w:right w:val="nil"/>
            </w:tcBorders>
            <w:hideMark/>
          </w:tcPr>
          <w:p w14:paraId="731EA97C" w14:textId="54CDB660" w:rsidR="003679D4" w:rsidRDefault="00362E0D" w:rsidP="005611CD">
            <w:pPr>
              <w:pStyle w:val="BodyText"/>
            </w:pPr>
            <w:r>
              <w:t>Potential m</w:t>
            </w:r>
            <w:r w:rsidR="003679D4">
              <w:t>anagement actions</w:t>
            </w:r>
          </w:p>
        </w:tc>
        <w:tc>
          <w:tcPr>
            <w:tcW w:w="7371" w:type="dxa"/>
            <w:tcBorders>
              <w:top w:val="single" w:sz="8" w:space="0" w:color="CDDC29" w:themeColor="text2"/>
              <w:left w:val="nil"/>
              <w:bottom w:val="single" w:sz="8" w:space="0" w:color="CDDC29" w:themeColor="text2"/>
              <w:right w:val="nil"/>
            </w:tcBorders>
            <w:hideMark/>
          </w:tcPr>
          <w:p w14:paraId="400437C3" w14:textId="16C06C17" w:rsidR="003679D4" w:rsidRDefault="00145927" w:rsidP="006670D2">
            <w:pPr>
              <w:pStyle w:val="PullOutBoxBullet"/>
            </w:pPr>
            <w:r>
              <w:t>R</w:t>
            </w:r>
            <w:r w:rsidR="003679D4">
              <w:t xml:space="preserve">esearch the effects climate change on the </w:t>
            </w:r>
            <w:r w:rsidR="00A903C9">
              <w:t>species</w:t>
            </w:r>
            <w:r w:rsidR="003679D4">
              <w:t xml:space="preserve">, particularly its thermal tolerance. Modelling water temperature changes in response to future climate change may identify cool refuge areas for the </w:t>
            </w:r>
            <w:r w:rsidR="00A903C9">
              <w:t>species</w:t>
            </w:r>
            <w:r w:rsidR="003679D4">
              <w:t>.</w:t>
            </w:r>
          </w:p>
        </w:tc>
      </w:tr>
    </w:tbl>
    <w:p w14:paraId="20B52182" w14:textId="77777777" w:rsidR="003679D4" w:rsidRDefault="003679D4" w:rsidP="007E5EBF">
      <w:pPr>
        <w:pStyle w:val="Heading3"/>
      </w:pPr>
      <w:r>
        <w:rPr>
          <w:noProof/>
        </w:rPr>
        <mc:AlternateContent>
          <mc:Choice Requires="wps">
            <w:drawing>
              <wp:anchor distT="0" distB="0" distL="114300" distR="114300" simplePos="0" relativeHeight="251658538" behindDoc="1" locked="1" layoutInCell="1" allowOverlap="1" wp14:anchorId="0E3DFC13" wp14:editId="7AFC2E41">
                <wp:simplePos x="0" y="0"/>
                <wp:positionH relativeFrom="page">
                  <wp:posOffset>359410</wp:posOffset>
                </wp:positionH>
                <wp:positionV relativeFrom="page">
                  <wp:posOffset>9071610</wp:posOffset>
                </wp:positionV>
                <wp:extent cx="6840220" cy="431800"/>
                <wp:effectExtent l="0" t="0" r="0" b="0"/>
                <wp:wrapNone/>
                <wp:docPr id="1709" name="Text Box 1709"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56F44" w14:textId="77777777" w:rsidR="003679D4" w:rsidRDefault="003679D4" w:rsidP="003679D4">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DFC13" id="Text Box 1709" o:spid="_x0000_s1043" type="#_x0000_t202" alt="Title: Decorative Cover Shape" style="position:absolute;left:0;text-align:left;margin-left:28.3pt;margin-top:714.3pt;width:538.6pt;height:34pt;z-index:-2516579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PspN6F/AgAA&#10;YgUAAA4AAAAAAAAAAAAAAAAALgIAAGRycy9lMm9Eb2MueG1sUEsBAi0AFAAGAAgAAAAhAJFrJtfd&#10;AAAADQEAAA8AAAAAAAAAAAAAAAAA2QQAAGRycy9kb3ducmV2LnhtbFBLBQYAAAAABAAEAPMAAADj&#10;BQAAAAA=&#10;" fillcolor="#201547" stroked="f" strokeweight=".5pt">
                <v:textbox inset="10mm,0,10mm,0">
                  <w:txbxContent>
                    <w:p w14:paraId="49456F44" w14:textId="77777777" w:rsidR="003679D4" w:rsidRDefault="003679D4" w:rsidP="003679D4">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537" behindDoc="0" locked="1" layoutInCell="1" allowOverlap="1" wp14:anchorId="37876D26" wp14:editId="61731641">
                <wp:simplePos x="0" y="0"/>
                <wp:positionH relativeFrom="page">
                  <wp:posOffset>360045</wp:posOffset>
                </wp:positionH>
                <wp:positionV relativeFrom="page">
                  <wp:posOffset>360045</wp:posOffset>
                </wp:positionV>
                <wp:extent cx="1864995" cy="1976120"/>
                <wp:effectExtent l="0" t="0" r="0" b="0"/>
                <wp:wrapNone/>
                <wp:docPr id="1710" name="Freeform: Shape 17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855EC44" id="Freeform: Shape 1710" o:spid="_x0000_s1026" style="position:absolute;margin-left:28.35pt;margin-top:28.35pt;width:146.85pt;height:155.6pt;z-index:2516585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536" behindDoc="0" locked="1" layoutInCell="1" allowOverlap="1" wp14:anchorId="1729B872" wp14:editId="3695B86B">
                <wp:simplePos x="0" y="0"/>
                <wp:positionH relativeFrom="page">
                  <wp:posOffset>359410</wp:posOffset>
                </wp:positionH>
                <wp:positionV relativeFrom="page">
                  <wp:posOffset>359410</wp:posOffset>
                </wp:positionV>
                <wp:extent cx="1864995" cy="1976120"/>
                <wp:effectExtent l="0" t="0" r="0" b="0"/>
                <wp:wrapNone/>
                <wp:docPr id="1711" name="Freeform: Shape 17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656612E" id="Freeform: Shape 1711" o:spid="_x0000_s1026" style="position:absolute;margin-left:28.3pt;margin-top:28.3pt;width:146.85pt;height:155.6pt;z-index:251658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535" behindDoc="0" locked="1" layoutInCell="1" allowOverlap="1" wp14:anchorId="28D0B3E5" wp14:editId="6992158E">
                <wp:simplePos x="0" y="0"/>
                <wp:positionH relativeFrom="page">
                  <wp:posOffset>0</wp:posOffset>
                </wp:positionH>
                <wp:positionV relativeFrom="page">
                  <wp:align>bottom</wp:align>
                </wp:positionV>
                <wp:extent cx="3848100" cy="720090"/>
                <wp:effectExtent l="0" t="0" r="0" b="0"/>
                <wp:wrapNone/>
                <wp:docPr id="1712" name="Text Box 1712"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A4E43" w14:textId="77777777" w:rsidR="003679D4" w:rsidRDefault="003679D4" w:rsidP="003679D4">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0B3E5" id="Text Box 1712" o:spid="_x0000_s1044" type="#_x0000_t202" style="position:absolute;left:0;text-align:left;margin-left:0;margin-top:0;width:303pt;height:56.7pt;z-index:25165853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" filled="f" stroked="f" strokeweight=".5pt">
                <v:textbox inset="20mm">
                  <w:txbxContent>
                    <w:p w14:paraId="07CA4E43" w14:textId="77777777" w:rsidR="003679D4" w:rsidRDefault="003679D4" w:rsidP="003679D4">
                      <w:pPr>
                        <w:pStyle w:val="xWebCoverPage"/>
                      </w:pPr>
                      <w:r>
                        <w:t>delwp.vic.gov.au</w:t>
                      </w:r>
                    </w:p>
                  </w:txbxContent>
                </v:textbox>
                <w10:wrap anchorx="page" anchory="page"/>
                <w10:anchorlock/>
              </v:shape>
            </w:pict>
          </mc:Fallback>
        </mc:AlternateContent>
      </w:r>
      <w:r>
        <w:t>Fire</w:t>
      </w:r>
    </w:p>
    <w:p w14:paraId="5FD32BB3" w14:textId="77777777" w:rsidR="003679D4" w:rsidRDefault="003679D4" w:rsidP="007E5EBF">
      <w:pPr>
        <w:pStyle w:val="Heading5"/>
      </w:pPr>
      <w:r>
        <w:t>Bushfire</w:t>
      </w:r>
    </w:p>
    <w:p w14:paraId="43406A10" w14:textId="08EC0209" w:rsidR="003679D4" w:rsidRDefault="003679D4" w:rsidP="003679D4">
      <w:pPr>
        <w:pStyle w:val="BodyText"/>
      </w:pPr>
      <w:r>
        <w:t xml:space="preserve">Bushfires have the potential to degrade water quality and alter the dynamics of stream ecosystems. Most critical effects occur if there is heavy rain soon after fire, as loss of vegetation and altered soil structure can make fire-affected soils more erodible. Runoff can carry sediments and pollutants that affect aquatic environments and consequently aquatic species. Apart from impacts to water quality and sedimentation of streams following bushfires, burns can also result in the loss of riparian vegetation impacting water temperature and available food resources. In East Gippsland, bushfires have had a very significant impact over the geographical range of this </w:t>
      </w:r>
      <w:r w:rsidR="00A903C9">
        <w:t>species</w:t>
      </w:r>
      <w:r>
        <w:t xml:space="preserve">, with burns having occurred over 92% of modelled habitat and 93% of all important populations of the </w:t>
      </w:r>
      <w:r w:rsidR="00A903C9">
        <w:t>species</w:t>
      </w:r>
      <w:r>
        <w:t xml:space="preserve"> since 2000. Along with sedimentation, soil erosion and water quality decline, habitat loss through the loss of riparian vegetation could also be considered a mechanism leading to decline. Increases in severe weather events of high heat and prolonged droughts caused by human-induced climate change will lead in an increase in the frequency and severity of bushfires (Sharples et al. 2016). Contrasting extremes from climate change, such as large rainfall events following fires, will lead to detrimental amounts of run-off and sedimentation that can cause declines in this </w:t>
      </w:r>
      <w:r w:rsidR="00A903C9">
        <w:t>species</w:t>
      </w:r>
      <w:r>
        <w:t xml:space="preserve">, which can also be exacerbated by the disturbances caused by forestry operations. </w:t>
      </w:r>
      <w:r w:rsidR="00B1277E" w:rsidRPr="00C02DCA">
        <w:rPr>
          <w:rFonts w:cs="Arial"/>
        </w:rPr>
        <w:t>Spiny crayfish likely rely on deep pools, and structurally complex habitat to survive fires (Bryant et al. 2012). Any impacts to these habitat components from environmental disturbances including fire and forestry operations, may be detrimental to the species</w:t>
      </w:r>
      <w:r w:rsidR="00416CEA">
        <w:rPr>
          <w:rFonts w:cs="Arial"/>
        </w:rPr>
        <w:t>.</w:t>
      </w:r>
    </w:p>
    <w:p w14:paraId="1931C134" w14:textId="77777777" w:rsidR="003679D4" w:rsidRDefault="003679D4" w:rsidP="003679D4">
      <w:pPr>
        <w:pStyle w:val="BodyText"/>
      </w:pPr>
      <w:r>
        <w:t>Current controls for this hazard include:</w:t>
      </w:r>
    </w:p>
    <w:p w14:paraId="24CDB61E" w14:textId="6A763F0E" w:rsidR="003679D4" w:rsidRDefault="003679D4" w:rsidP="006670D2">
      <w:pPr>
        <w:pStyle w:val="PullOutBoxBullet"/>
      </w:pPr>
      <w:r>
        <w:t xml:space="preserve">Planned burning. This control may be effective in reducing the risk of severe bushfires in this species’ habitat depending on the location of the burns and the time elapsed since their implementation. Strategic </w:t>
      </w:r>
      <w:r w:rsidR="0094554A">
        <w:t>fuel breaks</w:t>
      </w:r>
      <w:r>
        <w:t xml:space="preserve"> and associated backburning may also provide valuable protection in some cases for this species and its habitat from severe bushfires.</w:t>
      </w:r>
    </w:p>
    <w:p w14:paraId="02D068A8" w14:textId="77777777" w:rsidR="003679D4" w:rsidRDefault="003679D4" w:rsidP="006670D2">
      <w:pPr>
        <w:pStyle w:val="PullOutBoxBullet"/>
      </w:pPr>
      <w:r>
        <w:t>Bushfire suppression. This risk is not effectively controlled; the scale and intensity of recent bushfires means that, despite the frameworks and available resources, emergency response does not always prevent impacts on key biodiversity values.</w:t>
      </w:r>
    </w:p>
    <w:p w14:paraId="104B9AA6" w14:textId="3C75E42B" w:rsidR="003679D4" w:rsidRPr="00FF310C" w:rsidRDefault="003679D4"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27</w:t>
      </w:r>
      <w:r w:rsidR="000B6788" w:rsidRPr="00B6162A">
        <w:rPr>
          <w:bCs/>
          <w:noProof/>
        </w:rPr>
        <w:fldChar w:fldCharType="end"/>
      </w:r>
      <w:r w:rsidRPr="00FF310C">
        <w:t>. Variable Spiny Crayfish protection requirements and recommendations for bushfire</w:t>
      </w:r>
    </w:p>
    <w:tbl>
      <w:tblPr>
        <w:tblStyle w:val="TableGrid"/>
        <w:tblW w:w="0" w:type="auto"/>
        <w:tblLook w:val="04A0" w:firstRow="1" w:lastRow="0" w:firstColumn="1" w:lastColumn="0" w:noHBand="0" w:noVBand="1"/>
      </w:tblPr>
      <w:tblGrid>
        <w:gridCol w:w="2268"/>
        <w:gridCol w:w="7371"/>
      </w:tblGrid>
      <w:tr w:rsidR="003679D4" w14:paraId="5FBF98EC" w14:textId="77777777" w:rsidTr="00DB14F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F788CD4" w14:textId="77777777" w:rsidR="003679D4" w:rsidRDefault="003679D4" w:rsidP="00296E0F">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0EBF662E" w14:textId="77777777" w:rsidR="003679D4" w:rsidRDefault="003679D4" w:rsidP="00296E0F">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679D4" w14:paraId="608D86A5" w14:textId="77777777" w:rsidTr="005611CD">
        <w:tc>
          <w:tcPr>
            <w:tcW w:w="2268" w:type="dxa"/>
            <w:tcBorders>
              <w:top w:val="single" w:sz="8" w:space="0" w:color="CDDC29" w:themeColor="text2"/>
              <w:left w:val="nil"/>
              <w:bottom w:val="single" w:sz="8" w:space="0" w:color="CDDC29" w:themeColor="text2"/>
              <w:right w:val="nil"/>
            </w:tcBorders>
            <w:hideMark/>
          </w:tcPr>
          <w:p w14:paraId="545A8800" w14:textId="555DE00A" w:rsidR="003679D4" w:rsidRDefault="00362E0D" w:rsidP="005611CD">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302041EA" w14:textId="59FAF6EE" w:rsidR="003679D4" w:rsidRDefault="00E96A5C" w:rsidP="006670D2">
            <w:pPr>
              <w:pStyle w:val="PullOutBoxBullet"/>
            </w:pPr>
            <w:r w:rsidRPr="00122AAB">
              <w:t xml:space="preserve">Target fire suppression activities to protect important populations </w:t>
            </w:r>
            <w:r>
              <w:t>and</w:t>
            </w:r>
            <w:r w:rsidRPr="00122AAB">
              <w:t xml:space="preserve"> unburnt habitat</w:t>
            </w:r>
            <w:r w:rsidR="00E73301">
              <w:t>.</w:t>
            </w:r>
            <w:r w:rsidRPr="00122AAB">
              <w:t xml:space="preserve"> </w:t>
            </w:r>
          </w:p>
        </w:tc>
      </w:tr>
      <w:tr w:rsidR="003679D4" w14:paraId="6EFD7A6F" w14:textId="77777777" w:rsidTr="005611CD">
        <w:tc>
          <w:tcPr>
            <w:tcW w:w="2268" w:type="dxa"/>
            <w:tcBorders>
              <w:top w:val="single" w:sz="8" w:space="0" w:color="CDDC29" w:themeColor="text2"/>
              <w:left w:val="nil"/>
              <w:bottom w:val="single" w:sz="8" w:space="0" w:color="CDDC29" w:themeColor="text2"/>
              <w:right w:val="nil"/>
            </w:tcBorders>
            <w:hideMark/>
          </w:tcPr>
          <w:p w14:paraId="3B1B0FF4" w14:textId="2ACF7F7B" w:rsidR="003679D4" w:rsidRDefault="00362E0D" w:rsidP="005611CD">
            <w:pPr>
              <w:pStyle w:val="BodyText"/>
            </w:pPr>
            <w:r>
              <w:t>Potential m</w:t>
            </w:r>
            <w:r w:rsidR="003679D4">
              <w:t>anagement actions</w:t>
            </w:r>
          </w:p>
        </w:tc>
        <w:tc>
          <w:tcPr>
            <w:tcW w:w="7371" w:type="dxa"/>
            <w:tcBorders>
              <w:top w:val="single" w:sz="8" w:space="0" w:color="CDDC29" w:themeColor="text2"/>
              <w:left w:val="nil"/>
              <w:bottom w:val="single" w:sz="8" w:space="0" w:color="CDDC29" w:themeColor="text2"/>
              <w:right w:val="nil"/>
            </w:tcBorders>
            <w:hideMark/>
          </w:tcPr>
          <w:p w14:paraId="183FE666" w14:textId="1A27995D" w:rsidR="003679D4" w:rsidRDefault="00E96A5C" w:rsidP="006670D2">
            <w:pPr>
              <w:pStyle w:val="PullOutBoxBullet"/>
            </w:pPr>
            <w:r>
              <w:t>Conduct extensive surveys to confirm population persistence and extent in the post-fire landscape</w:t>
            </w:r>
            <w:r w:rsidR="00DD6CFF">
              <w:t>; and</w:t>
            </w:r>
          </w:p>
          <w:p w14:paraId="667699F7" w14:textId="77777777" w:rsidR="003679D4" w:rsidRDefault="003679D4" w:rsidP="006670D2">
            <w:pPr>
              <w:pStyle w:val="PullOutBoxBullet"/>
            </w:pPr>
            <w:r>
              <w:t>investigate the impacts of bushfires on habitat values and population persistence.</w:t>
            </w:r>
          </w:p>
        </w:tc>
      </w:tr>
    </w:tbl>
    <w:p w14:paraId="0D4EEF23" w14:textId="77777777" w:rsidR="003679D4" w:rsidRDefault="003679D4" w:rsidP="007E5EBF">
      <w:pPr>
        <w:pStyle w:val="Heading3"/>
      </w:pPr>
      <w:r>
        <w:t>Forestry operations</w:t>
      </w:r>
    </w:p>
    <w:p w14:paraId="2838BA1A" w14:textId="23BD8349" w:rsidR="003679D4" w:rsidRDefault="00951CCF" w:rsidP="007E5EBF">
      <w:pPr>
        <w:pStyle w:val="Heading5"/>
      </w:pPr>
      <w:r>
        <w:t>F</w:t>
      </w:r>
      <w:r w:rsidR="003679D4">
        <w:t>orestry operations and roading</w:t>
      </w:r>
    </w:p>
    <w:p w14:paraId="23484D9D" w14:textId="3A5FEB47" w:rsidR="003679D4" w:rsidRDefault="003679D4" w:rsidP="003679D4">
      <w:pPr>
        <w:pStyle w:val="BodyText"/>
        <w:rPr>
          <w:rFonts w:cs="Arial"/>
        </w:rPr>
      </w:pPr>
      <w:r>
        <w:t xml:space="preserve">Threats to the </w:t>
      </w:r>
      <w:r w:rsidR="00A903C9">
        <w:t>species</w:t>
      </w:r>
      <w:r>
        <w:t xml:space="preserve"> may be driven by a range of land and water management activities including road construction and maintenance and forestry operations. </w:t>
      </w:r>
      <w:r>
        <w:rPr>
          <w:rFonts w:cs="Arial"/>
        </w:rPr>
        <w:t xml:space="preserve">Soil erosion and instream sedimentation can impact this </w:t>
      </w:r>
      <w:r w:rsidR="00A903C9">
        <w:rPr>
          <w:rFonts w:cs="Arial"/>
        </w:rPr>
        <w:t>species</w:t>
      </w:r>
      <w:r>
        <w:rPr>
          <w:rFonts w:cs="Arial"/>
        </w:rPr>
        <w:t xml:space="preserve"> by negatively affecting the quality of the water they breathe and move through, and smothering the stream bed which reduces food supplies, preferred heterogeneous habitat, and eliminates key spawning areas. These outcomes can directly affect the </w:t>
      </w:r>
      <w:r w:rsidR="00A903C9">
        <w:rPr>
          <w:rFonts w:cs="Arial"/>
        </w:rPr>
        <w:t>species</w:t>
      </w:r>
      <w:r>
        <w:rPr>
          <w:rFonts w:cs="Arial"/>
        </w:rPr>
        <w:t xml:space="preserve"> by increasing mortality by choking and starving, being more prone to aquatic predators and the smothering of eggs, and indirectly by reducing population abundance, leading to lower resilience/less evolutionary potential and increased extinction risk. Timber harvesting activities of particular concern are those which facilitate soil disturbance and soil transport by rainfall/water flow into the catchment drainage network (the wet and dry, connected linear system of drainage lines, and stream channels). Broadly, these relate to roading by direct sediment input at stream crossings and from road drainage, and to harvesting operations by direct sediment input into unbuffered sections of drainage lines or via harvesting disturbance in filter strips. </w:t>
      </w:r>
    </w:p>
    <w:p w14:paraId="27D65588" w14:textId="2296AC4F" w:rsidR="003679D4" w:rsidRDefault="00321579" w:rsidP="003679D4">
      <w:pPr>
        <w:pStyle w:val="BodyText"/>
      </w:pPr>
      <w:r w:rsidRPr="00915D82">
        <w:rPr>
          <w:rFonts w:cs="Arial"/>
        </w:rPr>
        <w:t>Spiny crayfish likely rely on deep pools, and structurally complex habitat to survive fires (Bryant et al. 2012). Any impacts to these habitat components from environmental disturbances including fire and forestry operations, may be detrimental to the species.</w:t>
      </w:r>
      <w:r>
        <w:rPr>
          <w:rFonts w:cs="Arial"/>
        </w:rPr>
        <w:t xml:space="preserve"> </w:t>
      </w:r>
      <w:r w:rsidR="003679D4">
        <w:rPr>
          <w:rFonts w:cs="Arial"/>
        </w:rPr>
        <w:t xml:space="preserve">This </w:t>
      </w:r>
      <w:r w:rsidR="00A903C9">
        <w:rPr>
          <w:rFonts w:cs="Arial"/>
        </w:rPr>
        <w:t>species</w:t>
      </w:r>
      <w:r w:rsidR="003679D4">
        <w:rPr>
          <w:rFonts w:cs="Arial"/>
        </w:rPr>
        <w:t xml:space="preserve"> is a ‘species of concern’ for forestry following the 2019-20 bushfires as post-fire reconnaissance identified the catchment was severely impacted bushfires and limited individuals of the </w:t>
      </w:r>
      <w:r w:rsidR="00A903C9">
        <w:rPr>
          <w:rFonts w:cs="Arial"/>
        </w:rPr>
        <w:t>species</w:t>
      </w:r>
      <w:r w:rsidR="003679D4">
        <w:rPr>
          <w:rFonts w:cs="Arial"/>
        </w:rPr>
        <w:t xml:space="preserve"> found.</w:t>
      </w:r>
      <w:r w:rsidR="00A2781C" w:rsidRPr="00A2781C">
        <w:rPr>
          <w:color w:val="FF0000"/>
        </w:rPr>
        <w:t xml:space="preserve"> </w:t>
      </w:r>
      <w:r w:rsidR="00A2781C" w:rsidRPr="00FD57DB">
        <w:t>Based on the 2015 net harvest area layer 1</w:t>
      </w:r>
      <w:r w:rsidR="00C9455E" w:rsidRPr="00FD57DB">
        <w:rPr>
          <w:rFonts w:ascii="Arial" w:hAnsi="Arial"/>
        </w:rPr>
        <w:t xml:space="preserve">8% of the </w:t>
      </w:r>
      <w:r w:rsidR="00A903C9">
        <w:rPr>
          <w:rFonts w:ascii="Arial" w:hAnsi="Arial"/>
        </w:rPr>
        <w:t>species’</w:t>
      </w:r>
      <w:r w:rsidR="00C9455E" w:rsidRPr="00FD57DB">
        <w:rPr>
          <w:rFonts w:ascii="Arial" w:hAnsi="Arial"/>
        </w:rPr>
        <w:t xml:space="preserve"> catchment and important populations </w:t>
      </w:r>
      <w:r w:rsidR="000271A3" w:rsidRPr="00FD57DB">
        <w:rPr>
          <w:rFonts w:ascii="Arial" w:hAnsi="Arial"/>
        </w:rPr>
        <w:t xml:space="preserve">occur </w:t>
      </w:r>
      <w:r w:rsidR="00C9455E" w:rsidRPr="00FD57DB">
        <w:rPr>
          <w:rFonts w:ascii="Arial" w:hAnsi="Arial"/>
        </w:rPr>
        <w:t>in merchantable area</w:t>
      </w:r>
      <w:r w:rsidR="00A2781C" w:rsidRPr="00FD57DB">
        <w:rPr>
          <w:rFonts w:ascii="Arial" w:hAnsi="Arial"/>
        </w:rPr>
        <w:t>s</w:t>
      </w:r>
      <w:r w:rsidR="00C9455E" w:rsidRPr="00FD57DB">
        <w:rPr>
          <w:rFonts w:ascii="Arial" w:hAnsi="Arial"/>
        </w:rPr>
        <w:t xml:space="preserve">. Using the revised operable area layer this has </w:t>
      </w:r>
      <w:r w:rsidR="00A2781C" w:rsidRPr="00FD57DB">
        <w:rPr>
          <w:rFonts w:ascii="Arial" w:hAnsi="Arial"/>
        </w:rPr>
        <w:t xml:space="preserve">reduced </w:t>
      </w:r>
      <w:r w:rsidR="00C9455E" w:rsidRPr="00FD57DB">
        <w:rPr>
          <w:rFonts w:ascii="Arial" w:hAnsi="Arial"/>
        </w:rPr>
        <w:t xml:space="preserve">to 10%. </w:t>
      </w:r>
    </w:p>
    <w:p w14:paraId="649BFF8C" w14:textId="77777777" w:rsidR="003679D4" w:rsidRDefault="003679D4" w:rsidP="003679D4">
      <w:pPr>
        <w:pStyle w:val="BodyText"/>
      </w:pPr>
      <w:r>
        <w:t>Current controls for this hazard include:</w:t>
      </w:r>
    </w:p>
    <w:p w14:paraId="4FA78017" w14:textId="14F55BF6" w:rsidR="003679D4" w:rsidRDefault="003679D4" w:rsidP="006670D2">
      <w:pPr>
        <w:pStyle w:val="PullOutBoxBullet"/>
      </w:pPr>
      <w:r>
        <w:t xml:space="preserve">The </w:t>
      </w:r>
      <w:r>
        <w:rPr>
          <w:i/>
          <w:iCs/>
        </w:rPr>
        <w:t>Code of Practice for Timber Production 2014</w:t>
      </w:r>
      <w:r w:rsidR="003D7C35">
        <w:t>. T</w:t>
      </w:r>
      <w:r>
        <w:t xml:space="preserve">here </w:t>
      </w:r>
      <w:r w:rsidR="003D7C35">
        <w:t>is</w:t>
      </w:r>
      <w:r>
        <w:t xml:space="preserve"> no species-specific prescription for this </w:t>
      </w:r>
      <w:r w:rsidR="00A903C9">
        <w:t>species</w:t>
      </w:r>
      <w:r>
        <w:t xml:space="preserve"> in the Code</w:t>
      </w:r>
      <w:r w:rsidR="003D7C35">
        <w:t>, however</w:t>
      </w:r>
      <w:r>
        <w:t xml:space="preserve"> the Code includes general protections for waterways and filter strips on drainage lines</w:t>
      </w:r>
      <w:r w:rsidR="003D7C35">
        <w:t xml:space="preserve"> which may provide some protection to the </w:t>
      </w:r>
      <w:r w:rsidR="00A903C9">
        <w:t>species</w:t>
      </w:r>
      <w:r>
        <w:t xml:space="preserve">. The lack of a specific prescription leads to the effectiveness of the Code being assessed as poor for this species. </w:t>
      </w:r>
    </w:p>
    <w:p w14:paraId="67E9D136" w14:textId="45DC775E" w:rsidR="003679D4" w:rsidRDefault="003679D4" w:rsidP="006670D2">
      <w:pPr>
        <w:pStyle w:val="PullOutBoxBullet"/>
        <w:rPr>
          <w:rFonts w:eastAsiaTheme="minorEastAsia" w:cstheme="minorBidi"/>
          <w:sz w:val="22"/>
          <w:szCs w:val="22"/>
        </w:rPr>
      </w:pPr>
      <w:r>
        <w:t xml:space="preserve">The CAR reserve system. </w:t>
      </w:r>
      <w:r w:rsidR="00ED16EC" w:rsidRPr="00160F2E">
        <w:t xml:space="preserve">The effectiveness of this control for this species </w:t>
      </w:r>
      <w:r w:rsidR="00ED16EC">
        <w:t xml:space="preserve">has been evaluated as </w:t>
      </w:r>
      <w:r>
        <w:t xml:space="preserve">poor as 47% of the </w:t>
      </w:r>
      <w:r w:rsidR="00A903C9">
        <w:t>species’</w:t>
      </w:r>
      <w:r>
        <w:t xml:space="preserve"> catchment and 48% of important populations are within the reserve system</w:t>
      </w:r>
      <w:r w:rsidR="009D33EA">
        <w:t>.</w:t>
      </w:r>
    </w:p>
    <w:p w14:paraId="100C032D" w14:textId="0B1FCB44" w:rsidR="003679D4" w:rsidRPr="00FF310C" w:rsidRDefault="003679D4"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28</w:t>
      </w:r>
      <w:r w:rsidR="000B6788" w:rsidRPr="00B6162A">
        <w:rPr>
          <w:bCs/>
          <w:noProof/>
        </w:rPr>
        <w:fldChar w:fldCharType="end"/>
      </w:r>
      <w:r w:rsidRPr="00FF310C">
        <w:t>. Variable Spiny Crayfish protection requirements and recommendations for forestry operations and roading</w:t>
      </w:r>
    </w:p>
    <w:tbl>
      <w:tblPr>
        <w:tblStyle w:val="TableGrid"/>
        <w:tblW w:w="0" w:type="auto"/>
        <w:tblLayout w:type="fixed"/>
        <w:tblLook w:val="04A0" w:firstRow="1" w:lastRow="0" w:firstColumn="1" w:lastColumn="0" w:noHBand="0" w:noVBand="1"/>
      </w:tblPr>
      <w:tblGrid>
        <w:gridCol w:w="2268"/>
        <w:gridCol w:w="7371"/>
      </w:tblGrid>
      <w:tr w:rsidR="00E14348" w14:paraId="12B47F3E"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hideMark/>
          </w:tcPr>
          <w:p w14:paraId="37E280CF" w14:textId="77777777" w:rsidR="003679D4" w:rsidRDefault="003679D4" w:rsidP="005611CD">
            <w:pPr>
              <w:pStyle w:val="BodyText"/>
            </w:pPr>
            <w:r>
              <w:t>Requirement</w:t>
            </w:r>
          </w:p>
        </w:tc>
        <w:tc>
          <w:tcPr>
            <w:tcW w:w="7371" w:type="dxa"/>
            <w:tcBorders>
              <w:top w:val="single" w:sz="8" w:space="0" w:color="CDDC29" w:themeColor="text2"/>
              <w:left w:val="nil"/>
              <w:bottom w:val="single" w:sz="8" w:space="0" w:color="CDDC29" w:themeColor="text2"/>
              <w:right w:val="nil"/>
            </w:tcBorders>
            <w:hideMark/>
          </w:tcPr>
          <w:p w14:paraId="0774462A" w14:textId="77777777" w:rsidR="003679D4" w:rsidRDefault="003679D4" w:rsidP="005611CD">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F25FD" w14:paraId="79BD04C6" w14:textId="77777777" w:rsidTr="0045799B">
        <w:tc>
          <w:tcPr>
            <w:tcW w:w="0" w:type="dxa"/>
            <w:tcBorders>
              <w:top w:val="single" w:sz="8" w:space="0" w:color="CDDC29" w:themeColor="text2"/>
              <w:left w:val="nil"/>
              <w:bottom w:val="single" w:sz="8" w:space="0" w:color="CDDC29" w:themeColor="text2"/>
              <w:right w:val="nil"/>
            </w:tcBorders>
            <w:hideMark/>
          </w:tcPr>
          <w:p w14:paraId="31823A07" w14:textId="77777777" w:rsidR="003679D4" w:rsidRDefault="003679D4" w:rsidP="005611CD">
            <w:pPr>
              <w:pStyle w:val="BodyText"/>
            </w:pPr>
            <w:r>
              <w:t>Interim protections</w:t>
            </w:r>
          </w:p>
        </w:tc>
        <w:tc>
          <w:tcPr>
            <w:tcW w:w="0" w:type="dxa"/>
            <w:tcBorders>
              <w:top w:val="single" w:sz="8" w:space="0" w:color="CDDC29" w:themeColor="text2"/>
              <w:left w:val="nil"/>
              <w:bottom w:val="single" w:sz="8" w:space="0" w:color="CDDC29" w:themeColor="text2"/>
              <w:right w:val="nil"/>
            </w:tcBorders>
            <w:hideMark/>
          </w:tcPr>
          <w:p w14:paraId="5FDE4BFF" w14:textId="5451201B" w:rsidR="00C777CA" w:rsidRPr="00BF3332" w:rsidDel="005E46CA" w:rsidRDefault="00C777CA" w:rsidP="00C777CA">
            <w:pPr>
              <w:pStyle w:val="BodyText"/>
              <w:spacing w:line="240" w:lineRule="auto"/>
            </w:pPr>
            <w:r w:rsidRPr="00BF3332" w:rsidDel="005E46CA">
              <w:t xml:space="preserve">Within </w:t>
            </w:r>
            <w:r>
              <w:t xml:space="preserve">the </w:t>
            </w:r>
            <w:r w:rsidRPr="00BF3332">
              <w:t>East Gippsland</w:t>
            </w:r>
            <w:r w:rsidRPr="00BF3332" w:rsidDel="005E46CA">
              <w:t xml:space="preserve"> FMA, the Secretary will establish </w:t>
            </w:r>
            <w:r>
              <w:t xml:space="preserve">a </w:t>
            </w:r>
            <w:r w:rsidRPr="00BF3332" w:rsidDel="005E46CA">
              <w:t xml:space="preserve">Special Management Zone </w:t>
            </w:r>
            <w:r>
              <w:t xml:space="preserve">to the catchment of the Variable Spiny Crayfish </w:t>
            </w:r>
            <w:r w:rsidRPr="00BF3332" w:rsidDel="005E46CA">
              <w:t xml:space="preserve">with the following conditions: </w:t>
            </w:r>
          </w:p>
          <w:p w14:paraId="6E165A43" w14:textId="2C37EAC2" w:rsidR="00C777CA" w:rsidRPr="00BF3332" w:rsidDel="005E46CA" w:rsidRDefault="00C777CA" w:rsidP="00C777CA">
            <w:pPr>
              <w:pStyle w:val="BodyText"/>
              <w:spacing w:line="240" w:lineRule="auto"/>
            </w:pPr>
            <w:r w:rsidRPr="00BF3332" w:rsidDel="005E46CA">
              <w:t xml:space="preserve">Where one or more individuals of </w:t>
            </w:r>
            <w:r>
              <w:t>Variable</w:t>
            </w:r>
            <w:r w:rsidRPr="00BF3332">
              <w:t xml:space="preserve"> Spiny</w:t>
            </w:r>
            <w:r w:rsidRPr="00BF3332" w:rsidDel="005E46CA">
              <w:t xml:space="preserve"> Crayfish have been verified</w:t>
            </w:r>
            <w:r w:rsidRPr="00564E72" w:rsidDel="005E46CA">
              <w:t>:</w:t>
            </w:r>
          </w:p>
          <w:p w14:paraId="6A91BA5E" w14:textId="5A371DED" w:rsidR="00C777CA" w:rsidRPr="00330A6C" w:rsidRDefault="00C777CA" w:rsidP="006670D2">
            <w:pPr>
              <w:pStyle w:val="PullOutBoxBullet"/>
            </w:pPr>
            <w:r>
              <w:t xml:space="preserve">Environments with high soil absorption capacity </w:t>
            </w:r>
            <w:r w:rsidRPr="00330A6C">
              <w:t xml:space="preserve">(refer to Appendix </w:t>
            </w:r>
            <w:r w:rsidR="00F64DB7">
              <w:t>3</w:t>
            </w:r>
            <w:r w:rsidRPr="00330A6C">
              <w:t>)</w:t>
            </w:r>
            <w:r>
              <w:t>:</w:t>
            </w:r>
          </w:p>
          <w:p w14:paraId="73A79611" w14:textId="77777777" w:rsidR="00C777CA" w:rsidRPr="00603FA2" w:rsidRDefault="00C777CA" w:rsidP="0029709B">
            <w:pPr>
              <w:pStyle w:val="PullOutBoxBullet2"/>
            </w:pPr>
            <w:r w:rsidRPr="00603FA2">
              <w:t xml:space="preserve">Apply </w:t>
            </w:r>
            <w:r>
              <w:t>40</w:t>
            </w:r>
            <w:r w:rsidRPr="00603FA2">
              <w:t xml:space="preserve"> metre (m) buffers either side of all mapped and unmapped permanent streams and temporary streams upstream and downstream of the value to the watershed boundary (on average 1km but responsive to local </w:t>
            </w:r>
            <w:r>
              <w:t>topography; see Figure 3</w:t>
            </w:r>
            <w:r w:rsidRPr="00603FA2">
              <w:t xml:space="preserve">); </w:t>
            </w:r>
          </w:p>
          <w:p w14:paraId="7F34F5EB" w14:textId="77777777" w:rsidR="00C777CA" w:rsidRPr="00603FA2" w:rsidRDefault="00C777CA" w:rsidP="0029709B">
            <w:pPr>
              <w:pStyle w:val="PullOutBoxBullet2"/>
            </w:pPr>
            <w:r w:rsidRPr="00603FA2">
              <w:t xml:space="preserve">Apply </w:t>
            </w:r>
            <w:r>
              <w:t>30</w:t>
            </w:r>
            <w:r w:rsidRPr="00603FA2">
              <w:t xml:space="preserve"> metre (m) buffers </w:t>
            </w:r>
            <w:r>
              <w:t xml:space="preserve">plus 10 metre (m) filter strips </w:t>
            </w:r>
            <w:r w:rsidRPr="00603FA2">
              <w:t xml:space="preserve">to either side of drainage lines upstream and downstream of the value to the watershed boundary (on average 1km but responsive to local </w:t>
            </w:r>
            <w:r>
              <w:t>topography</w:t>
            </w:r>
            <w:r w:rsidRPr="00603FA2">
              <w:t>);</w:t>
            </w:r>
          </w:p>
          <w:p w14:paraId="2DCB405E" w14:textId="521438CC" w:rsidR="00C777CA" w:rsidRPr="00330A6C" w:rsidRDefault="00C777CA" w:rsidP="006670D2">
            <w:pPr>
              <w:pStyle w:val="PullOutBoxBullet"/>
            </w:pPr>
            <w:r>
              <w:t xml:space="preserve">Environments with low soil absorption capacity </w:t>
            </w:r>
            <w:r w:rsidRPr="00330A6C">
              <w:t xml:space="preserve">(refer to Appendix </w:t>
            </w:r>
            <w:r w:rsidR="00F64DB7">
              <w:t>3</w:t>
            </w:r>
            <w:r w:rsidRPr="00330A6C">
              <w:t>)</w:t>
            </w:r>
            <w:r>
              <w:t>:</w:t>
            </w:r>
          </w:p>
          <w:p w14:paraId="697123B2" w14:textId="77777777" w:rsidR="00C777CA" w:rsidRPr="00603FA2" w:rsidRDefault="00C777CA" w:rsidP="0029709B">
            <w:pPr>
              <w:pStyle w:val="PullOutBoxBullet2"/>
            </w:pPr>
            <w:r w:rsidRPr="00603FA2">
              <w:t xml:space="preserve">Apply </w:t>
            </w:r>
            <w:r>
              <w:t>60</w:t>
            </w:r>
            <w:r w:rsidRPr="00603FA2">
              <w:t xml:space="preserve"> metre (m) buffers either side of all mapped and unmapped permanent streams and temporary streams upstream and downstream of the value to the watershed boundary (on average 1km but responsive to local </w:t>
            </w:r>
            <w:r>
              <w:t>topography</w:t>
            </w:r>
            <w:r w:rsidRPr="00603FA2">
              <w:t xml:space="preserve">); </w:t>
            </w:r>
          </w:p>
          <w:p w14:paraId="347363CB" w14:textId="77777777" w:rsidR="00C777CA" w:rsidRPr="00603FA2" w:rsidRDefault="00C777CA" w:rsidP="0029709B">
            <w:pPr>
              <w:pStyle w:val="PullOutBoxBullet2"/>
            </w:pPr>
            <w:r w:rsidRPr="00603FA2">
              <w:t xml:space="preserve">Apply </w:t>
            </w:r>
            <w:r>
              <w:t>40</w:t>
            </w:r>
            <w:r w:rsidRPr="00603FA2">
              <w:t xml:space="preserve"> metre (m) buffers </w:t>
            </w:r>
            <w:r>
              <w:t xml:space="preserve">plus 20 metre (m) filter strips </w:t>
            </w:r>
            <w:r w:rsidRPr="00603FA2">
              <w:t xml:space="preserve">to either side of drainage lines upstream and downstream of the value to the watershed boundary (on average 1km but responsive to local </w:t>
            </w:r>
            <w:r>
              <w:t>topography</w:t>
            </w:r>
            <w:r w:rsidRPr="00603FA2">
              <w:t>);</w:t>
            </w:r>
          </w:p>
          <w:p w14:paraId="14C236CD" w14:textId="1960A8C9" w:rsidR="003679D4" w:rsidRDefault="001613D7" w:rsidP="006670D2">
            <w:pPr>
              <w:pStyle w:val="PullOutBoxBullet"/>
            </w:pPr>
            <w:r w:rsidRPr="00291BDC">
              <w:t xml:space="preserve">No new </w:t>
            </w:r>
            <w:r w:rsidRPr="00FD57DB">
              <w:t>road</w:t>
            </w:r>
            <w:r w:rsidRPr="00B6162A">
              <w:t xml:space="preserve">, </w:t>
            </w:r>
            <w:r w:rsidRPr="00FD57DB">
              <w:t>snig track</w:t>
            </w:r>
            <w:r w:rsidRPr="00B6162A">
              <w:t xml:space="preserve">, </w:t>
            </w:r>
            <w:r w:rsidRPr="00FD57DB">
              <w:t>in-coupe road</w:t>
            </w:r>
            <w:r w:rsidRPr="00B6162A">
              <w:t xml:space="preserve">, </w:t>
            </w:r>
            <w:r w:rsidRPr="00FD57DB">
              <w:t>coupe driveway,</w:t>
            </w:r>
            <w:r w:rsidRPr="00BF3332">
              <w:t xml:space="preserve"> </w:t>
            </w:r>
            <w:r w:rsidRPr="00FD57DB">
              <w:t>coupe infrastructure</w:t>
            </w:r>
            <w:r w:rsidRPr="00B6162A">
              <w:t xml:space="preserve"> or stream crossing shall be constructed within or through any </w:t>
            </w:r>
            <w:r w:rsidRPr="00FD57DB">
              <w:t>buffer</w:t>
            </w:r>
            <w:r w:rsidRPr="00B6162A">
              <w:t xml:space="preserve"> without an approved exemption </w:t>
            </w:r>
            <w:r w:rsidRPr="00291BDC">
              <w:t xml:space="preserve">from the </w:t>
            </w:r>
            <w:r w:rsidRPr="00FD57DB">
              <w:t>Secretary</w:t>
            </w:r>
            <w:r w:rsidR="00442C84">
              <w:t xml:space="preserve"> (See Map 3).</w:t>
            </w:r>
          </w:p>
        </w:tc>
      </w:tr>
      <w:tr w:rsidR="003F25FD" w14:paraId="6E98DAF5" w14:textId="77777777" w:rsidTr="005611CD">
        <w:tc>
          <w:tcPr>
            <w:tcW w:w="2268" w:type="dxa"/>
            <w:tcBorders>
              <w:top w:val="single" w:sz="8" w:space="0" w:color="CDDC29" w:themeColor="text2"/>
              <w:left w:val="nil"/>
              <w:bottom w:val="single" w:sz="8" w:space="0" w:color="CDDC29" w:themeColor="text2"/>
              <w:right w:val="nil"/>
            </w:tcBorders>
          </w:tcPr>
          <w:p w14:paraId="6D55F84D" w14:textId="5FB424B3" w:rsidR="00E75FD1" w:rsidRDefault="00E75FD1" w:rsidP="005611CD">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1623985D" w14:textId="162F6F62" w:rsidR="00E75FD1" w:rsidRDefault="00E2072D" w:rsidP="0029709B">
            <w:pPr>
              <w:pStyle w:val="BodyText"/>
            </w:pPr>
            <w:r>
              <w:t>None currently identified</w:t>
            </w:r>
            <w:r w:rsidR="00972A70">
              <w:t>.</w:t>
            </w:r>
          </w:p>
        </w:tc>
      </w:tr>
      <w:tr w:rsidR="003F25FD" w14:paraId="1A5E873B" w14:textId="77777777" w:rsidTr="005611CD">
        <w:tc>
          <w:tcPr>
            <w:tcW w:w="2268" w:type="dxa"/>
            <w:tcBorders>
              <w:top w:val="single" w:sz="8" w:space="0" w:color="CDDC29" w:themeColor="text2"/>
              <w:left w:val="nil"/>
              <w:bottom w:val="single" w:sz="8" w:space="0" w:color="CDDC29" w:themeColor="text2"/>
              <w:right w:val="nil"/>
            </w:tcBorders>
            <w:hideMark/>
          </w:tcPr>
          <w:p w14:paraId="636D29DF" w14:textId="77777777" w:rsidR="003679D4" w:rsidRDefault="003679D4" w:rsidP="005611CD">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6DEC3949" w14:textId="77777777" w:rsidR="003679D4" w:rsidRDefault="003679D4" w:rsidP="005611CD">
            <w:pPr>
              <w:pStyle w:val="BodyText"/>
            </w:pPr>
            <w:r>
              <w:t>Additional permanent protections may be required in the longer-term.</w:t>
            </w:r>
          </w:p>
        </w:tc>
      </w:tr>
      <w:tr w:rsidR="003F25FD" w14:paraId="606BF0E0" w14:textId="77777777" w:rsidTr="0045799B">
        <w:tc>
          <w:tcPr>
            <w:tcW w:w="0" w:type="dxa"/>
            <w:tcBorders>
              <w:top w:val="single" w:sz="8" w:space="0" w:color="CDDC29" w:themeColor="text2"/>
              <w:left w:val="nil"/>
              <w:bottom w:val="single" w:sz="8" w:space="0" w:color="CDDC29" w:themeColor="text2"/>
              <w:right w:val="nil"/>
            </w:tcBorders>
            <w:hideMark/>
          </w:tcPr>
          <w:p w14:paraId="37769084" w14:textId="000B353B" w:rsidR="003679D4" w:rsidRDefault="00362E0D" w:rsidP="005611CD">
            <w:pPr>
              <w:pStyle w:val="BodyText"/>
            </w:pPr>
            <w:r>
              <w:t>Potential m</w:t>
            </w:r>
            <w:r w:rsidR="003679D4">
              <w:t>anagement actions</w:t>
            </w:r>
          </w:p>
        </w:tc>
        <w:tc>
          <w:tcPr>
            <w:tcW w:w="0" w:type="dxa"/>
            <w:tcBorders>
              <w:top w:val="single" w:sz="8" w:space="0" w:color="CDDC29" w:themeColor="text2"/>
              <w:left w:val="nil"/>
              <w:bottom w:val="single" w:sz="8" w:space="0" w:color="CDDC29" w:themeColor="text2"/>
              <w:right w:val="nil"/>
            </w:tcBorders>
            <w:hideMark/>
          </w:tcPr>
          <w:p w14:paraId="7EC1D62B" w14:textId="77777777" w:rsidR="00393769" w:rsidRDefault="00393769" w:rsidP="006670D2">
            <w:pPr>
              <w:pStyle w:val="PullOutBoxBullet"/>
            </w:pPr>
            <w:r w:rsidRPr="0016677A">
              <w:t xml:space="preserve">Species-specific code prescriptions should be considered in any future Code amendments; </w:t>
            </w:r>
          </w:p>
          <w:p w14:paraId="6D42366A" w14:textId="77777777" w:rsidR="00393769" w:rsidRDefault="00393769" w:rsidP="006670D2">
            <w:pPr>
              <w:pStyle w:val="PullOutBoxBullet"/>
            </w:pPr>
            <w:r w:rsidRPr="00232125">
              <w:t>Use the aquatic catchments for this species to identify suitable FPSP survey sites and implement and encourage surveys for this species for FPSP contractors</w:t>
            </w:r>
            <w:r>
              <w:t>; and</w:t>
            </w:r>
          </w:p>
          <w:p w14:paraId="7CD70872" w14:textId="4E93146E" w:rsidR="003679D4" w:rsidRDefault="00393769" w:rsidP="006670D2">
            <w:pPr>
              <w:pStyle w:val="PullOutBoxBullet"/>
              <w:rPr>
                <w:rFonts w:ascii="Arial" w:hAnsi="Arial"/>
                <w:color w:val="363534"/>
              </w:rPr>
            </w:pPr>
            <w:r>
              <w:t>Review and refine measures to limit stream sedimentation associated with road construction and operation.</w:t>
            </w:r>
          </w:p>
        </w:tc>
        <w:bookmarkStart w:id="43" w:name="_Toc95233338"/>
      </w:tr>
    </w:tbl>
    <w:p w14:paraId="2804BE22" w14:textId="77777777" w:rsidR="003679D4" w:rsidRDefault="003679D4" w:rsidP="003679D4">
      <w:pPr>
        <w:rPr>
          <w:rFonts w:cs="Times New Roman"/>
          <w:lang w:eastAsia="en-US"/>
        </w:rPr>
      </w:pPr>
      <w:r>
        <w:rPr>
          <w:color w:val="auto"/>
        </w:rPr>
        <w:br w:type="page"/>
      </w:r>
    </w:p>
    <w:p w14:paraId="6EA50BF1" w14:textId="009ED462" w:rsidR="00466BF6" w:rsidRDefault="00466BF6" w:rsidP="00FB5A2B">
      <w:pPr>
        <w:pStyle w:val="Heading2"/>
        <w:ind w:left="0"/>
        <w:rPr>
          <w:i/>
        </w:rPr>
      </w:pPr>
      <w:bookmarkStart w:id="44" w:name="_Toc113271029"/>
      <w:r w:rsidRPr="005F7D8C">
        <w:t>Baw Baw Berry</w:t>
      </w:r>
      <w:r>
        <w:t xml:space="preserve"> </w:t>
      </w:r>
      <w:r w:rsidRPr="005F7D8C">
        <w:rPr>
          <w:i/>
          <w:iCs/>
        </w:rPr>
        <w:t>(Wittsteinia vacciniacea)</w:t>
      </w:r>
      <w:bookmarkEnd w:id="43"/>
      <w:bookmarkEnd w:id="44"/>
    </w:p>
    <w:p w14:paraId="4CC8066D" w14:textId="58F06D5D" w:rsidR="00466BF6" w:rsidRDefault="00466BF6" w:rsidP="00466BF6">
      <w:pPr>
        <w:pStyle w:val="BodyText"/>
      </w:pPr>
      <w:r>
        <w:t xml:space="preserve">The </w:t>
      </w:r>
      <w:r w:rsidRPr="00354F70">
        <w:t>Baw Baw Berry</w:t>
      </w:r>
      <w:r>
        <w:t xml:space="preserve"> was listed as Vulnerable in Australia under the </w:t>
      </w:r>
      <w:r w:rsidR="00200F3A" w:rsidRPr="00200F3A">
        <w:rPr>
          <w:i/>
          <w:iCs/>
        </w:rPr>
        <w:t>FFG Act</w:t>
      </w:r>
      <w:r>
        <w:t xml:space="preserve"> in May 2021. The </w:t>
      </w:r>
      <w:r w:rsidR="00A903C9">
        <w:t>species</w:t>
      </w:r>
      <w:r>
        <w:t xml:space="preserve"> has modelled habitat in </w:t>
      </w:r>
      <w:r w:rsidRPr="00D05A3B">
        <w:t xml:space="preserve">the </w:t>
      </w:r>
      <w:r>
        <w:t xml:space="preserve">Central Highlands </w:t>
      </w:r>
      <w:r w:rsidRPr="008F703F">
        <w:t>(</w:t>
      </w:r>
      <w:r>
        <w:t>99</w:t>
      </w:r>
      <w:r w:rsidRPr="008F703F">
        <w:t>%</w:t>
      </w:r>
      <w:r>
        <w:t xml:space="preserve"> of modelled habitat</w:t>
      </w:r>
      <w:r w:rsidRPr="008F703F">
        <w:t>)</w:t>
      </w:r>
      <w:r>
        <w:t xml:space="preserve"> and Gippsland (1% of modelled habitat) </w:t>
      </w:r>
      <w:r w:rsidRPr="008F703F">
        <w:t>RFA region</w:t>
      </w:r>
      <w:r>
        <w:t xml:space="preserve">s.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 </w:t>
      </w:r>
    </w:p>
    <w:p w14:paraId="30AB5067" w14:textId="77777777" w:rsidR="00466BF6" w:rsidRDefault="00466BF6" w:rsidP="007E5EBF">
      <w:pPr>
        <w:pStyle w:val="Heading3"/>
      </w:pPr>
      <w:r>
        <w:t>Risk Assessment</w:t>
      </w:r>
    </w:p>
    <w:p w14:paraId="373839DD" w14:textId="47B5D376"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29</w:t>
      </w:r>
      <w:r w:rsidR="000B6788" w:rsidRPr="00B6162A">
        <w:rPr>
          <w:bCs/>
          <w:noProof/>
        </w:rPr>
        <w:fldChar w:fldCharType="end"/>
      </w:r>
      <w:r w:rsidRPr="00FF310C">
        <w:t>. Baw Baw Berry risk ratings in the East Gippsland RFA region:</w:t>
      </w:r>
    </w:p>
    <w:tbl>
      <w:tblPr>
        <w:tblStyle w:val="TableGrid"/>
        <w:tblW w:w="9639" w:type="dxa"/>
        <w:tblLook w:val="04A0" w:firstRow="1" w:lastRow="0" w:firstColumn="1" w:lastColumn="0" w:noHBand="0" w:noVBand="1"/>
      </w:tblPr>
      <w:tblGrid>
        <w:gridCol w:w="1927"/>
        <w:gridCol w:w="1928"/>
        <w:gridCol w:w="1928"/>
        <w:gridCol w:w="1928"/>
        <w:gridCol w:w="1928"/>
      </w:tblGrid>
      <w:tr w:rsidR="00466BF6" w14:paraId="1B9DDB69" w14:textId="77777777" w:rsidTr="007013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vAlign w:val="center"/>
          </w:tcPr>
          <w:p w14:paraId="0310A0D7" w14:textId="77777777" w:rsidR="00466BF6" w:rsidRPr="00643008" w:rsidRDefault="00466BF6" w:rsidP="006670D2">
            <w:pPr>
              <w:pStyle w:val="CaptionImageorFigure"/>
            </w:pPr>
          </w:p>
        </w:tc>
        <w:tc>
          <w:tcPr>
            <w:tcW w:w="1928" w:type="dxa"/>
            <w:vAlign w:val="center"/>
          </w:tcPr>
          <w:p w14:paraId="2FF70B82" w14:textId="1FA3175A" w:rsidR="00466BF6" w:rsidRPr="00CB238F"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928" w:type="dxa"/>
            <w:vAlign w:val="center"/>
          </w:tcPr>
          <w:p w14:paraId="338144EF" w14:textId="75E31303" w:rsidR="00466BF6" w:rsidRDefault="00C67733"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466BF6">
              <w:t>orestry operations and roading</w:t>
            </w:r>
          </w:p>
        </w:tc>
        <w:tc>
          <w:tcPr>
            <w:tcW w:w="1928" w:type="dxa"/>
            <w:vAlign w:val="center"/>
          </w:tcPr>
          <w:p w14:paraId="013E52FB" w14:textId="77777777" w:rsidR="00466BF6" w:rsidRPr="00CB238F"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c>
          <w:tcPr>
            <w:tcW w:w="1928" w:type="dxa"/>
            <w:vAlign w:val="center"/>
          </w:tcPr>
          <w:p w14:paraId="4F02059B"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plant (weeds)</w:t>
            </w:r>
          </w:p>
        </w:tc>
      </w:tr>
      <w:tr w:rsidR="00466BF6" w14:paraId="41BFB190" w14:textId="77777777" w:rsidTr="007013BC">
        <w:tc>
          <w:tcPr>
            <w:tcW w:w="1927" w:type="dxa"/>
            <w:vAlign w:val="center"/>
          </w:tcPr>
          <w:p w14:paraId="11F710C2" w14:textId="77777777" w:rsidR="00466BF6" w:rsidRPr="0053677B" w:rsidRDefault="00466BF6" w:rsidP="00081854">
            <w:pPr>
              <w:pStyle w:val="BodyText"/>
              <w:jc w:val="center"/>
            </w:pPr>
            <w:r w:rsidRPr="0053677B">
              <w:t>Consequence</w:t>
            </w:r>
          </w:p>
        </w:tc>
        <w:tc>
          <w:tcPr>
            <w:tcW w:w="1928" w:type="dxa"/>
            <w:vAlign w:val="center"/>
          </w:tcPr>
          <w:p w14:paraId="4E4A8C23" w14:textId="77777777" w:rsidR="00466BF6" w:rsidRDefault="00466BF6" w:rsidP="00081854">
            <w:pPr>
              <w:pStyle w:val="BodyText"/>
              <w:jc w:val="center"/>
            </w:pPr>
            <w:r>
              <w:t>Extreme</w:t>
            </w:r>
          </w:p>
        </w:tc>
        <w:tc>
          <w:tcPr>
            <w:tcW w:w="1928" w:type="dxa"/>
            <w:vAlign w:val="center"/>
          </w:tcPr>
          <w:p w14:paraId="1CEEF442" w14:textId="77777777" w:rsidR="00466BF6" w:rsidRDefault="00466BF6" w:rsidP="00081854">
            <w:pPr>
              <w:pStyle w:val="BodyText"/>
              <w:jc w:val="center"/>
            </w:pPr>
            <w:r>
              <w:t>Moderate</w:t>
            </w:r>
          </w:p>
        </w:tc>
        <w:tc>
          <w:tcPr>
            <w:tcW w:w="1928" w:type="dxa"/>
            <w:vAlign w:val="center"/>
          </w:tcPr>
          <w:p w14:paraId="161D3DC7" w14:textId="77777777" w:rsidR="00466BF6" w:rsidRDefault="00466BF6" w:rsidP="00081854">
            <w:pPr>
              <w:pStyle w:val="BodyText"/>
              <w:jc w:val="center"/>
            </w:pPr>
            <w:r>
              <w:t>Moderate</w:t>
            </w:r>
          </w:p>
        </w:tc>
        <w:tc>
          <w:tcPr>
            <w:tcW w:w="1928" w:type="dxa"/>
            <w:vAlign w:val="center"/>
          </w:tcPr>
          <w:p w14:paraId="7AD7BECD" w14:textId="77777777" w:rsidR="00466BF6" w:rsidRDefault="00466BF6" w:rsidP="00081854">
            <w:pPr>
              <w:pStyle w:val="BodyText"/>
              <w:jc w:val="center"/>
            </w:pPr>
            <w:r>
              <w:t>Moderate</w:t>
            </w:r>
          </w:p>
        </w:tc>
      </w:tr>
      <w:tr w:rsidR="00466BF6" w14:paraId="31C93C42" w14:textId="77777777" w:rsidTr="007013BC">
        <w:tc>
          <w:tcPr>
            <w:tcW w:w="1927" w:type="dxa"/>
            <w:vAlign w:val="center"/>
          </w:tcPr>
          <w:p w14:paraId="720BBB26" w14:textId="77777777" w:rsidR="00466BF6" w:rsidRPr="0053677B" w:rsidRDefault="00466BF6" w:rsidP="00081854">
            <w:pPr>
              <w:pStyle w:val="BodyText"/>
              <w:jc w:val="center"/>
            </w:pPr>
            <w:r w:rsidRPr="0053677B">
              <w:t>Likelihood</w:t>
            </w:r>
          </w:p>
        </w:tc>
        <w:tc>
          <w:tcPr>
            <w:tcW w:w="1928" w:type="dxa"/>
            <w:vAlign w:val="center"/>
          </w:tcPr>
          <w:p w14:paraId="471798D7" w14:textId="77777777" w:rsidR="00466BF6" w:rsidRDefault="00466BF6" w:rsidP="00081854">
            <w:pPr>
              <w:pStyle w:val="BodyText"/>
              <w:jc w:val="center"/>
            </w:pPr>
            <w:r>
              <w:t>Possible</w:t>
            </w:r>
          </w:p>
        </w:tc>
        <w:tc>
          <w:tcPr>
            <w:tcW w:w="1928" w:type="dxa"/>
            <w:vAlign w:val="center"/>
          </w:tcPr>
          <w:p w14:paraId="6F4F49A4" w14:textId="77777777" w:rsidR="00466BF6" w:rsidRDefault="00466BF6" w:rsidP="00081854">
            <w:pPr>
              <w:pStyle w:val="BodyText"/>
              <w:jc w:val="center"/>
            </w:pPr>
            <w:r>
              <w:t>Possible</w:t>
            </w:r>
          </w:p>
        </w:tc>
        <w:tc>
          <w:tcPr>
            <w:tcW w:w="1928" w:type="dxa"/>
            <w:vAlign w:val="center"/>
          </w:tcPr>
          <w:p w14:paraId="4FC91B1A" w14:textId="77777777" w:rsidR="00466BF6" w:rsidRDefault="00466BF6" w:rsidP="00081854">
            <w:pPr>
              <w:pStyle w:val="BodyText"/>
              <w:jc w:val="center"/>
            </w:pPr>
            <w:r>
              <w:t>Likely</w:t>
            </w:r>
          </w:p>
        </w:tc>
        <w:tc>
          <w:tcPr>
            <w:tcW w:w="1928" w:type="dxa"/>
            <w:vAlign w:val="center"/>
          </w:tcPr>
          <w:p w14:paraId="71219E77" w14:textId="77777777" w:rsidR="00466BF6" w:rsidRDefault="00466BF6" w:rsidP="00081854">
            <w:pPr>
              <w:pStyle w:val="BodyText"/>
              <w:jc w:val="center"/>
            </w:pPr>
            <w:r>
              <w:t>Possible</w:t>
            </w:r>
          </w:p>
        </w:tc>
      </w:tr>
      <w:tr w:rsidR="00466BF6" w14:paraId="381FCD99" w14:textId="77777777" w:rsidTr="007013BC">
        <w:tc>
          <w:tcPr>
            <w:tcW w:w="1927" w:type="dxa"/>
            <w:vAlign w:val="center"/>
          </w:tcPr>
          <w:p w14:paraId="101981BA" w14:textId="77777777" w:rsidR="00466BF6" w:rsidRPr="0053677B" w:rsidRDefault="00466BF6" w:rsidP="00081854">
            <w:pPr>
              <w:pStyle w:val="BodyText"/>
              <w:jc w:val="center"/>
            </w:pPr>
            <w:r w:rsidRPr="0053677B">
              <w:t>Overall risk rating</w:t>
            </w:r>
          </w:p>
        </w:tc>
        <w:tc>
          <w:tcPr>
            <w:tcW w:w="1928" w:type="dxa"/>
            <w:shd w:val="clear" w:color="auto" w:fill="FF0000"/>
            <w:vAlign w:val="center"/>
          </w:tcPr>
          <w:p w14:paraId="3D927691" w14:textId="77777777" w:rsidR="00466BF6" w:rsidRDefault="00466BF6" w:rsidP="00081854">
            <w:pPr>
              <w:pStyle w:val="BodyText"/>
              <w:jc w:val="center"/>
            </w:pPr>
            <w:r>
              <w:t>High</w:t>
            </w:r>
          </w:p>
        </w:tc>
        <w:tc>
          <w:tcPr>
            <w:tcW w:w="1928" w:type="dxa"/>
            <w:shd w:val="clear" w:color="auto" w:fill="FFFF00"/>
            <w:vAlign w:val="center"/>
          </w:tcPr>
          <w:p w14:paraId="36DB62C8" w14:textId="77777777" w:rsidR="00466BF6" w:rsidRDefault="00466BF6" w:rsidP="00081854">
            <w:pPr>
              <w:pStyle w:val="BodyText"/>
              <w:jc w:val="center"/>
            </w:pPr>
            <w:r>
              <w:t>Medium</w:t>
            </w:r>
          </w:p>
        </w:tc>
        <w:tc>
          <w:tcPr>
            <w:tcW w:w="1928" w:type="dxa"/>
            <w:shd w:val="clear" w:color="auto" w:fill="FFC000"/>
            <w:vAlign w:val="center"/>
          </w:tcPr>
          <w:p w14:paraId="19695EC9" w14:textId="77777777" w:rsidR="00466BF6" w:rsidRDefault="00466BF6" w:rsidP="00081854">
            <w:pPr>
              <w:pStyle w:val="BodyText"/>
              <w:jc w:val="center"/>
            </w:pPr>
            <w:r>
              <w:t>Significant</w:t>
            </w:r>
          </w:p>
        </w:tc>
        <w:tc>
          <w:tcPr>
            <w:tcW w:w="1928" w:type="dxa"/>
            <w:shd w:val="clear" w:color="auto" w:fill="FFFF00"/>
            <w:vAlign w:val="center"/>
          </w:tcPr>
          <w:p w14:paraId="7A660D79" w14:textId="77777777" w:rsidR="00466BF6" w:rsidRDefault="00466BF6" w:rsidP="00081854">
            <w:pPr>
              <w:pStyle w:val="BodyText"/>
              <w:jc w:val="center"/>
            </w:pPr>
            <w:r>
              <w:t>Medium</w:t>
            </w:r>
          </w:p>
        </w:tc>
      </w:tr>
    </w:tbl>
    <w:p w14:paraId="371F3D20" w14:textId="77777777" w:rsidR="00466BF6" w:rsidRPr="0077027B" w:rsidRDefault="00466BF6" w:rsidP="007E5EBF">
      <w:pPr>
        <w:pStyle w:val="Heading3"/>
        <w:jc w:val="both"/>
      </w:pPr>
      <w:r>
        <w:t>Fire</w:t>
      </w:r>
    </w:p>
    <w:p w14:paraId="4478C699" w14:textId="1573EFC6" w:rsidR="00466BF6" w:rsidRPr="006E36B7" w:rsidRDefault="00466BF6" w:rsidP="00466BF6">
      <w:pPr>
        <w:pStyle w:val="Heading5"/>
        <w:numPr>
          <w:ilvl w:val="0"/>
          <w:numId w:val="0"/>
        </w:numPr>
        <w:ind w:left="1008" w:hanging="1008"/>
        <w:rPr>
          <w:rFonts w:cs="Arial"/>
        </w:rPr>
      </w:pPr>
      <w:r>
        <w:t>Increased fire frequency and intensity</w:t>
      </w:r>
    </w:p>
    <w:p w14:paraId="6867AA7B" w14:textId="68419D26" w:rsidR="00466BF6" w:rsidRDefault="00466BF6" w:rsidP="00466BF6">
      <w:pPr>
        <w:pStyle w:val="BodyText"/>
      </w:pPr>
      <w:r>
        <w:t xml:space="preserve">This hazard includes the increased frequency and intensity of bushfire </w:t>
      </w:r>
      <w:r w:rsidR="0096245D">
        <w:t>because of</w:t>
      </w:r>
      <w:r>
        <w:t xml:space="preserve"> climate change. Both the </w:t>
      </w:r>
      <w:r w:rsidR="00A903C9">
        <w:t>species</w:t>
      </w:r>
      <w:r>
        <w:t xml:space="preserve"> and its habitat are moderately fire sensitive, with the </w:t>
      </w:r>
      <w:r w:rsidR="00A903C9">
        <w:t>species</w:t>
      </w:r>
      <w:r>
        <w:t xml:space="preserve"> requiring high moisture and moderate shade. Fire may result in significant direct mortality and habitat damage. Major damage to the peaty soil will leave the habitat subject to erosion and drying for many years after fire. Fire may also facilitate the invasion of weeds and deer. This hazard applies to 95% of the </w:t>
      </w:r>
      <w:r w:rsidR="00A903C9">
        <w:t>species’</w:t>
      </w:r>
      <w:r>
        <w:t xml:space="preserve"> habitat in Victoria.</w:t>
      </w:r>
    </w:p>
    <w:p w14:paraId="6C0414C9" w14:textId="77777777" w:rsidR="00466BF6" w:rsidRPr="00F26BEE" w:rsidRDefault="00466BF6" w:rsidP="00466BF6">
      <w:pPr>
        <w:pStyle w:val="BodyText"/>
      </w:pPr>
      <w:r>
        <w:t xml:space="preserve">Current </w:t>
      </w:r>
      <w:r w:rsidRPr="00F26BEE">
        <w:t>existing controls for this hazard include:</w:t>
      </w:r>
    </w:p>
    <w:p w14:paraId="739E56A2" w14:textId="09C2527D" w:rsidR="00466BF6" w:rsidRPr="00F26BEE" w:rsidRDefault="00466BF6" w:rsidP="006670D2">
      <w:pPr>
        <w:pStyle w:val="PullOutBoxBullet"/>
      </w:pPr>
      <w:r w:rsidRPr="00F26BEE">
        <w:t xml:space="preserve">Planned burning. This control is considered ineffective in this case as the species’ habitat is generally not suitable for planned burning. Strategic </w:t>
      </w:r>
      <w:r w:rsidR="0094554A" w:rsidRPr="00F26BEE">
        <w:t>fuel breaks</w:t>
      </w:r>
      <w:r w:rsidRPr="00F26BEE">
        <w:t xml:space="preserve"> and associated backburning may however provide valuable protection in some cases for this species and its habitat from severe bushfires.</w:t>
      </w:r>
    </w:p>
    <w:p w14:paraId="1C6E692F" w14:textId="6A683107"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30</w:t>
      </w:r>
      <w:r w:rsidR="000B6788" w:rsidRPr="00B6162A">
        <w:rPr>
          <w:bCs/>
          <w:noProof/>
        </w:rPr>
        <w:fldChar w:fldCharType="end"/>
      </w:r>
      <w:r w:rsidRPr="00FF310C">
        <w:t>. Baw Baw Berry protection requirements and recommendations for increased fire frequency and intensity</w:t>
      </w:r>
    </w:p>
    <w:tbl>
      <w:tblPr>
        <w:tblStyle w:val="TableGrid"/>
        <w:tblW w:w="0" w:type="auto"/>
        <w:tblLook w:val="04A0" w:firstRow="1" w:lastRow="0" w:firstColumn="1" w:lastColumn="0" w:noHBand="0" w:noVBand="1"/>
      </w:tblPr>
      <w:tblGrid>
        <w:gridCol w:w="2268"/>
        <w:gridCol w:w="7371"/>
      </w:tblGrid>
      <w:tr w:rsidR="00466BF6" w:rsidRPr="00867DAA" w14:paraId="3234A356"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52C5EBF1" w14:textId="77777777" w:rsidR="00466BF6" w:rsidRPr="00704719" w:rsidRDefault="00466BF6" w:rsidP="00296E0F">
            <w:pPr>
              <w:pStyle w:val="BodyText"/>
            </w:pPr>
            <w:r w:rsidRPr="00704719">
              <w:t>Requirement</w:t>
            </w:r>
          </w:p>
        </w:tc>
        <w:tc>
          <w:tcPr>
            <w:tcW w:w="7371" w:type="dxa"/>
            <w:vAlign w:val="center"/>
          </w:tcPr>
          <w:p w14:paraId="0DF95B6A"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753E700F" w14:textId="77777777" w:rsidTr="005611CD">
        <w:tc>
          <w:tcPr>
            <w:tcW w:w="2268" w:type="dxa"/>
          </w:tcPr>
          <w:p w14:paraId="286AEC11" w14:textId="7EE3361C" w:rsidR="00466BF6" w:rsidRPr="00867DAA" w:rsidRDefault="00362E0D" w:rsidP="005611CD">
            <w:pPr>
              <w:pStyle w:val="BodyText"/>
            </w:pPr>
            <w:r>
              <w:t>Priority management actions</w:t>
            </w:r>
          </w:p>
        </w:tc>
        <w:tc>
          <w:tcPr>
            <w:tcW w:w="7371" w:type="dxa"/>
          </w:tcPr>
          <w:p w14:paraId="28EF0924" w14:textId="77777777" w:rsidR="00466BF6" w:rsidRPr="00867DAA" w:rsidRDefault="00466BF6" w:rsidP="005611CD">
            <w:pPr>
              <w:pStyle w:val="BodyText"/>
            </w:pPr>
            <w:r>
              <w:t>Not required for this hazard.</w:t>
            </w:r>
          </w:p>
        </w:tc>
      </w:tr>
      <w:tr w:rsidR="00466BF6" w:rsidRPr="00867DAA" w14:paraId="77139E55" w14:textId="77777777" w:rsidTr="005611CD">
        <w:tc>
          <w:tcPr>
            <w:tcW w:w="2268" w:type="dxa"/>
          </w:tcPr>
          <w:p w14:paraId="0C1BE789" w14:textId="2367E118" w:rsidR="00466BF6" w:rsidRPr="00867DAA" w:rsidRDefault="00362E0D" w:rsidP="005611CD">
            <w:pPr>
              <w:pStyle w:val="BodyText"/>
            </w:pPr>
            <w:r>
              <w:t>Potential m</w:t>
            </w:r>
            <w:r w:rsidR="00466BF6" w:rsidRPr="00867DAA">
              <w:t>anagement actions</w:t>
            </w:r>
          </w:p>
        </w:tc>
        <w:tc>
          <w:tcPr>
            <w:tcW w:w="7371" w:type="dxa"/>
          </w:tcPr>
          <w:p w14:paraId="258E2174" w14:textId="77777777" w:rsidR="00466BF6" w:rsidRDefault="00466BF6" w:rsidP="006670D2">
            <w:pPr>
              <w:pStyle w:val="PullOutBoxBullet"/>
            </w:pPr>
            <w:r w:rsidRPr="00F26BEE">
              <w:t>Undertake</w:t>
            </w:r>
            <w:r>
              <w:rPr>
                <w:i/>
                <w:iCs/>
              </w:rPr>
              <w:t xml:space="preserve"> e</w:t>
            </w:r>
            <w:r w:rsidRPr="00200995">
              <w:rPr>
                <w:i/>
                <w:iCs/>
              </w:rPr>
              <w:t>x-situ</w:t>
            </w:r>
            <w:r>
              <w:t xml:space="preserve"> management such as seed banking and live plants; and</w:t>
            </w:r>
          </w:p>
          <w:p w14:paraId="58A618D6" w14:textId="77777777" w:rsidR="00466BF6" w:rsidRPr="00867DAA" w:rsidRDefault="00466BF6" w:rsidP="006670D2">
            <w:pPr>
              <w:pStyle w:val="PullOutBoxBullet"/>
            </w:pPr>
            <w:r>
              <w:t>Conduct values input into incident control processes.</w:t>
            </w:r>
          </w:p>
        </w:tc>
      </w:tr>
    </w:tbl>
    <w:p w14:paraId="46AE25DA" w14:textId="77777777" w:rsidR="00466BF6" w:rsidRPr="0077027B" w:rsidRDefault="00466BF6" w:rsidP="007E5EBF">
      <w:pPr>
        <w:pStyle w:val="Heading3"/>
        <w:jc w:val="both"/>
      </w:pPr>
      <w:r>
        <w:t>Forestry operations</w:t>
      </w:r>
    </w:p>
    <w:p w14:paraId="21EF0985" w14:textId="523A73D0" w:rsidR="00466BF6" w:rsidRDefault="00AF5993" w:rsidP="00466BF6">
      <w:pPr>
        <w:pStyle w:val="Heading5"/>
        <w:numPr>
          <w:ilvl w:val="0"/>
          <w:numId w:val="0"/>
        </w:numPr>
        <w:ind w:left="1008" w:hanging="1008"/>
      </w:pPr>
      <w:r>
        <w:t>F</w:t>
      </w:r>
      <w:r w:rsidR="00466BF6">
        <w:t>orestry operations and roading</w:t>
      </w:r>
    </w:p>
    <w:p w14:paraId="6A4CE750" w14:textId="240584B6" w:rsidR="00466BF6" w:rsidRPr="00704719" w:rsidRDefault="00466BF6" w:rsidP="00466BF6">
      <w:pPr>
        <w:rPr>
          <w:rStyle w:val="BodyTextChar"/>
        </w:rPr>
      </w:pPr>
      <w:r w:rsidRPr="0011574C">
        <w:rPr>
          <w:rFonts w:cs="Times New Roman"/>
          <w:sz w:val="18"/>
          <w:szCs w:val="18"/>
        </w:rPr>
        <w:t xml:space="preserve">Forestry operations, including roading and regeneration burning, have the potential to impact on the </w:t>
      </w:r>
      <w:r w:rsidR="00A903C9">
        <w:rPr>
          <w:rFonts w:cs="Times New Roman"/>
          <w:sz w:val="18"/>
          <w:szCs w:val="18"/>
        </w:rPr>
        <w:t>species</w:t>
      </w:r>
      <w:r w:rsidRPr="0011574C">
        <w:rPr>
          <w:rFonts w:cs="Times New Roman"/>
          <w:sz w:val="18"/>
          <w:szCs w:val="18"/>
        </w:rPr>
        <w:t xml:space="preserve"> in marginal sites. The </w:t>
      </w:r>
      <w:r w:rsidR="00A903C9">
        <w:rPr>
          <w:rFonts w:cs="Times New Roman"/>
          <w:sz w:val="18"/>
          <w:szCs w:val="18"/>
        </w:rPr>
        <w:t>species</w:t>
      </w:r>
      <w:r w:rsidRPr="0011574C">
        <w:rPr>
          <w:rFonts w:cs="Times New Roman"/>
          <w:sz w:val="18"/>
          <w:szCs w:val="18"/>
        </w:rPr>
        <w:t xml:space="preserve"> lives mainly around the bases of trees and boulders. It suckers and takes root where branches hit the ground, so it can tolerate a small amount of disturbance reasonably well. Due to habitat preferences, less than 10% of habitat is exposed to this </w:t>
      </w:r>
      <w:r w:rsidRPr="00704719">
        <w:rPr>
          <w:rStyle w:val="BodyTextChar"/>
        </w:rPr>
        <w:t xml:space="preserve">hazard. </w:t>
      </w:r>
      <w:r>
        <w:rPr>
          <w:rStyle w:val="BodyTextChar"/>
        </w:rPr>
        <w:t>R</w:t>
      </w:r>
      <w:r w:rsidRPr="00704719">
        <w:rPr>
          <w:rStyle w:val="BodyTextChar"/>
        </w:rPr>
        <w:t>ainforest gullies and mapped waterways are protected</w:t>
      </w:r>
      <w:r>
        <w:rPr>
          <w:rStyle w:val="BodyTextChar"/>
        </w:rPr>
        <w:t xml:space="preserve"> by prescriptions under the Code</w:t>
      </w:r>
      <w:r w:rsidRPr="00704719">
        <w:rPr>
          <w:rStyle w:val="BodyTextChar"/>
        </w:rPr>
        <w:t xml:space="preserve">, but any plants </w:t>
      </w:r>
      <w:r>
        <w:rPr>
          <w:rStyle w:val="BodyTextChar"/>
        </w:rPr>
        <w:t>more than 20 metres</w:t>
      </w:r>
      <w:r w:rsidRPr="00704719">
        <w:rPr>
          <w:rStyle w:val="BodyTextChar"/>
        </w:rPr>
        <w:t xml:space="preserve"> from a clearly defined waterway </w:t>
      </w:r>
      <w:r>
        <w:rPr>
          <w:rStyle w:val="BodyTextChar"/>
        </w:rPr>
        <w:t>could</w:t>
      </w:r>
      <w:r w:rsidRPr="00704719">
        <w:rPr>
          <w:rStyle w:val="BodyTextChar"/>
        </w:rPr>
        <w:t xml:space="preserve"> be impacted by the hazard, especially due to track construction and by slash heaping. Forestry operations can lead to direct mortality via mechanical disturbance and soil instability upslope due to roading operations.</w:t>
      </w:r>
    </w:p>
    <w:p w14:paraId="2352EA84" w14:textId="77777777" w:rsidR="00466BF6" w:rsidRPr="00F26BEE" w:rsidRDefault="00466BF6" w:rsidP="00466BF6">
      <w:pPr>
        <w:pStyle w:val="BodyText"/>
      </w:pPr>
      <w:r w:rsidRPr="00BA1880">
        <w:t xml:space="preserve">Current </w:t>
      </w:r>
      <w:r w:rsidRPr="00F26BEE">
        <w:t>existing controls for this hazard include:</w:t>
      </w:r>
    </w:p>
    <w:p w14:paraId="3EFB867F" w14:textId="17CC69C5" w:rsidR="00466BF6" w:rsidRPr="00F26BEE" w:rsidRDefault="00466BF6" w:rsidP="006670D2">
      <w:pPr>
        <w:pStyle w:val="PullOutBoxBullet"/>
      </w:pPr>
      <w:r w:rsidRPr="00F26BEE">
        <w:t xml:space="preserve">The </w:t>
      </w:r>
      <w:r w:rsidRPr="00F26BEE">
        <w:rPr>
          <w:i/>
          <w:iCs/>
        </w:rPr>
        <w:t xml:space="preserve">Code of Practice for Timber Production 2014. </w:t>
      </w:r>
      <w:r w:rsidRPr="00F26BEE">
        <w:t xml:space="preserve">There </w:t>
      </w:r>
      <w:r w:rsidR="00690DDB">
        <w:t>is</w:t>
      </w:r>
      <w:r w:rsidRPr="00F26BEE">
        <w:t xml:space="preserve"> no species-specific prescription for this </w:t>
      </w:r>
      <w:r w:rsidR="00CE36C0">
        <w:t>species</w:t>
      </w:r>
      <w:r w:rsidRPr="00F26BEE">
        <w:t xml:space="preserve"> in the Code, however the Code includes general protections for waterways and rainforest including a prohibition on harvesting, the application of buffers and </w:t>
      </w:r>
      <w:r w:rsidR="000D065A" w:rsidRPr="00C02DCA">
        <w:t>design standards for roads, crossings</w:t>
      </w:r>
      <w:r w:rsidR="0096245D" w:rsidRPr="00C02DCA">
        <w:t>,</w:t>
      </w:r>
      <w:r w:rsidR="000D065A" w:rsidRPr="00C02DCA">
        <w:t xml:space="preserve"> and coupe infrastructure</w:t>
      </w:r>
      <w:r w:rsidR="000D065A" w:rsidRPr="4F453272">
        <w:t xml:space="preserve">. </w:t>
      </w:r>
      <w:r w:rsidRPr="00F26BEE">
        <w:t xml:space="preserve">The lack of a specific prescription leads to the effectiveness of the Code being assessed as poor for this </w:t>
      </w:r>
      <w:r w:rsidR="00CE36C0">
        <w:t>species</w:t>
      </w:r>
      <w:r w:rsidRPr="00F26BEE">
        <w:t xml:space="preserve">. </w:t>
      </w:r>
    </w:p>
    <w:p w14:paraId="526386FC" w14:textId="579A44BB" w:rsidR="00466BF6" w:rsidRPr="003566BD" w:rsidRDefault="00466BF6" w:rsidP="006670D2">
      <w:pPr>
        <w:pStyle w:val="PullOutBoxBullet"/>
      </w:pPr>
      <w:r>
        <w:t xml:space="preserve">The </w:t>
      </w:r>
      <w:r w:rsidR="00726347">
        <w:t>CAR</w:t>
      </w:r>
      <w:r w:rsidRPr="00BA1880">
        <w:t xml:space="preserve"> </w:t>
      </w:r>
      <w:r>
        <w:t>re</w:t>
      </w:r>
      <w:r w:rsidRPr="00BA1880">
        <w:t>serve system</w:t>
      </w:r>
      <w:r>
        <w:t xml:space="preserve">. </w:t>
      </w:r>
      <w:r w:rsidRPr="00CB51DA">
        <w:rPr>
          <w:rStyle w:val="normaltextrun"/>
        </w:rPr>
        <w:t xml:space="preserve">The effectiveness of this control for this species has been evaluated </w:t>
      </w:r>
      <w:r>
        <w:t>as s</w:t>
      </w:r>
      <w:r w:rsidRPr="00BA1880">
        <w:t xml:space="preserve">atisfactory </w:t>
      </w:r>
      <w:r>
        <w:t xml:space="preserve">as 81% of the </w:t>
      </w:r>
      <w:r w:rsidR="00CE36C0">
        <w:t>species’</w:t>
      </w:r>
      <w:r>
        <w:t xml:space="preserve"> modelled distribution and 71% of important populations are within the reserve system</w:t>
      </w:r>
      <w:r w:rsidR="009D33EA">
        <w:t>.</w:t>
      </w:r>
    </w:p>
    <w:p w14:paraId="4F3E4B03" w14:textId="4D7275EF"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31</w:t>
      </w:r>
      <w:r w:rsidR="000B6788" w:rsidRPr="00B6162A">
        <w:rPr>
          <w:bCs/>
          <w:noProof/>
        </w:rPr>
        <w:fldChar w:fldCharType="end"/>
      </w:r>
      <w:r w:rsidRPr="00FF310C">
        <w:t>. Baw Baw Berry protection requirements and recommendations for forestry operations and roading</w:t>
      </w:r>
    </w:p>
    <w:tbl>
      <w:tblPr>
        <w:tblStyle w:val="TableGrid"/>
        <w:tblW w:w="0" w:type="auto"/>
        <w:tblLook w:val="04A0" w:firstRow="1" w:lastRow="0" w:firstColumn="1" w:lastColumn="0" w:noHBand="0" w:noVBand="1"/>
      </w:tblPr>
      <w:tblGrid>
        <w:gridCol w:w="2268"/>
        <w:gridCol w:w="7371"/>
      </w:tblGrid>
      <w:tr w:rsidR="00466BF6" w:rsidRPr="00867DAA" w14:paraId="43657B85"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3D08749" w14:textId="77777777" w:rsidR="00466BF6" w:rsidRPr="00704719" w:rsidRDefault="00466BF6" w:rsidP="005611CD">
            <w:pPr>
              <w:pStyle w:val="BodyText"/>
            </w:pPr>
            <w:r w:rsidRPr="00704719">
              <w:t>Requirement</w:t>
            </w:r>
          </w:p>
        </w:tc>
        <w:tc>
          <w:tcPr>
            <w:tcW w:w="7371" w:type="dxa"/>
          </w:tcPr>
          <w:p w14:paraId="11E2C327" w14:textId="77777777" w:rsidR="00466BF6" w:rsidRPr="00704719" w:rsidRDefault="00466BF6" w:rsidP="005611CD">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2D301425" w14:textId="77777777" w:rsidTr="005611CD">
        <w:tc>
          <w:tcPr>
            <w:tcW w:w="2268" w:type="dxa"/>
          </w:tcPr>
          <w:p w14:paraId="27407AAE" w14:textId="316F5FFE" w:rsidR="00466BF6" w:rsidRPr="00867DAA" w:rsidRDefault="00466BF6" w:rsidP="005611CD">
            <w:pPr>
              <w:pStyle w:val="BodyText"/>
            </w:pPr>
            <w:r w:rsidRPr="00867DAA">
              <w:t>Interim protections</w:t>
            </w:r>
            <w:r w:rsidR="00E75FD1">
              <w:t xml:space="preserve">  </w:t>
            </w:r>
          </w:p>
        </w:tc>
        <w:tc>
          <w:tcPr>
            <w:tcW w:w="7371" w:type="dxa"/>
          </w:tcPr>
          <w:p w14:paraId="6FAF251F" w14:textId="77777777" w:rsidR="00466BF6" w:rsidRPr="00200995" w:rsidRDefault="00466BF6" w:rsidP="005611CD">
            <w:pPr>
              <w:pStyle w:val="BodyText"/>
            </w:pPr>
            <w:r w:rsidRPr="00200995">
              <w:t>Not required for this hazard based on the overall risk level of medium</w:t>
            </w:r>
            <w:r>
              <w:t>.</w:t>
            </w:r>
          </w:p>
        </w:tc>
      </w:tr>
      <w:tr w:rsidR="00161DEF" w:rsidRPr="00867DAA" w14:paraId="79700F6E" w14:textId="77777777" w:rsidTr="005611CD">
        <w:tc>
          <w:tcPr>
            <w:tcW w:w="2268" w:type="dxa"/>
          </w:tcPr>
          <w:p w14:paraId="065371EB" w14:textId="28B0B025" w:rsidR="00161DEF" w:rsidRPr="00867DAA" w:rsidRDefault="00161DEF" w:rsidP="005611CD">
            <w:pPr>
              <w:pStyle w:val="BodyText"/>
            </w:pPr>
            <w:r>
              <w:t>Priority management actions</w:t>
            </w:r>
          </w:p>
        </w:tc>
        <w:tc>
          <w:tcPr>
            <w:tcW w:w="7371" w:type="dxa"/>
          </w:tcPr>
          <w:p w14:paraId="4A45F90C" w14:textId="4668AF7F" w:rsidR="00161DEF" w:rsidRPr="00200995" w:rsidRDefault="00161DEF" w:rsidP="005611CD">
            <w:pPr>
              <w:pStyle w:val="BodyText"/>
            </w:pPr>
            <w:r w:rsidRPr="00200995">
              <w:t>Not required for this hazard based on the overall risk level of medium</w:t>
            </w:r>
            <w:r>
              <w:t>.</w:t>
            </w:r>
          </w:p>
        </w:tc>
      </w:tr>
      <w:tr w:rsidR="00466BF6" w:rsidRPr="00867DAA" w14:paraId="7B81EDA3" w14:textId="77777777" w:rsidTr="005611CD">
        <w:tc>
          <w:tcPr>
            <w:tcW w:w="2268" w:type="dxa"/>
          </w:tcPr>
          <w:p w14:paraId="288188EA" w14:textId="77777777" w:rsidR="00466BF6" w:rsidRPr="00867DAA" w:rsidRDefault="00466BF6" w:rsidP="005611CD">
            <w:pPr>
              <w:pStyle w:val="BodyText"/>
            </w:pPr>
            <w:r w:rsidRPr="00867DAA">
              <w:t>Permanent protections</w:t>
            </w:r>
          </w:p>
        </w:tc>
        <w:tc>
          <w:tcPr>
            <w:tcW w:w="7371" w:type="dxa"/>
          </w:tcPr>
          <w:p w14:paraId="0C6E38B3" w14:textId="77777777" w:rsidR="00466BF6" w:rsidRPr="00200995" w:rsidRDefault="00466BF6" w:rsidP="005611CD">
            <w:pPr>
              <w:pStyle w:val="BodyText"/>
            </w:pPr>
            <w:r w:rsidRPr="00200995">
              <w:t>Additional permanent protections may be required in the longer-term</w:t>
            </w:r>
            <w:r>
              <w:t>.</w:t>
            </w:r>
          </w:p>
        </w:tc>
      </w:tr>
      <w:tr w:rsidR="00466BF6" w:rsidRPr="00867DAA" w14:paraId="4015A514" w14:textId="77777777" w:rsidTr="005611CD">
        <w:tc>
          <w:tcPr>
            <w:tcW w:w="2268" w:type="dxa"/>
          </w:tcPr>
          <w:p w14:paraId="42867269" w14:textId="18C26553" w:rsidR="00466BF6" w:rsidRPr="00867DAA" w:rsidRDefault="00362E0D" w:rsidP="005611CD">
            <w:pPr>
              <w:pStyle w:val="BodyText"/>
            </w:pPr>
            <w:r>
              <w:t>Potential m</w:t>
            </w:r>
            <w:r w:rsidR="00466BF6" w:rsidRPr="00867DAA">
              <w:t>anagement actions</w:t>
            </w:r>
          </w:p>
        </w:tc>
        <w:tc>
          <w:tcPr>
            <w:tcW w:w="7371" w:type="dxa"/>
          </w:tcPr>
          <w:p w14:paraId="3AE00B13" w14:textId="77777777" w:rsidR="00466BF6" w:rsidRPr="00200995" w:rsidRDefault="00466BF6" w:rsidP="006670D2">
            <w:pPr>
              <w:pStyle w:val="PullOutBoxBullet"/>
            </w:pPr>
            <w:r w:rsidRPr="00F26BEE">
              <w:t>Species-specific code prescriptions should be considered in any future Code amendments.</w:t>
            </w:r>
            <w:r w:rsidRPr="00200995">
              <w:t xml:space="preserve"> </w:t>
            </w:r>
          </w:p>
        </w:tc>
      </w:tr>
    </w:tbl>
    <w:p w14:paraId="196ACD8E" w14:textId="77777777" w:rsidR="00466BF6" w:rsidRPr="0077027B" w:rsidRDefault="00466BF6" w:rsidP="007E5EBF">
      <w:pPr>
        <w:pStyle w:val="Heading3"/>
        <w:jc w:val="both"/>
      </w:pPr>
      <w:r>
        <w:t>Invasive species</w:t>
      </w:r>
    </w:p>
    <w:p w14:paraId="315C7988" w14:textId="77777777" w:rsidR="00466BF6" w:rsidRPr="00987E9D" w:rsidRDefault="00466BF6" w:rsidP="00466BF6">
      <w:pPr>
        <w:pStyle w:val="Heading5"/>
        <w:numPr>
          <w:ilvl w:val="0"/>
          <w:numId w:val="0"/>
        </w:numPr>
        <w:ind w:left="1008" w:hanging="1008"/>
      </w:pPr>
      <w:r>
        <w:t>Invasive vertebrate (deer)</w:t>
      </w:r>
    </w:p>
    <w:p w14:paraId="43AF320B" w14:textId="5DAAC1E7" w:rsidR="00466BF6" w:rsidRDefault="00466BF6" w:rsidP="00466BF6">
      <w:pPr>
        <w:pStyle w:val="BodyText"/>
      </w:pPr>
      <w:r>
        <w:t xml:space="preserve">Deer impact the </w:t>
      </w:r>
      <w:r w:rsidR="00CE36C0">
        <w:t>species</w:t>
      </w:r>
      <w:r>
        <w:t xml:space="preserve"> by trampling and degrading the habitat, however any browsing would probably be incidental. Deer potentially impact 80% of habitat. Degraded habitat is more likely to burn, is more sensitive to drought impacts and is less likely to regenerate successfully.</w:t>
      </w:r>
    </w:p>
    <w:p w14:paraId="331FAF75" w14:textId="77777777" w:rsidR="00466BF6" w:rsidRDefault="00466BF6" w:rsidP="00466BF6">
      <w:pPr>
        <w:pStyle w:val="BodyText"/>
      </w:pPr>
      <w:r>
        <w:t>Current existing controls for this hazard include:</w:t>
      </w:r>
    </w:p>
    <w:p w14:paraId="619ADEB6" w14:textId="77777777" w:rsidR="00466BF6" w:rsidRDefault="00466BF6" w:rsidP="006670D2">
      <w:pPr>
        <w:pStyle w:val="PullOutBoxBullet"/>
      </w:pPr>
      <w:r>
        <w:t xml:space="preserve">Exclusion fencing. </w:t>
      </w:r>
      <w:r w:rsidRPr="00CB51DA">
        <w:rPr>
          <w:rStyle w:val="normaltextrun"/>
        </w:rPr>
        <w:t xml:space="preserve">The effectiveness of this control for this species has been evaluated </w:t>
      </w:r>
      <w:r>
        <w:rPr>
          <w:rStyle w:val="normaltextrun"/>
        </w:rPr>
        <w:t xml:space="preserve">as </w:t>
      </w:r>
      <w:r>
        <w:t>good based on the existing exclusion fencing specifically around this habitat at Lake Mountain. However, exclusion fencing is not effective at an overall population level and therefore would be evaluated as poor in those circumstances.</w:t>
      </w:r>
    </w:p>
    <w:p w14:paraId="0D383BFE" w14:textId="1E228562" w:rsidR="00466BF6" w:rsidRPr="00796DC3" w:rsidRDefault="00466BF6" w:rsidP="006670D2">
      <w:pPr>
        <w:pStyle w:val="PullOutBoxBullet"/>
        <w:rPr>
          <w:b/>
          <w:bCs/>
          <w:sz w:val="16"/>
        </w:rPr>
      </w:pPr>
      <w:r>
        <w:t xml:space="preserve">Deer control programs. </w:t>
      </w:r>
      <w:r w:rsidRPr="00CB51DA">
        <w:rPr>
          <w:rStyle w:val="normaltextrun"/>
        </w:rPr>
        <w:t>The effectiveness of this control for this species has been evaluated</w:t>
      </w:r>
      <w:r>
        <w:t xml:space="preserve"> as poor because most control has occurred in the North East and East Gippsland RFA</w:t>
      </w:r>
      <w:r w:rsidR="00660271">
        <w:t xml:space="preserve"> region</w:t>
      </w:r>
      <w:r>
        <w:t>s, and not as much in the Central Highland RFA</w:t>
      </w:r>
      <w:r w:rsidR="00660271">
        <w:t xml:space="preserve"> region</w:t>
      </w:r>
      <w:r>
        <w:t xml:space="preserve"> where this </w:t>
      </w:r>
      <w:r w:rsidR="00CE36C0">
        <w:t>species</w:t>
      </w:r>
      <w:r>
        <w:t xml:space="preserve"> occurs.</w:t>
      </w:r>
    </w:p>
    <w:p w14:paraId="41622915" w14:textId="6E5855BC"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32</w:t>
      </w:r>
      <w:r w:rsidR="000B6788" w:rsidRPr="00B6162A">
        <w:rPr>
          <w:bCs/>
          <w:noProof/>
        </w:rPr>
        <w:fldChar w:fldCharType="end"/>
      </w:r>
      <w:r w:rsidRPr="00FF310C">
        <w:t>. Baw Baw Berry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466BF6" w:rsidRPr="00867DAA" w14:paraId="7F89CF31"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DCEF21A" w14:textId="77777777" w:rsidR="00466BF6" w:rsidRPr="00704719" w:rsidRDefault="00466BF6" w:rsidP="005611CD">
            <w:pPr>
              <w:pStyle w:val="BodyText"/>
            </w:pPr>
            <w:r w:rsidRPr="00704719">
              <w:t>Requirement</w:t>
            </w:r>
          </w:p>
        </w:tc>
        <w:tc>
          <w:tcPr>
            <w:tcW w:w="7371" w:type="dxa"/>
          </w:tcPr>
          <w:p w14:paraId="372AC9BB" w14:textId="77777777" w:rsidR="00466BF6" w:rsidRPr="00704719" w:rsidRDefault="00466BF6" w:rsidP="005611CD">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2FF6E8D0" w14:textId="77777777" w:rsidTr="005611CD">
        <w:tc>
          <w:tcPr>
            <w:tcW w:w="2268" w:type="dxa"/>
          </w:tcPr>
          <w:p w14:paraId="64DE76D8" w14:textId="1CF06059" w:rsidR="00466BF6" w:rsidRPr="00867DAA" w:rsidRDefault="00362E0D" w:rsidP="005611CD">
            <w:pPr>
              <w:pStyle w:val="BodyText"/>
            </w:pPr>
            <w:r>
              <w:t>Priority management actions</w:t>
            </w:r>
          </w:p>
        </w:tc>
        <w:tc>
          <w:tcPr>
            <w:tcW w:w="7371" w:type="dxa"/>
          </w:tcPr>
          <w:p w14:paraId="458239F9" w14:textId="77777777" w:rsidR="00466BF6" w:rsidRPr="00200995" w:rsidRDefault="00466BF6" w:rsidP="005611CD">
            <w:pPr>
              <w:pStyle w:val="BodyText"/>
            </w:pPr>
            <w:r w:rsidRPr="00200995">
              <w:t xml:space="preserve">Not required for this hazard </w:t>
            </w:r>
            <w:r>
              <w:t>as it is a longer-term threat.</w:t>
            </w:r>
          </w:p>
        </w:tc>
      </w:tr>
      <w:tr w:rsidR="00466BF6" w:rsidRPr="00867DAA" w14:paraId="5037538B" w14:textId="77777777" w:rsidTr="005611CD">
        <w:tc>
          <w:tcPr>
            <w:tcW w:w="2268" w:type="dxa"/>
          </w:tcPr>
          <w:p w14:paraId="1603079C" w14:textId="7F8C0E39" w:rsidR="00466BF6" w:rsidRPr="00867DAA" w:rsidRDefault="00362E0D" w:rsidP="005611CD">
            <w:pPr>
              <w:pStyle w:val="BodyText"/>
            </w:pPr>
            <w:r>
              <w:t>Potential m</w:t>
            </w:r>
            <w:r w:rsidR="00466BF6" w:rsidRPr="00867DAA">
              <w:t>anagement actions</w:t>
            </w:r>
          </w:p>
        </w:tc>
        <w:tc>
          <w:tcPr>
            <w:tcW w:w="7371" w:type="dxa"/>
          </w:tcPr>
          <w:p w14:paraId="0D47AF7C" w14:textId="480C8972" w:rsidR="00466BF6" w:rsidRDefault="00466BF6" w:rsidP="006670D2">
            <w:pPr>
              <w:pStyle w:val="PullOutBoxBullet"/>
            </w:pPr>
            <w:r>
              <w:t>Undertake additional deer control, particularly in the Central Highlands RFA</w:t>
            </w:r>
            <w:r w:rsidR="00660271">
              <w:t xml:space="preserve"> region</w:t>
            </w:r>
            <w:r>
              <w:t>;</w:t>
            </w:r>
          </w:p>
          <w:p w14:paraId="1223EA49" w14:textId="5D393187" w:rsidR="00466BF6" w:rsidRDefault="00466BF6" w:rsidP="006670D2">
            <w:pPr>
              <w:pStyle w:val="PullOutBoxBullet"/>
            </w:pPr>
            <w:r>
              <w:t xml:space="preserve">Include additional exclusion fencing </w:t>
            </w:r>
            <w:r w:rsidR="008B0D85">
              <w:t xml:space="preserve">if practicable </w:t>
            </w:r>
            <w:r>
              <w:t xml:space="preserve">in key habitats; and </w:t>
            </w:r>
          </w:p>
          <w:p w14:paraId="06DFBBE1" w14:textId="77777777" w:rsidR="00466BF6" w:rsidRPr="00AB7EAC" w:rsidRDefault="00466BF6" w:rsidP="006670D2">
            <w:pPr>
              <w:pStyle w:val="PullOutBoxBullet"/>
            </w:pPr>
            <w:r w:rsidRPr="001127CB">
              <w:t>Undertake</w:t>
            </w:r>
            <w:r>
              <w:rPr>
                <w:i/>
                <w:iCs/>
              </w:rPr>
              <w:t xml:space="preserve"> ex-situ</w:t>
            </w:r>
            <w:r>
              <w:t xml:space="preserve"> conservation actions including seed banking and live plant maintenance.</w:t>
            </w:r>
          </w:p>
        </w:tc>
      </w:tr>
    </w:tbl>
    <w:p w14:paraId="758CED29" w14:textId="77777777" w:rsidR="00466BF6" w:rsidRDefault="00466BF6" w:rsidP="00466BF6">
      <w:pPr>
        <w:pStyle w:val="Heading5"/>
        <w:numPr>
          <w:ilvl w:val="0"/>
          <w:numId w:val="0"/>
        </w:numPr>
        <w:ind w:left="1008" w:hanging="1008"/>
      </w:pPr>
      <w:r>
        <w:t>Invasive plant (weeds)</w:t>
      </w:r>
    </w:p>
    <w:p w14:paraId="3A732CCA" w14:textId="72A65B62" w:rsidR="00466BF6" w:rsidRDefault="00466BF6" w:rsidP="00466BF6">
      <w:pPr>
        <w:pStyle w:val="BodyText"/>
      </w:pPr>
      <w:r>
        <w:t>Blackberry (</w:t>
      </w:r>
      <w:r>
        <w:rPr>
          <w:i/>
          <w:iCs/>
        </w:rPr>
        <w:t>Rubus</w:t>
      </w:r>
      <w:r>
        <w:t xml:space="preserve"> spp.), introduced pasture grasses such as Yorkshire Fog</w:t>
      </w:r>
      <w:r w:rsidRPr="007935D4">
        <w:t xml:space="preserve"> </w:t>
      </w:r>
      <w:r>
        <w:t>(</w:t>
      </w:r>
      <w:r w:rsidRPr="007935D4">
        <w:rPr>
          <w:i/>
          <w:iCs/>
        </w:rPr>
        <w:t>Holcus lanatus</w:t>
      </w:r>
      <w:r>
        <w:t>) and Willow (</w:t>
      </w:r>
      <w:r>
        <w:rPr>
          <w:i/>
          <w:iCs/>
        </w:rPr>
        <w:t xml:space="preserve">Salix </w:t>
      </w:r>
      <w:r>
        <w:t xml:space="preserve">spp.) impact the </w:t>
      </w:r>
      <w:r w:rsidR="00CE36C0">
        <w:t>species</w:t>
      </w:r>
      <w:r>
        <w:t xml:space="preserve"> by smothering, reducing habitat and outcompeting the </w:t>
      </w:r>
      <w:r w:rsidR="00CE36C0">
        <w:t>species</w:t>
      </w:r>
      <w:r>
        <w:t>. This hazard applies to 40% of habitat. Weed invasion may be promoted by deer impacts and by forestry operations, and to some extent, bushfire.</w:t>
      </w:r>
    </w:p>
    <w:p w14:paraId="6F8A14A0" w14:textId="77777777" w:rsidR="00466BF6" w:rsidRDefault="00466BF6" w:rsidP="00466BF6">
      <w:pPr>
        <w:pStyle w:val="BodyText"/>
      </w:pPr>
      <w:r>
        <w:t>Current existing controls for this hazard include:</w:t>
      </w:r>
    </w:p>
    <w:p w14:paraId="1F4636C3" w14:textId="00BEF816" w:rsidR="00466BF6" w:rsidRDefault="00466BF6" w:rsidP="006670D2">
      <w:pPr>
        <w:pStyle w:val="PullOutBoxBullet"/>
      </w:pPr>
      <w:r>
        <w:t xml:space="preserve">Weed control. </w:t>
      </w:r>
      <w:r w:rsidRPr="00CB51DA">
        <w:rPr>
          <w:rStyle w:val="normaltextrun"/>
        </w:rPr>
        <w:t xml:space="preserve">The effectiveness of this control for this species has been evaluated </w:t>
      </w:r>
      <w:r>
        <w:t xml:space="preserve">as poor because it has a very limited application and is estimated to occur at less than 1% of the 40% of populations exposed to weeds. Any weed control is unlikely to be carried out with the protection of the </w:t>
      </w:r>
      <w:r w:rsidR="00D050DB">
        <w:t>species</w:t>
      </w:r>
      <w:r>
        <w:t xml:space="preserve"> as a specific objective. </w:t>
      </w:r>
    </w:p>
    <w:p w14:paraId="63AF9B66" w14:textId="77777777" w:rsidR="00466BF6" w:rsidRDefault="00466BF6" w:rsidP="006670D2">
      <w:pPr>
        <w:pStyle w:val="PullOutBoxBullet"/>
      </w:pPr>
      <w:r>
        <w:t xml:space="preserve">Hygiene controls for road maintenance and forestry operations. </w:t>
      </w:r>
      <w:r w:rsidRPr="00CB51DA">
        <w:rPr>
          <w:rStyle w:val="normaltextrun"/>
        </w:rPr>
        <w:t>The effectiveness of this control for this species has been evaluated</w:t>
      </w:r>
      <w:r>
        <w:t xml:space="preserve"> as poor because it is inconsistently applied.</w:t>
      </w:r>
    </w:p>
    <w:p w14:paraId="62E9799C" w14:textId="3B0AAFE5" w:rsidR="00466BF6" w:rsidRDefault="00466BF6" w:rsidP="006670D2">
      <w:pPr>
        <w:pStyle w:val="PullOutBoxBullet"/>
      </w:pPr>
      <w:r>
        <w:t xml:space="preserve">Biological controls (including Blackberry rust). </w:t>
      </w:r>
      <w:r w:rsidRPr="00CB51DA">
        <w:rPr>
          <w:rStyle w:val="normaltextrun"/>
        </w:rPr>
        <w:t>The effectiveness of this control for this species has been evaluated</w:t>
      </w:r>
      <w:r>
        <w:t xml:space="preserve"> as poor because it has limited efficacy at higher altitudes</w:t>
      </w:r>
      <w:r w:rsidR="00383220">
        <w:t>.</w:t>
      </w:r>
      <w:r>
        <w:t xml:space="preserve"> </w:t>
      </w:r>
    </w:p>
    <w:p w14:paraId="31EB428B" w14:textId="6A59523E"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33</w:t>
      </w:r>
      <w:r w:rsidR="000B6788" w:rsidRPr="00B6162A">
        <w:rPr>
          <w:bCs/>
          <w:noProof/>
        </w:rPr>
        <w:fldChar w:fldCharType="end"/>
      </w:r>
      <w:r w:rsidRPr="00FF310C">
        <w:t>. Baw Baw Berry protection requirements and recommendations for invasive plant (weeds)</w:t>
      </w:r>
    </w:p>
    <w:tbl>
      <w:tblPr>
        <w:tblStyle w:val="TableGrid"/>
        <w:tblW w:w="0" w:type="auto"/>
        <w:tblLook w:val="04A0" w:firstRow="1" w:lastRow="0" w:firstColumn="1" w:lastColumn="0" w:noHBand="0" w:noVBand="1"/>
      </w:tblPr>
      <w:tblGrid>
        <w:gridCol w:w="2268"/>
        <w:gridCol w:w="7371"/>
      </w:tblGrid>
      <w:tr w:rsidR="00466BF6" w:rsidRPr="00867DAA" w14:paraId="1F9414AA"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964A56A" w14:textId="77777777" w:rsidR="00466BF6" w:rsidRPr="00704719" w:rsidRDefault="00466BF6" w:rsidP="005611CD">
            <w:pPr>
              <w:pStyle w:val="BodyText"/>
            </w:pPr>
            <w:r w:rsidRPr="00704719">
              <w:t>Requirement</w:t>
            </w:r>
          </w:p>
        </w:tc>
        <w:tc>
          <w:tcPr>
            <w:tcW w:w="7371" w:type="dxa"/>
          </w:tcPr>
          <w:p w14:paraId="152AA1F6" w14:textId="77777777" w:rsidR="00466BF6" w:rsidRPr="00704719" w:rsidRDefault="00466BF6" w:rsidP="005611CD">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540AC345" w14:textId="77777777" w:rsidTr="005611CD">
        <w:tc>
          <w:tcPr>
            <w:tcW w:w="2268" w:type="dxa"/>
          </w:tcPr>
          <w:p w14:paraId="0EE97D60" w14:textId="240AC287" w:rsidR="00466BF6" w:rsidRPr="00867DAA" w:rsidRDefault="00362E0D" w:rsidP="005611CD">
            <w:pPr>
              <w:pStyle w:val="BodyText"/>
            </w:pPr>
            <w:r>
              <w:t>Priority management actions</w:t>
            </w:r>
          </w:p>
        </w:tc>
        <w:tc>
          <w:tcPr>
            <w:tcW w:w="7371" w:type="dxa"/>
          </w:tcPr>
          <w:p w14:paraId="2E7B8785" w14:textId="77777777" w:rsidR="00466BF6" w:rsidRPr="00200995" w:rsidRDefault="00466BF6" w:rsidP="005611CD">
            <w:pPr>
              <w:pStyle w:val="BodyText"/>
            </w:pPr>
            <w:r w:rsidRPr="00200995">
              <w:t>Not required for this hazard based on the overall risk level of medium</w:t>
            </w:r>
            <w:r>
              <w:t>.</w:t>
            </w:r>
          </w:p>
        </w:tc>
      </w:tr>
      <w:tr w:rsidR="00466BF6" w:rsidRPr="00867DAA" w14:paraId="6901A3FD" w14:textId="77777777" w:rsidTr="005611CD">
        <w:tc>
          <w:tcPr>
            <w:tcW w:w="2268" w:type="dxa"/>
          </w:tcPr>
          <w:p w14:paraId="53ED7020" w14:textId="03288332" w:rsidR="00466BF6" w:rsidRPr="00867DAA" w:rsidRDefault="00362E0D" w:rsidP="005611CD">
            <w:pPr>
              <w:pStyle w:val="BodyText"/>
            </w:pPr>
            <w:r>
              <w:t>Potential m</w:t>
            </w:r>
            <w:r w:rsidR="00466BF6" w:rsidRPr="00867DAA">
              <w:t>anagement actions</w:t>
            </w:r>
          </w:p>
        </w:tc>
        <w:tc>
          <w:tcPr>
            <w:tcW w:w="7371" w:type="dxa"/>
          </w:tcPr>
          <w:p w14:paraId="56F368DF" w14:textId="77777777" w:rsidR="00466BF6" w:rsidRDefault="00466BF6" w:rsidP="006670D2">
            <w:pPr>
              <w:pStyle w:val="PullOutBoxBullet"/>
            </w:pPr>
            <w:r>
              <w:t xml:space="preserve">Improve the application of existing weed control and hygiene protocols; and </w:t>
            </w:r>
          </w:p>
          <w:p w14:paraId="530B0668" w14:textId="22B648FE" w:rsidR="00466BF6" w:rsidRPr="00704719" w:rsidRDefault="00466BF6" w:rsidP="006670D2">
            <w:pPr>
              <w:pStyle w:val="PullOutBoxBullet"/>
            </w:pPr>
            <w:r>
              <w:t xml:space="preserve">Raise awareness of the </w:t>
            </w:r>
            <w:r w:rsidR="00D050DB">
              <w:t>species</w:t>
            </w:r>
            <w:r>
              <w:t xml:space="preserve"> in the surrounding areas, encouraging weed management actions.</w:t>
            </w:r>
          </w:p>
        </w:tc>
      </w:tr>
    </w:tbl>
    <w:p w14:paraId="7EFD0370" w14:textId="77777777" w:rsidR="00466BF6" w:rsidRDefault="00466BF6" w:rsidP="00466BF6">
      <w:r>
        <w:br w:type="page"/>
      </w:r>
    </w:p>
    <w:p w14:paraId="4B79DA6B" w14:textId="77777777" w:rsidR="00466BF6" w:rsidRPr="0011574C" w:rsidRDefault="00466BF6" w:rsidP="00FB5A2B">
      <w:pPr>
        <w:pStyle w:val="Heading2"/>
        <w:ind w:left="0"/>
      </w:pPr>
      <w:bookmarkStart w:id="45" w:name="_Toc88147026"/>
      <w:bookmarkStart w:id="46" w:name="_Toc88725180"/>
      <w:bookmarkStart w:id="47" w:name="_Toc95233339"/>
      <w:bookmarkStart w:id="48" w:name="_Toc113271030"/>
      <w:r>
        <w:t>Beech Finger-fern </w:t>
      </w:r>
      <w:r w:rsidRPr="60664A41">
        <w:rPr>
          <w:i/>
          <w:iCs/>
        </w:rPr>
        <w:t>(Notogrammitis angustifolia</w:t>
      </w:r>
      <w:r>
        <w:t xml:space="preserve"> subsp. </w:t>
      </w:r>
      <w:r w:rsidRPr="60664A41">
        <w:rPr>
          <w:i/>
          <w:iCs/>
        </w:rPr>
        <w:t>nothofageti)</w:t>
      </w:r>
      <w:bookmarkEnd w:id="45"/>
      <w:bookmarkEnd w:id="46"/>
      <w:bookmarkEnd w:id="47"/>
      <w:bookmarkEnd w:id="48"/>
      <w:r>
        <w:t> </w:t>
      </w:r>
    </w:p>
    <w:p w14:paraId="1CBD2918" w14:textId="5ECA570A" w:rsidR="00466BF6" w:rsidRPr="003E1225" w:rsidRDefault="00466BF6" w:rsidP="00466BF6">
      <w:pPr>
        <w:pStyle w:val="BodyText"/>
        <w:rPr>
          <w:rFonts w:ascii="Arial" w:hAnsi="Arial"/>
          <w:color w:val="363534"/>
        </w:rPr>
      </w:pPr>
      <w:r>
        <w:t xml:space="preserve">The Beech Finger-fern was listed as Endangered in Victoria under the FFG Act in May 2021. The </w:t>
      </w:r>
      <w:r w:rsidR="000A1099">
        <w:t>sub</w:t>
      </w:r>
      <w:r w:rsidR="00D050DB">
        <w:t>species</w:t>
      </w:r>
      <w:r>
        <w:t xml:space="preserve"> has modelled habitat in the West (54% modelled habitat), Central Highlands (31% of modelled habitat), and Gippsland (15% of modelled habitat) RFA regions.</w:t>
      </w:r>
      <w:r w:rsidRPr="00281270">
        <w:rPr>
          <w:rStyle w:val="BodyTextChar"/>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1FDE389D" w14:textId="77777777" w:rsidR="00466BF6" w:rsidRDefault="00466BF6" w:rsidP="007E5EBF">
      <w:pPr>
        <w:pStyle w:val="Heading3"/>
      </w:pPr>
      <w:bookmarkStart w:id="49" w:name="_Toc88725181"/>
      <w:r>
        <w:t>Risk Assessment</w:t>
      </w:r>
      <w:bookmarkEnd w:id="49"/>
    </w:p>
    <w:p w14:paraId="2B2EB009" w14:textId="53E107B1"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34</w:t>
      </w:r>
      <w:r w:rsidR="000B6788" w:rsidRPr="00B6162A">
        <w:rPr>
          <w:bCs/>
          <w:noProof/>
        </w:rPr>
        <w:fldChar w:fldCharType="end"/>
      </w:r>
      <w:r w:rsidRPr="00FF310C">
        <w:t>. Beech Finger-fern risk ratings in the Central Highland, Gippsland and West RFA regions:  </w:t>
      </w:r>
    </w:p>
    <w:tbl>
      <w:tblPr>
        <w:tblStyle w:val="TableGrid"/>
        <w:tblW w:w="0" w:type="auto"/>
        <w:tblLook w:val="04A0" w:firstRow="1" w:lastRow="0" w:firstColumn="1" w:lastColumn="0" w:noHBand="0" w:noVBand="1"/>
      </w:tblPr>
      <w:tblGrid>
        <w:gridCol w:w="2409"/>
        <w:gridCol w:w="2410"/>
        <w:gridCol w:w="2410"/>
        <w:gridCol w:w="2410"/>
      </w:tblGrid>
      <w:tr w:rsidR="00466BF6" w14:paraId="507EC56B" w14:textId="77777777" w:rsidTr="007013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09" w:type="dxa"/>
            <w:vAlign w:val="center"/>
          </w:tcPr>
          <w:p w14:paraId="39240A4F" w14:textId="77777777" w:rsidR="00466BF6" w:rsidRPr="00643008" w:rsidRDefault="00466BF6" w:rsidP="006670D2">
            <w:pPr>
              <w:pStyle w:val="CaptionImageorFigure"/>
            </w:pPr>
          </w:p>
        </w:tc>
        <w:tc>
          <w:tcPr>
            <w:tcW w:w="2410" w:type="dxa"/>
            <w:vAlign w:val="center"/>
          </w:tcPr>
          <w:p w14:paraId="36AC45A7" w14:textId="77777777" w:rsidR="00466BF6" w:rsidRPr="00643008"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Drought</w:t>
            </w:r>
          </w:p>
        </w:tc>
        <w:tc>
          <w:tcPr>
            <w:tcW w:w="2410" w:type="dxa"/>
          </w:tcPr>
          <w:p w14:paraId="09F8E00D"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2410" w:type="dxa"/>
            <w:vAlign w:val="center"/>
          </w:tcPr>
          <w:p w14:paraId="2BB81808"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Planned burning</w:t>
            </w:r>
          </w:p>
        </w:tc>
      </w:tr>
      <w:tr w:rsidR="00466BF6" w14:paraId="3F9EB7FD" w14:textId="77777777" w:rsidTr="007013BC">
        <w:tc>
          <w:tcPr>
            <w:tcW w:w="2409" w:type="dxa"/>
            <w:vAlign w:val="center"/>
          </w:tcPr>
          <w:p w14:paraId="2A6883E5" w14:textId="77777777" w:rsidR="00466BF6" w:rsidRPr="0053677B" w:rsidRDefault="00466BF6" w:rsidP="002239E6">
            <w:pPr>
              <w:pStyle w:val="BodyText"/>
              <w:jc w:val="center"/>
            </w:pPr>
            <w:r w:rsidRPr="0053677B">
              <w:t>Consequence</w:t>
            </w:r>
          </w:p>
        </w:tc>
        <w:tc>
          <w:tcPr>
            <w:tcW w:w="2410" w:type="dxa"/>
            <w:vAlign w:val="center"/>
          </w:tcPr>
          <w:p w14:paraId="0698C2DC" w14:textId="77777777" w:rsidR="00466BF6" w:rsidRDefault="00466BF6" w:rsidP="002239E6">
            <w:pPr>
              <w:pStyle w:val="BodyText"/>
              <w:jc w:val="center"/>
            </w:pPr>
            <w:r>
              <w:t>Extreme</w:t>
            </w:r>
          </w:p>
        </w:tc>
        <w:tc>
          <w:tcPr>
            <w:tcW w:w="2410" w:type="dxa"/>
            <w:vAlign w:val="center"/>
          </w:tcPr>
          <w:p w14:paraId="2D781D28" w14:textId="77777777" w:rsidR="00466BF6" w:rsidRDefault="00466BF6" w:rsidP="002239E6">
            <w:pPr>
              <w:pStyle w:val="BodyText"/>
              <w:jc w:val="center"/>
            </w:pPr>
            <w:r>
              <w:t>Extreme</w:t>
            </w:r>
          </w:p>
        </w:tc>
        <w:tc>
          <w:tcPr>
            <w:tcW w:w="2410" w:type="dxa"/>
            <w:vAlign w:val="center"/>
          </w:tcPr>
          <w:p w14:paraId="740359F3" w14:textId="77777777" w:rsidR="00466BF6" w:rsidRDefault="00466BF6" w:rsidP="002239E6">
            <w:pPr>
              <w:pStyle w:val="BodyText"/>
              <w:jc w:val="center"/>
            </w:pPr>
            <w:r>
              <w:t>Moderate</w:t>
            </w:r>
          </w:p>
        </w:tc>
      </w:tr>
      <w:tr w:rsidR="00466BF6" w14:paraId="773A4299" w14:textId="77777777" w:rsidTr="007013BC">
        <w:tc>
          <w:tcPr>
            <w:tcW w:w="2409" w:type="dxa"/>
            <w:vAlign w:val="center"/>
          </w:tcPr>
          <w:p w14:paraId="4705305D" w14:textId="77777777" w:rsidR="00466BF6" w:rsidRPr="0053677B" w:rsidRDefault="00466BF6" w:rsidP="002239E6">
            <w:pPr>
              <w:pStyle w:val="BodyText"/>
              <w:jc w:val="center"/>
            </w:pPr>
            <w:r w:rsidRPr="0053677B">
              <w:t>Likelihood</w:t>
            </w:r>
          </w:p>
        </w:tc>
        <w:tc>
          <w:tcPr>
            <w:tcW w:w="2410" w:type="dxa"/>
            <w:vAlign w:val="center"/>
          </w:tcPr>
          <w:p w14:paraId="2D1D3641" w14:textId="77777777" w:rsidR="00466BF6" w:rsidRDefault="00466BF6" w:rsidP="002239E6">
            <w:pPr>
              <w:pStyle w:val="BodyText"/>
              <w:jc w:val="center"/>
            </w:pPr>
            <w:r>
              <w:t>Almost Certain</w:t>
            </w:r>
          </w:p>
        </w:tc>
        <w:tc>
          <w:tcPr>
            <w:tcW w:w="2410" w:type="dxa"/>
            <w:vAlign w:val="center"/>
          </w:tcPr>
          <w:p w14:paraId="54B7269E" w14:textId="77777777" w:rsidR="00466BF6" w:rsidRDefault="00466BF6" w:rsidP="002239E6">
            <w:pPr>
              <w:pStyle w:val="BodyText"/>
              <w:jc w:val="center"/>
            </w:pPr>
            <w:r>
              <w:t>Almost Certain</w:t>
            </w:r>
          </w:p>
        </w:tc>
        <w:tc>
          <w:tcPr>
            <w:tcW w:w="2410" w:type="dxa"/>
            <w:vAlign w:val="center"/>
          </w:tcPr>
          <w:p w14:paraId="11514E6C" w14:textId="77777777" w:rsidR="00466BF6" w:rsidRDefault="00466BF6" w:rsidP="002239E6">
            <w:pPr>
              <w:pStyle w:val="BodyText"/>
              <w:jc w:val="center"/>
            </w:pPr>
            <w:r>
              <w:t>Possible</w:t>
            </w:r>
          </w:p>
        </w:tc>
      </w:tr>
      <w:tr w:rsidR="00466BF6" w14:paraId="1CEF3D8E" w14:textId="77777777" w:rsidTr="007013BC">
        <w:tc>
          <w:tcPr>
            <w:tcW w:w="2409" w:type="dxa"/>
            <w:vAlign w:val="center"/>
          </w:tcPr>
          <w:p w14:paraId="1119DEB9" w14:textId="77777777" w:rsidR="00466BF6" w:rsidRPr="0053677B" w:rsidRDefault="00466BF6" w:rsidP="002239E6">
            <w:pPr>
              <w:pStyle w:val="BodyText"/>
              <w:jc w:val="center"/>
            </w:pPr>
            <w:r w:rsidRPr="0053677B">
              <w:t>Overall risk rating</w:t>
            </w:r>
          </w:p>
        </w:tc>
        <w:tc>
          <w:tcPr>
            <w:tcW w:w="2410" w:type="dxa"/>
            <w:shd w:val="clear" w:color="auto" w:fill="FF0000"/>
            <w:vAlign w:val="center"/>
          </w:tcPr>
          <w:p w14:paraId="28820B7E" w14:textId="77777777" w:rsidR="00466BF6" w:rsidRDefault="00466BF6" w:rsidP="002239E6">
            <w:pPr>
              <w:pStyle w:val="BodyText"/>
              <w:jc w:val="center"/>
            </w:pPr>
            <w:r>
              <w:t>High</w:t>
            </w:r>
          </w:p>
        </w:tc>
        <w:tc>
          <w:tcPr>
            <w:tcW w:w="2410" w:type="dxa"/>
            <w:shd w:val="clear" w:color="auto" w:fill="FF0000"/>
            <w:vAlign w:val="center"/>
          </w:tcPr>
          <w:p w14:paraId="1FFFA1AA" w14:textId="77777777" w:rsidR="00466BF6" w:rsidRDefault="00466BF6" w:rsidP="002239E6">
            <w:pPr>
              <w:pStyle w:val="BodyText"/>
              <w:jc w:val="center"/>
            </w:pPr>
            <w:r>
              <w:t>High</w:t>
            </w:r>
          </w:p>
        </w:tc>
        <w:tc>
          <w:tcPr>
            <w:tcW w:w="2410" w:type="dxa"/>
            <w:shd w:val="clear" w:color="auto" w:fill="FFFF00"/>
            <w:vAlign w:val="center"/>
          </w:tcPr>
          <w:p w14:paraId="2CE9B5C6" w14:textId="77777777" w:rsidR="00466BF6" w:rsidRDefault="00466BF6" w:rsidP="002239E6">
            <w:pPr>
              <w:pStyle w:val="BodyText"/>
              <w:jc w:val="center"/>
            </w:pPr>
            <w:r>
              <w:t>Medium</w:t>
            </w:r>
          </w:p>
        </w:tc>
      </w:tr>
    </w:tbl>
    <w:p w14:paraId="21193526" w14:textId="3BAB5ED8"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35</w:t>
      </w:r>
      <w:r w:rsidR="000B6788" w:rsidRPr="00B6162A">
        <w:rPr>
          <w:bCs/>
          <w:noProof/>
        </w:rPr>
        <w:fldChar w:fldCharType="end"/>
      </w:r>
      <w:r w:rsidRPr="00FF310C">
        <w:t>. Beech Finger-fern risk ratings in the Central Highland RFA region only:  </w:t>
      </w:r>
    </w:p>
    <w:tbl>
      <w:tblPr>
        <w:tblStyle w:val="TableGrid"/>
        <w:tblW w:w="7230" w:type="dxa"/>
        <w:tblLook w:val="04A0" w:firstRow="1" w:lastRow="0" w:firstColumn="1" w:lastColumn="0" w:noHBand="0" w:noVBand="1"/>
      </w:tblPr>
      <w:tblGrid>
        <w:gridCol w:w="2410"/>
        <w:gridCol w:w="2410"/>
        <w:gridCol w:w="2410"/>
      </w:tblGrid>
      <w:tr w:rsidR="00466BF6" w14:paraId="349CFFE4"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vAlign w:val="center"/>
          </w:tcPr>
          <w:p w14:paraId="5F18ADFF" w14:textId="77777777" w:rsidR="00466BF6" w:rsidRPr="00643008" w:rsidRDefault="00466BF6" w:rsidP="006670D2">
            <w:pPr>
              <w:pStyle w:val="CaptionImageorFigure"/>
            </w:pPr>
          </w:p>
        </w:tc>
        <w:tc>
          <w:tcPr>
            <w:tcW w:w="2410" w:type="dxa"/>
            <w:vAlign w:val="center"/>
          </w:tcPr>
          <w:p w14:paraId="50D7FC82" w14:textId="7A65E303" w:rsidR="00466BF6" w:rsidRPr="00643008" w:rsidRDefault="003809F2"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466BF6">
              <w:t>orestry operations</w:t>
            </w:r>
          </w:p>
        </w:tc>
        <w:tc>
          <w:tcPr>
            <w:tcW w:w="2410" w:type="dxa"/>
            <w:vAlign w:val="center"/>
          </w:tcPr>
          <w:p w14:paraId="08FEDE26"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466BF6" w14:paraId="21949C65" w14:textId="77777777" w:rsidTr="00296E0F">
        <w:tc>
          <w:tcPr>
            <w:tcW w:w="2410" w:type="dxa"/>
            <w:vAlign w:val="center"/>
          </w:tcPr>
          <w:p w14:paraId="0611AE7D" w14:textId="77777777" w:rsidR="00466BF6" w:rsidRPr="0053677B" w:rsidRDefault="00466BF6" w:rsidP="002239E6">
            <w:pPr>
              <w:pStyle w:val="BodyText"/>
              <w:jc w:val="center"/>
            </w:pPr>
            <w:r w:rsidRPr="0053677B">
              <w:t>Consequence</w:t>
            </w:r>
          </w:p>
        </w:tc>
        <w:tc>
          <w:tcPr>
            <w:tcW w:w="2410" w:type="dxa"/>
            <w:vAlign w:val="center"/>
          </w:tcPr>
          <w:p w14:paraId="6F5FB106" w14:textId="77777777" w:rsidR="00466BF6" w:rsidRDefault="00466BF6" w:rsidP="002239E6">
            <w:pPr>
              <w:pStyle w:val="BodyText"/>
              <w:jc w:val="center"/>
            </w:pPr>
            <w:r>
              <w:t>Moderate</w:t>
            </w:r>
          </w:p>
        </w:tc>
        <w:tc>
          <w:tcPr>
            <w:tcW w:w="2410" w:type="dxa"/>
            <w:vAlign w:val="center"/>
          </w:tcPr>
          <w:p w14:paraId="45171530" w14:textId="77777777" w:rsidR="00466BF6" w:rsidRDefault="00466BF6" w:rsidP="002239E6">
            <w:pPr>
              <w:pStyle w:val="BodyText"/>
              <w:jc w:val="center"/>
            </w:pPr>
            <w:r>
              <w:t>Moderate</w:t>
            </w:r>
          </w:p>
        </w:tc>
      </w:tr>
      <w:tr w:rsidR="00466BF6" w14:paraId="33332B70" w14:textId="77777777" w:rsidTr="00296E0F">
        <w:tc>
          <w:tcPr>
            <w:tcW w:w="2410" w:type="dxa"/>
            <w:vAlign w:val="center"/>
          </w:tcPr>
          <w:p w14:paraId="5D408CE1" w14:textId="77777777" w:rsidR="00466BF6" w:rsidRPr="0053677B" w:rsidRDefault="00466BF6" w:rsidP="002239E6">
            <w:pPr>
              <w:pStyle w:val="BodyText"/>
              <w:jc w:val="center"/>
            </w:pPr>
            <w:r w:rsidRPr="0053677B">
              <w:t>Likelihood</w:t>
            </w:r>
          </w:p>
        </w:tc>
        <w:tc>
          <w:tcPr>
            <w:tcW w:w="2410" w:type="dxa"/>
            <w:vAlign w:val="center"/>
          </w:tcPr>
          <w:p w14:paraId="10698ACD" w14:textId="77777777" w:rsidR="00466BF6" w:rsidRDefault="00466BF6" w:rsidP="002239E6">
            <w:pPr>
              <w:pStyle w:val="BodyText"/>
              <w:jc w:val="center"/>
            </w:pPr>
            <w:r>
              <w:t>Possible</w:t>
            </w:r>
          </w:p>
        </w:tc>
        <w:tc>
          <w:tcPr>
            <w:tcW w:w="2410" w:type="dxa"/>
            <w:vAlign w:val="center"/>
          </w:tcPr>
          <w:p w14:paraId="3BFEA600" w14:textId="77777777" w:rsidR="00466BF6" w:rsidRDefault="00466BF6" w:rsidP="002239E6">
            <w:pPr>
              <w:pStyle w:val="BodyText"/>
              <w:jc w:val="center"/>
            </w:pPr>
            <w:r>
              <w:t>Likely</w:t>
            </w:r>
          </w:p>
        </w:tc>
      </w:tr>
      <w:tr w:rsidR="00466BF6" w14:paraId="4EA7B7F0" w14:textId="77777777" w:rsidTr="00296E0F">
        <w:tc>
          <w:tcPr>
            <w:tcW w:w="2410" w:type="dxa"/>
            <w:vAlign w:val="center"/>
          </w:tcPr>
          <w:p w14:paraId="4D162E92" w14:textId="77777777" w:rsidR="00466BF6" w:rsidRPr="0053677B" w:rsidRDefault="00466BF6" w:rsidP="002239E6">
            <w:pPr>
              <w:pStyle w:val="BodyText"/>
              <w:jc w:val="center"/>
            </w:pPr>
            <w:r w:rsidRPr="0053677B">
              <w:t>Overall risk rating</w:t>
            </w:r>
          </w:p>
        </w:tc>
        <w:tc>
          <w:tcPr>
            <w:tcW w:w="2410" w:type="dxa"/>
            <w:shd w:val="clear" w:color="auto" w:fill="FFFF00"/>
            <w:vAlign w:val="center"/>
          </w:tcPr>
          <w:p w14:paraId="67056A6F" w14:textId="77777777" w:rsidR="00466BF6" w:rsidRDefault="00466BF6" w:rsidP="002239E6">
            <w:pPr>
              <w:pStyle w:val="BodyText"/>
              <w:jc w:val="center"/>
            </w:pPr>
            <w:r>
              <w:t>Medium</w:t>
            </w:r>
          </w:p>
        </w:tc>
        <w:tc>
          <w:tcPr>
            <w:tcW w:w="2410" w:type="dxa"/>
            <w:shd w:val="clear" w:color="auto" w:fill="FFC000"/>
            <w:vAlign w:val="center"/>
          </w:tcPr>
          <w:p w14:paraId="55D10488" w14:textId="77777777" w:rsidR="00466BF6" w:rsidRDefault="00466BF6" w:rsidP="002239E6">
            <w:pPr>
              <w:pStyle w:val="BodyText"/>
              <w:jc w:val="center"/>
            </w:pPr>
            <w:r>
              <w:t>Significant</w:t>
            </w:r>
          </w:p>
        </w:tc>
      </w:tr>
    </w:tbl>
    <w:p w14:paraId="1348468F" w14:textId="044A0091"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36</w:t>
      </w:r>
      <w:r w:rsidR="000B6788" w:rsidRPr="00B6162A">
        <w:rPr>
          <w:bCs/>
          <w:noProof/>
        </w:rPr>
        <w:fldChar w:fldCharType="end"/>
      </w:r>
      <w:r w:rsidRPr="00FF310C">
        <w:t>. Beech Finger-fern risk ratings in the Gippsland RFA region only:  </w:t>
      </w:r>
    </w:p>
    <w:tbl>
      <w:tblPr>
        <w:tblStyle w:val="TableGrid"/>
        <w:tblW w:w="7230" w:type="dxa"/>
        <w:tblLayout w:type="fixed"/>
        <w:tblLook w:val="04A0" w:firstRow="1" w:lastRow="0" w:firstColumn="1" w:lastColumn="0" w:noHBand="0" w:noVBand="1"/>
      </w:tblPr>
      <w:tblGrid>
        <w:gridCol w:w="2410"/>
        <w:gridCol w:w="2410"/>
        <w:gridCol w:w="2410"/>
      </w:tblGrid>
      <w:tr w:rsidR="00466BF6" w14:paraId="3D73C77A"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vAlign w:val="center"/>
          </w:tcPr>
          <w:p w14:paraId="56C7A3A8" w14:textId="77777777" w:rsidR="00466BF6" w:rsidRPr="00643008" w:rsidRDefault="00466BF6" w:rsidP="006670D2">
            <w:pPr>
              <w:pStyle w:val="CaptionImageorFigure"/>
            </w:pPr>
          </w:p>
        </w:tc>
        <w:tc>
          <w:tcPr>
            <w:tcW w:w="2410" w:type="dxa"/>
            <w:vAlign w:val="center"/>
          </w:tcPr>
          <w:p w14:paraId="43DE375A" w14:textId="77777777" w:rsidR="00466BF6" w:rsidRPr="00643008"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c>
          <w:tcPr>
            <w:tcW w:w="2410" w:type="dxa"/>
            <w:vAlign w:val="center"/>
          </w:tcPr>
          <w:p w14:paraId="3EFE50EF"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466BF6" w14:paraId="6399F595" w14:textId="77777777" w:rsidTr="00296E0F">
        <w:tc>
          <w:tcPr>
            <w:tcW w:w="2410" w:type="dxa"/>
            <w:vAlign w:val="center"/>
          </w:tcPr>
          <w:p w14:paraId="1DB86751" w14:textId="77777777" w:rsidR="00466BF6" w:rsidRPr="0053677B" w:rsidRDefault="00466BF6" w:rsidP="002239E6">
            <w:pPr>
              <w:pStyle w:val="BodyText"/>
              <w:jc w:val="center"/>
            </w:pPr>
            <w:r w:rsidRPr="0053677B">
              <w:t>Consequence</w:t>
            </w:r>
          </w:p>
        </w:tc>
        <w:tc>
          <w:tcPr>
            <w:tcW w:w="2410" w:type="dxa"/>
            <w:vAlign w:val="center"/>
          </w:tcPr>
          <w:p w14:paraId="466059A7" w14:textId="77777777" w:rsidR="00466BF6" w:rsidRDefault="00466BF6" w:rsidP="002239E6">
            <w:pPr>
              <w:pStyle w:val="BodyText"/>
              <w:jc w:val="center"/>
            </w:pPr>
            <w:r>
              <w:t>Major</w:t>
            </w:r>
          </w:p>
        </w:tc>
        <w:tc>
          <w:tcPr>
            <w:tcW w:w="2410" w:type="dxa"/>
            <w:vAlign w:val="center"/>
          </w:tcPr>
          <w:p w14:paraId="795C4397" w14:textId="77777777" w:rsidR="00466BF6" w:rsidRDefault="00466BF6" w:rsidP="002239E6">
            <w:pPr>
              <w:pStyle w:val="BodyText"/>
              <w:jc w:val="center"/>
            </w:pPr>
            <w:r>
              <w:t>Moderate</w:t>
            </w:r>
          </w:p>
        </w:tc>
      </w:tr>
      <w:tr w:rsidR="00466BF6" w14:paraId="0112B92D" w14:textId="77777777" w:rsidTr="00296E0F">
        <w:tc>
          <w:tcPr>
            <w:tcW w:w="2410" w:type="dxa"/>
            <w:vAlign w:val="center"/>
          </w:tcPr>
          <w:p w14:paraId="246F4D8A" w14:textId="77777777" w:rsidR="00466BF6" w:rsidRPr="0053677B" w:rsidRDefault="00466BF6" w:rsidP="002239E6">
            <w:pPr>
              <w:pStyle w:val="BodyText"/>
              <w:jc w:val="center"/>
            </w:pPr>
            <w:r w:rsidRPr="0053677B">
              <w:t>Likelihood</w:t>
            </w:r>
          </w:p>
        </w:tc>
        <w:tc>
          <w:tcPr>
            <w:tcW w:w="2410" w:type="dxa"/>
            <w:vAlign w:val="center"/>
          </w:tcPr>
          <w:p w14:paraId="5CFE7D00" w14:textId="77777777" w:rsidR="00466BF6" w:rsidRDefault="00466BF6" w:rsidP="002239E6">
            <w:pPr>
              <w:pStyle w:val="BodyText"/>
              <w:jc w:val="center"/>
            </w:pPr>
            <w:r>
              <w:t>Possible</w:t>
            </w:r>
          </w:p>
        </w:tc>
        <w:tc>
          <w:tcPr>
            <w:tcW w:w="2410" w:type="dxa"/>
            <w:vAlign w:val="center"/>
          </w:tcPr>
          <w:p w14:paraId="2A0E48FC" w14:textId="77777777" w:rsidR="00466BF6" w:rsidRDefault="00466BF6" w:rsidP="002239E6">
            <w:pPr>
              <w:pStyle w:val="BodyText"/>
              <w:jc w:val="center"/>
            </w:pPr>
            <w:r>
              <w:t>Likely</w:t>
            </w:r>
          </w:p>
        </w:tc>
      </w:tr>
      <w:tr w:rsidR="00466BF6" w14:paraId="7D40F496" w14:textId="77777777" w:rsidTr="00296E0F">
        <w:tc>
          <w:tcPr>
            <w:tcW w:w="2410" w:type="dxa"/>
            <w:vAlign w:val="center"/>
          </w:tcPr>
          <w:p w14:paraId="4656ADB7" w14:textId="77777777" w:rsidR="00466BF6" w:rsidRPr="0053677B" w:rsidRDefault="00466BF6" w:rsidP="002239E6">
            <w:pPr>
              <w:pStyle w:val="BodyText"/>
              <w:jc w:val="center"/>
            </w:pPr>
            <w:r w:rsidRPr="0053677B">
              <w:t>Overall risk rating</w:t>
            </w:r>
          </w:p>
        </w:tc>
        <w:tc>
          <w:tcPr>
            <w:tcW w:w="2410" w:type="dxa"/>
            <w:shd w:val="clear" w:color="auto" w:fill="FFC000"/>
            <w:vAlign w:val="center"/>
          </w:tcPr>
          <w:p w14:paraId="0653326E" w14:textId="77777777" w:rsidR="00466BF6" w:rsidRDefault="00466BF6" w:rsidP="002239E6">
            <w:pPr>
              <w:pStyle w:val="BodyText"/>
              <w:jc w:val="center"/>
            </w:pPr>
            <w:r>
              <w:t>Significant</w:t>
            </w:r>
          </w:p>
        </w:tc>
        <w:tc>
          <w:tcPr>
            <w:tcW w:w="2410" w:type="dxa"/>
            <w:shd w:val="clear" w:color="auto" w:fill="FFC000"/>
            <w:vAlign w:val="center"/>
          </w:tcPr>
          <w:p w14:paraId="40C268F2" w14:textId="77777777" w:rsidR="00466BF6" w:rsidRDefault="00466BF6" w:rsidP="002239E6">
            <w:pPr>
              <w:pStyle w:val="BodyText"/>
              <w:jc w:val="center"/>
            </w:pPr>
            <w:r>
              <w:t>Significant</w:t>
            </w:r>
          </w:p>
        </w:tc>
      </w:tr>
    </w:tbl>
    <w:p w14:paraId="3FF4152E" w14:textId="77777777" w:rsidR="00466BF6" w:rsidRDefault="00466BF6" w:rsidP="007E5EBF">
      <w:pPr>
        <w:pStyle w:val="Heading3"/>
      </w:pPr>
      <w:bookmarkStart w:id="50" w:name="_Toc88725182"/>
      <w:bookmarkStart w:id="51" w:name="_Toc88725183"/>
      <w:bookmarkStart w:id="52" w:name="_Toc88725184"/>
      <w:bookmarkStart w:id="53" w:name="_Toc88725185"/>
      <w:bookmarkStart w:id="54" w:name="_Toc88725186"/>
      <w:bookmarkEnd w:id="50"/>
      <w:bookmarkEnd w:id="51"/>
      <w:bookmarkEnd w:id="52"/>
      <w:bookmarkEnd w:id="53"/>
      <w:r>
        <w:t>Climate change; Fire</w:t>
      </w:r>
      <w:bookmarkEnd w:id="54"/>
    </w:p>
    <w:p w14:paraId="11DD54C3" w14:textId="77777777" w:rsidR="00466BF6" w:rsidRPr="001C0DE0" w:rsidRDefault="00466BF6" w:rsidP="00466BF6">
      <w:pPr>
        <w:pStyle w:val="Heading5"/>
        <w:numPr>
          <w:ilvl w:val="0"/>
          <w:numId w:val="0"/>
        </w:numPr>
        <w:ind w:left="1008" w:hanging="1008"/>
      </w:pPr>
      <w:r>
        <w:t>Drought and increased fire frequency and intensity </w:t>
      </w:r>
    </w:p>
    <w:p w14:paraId="4FC71B53" w14:textId="5FB0AD33" w:rsidR="00466BF6" w:rsidRPr="00E44374" w:rsidRDefault="00466BF6" w:rsidP="00466BF6">
      <w:pPr>
        <w:pStyle w:val="BodyText"/>
      </w:pPr>
      <w:r>
        <w:t xml:space="preserve">Drought and increased fire frequency and intensity have been combined here due to the close relationship between the two hazards. The </w:t>
      </w:r>
      <w:r w:rsidR="00DE0CEC">
        <w:t>sub</w:t>
      </w:r>
      <w:r w:rsidR="00D050DB">
        <w:t>species</w:t>
      </w:r>
      <w:r>
        <w:t xml:space="preserve"> is unusual amongst Victorian epiphytic ferns in being commonly reported growing on the stems of Musk Daisy-bush (</w:t>
      </w:r>
      <w:r w:rsidRPr="00704719">
        <w:rPr>
          <w:i/>
          <w:iCs/>
        </w:rPr>
        <w:t>Olearia argophylla</w:t>
      </w:r>
      <w:r>
        <w:t>) rather than Soft Tree-fern (</w:t>
      </w:r>
      <w:r w:rsidRPr="00704719">
        <w:rPr>
          <w:i/>
          <w:iCs/>
        </w:rPr>
        <w:t>Dicksonia antarctica</w:t>
      </w:r>
      <w:r>
        <w:t>) which is the favoured host of almost all other Victorian epiphytes. Since Musk Daisy-bush typically occupies drier, upslope and often ecotonal rainforest sites, as well as moist sites in Wet Forest, Montane Wet Forest or Riparian Forest, Beech Finger-fern is at risk of greater exposure to fire, desiccating winds</w:t>
      </w:r>
      <w:r w:rsidR="00746584">
        <w:t>,</w:t>
      </w:r>
      <w:r>
        <w:t xml:space="preserve"> and insolation than all other </w:t>
      </w:r>
      <w:r w:rsidRPr="00704719">
        <w:rPr>
          <w:i/>
          <w:iCs/>
        </w:rPr>
        <w:t>Notogrammitis</w:t>
      </w:r>
      <w:r>
        <w:t xml:space="preserve"> taxa. Habitat loss from accrued impacts of decades of drought, high summer temperatures and catastrophic bushfires can result in the sudden decline in the extent of structurally mature Cool Temperate Rainforest and </w:t>
      </w:r>
      <w:r w:rsidR="007276C8">
        <w:t>old growth</w:t>
      </w:r>
      <w:r>
        <w:t xml:space="preserve"> stands of Wet Forest which are the critical habitat of the </w:t>
      </w:r>
      <w:r w:rsidR="00DE0CEC">
        <w:t>sub</w:t>
      </w:r>
      <w:r w:rsidR="00D050DB">
        <w:t>species</w:t>
      </w:r>
      <w:r>
        <w:t>.</w:t>
      </w:r>
      <w:r w:rsidRPr="00141DDF">
        <w:t xml:space="preserve"> </w:t>
      </w:r>
      <w:r w:rsidRPr="00704719">
        <w:t xml:space="preserve">When a large fire hits a rainforest or mature stand of Wet Forest with sufficient intensity to destroy the rainforest canopy or understorey tree stratum, there is a high chance of sclerophyll invasion (typically </w:t>
      </w:r>
      <w:r>
        <w:t>e</w:t>
      </w:r>
      <w:r w:rsidRPr="00704719">
        <w:t xml:space="preserve">ucalypts) or stand replacement by more fire-tolerant sclerophyll </w:t>
      </w:r>
      <w:r>
        <w:t>taxa</w:t>
      </w:r>
      <w:r w:rsidRPr="00704719">
        <w:t xml:space="preserve">. Many examples of this have been seen where stands of rainforest have been impacted by severe fire events. Whilst the </w:t>
      </w:r>
      <w:r w:rsidR="00DE0CEC">
        <w:t>sub</w:t>
      </w:r>
      <w:r w:rsidR="00D050DB">
        <w:t>species</w:t>
      </w:r>
      <w:r w:rsidRPr="00704719">
        <w:t xml:space="preserve"> has the capacity to resprout from established rhizomes immediately post-fire, clones</w:t>
      </w:r>
      <w:r>
        <w:t xml:space="preserve"> </w:t>
      </w:r>
      <w:r w:rsidRPr="00704719">
        <w:t xml:space="preserve">in sites which undergo succession to drier </w:t>
      </w:r>
      <w:r>
        <w:t>e</w:t>
      </w:r>
      <w:r w:rsidRPr="00704719">
        <w:t>ucalypt forest are projected to undergo significant desiccation and dramatically increased insolation, both projected to result in the wilting and death of these occurrences</w:t>
      </w:r>
      <w:r>
        <w:t xml:space="preserve">. </w:t>
      </w:r>
      <w:r w:rsidRPr="00704719">
        <w:rPr>
          <w:rStyle w:val="BodyTextChar"/>
        </w:rPr>
        <w:t xml:space="preserve">The </w:t>
      </w:r>
      <w:r w:rsidR="00DE0CEC">
        <w:rPr>
          <w:rStyle w:val="BodyTextChar"/>
        </w:rPr>
        <w:t>sub</w:t>
      </w:r>
      <w:r w:rsidR="00D050DB">
        <w:rPr>
          <w:rStyle w:val="BodyTextChar"/>
        </w:rPr>
        <w:t>species</w:t>
      </w:r>
      <w:r w:rsidRPr="00704719">
        <w:rPr>
          <w:rStyle w:val="BodyTextChar"/>
        </w:rPr>
        <w:t xml:space="preserve"> is at high stochastic risk of elimination and local extinction given </w:t>
      </w:r>
      <w:r>
        <w:rPr>
          <w:rStyle w:val="BodyTextChar"/>
        </w:rPr>
        <w:t>its</w:t>
      </w:r>
      <w:r w:rsidRPr="00704719">
        <w:rPr>
          <w:rStyle w:val="BodyTextChar"/>
        </w:rPr>
        <w:t xml:space="preserve"> solitary rather than colonial habit</w:t>
      </w:r>
      <w:r>
        <w:rPr>
          <w:rStyle w:val="BodyTextChar"/>
        </w:rPr>
        <w:t>,</w:t>
      </w:r>
      <w:r w:rsidRPr="00704719">
        <w:rPr>
          <w:rStyle w:val="BodyTextChar"/>
        </w:rPr>
        <w:t xml:space="preserve"> and the observation that it usually occurs singly or as a few plants.</w:t>
      </w:r>
      <w:r w:rsidRPr="0023220B">
        <w:rPr>
          <w:rFonts w:ascii="Calibri" w:hAnsi="Calibri" w:cs="Calibri"/>
          <w:color w:val="000000"/>
          <w:sz w:val="22"/>
          <w:szCs w:val="22"/>
        </w:rPr>
        <w:t xml:space="preserve"> </w:t>
      </w:r>
      <w:r>
        <w:t xml:space="preserve">Altered fire regimes under climate change are projected to continue to threaten this </w:t>
      </w:r>
      <w:r w:rsidR="00DE0CEC">
        <w:t>sub</w:t>
      </w:r>
      <w:r w:rsidR="00D050DB">
        <w:t>species</w:t>
      </w:r>
      <w:r>
        <w:t xml:space="preserve"> and its habitat</w:t>
      </w:r>
      <w:r w:rsidR="004A60D3">
        <w:t>,</w:t>
      </w:r>
      <w:r>
        <w:t xml:space="preserve"> with each catastrophic fire event resulting </w:t>
      </w:r>
      <w:r w:rsidR="00623279">
        <w:t xml:space="preserve">in </w:t>
      </w:r>
      <w:r>
        <w:t>incremental impacts which accrue over decades.</w:t>
      </w:r>
      <w:r w:rsidR="00B0304F">
        <w:t xml:space="preserve"> </w:t>
      </w:r>
      <w:r>
        <w:t xml:space="preserve">The </w:t>
      </w:r>
      <w:r w:rsidR="00DE0CEC">
        <w:t>sub</w:t>
      </w:r>
      <w:r w:rsidR="00FF1888">
        <w:t>species</w:t>
      </w:r>
      <w:r>
        <w:t xml:space="preserve"> is likely to be threatened by trampling and antler rubbing from Sambar deer which tend to congregate in </w:t>
      </w:r>
      <w:r w:rsidRPr="00E44374">
        <w:t xml:space="preserve">mesic habitats in gullies and on lower slopes, particularly following intense landscape-scale bushfires. </w:t>
      </w:r>
      <w:r w:rsidR="00E44513">
        <w:t xml:space="preserve">These hazards extend across all populations of the </w:t>
      </w:r>
      <w:r w:rsidR="00DE0CEC">
        <w:t>sub</w:t>
      </w:r>
      <w:r w:rsidR="00FF1888">
        <w:t>species</w:t>
      </w:r>
      <w:r w:rsidR="00E44513" w:rsidRPr="00277B1B">
        <w:rPr>
          <w:rStyle w:val="BodyTextChar"/>
        </w:rPr>
        <w:t>.</w:t>
      </w:r>
    </w:p>
    <w:p w14:paraId="2470243C" w14:textId="77777777" w:rsidR="00466BF6" w:rsidRPr="00E44374" w:rsidRDefault="00466BF6" w:rsidP="00466BF6">
      <w:pPr>
        <w:pStyle w:val="BodyText"/>
      </w:pPr>
      <w:r w:rsidRPr="00E44374">
        <w:t>Current existing controls for this hazard include:</w:t>
      </w:r>
    </w:p>
    <w:p w14:paraId="7D2AC68B" w14:textId="5E0D4CA8" w:rsidR="00466BF6" w:rsidRPr="00E44374" w:rsidRDefault="00466BF6" w:rsidP="006670D2">
      <w:pPr>
        <w:pStyle w:val="PullOutBoxBullet"/>
      </w:pPr>
      <w:r w:rsidRPr="00E44374">
        <w:t xml:space="preserve">Planned burning. This control is considered ineffective in this case as the </w:t>
      </w:r>
      <w:r w:rsidR="00DE0CEC">
        <w:t>sub</w:t>
      </w:r>
      <w:r w:rsidRPr="00E44374">
        <w:t xml:space="preserve">species’ habitat is generally not suitable for planned burning. Strategic </w:t>
      </w:r>
      <w:r w:rsidR="007276C8" w:rsidRPr="00E44374">
        <w:t>fuel breaks</w:t>
      </w:r>
      <w:r w:rsidRPr="00E44374">
        <w:t xml:space="preserve"> and associated backburning may however provide valuable protection in some cases for this </w:t>
      </w:r>
      <w:r w:rsidR="00DE0CEC">
        <w:t>sub</w:t>
      </w:r>
      <w:r w:rsidRPr="00E44374">
        <w:t>species and its habitat from severe bushfires.</w:t>
      </w:r>
    </w:p>
    <w:p w14:paraId="6D0FBDE7" w14:textId="10C0710A"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37</w:t>
      </w:r>
      <w:r w:rsidR="000B6788" w:rsidRPr="00B6162A">
        <w:rPr>
          <w:bCs/>
          <w:noProof/>
        </w:rPr>
        <w:fldChar w:fldCharType="end"/>
      </w:r>
      <w:r w:rsidRPr="00FF310C">
        <w:t>. Beech Finger-fern protection requirements and recommendations for drought and increased fire frequency and intensity</w:t>
      </w:r>
    </w:p>
    <w:tbl>
      <w:tblPr>
        <w:tblStyle w:val="TableGrid"/>
        <w:tblW w:w="0" w:type="auto"/>
        <w:tblLook w:val="04A0" w:firstRow="1" w:lastRow="0" w:firstColumn="1" w:lastColumn="0" w:noHBand="0" w:noVBand="1"/>
      </w:tblPr>
      <w:tblGrid>
        <w:gridCol w:w="2268"/>
        <w:gridCol w:w="7371"/>
      </w:tblGrid>
      <w:tr w:rsidR="00466BF6" w:rsidRPr="00867DAA" w14:paraId="40561DE1"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FF5270E" w14:textId="77777777" w:rsidR="00466BF6" w:rsidRPr="00704719" w:rsidRDefault="00466BF6" w:rsidP="005611CD">
            <w:pPr>
              <w:pStyle w:val="BodyText"/>
            </w:pPr>
            <w:r w:rsidRPr="00704719">
              <w:t>Requirement</w:t>
            </w:r>
          </w:p>
        </w:tc>
        <w:tc>
          <w:tcPr>
            <w:tcW w:w="7371" w:type="dxa"/>
          </w:tcPr>
          <w:p w14:paraId="4AE7F95C" w14:textId="77777777" w:rsidR="00466BF6" w:rsidRPr="00704719" w:rsidRDefault="00466BF6" w:rsidP="005611CD">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75648C1D" w14:textId="77777777" w:rsidTr="005611CD">
        <w:tc>
          <w:tcPr>
            <w:tcW w:w="2268" w:type="dxa"/>
          </w:tcPr>
          <w:p w14:paraId="42C52A50" w14:textId="0DDD00A3" w:rsidR="00466BF6" w:rsidRPr="00867DAA" w:rsidRDefault="00362E0D" w:rsidP="005611CD">
            <w:pPr>
              <w:pStyle w:val="BodyText"/>
            </w:pPr>
            <w:r>
              <w:t>Priority management actions</w:t>
            </w:r>
          </w:p>
        </w:tc>
        <w:tc>
          <w:tcPr>
            <w:tcW w:w="7371" w:type="dxa"/>
          </w:tcPr>
          <w:p w14:paraId="20F51648" w14:textId="77777777" w:rsidR="00466BF6" w:rsidRPr="00200995" w:rsidRDefault="00466BF6" w:rsidP="005611CD">
            <w:pPr>
              <w:pStyle w:val="BodyText"/>
            </w:pPr>
            <w:r w:rsidRPr="00200995">
              <w:t>Not required for th</w:t>
            </w:r>
            <w:r>
              <w:t>ese</w:t>
            </w:r>
            <w:r w:rsidRPr="00200995">
              <w:t xml:space="preserve"> hazard</w:t>
            </w:r>
            <w:r>
              <w:t>s</w:t>
            </w:r>
            <w:r w:rsidRPr="00200995">
              <w:t xml:space="preserve"> </w:t>
            </w:r>
            <w:r>
              <w:t>as they are longer-term threats.</w:t>
            </w:r>
          </w:p>
        </w:tc>
      </w:tr>
      <w:tr w:rsidR="00466BF6" w:rsidRPr="00867DAA" w14:paraId="6D5A6BA7" w14:textId="77777777" w:rsidTr="005611CD">
        <w:tc>
          <w:tcPr>
            <w:tcW w:w="2268" w:type="dxa"/>
          </w:tcPr>
          <w:p w14:paraId="692154EA" w14:textId="2109AF88" w:rsidR="00466BF6" w:rsidRPr="00867DAA" w:rsidRDefault="00362E0D" w:rsidP="005611CD">
            <w:pPr>
              <w:pStyle w:val="BodyText"/>
            </w:pPr>
            <w:r>
              <w:t>Potential m</w:t>
            </w:r>
            <w:r w:rsidR="00466BF6" w:rsidRPr="00867DAA">
              <w:t>anagement actions</w:t>
            </w:r>
          </w:p>
        </w:tc>
        <w:tc>
          <w:tcPr>
            <w:tcW w:w="7371" w:type="dxa"/>
          </w:tcPr>
          <w:p w14:paraId="3EC381E1" w14:textId="77777777" w:rsidR="00466BF6" w:rsidRPr="00704719" w:rsidRDefault="00466BF6" w:rsidP="006670D2">
            <w:pPr>
              <w:pStyle w:val="PullOutBoxBullet"/>
            </w:pPr>
            <w:r>
              <w:t>Undertake targeted removal of eucalypts invading former rainforest within the first 1 to 3 years following an intense bushfire.</w:t>
            </w:r>
          </w:p>
        </w:tc>
      </w:tr>
    </w:tbl>
    <w:p w14:paraId="40E0DA7B" w14:textId="77777777" w:rsidR="00466BF6" w:rsidRDefault="00466BF6" w:rsidP="007E5EBF">
      <w:pPr>
        <w:pStyle w:val="Heading3"/>
      </w:pPr>
      <w:bookmarkStart w:id="55" w:name="_Toc88725187"/>
      <w:bookmarkStart w:id="56" w:name="_Toc88725188"/>
      <w:bookmarkStart w:id="57" w:name="_Toc88725189"/>
      <w:bookmarkStart w:id="58" w:name="_Toc88725190"/>
      <w:bookmarkStart w:id="59" w:name="_Toc88725191"/>
      <w:bookmarkStart w:id="60" w:name="_Toc88725192"/>
      <w:bookmarkStart w:id="61" w:name="_Toc88725193"/>
      <w:bookmarkStart w:id="62" w:name="_Toc88725194"/>
      <w:bookmarkStart w:id="63" w:name="_Toc88725195"/>
      <w:bookmarkStart w:id="64" w:name="_Toc88725196"/>
      <w:bookmarkStart w:id="65" w:name="_Toc88725197"/>
      <w:bookmarkStart w:id="66" w:name="_Toc88725198"/>
      <w:bookmarkStart w:id="67" w:name="_Toc88725199"/>
      <w:bookmarkStart w:id="68" w:name="_Toc88725201"/>
      <w:bookmarkStart w:id="69" w:name="_Toc88725202"/>
      <w:bookmarkStart w:id="70" w:name="_Toc88725204"/>
      <w:bookmarkStart w:id="71" w:name="_Toc88725205"/>
      <w:bookmarkStart w:id="72" w:name="_Toc88725207"/>
      <w:bookmarkStart w:id="73" w:name="_Toc88725208"/>
      <w:bookmarkStart w:id="74" w:name="_Toc88725210"/>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t>Fire</w:t>
      </w:r>
      <w:bookmarkEnd w:id="74"/>
    </w:p>
    <w:p w14:paraId="0D2A816B" w14:textId="77777777" w:rsidR="00466BF6" w:rsidRPr="00B402EA" w:rsidRDefault="00466BF6" w:rsidP="00466BF6">
      <w:pPr>
        <w:pStyle w:val="Heading5"/>
        <w:numPr>
          <w:ilvl w:val="0"/>
          <w:numId w:val="0"/>
        </w:numPr>
        <w:ind w:left="1008" w:hanging="1008"/>
      </w:pPr>
      <w:r w:rsidRPr="00B402EA">
        <w:t>P</w:t>
      </w:r>
      <w:r>
        <w:t>lanned</w:t>
      </w:r>
      <w:r w:rsidRPr="00B402EA">
        <w:t xml:space="preserve"> b</w:t>
      </w:r>
      <w:r w:rsidRPr="007935D4">
        <w:rPr>
          <w:rStyle w:val="Heading5Char"/>
          <w:i/>
        </w:rPr>
        <w:t>urning</w:t>
      </w:r>
    </w:p>
    <w:p w14:paraId="32B3AC74" w14:textId="0B9FA603" w:rsidR="00466BF6" w:rsidRDefault="00466BF6" w:rsidP="00466BF6">
      <w:pPr>
        <w:pStyle w:val="BodyText"/>
      </w:pPr>
      <w:r>
        <w:t xml:space="preserve">Traditionally, planned burns in the general vicinity of rainforest and other riparian vegetation have been reliant on differential moisture gradients to reduce the intensity and impact of fire on all fire-sensitive vegetation types in the </w:t>
      </w:r>
      <w:r w:rsidRPr="00F26BEE">
        <w:t>riparian environment. Whilst this approach has often worked satisfactorily in the past, recent climate change projections (</w:t>
      </w:r>
      <w:r w:rsidR="00D5127F">
        <w:t>CSIRO &amp; Bureau of Meteorology 2020</w:t>
      </w:r>
      <w:r w:rsidRPr="00F26BEE">
        <w:t>) demonstrate</w:t>
      </w:r>
      <w:r>
        <w:t xml:space="preserve"> the increasing risk of even well-controlled planned burns entering rainforest and its buffers. </w:t>
      </w:r>
    </w:p>
    <w:p w14:paraId="31EBBC07" w14:textId="4DC69C97" w:rsidR="00466BF6" w:rsidRDefault="00466BF6" w:rsidP="00466BF6">
      <w:pPr>
        <w:pStyle w:val="BodyText"/>
      </w:pPr>
      <w:r>
        <w:t xml:space="preserve">All fire in the ecotonal environment threatens to expose fire-sensitive plants to mortality and local extinction. At greatest risk are elevated epiphytes such as filmy ferns and fork ferns which can be killed even by exposure to sun and wind. Fire in the ecotonal environment, with the risk of fire entering mature rainforest stands, risks the destruction of the closed canopy and invasion of sclerophyll taxa such as eucalypts and acacias, although the </w:t>
      </w:r>
      <w:r w:rsidR="00DE0CEC">
        <w:t>sub</w:t>
      </w:r>
      <w:r w:rsidR="00FF1888">
        <w:t>species</w:t>
      </w:r>
      <w:r>
        <w:t xml:space="preserve"> may recover vegetatively from established rootstocks protected within the bark of host trees or rock crusts. Immediately post-fire, surviving plants are likely to decline in health as the maturing eucalypts draw moisture out of the soil, open the understorey to light and drying winds and shed highly flammable leaf and small woody litter which increases the risk of intense future fire.</w:t>
      </w:r>
    </w:p>
    <w:p w14:paraId="3B9922DF" w14:textId="6E7B5F9A" w:rsidR="00466BF6" w:rsidRDefault="00466BF6" w:rsidP="00466BF6">
      <w:pPr>
        <w:pStyle w:val="BodyText"/>
      </w:pPr>
      <w:r>
        <w:t xml:space="preserve">Planned burning acts synergistically with increasing drought stress to increase the risk of mortality or crown death of fire-sensitive plants or fragile rock crusts. This threat extends across 10-25% of the </w:t>
      </w:r>
      <w:r w:rsidR="00DE0CEC">
        <w:t>sub</w:t>
      </w:r>
      <w:r w:rsidR="00FF1888">
        <w:t>species’</w:t>
      </w:r>
      <w:r>
        <w:t xml:space="preserve"> populations.</w:t>
      </w:r>
    </w:p>
    <w:p w14:paraId="7CDBA60A" w14:textId="77777777" w:rsidR="00466BF6" w:rsidRDefault="00466BF6" w:rsidP="00466BF6">
      <w:pPr>
        <w:pStyle w:val="BodyText"/>
      </w:pPr>
      <w:r w:rsidRPr="00660ABA">
        <w:t>Current existing controls for this hazard includ</w:t>
      </w:r>
      <w:r>
        <w:t>e:</w:t>
      </w:r>
    </w:p>
    <w:p w14:paraId="2A1DBCAA" w14:textId="469A995F" w:rsidR="00466BF6" w:rsidRPr="00F26BEE" w:rsidRDefault="00466BF6" w:rsidP="006670D2">
      <w:pPr>
        <w:pStyle w:val="PullOutBoxBullet"/>
      </w:pPr>
      <w:r w:rsidRPr="00F26BEE">
        <w:t xml:space="preserve">Values checking and strategic bushfire management planning. </w:t>
      </w:r>
      <w:r w:rsidR="006F64C2" w:rsidRPr="00D820E6">
        <w:t xml:space="preserve">The effectiveness of these measures has been evaluated as poor at mitigating risk to this </w:t>
      </w:r>
      <w:r w:rsidR="00DE0CEC">
        <w:t>sub</w:t>
      </w:r>
      <w:r w:rsidR="006F64C2" w:rsidRPr="00D820E6">
        <w:t xml:space="preserve">species. Values checking relies on existing site records and modelled distribution, and for some </w:t>
      </w:r>
      <w:r w:rsidR="00F01ECB">
        <w:t>taxa</w:t>
      </w:r>
      <w:r w:rsidR="006F64C2" w:rsidRPr="00D820E6">
        <w:t xml:space="preserve"> site records are not comprehensive. Habitat modelling may also exaggerate actual distributions, particularly for poorly-know</w:t>
      </w:r>
      <w:r w:rsidR="00225397">
        <w:t>n</w:t>
      </w:r>
      <w:r w:rsidR="006F64C2" w:rsidRPr="00D820E6">
        <w:t xml:space="preserve"> </w:t>
      </w:r>
      <w:r w:rsidR="00F01ECB">
        <w:t>taxa</w:t>
      </w:r>
      <w:r w:rsidR="006F64C2" w:rsidRPr="00D820E6">
        <w:t>.</w:t>
      </w:r>
      <w:r w:rsidR="006F64C2" w:rsidRPr="00766EC4">
        <w:rPr>
          <w:rFonts w:eastAsia="Times New Roman" w:cstheme="minorHAnsi"/>
          <w:color w:val="000000"/>
          <w:sz w:val="20"/>
          <w:szCs w:val="20"/>
        </w:rPr>
        <w:t>    </w:t>
      </w:r>
      <w:r w:rsidR="001C5633">
        <w:br w:type="page"/>
      </w:r>
    </w:p>
    <w:p w14:paraId="2398EDB2" w14:textId="2BFA2D25"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38</w:t>
      </w:r>
      <w:r w:rsidR="000B6788" w:rsidRPr="00B6162A">
        <w:rPr>
          <w:bCs/>
          <w:noProof/>
        </w:rPr>
        <w:fldChar w:fldCharType="end"/>
      </w:r>
      <w:r w:rsidRPr="00FF310C">
        <w:t>. Beech Finger-fern protection requirements and recommendations for planned burning</w:t>
      </w:r>
    </w:p>
    <w:tbl>
      <w:tblPr>
        <w:tblStyle w:val="TableGrid"/>
        <w:tblW w:w="0" w:type="auto"/>
        <w:tblLook w:val="04A0" w:firstRow="1" w:lastRow="0" w:firstColumn="1" w:lastColumn="0" w:noHBand="0" w:noVBand="1"/>
      </w:tblPr>
      <w:tblGrid>
        <w:gridCol w:w="2268"/>
        <w:gridCol w:w="7371"/>
      </w:tblGrid>
      <w:tr w:rsidR="00466BF6" w:rsidRPr="00867DAA" w14:paraId="3C73D440"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CE37911" w14:textId="77777777" w:rsidR="00466BF6" w:rsidRPr="00704719" w:rsidRDefault="00466BF6" w:rsidP="005611CD">
            <w:pPr>
              <w:pStyle w:val="BodyText"/>
            </w:pPr>
            <w:r w:rsidRPr="00704719">
              <w:t>Requirement</w:t>
            </w:r>
          </w:p>
        </w:tc>
        <w:tc>
          <w:tcPr>
            <w:tcW w:w="7371" w:type="dxa"/>
          </w:tcPr>
          <w:p w14:paraId="7DA84BE0" w14:textId="77777777" w:rsidR="00466BF6" w:rsidRPr="00704719" w:rsidRDefault="00466BF6" w:rsidP="005611CD">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7AFB486C" w14:textId="77777777" w:rsidTr="005611CD">
        <w:tc>
          <w:tcPr>
            <w:tcW w:w="2268" w:type="dxa"/>
          </w:tcPr>
          <w:p w14:paraId="42A2691A" w14:textId="06B07E03" w:rsidR="00466BF6" w:rsidRPr="00867DAA" w:rsidRDefault="00B47D26" w:rsidP="005611CD">
            <w:pPr>
              <w:pStyle w:val="BodyText"/>
            </w:pPr>
            <w:r>
              <w:t>Priority management actions</w:t>
            </w:r>
          </w:p>
        </w:tc>
        <w:tc>
          <w:tcPr>
            <w:tcW w:w="7371" w:type="dxa"/>
          </w:tcPr>
          <w:p w14:paraId="6BA6D9B8" w14:textId="77777777" w:rsidR="00466BF6" w:rsidRPr="00200995" w:rsidRDefault="00466BF6" w:rsidP="005611CD">
            <w:pPr>
              <w:pStyle w:val="BodyText"/>
            </w:pPr>
            <w:r w:rsidRPr="00200995">
              <w:t>Not required for this hazard based on the overall risk level of medium</w:t>
            </w:r>
            <w:r>
              <w:t>.</w:t>
            </w:r>
          </w:p>
        </w:tc>
      </w:tr>
      <w:tr w:rsidR="00466BF6" w:rsidRPr="00867DAA" w14:paraId="6D95C9CA" w14:textId="77777777" w:rsidTr="005611CD">
        <w:tc>
          <w:tcPr>
            <w:tcW w:w="2268" w:type="dxa"/>
          </w:tcPr>
          <w:p w14:paraId="5A60C8DF" w14:textId="54323904" w:rsidR="00466BF6" w:rsidRPr="00867DAA" w:rsidRDefault="00B47D26" w:rsidP="005611CD">
            <w:pPr>
              <w:pStyle w:val="BodyText"/>
            </w:pPr>
            <w:r>
              <w:t>Potential m</w:t>
            </w:r>
            <w:r w:rsidR="00466BF6" w:rsidRPr="00867DAA">
              <w:t>anagement actions</w:t>
            </w:r>
          </w:p>
        </w:tc>
        <w:tc>
          <w:tcPr>
            <w:tcW w:w="7371" w:type="dxa"/>
          </w:tcPr>
          <w:p w14:paraId="4E06F53E" w14:textId="3EE71FAD" w:rsidR="00466BF6" w:rsidRDefault="00466BF6" w:rsidP="006670D2">
            <w:pPr>
              <w:pStyle w:val="PullOutBoxBullet"/>
            </w:pPr>
            <w:r>
              <w:t>Provide a generous exclusion zone in all p</w:t>
            </w:r>
            <w:r w:rsidR="001C49E0">
              <w:t>lanned</w:t>
            </w:r>
            <w:r>
              <w:t xml:space="preserve"> burning corridors in the vicinity of known occurrences of the </w:t>
            </w:r>
            <w:r w:rsidR="00DE0CEC">
              <w:t>sub</w:t>
            </w:r>
            <w:r w:rsidR="00FF1888">
              <w:t>species</w:t>
            </w:r>
            <w:r>
              <w:t xml:space="preserve">; and </w:t>
            </w:r>
          </w:p>
          <w:p w14:paraId="7BFB2A61" w14:textId="77777777" w:rsidR="00466BF6" w:rsidRPr="00704719" w:rsidRDefault="00466BF6" w:rsidP="006670D2">
            <w:pPr>
              <w:pStyle w:val="PullOutBoxBullet"/>
            </w:pPr>
            <w:r>
              <w:t>Conduct field surveys in Wet Forest habitats prior to planned burning activity.</w:t>
            </w:r>
          </w:p>
        </w:tc>
      </w:tr>
    </w:tbl>
    <w:p w14:paraId="266B42A5" w14:textId="77777777" w:rsidR="00466BF6" w:rsidRDefault="00466BF6" w:rsidP="007E5EBF">
      <w:pPr>
        <w:pStyle w:val="Heading3"/>
      </w:pPr>
      <w:bookmarkStart w:id="75" w:name="_Toc88725211"/>
      <w:bookmarkStart w:id="76" w:name="_Toc88725212"/>
      <w:bookmarkStart w:id="77" w:name="_Toc88725213"/>
      <w:bookmarkStart w:id="78" w:name="_Toc88725214"/>
      <w:bookmarkStart w:id="79" w:name="_Toc88725215"/>
      <w:bookmarkEnd w:id="75"/>
      <w:bookmarkEnd w:id="76"/>
      <w:bookmarkEnd w:id="77"/>
      <w:bookmarkEnd w:id="78"/>
      <w:r>
        <w:t>Forestry operations</w:t>
      </w:r>
      <w:bookmarkEnd w:id="79"/>
    </w:p>
    <w:p w14:paraId="7BE87BF2" w14:textId="027381D9" w:rsidR="00466BF6" w:rsidRPr="001C0DE0" w:rsidRDefault="003809F2" w:rsidP="00466BF6">
      <w:pPr>
        <w:pStyle w:val="Heading5"/>
        <w:numPr>
          <w:ilvl w:val="0"/>
          <w:numId w:val="0"/>
        </w:numPr>
        <w:ind w:left="1008" w:hanging="1008"/>
      </w:pPr>
      <w:r>
        <w:t>F</w:t>
      </w:r>
      <w:r w:rsidR="00466BF6">
        <w:t>orestry operations</w:t>
      </w:r>
    </w:p>
    <w:p w14:paraId="20E7E21C" w14:textId="5DB76E93" w:rsidR="00466BF6" w:rsidRPr="00B6162A" w:rsidRDefault="00466BF6" w:rsidP="00466BF6">
      <w:pPr>
        <w:pStyle w:val="BodyText"/>
      </w:pPr>
      <w:r w:rsidRPr="00F26BEE">
        <w:t xml:space="preserve">Given the </w:t>
      </w:r>
      <w:r w:rsidR="00DE0CEC">
        <w:t>sub</w:t>
      </w:r>
      <w:r w:rsidR="00FF1888">
        <w:t>species</w:t>
      </w:r>
      <w:r w:rsidRPr="00F26BEE">
        <w:t xml:space="preserve"> occurs in rainforest, it could only be exposed to forestry operations where rainforest is mis-identified in the field and buffers are not correctly applied or where roads are constructed through rainforest. This is of particular concern following bushfire due to the impact on the rainforest canopy and consequent difficulties in applying the rainforest identification criteria. Rainforest is highly sensitive to fire and action is required to minimise the risk of future disturbance and ensure rainforest has the capacity</w:t>
      </w:r>
      <w:r w:rsidRPr="000B5B6F">
        <w:t xml:space="preserve"> to recover. Current prescriptions in the Code may not provide sufficient guidance to protect this community following bushfires and </w:t>
      </w:r>
      <w:r>
        <w:t xml:space="preserve">to </w:t>
      </w:r>
      <w:r w:rsidRPr="000B5B6F">
        <w:t xml:space="preserve">allow its regeneration. </w:t>
      </w:r>
      <w:r>
        <w:t xml:space="preserve">A significant proportion of occurrences are also reported in a range of non-rainforest </w:t>
      </w:r>
      <w:r w:rsidR="007276C8">
        <w:t>habitats,</w:t>
      </w:r>
      <w:r>
        <w:t xml:space="preserve"> and these are far more susceptible to forestry operations. </w:t>
      </w:r>
      <w:r w:rsidR="00416F14" w:rsidRPr="00FD57DB">
        <w:t xml:space="preserve">This hazard is sporadic across the range of the </w:t>
      </w:r>
      <w:r w:rsidR="00DE0CEC">
        <w:t>sub</w:t>
      </w:r>
      <w:r w:rsidR="00FF1888">
        <w:t>species</w:t>
      </w:r>
      <w:r w:rsidR="00B64AFE" w:rsidRPr="00FD57DB">
        <w:t>.</w:t>
      </w:r>
      <w:r w:rsidR="00416F14" w:rsidRPr="00FD57DB">
        <w:t xml:space="preserve"> </w:t>
      </w:r>
      <w:r w:rsidR="002F5D49" w:rsidRPr="00FD57DB">
        <w:t>In the Central Highlands</w:t>
      </w:r>
      <w:r w:rsidR="009D0555" w:rsidRPr="00FD57DB">
        <w:t xml:space="preserve"> RFA</w:t>
      </w:r>
      <w:r w:rsidR="00660271">
        <w:t xml:space="preserve"> region</w:t>
      </w:r>
      <w:r w:rsidR="00AC409C" w:rsidRPr="00FD57DB">
        <w:t xml:space="preserve"> 18% of</w:t>
      </w:r>
      <w:r w:rsidR="002F5D49" w:rsidRPr="00FD57DB">
        <w:t xml:space="preserve"> the </w:t>
      </w:r>
      <w:r w:rsidR="00DE0CEC">
        <w:t>sub</w:t>
      </w:r>
      <w:r w:rsidR="00FF1888">
        <w:t>species’</w:t>
      </w:r>
      <w:r w:rsidR="00AC409C" w:rsidRPr="00FD57DB">
        <w:t xml:space="preserve"> modelled habitat </w:t>
      </w:r>
      <w:r w:rsidR="003D6D17" w:rsidRPr="00FD57DB">
        <w:t xml:space="preserve">is in </w:t>
      </w:r>
      <w:r w:rsidR="002F5D49" w:rsidRPr="00FD57DB">
        <w:t xml:space="preserve">merchantable area, with </w:t>
      </w:r>
      <w:r w:rsidR="00B64AFE" w:rsidRPr="00FD57DB">
        <w:t>7% state-wide</w:t>
      </w:r>
      <w:r w:rsidR="003D6D17" w:rsidRPr="00FD57DB">
        <w:t>, based on the 2015 net harvest area layer</w:t>
      </w:r>
      <w:r w:rsidR="00B64AFE" w:rsidRPr="00FD57DB">
        <w:t xml:space="preserve">. Using the revised operable layer, this </w:t>
      </w:r>
      <w:r w:rsidR="003D6D17" w:rsidRPr="00FD57DB">
        <w:t>reduced</w:t>
      </w:r>
      <w:r w:rsidR="00B64AFE" w:rsidRPr="00FD57DB">
        <w:t xml:space="preserve"> to 8% in the Central Highlands RFA</w:t>
      </w:r>
      <w:r w:rsidR="00660271">
        <w:t xml:space="preserve"> region</w:t>
      </w:r>
      <w:r w:rsidR="00B64AFE" w:rsidRPr="00FD57DB">
        <w:t xml:space="preserve">, and 5% state-wide. </w:t>
      </w:r>
      <w:r w:rsidR="00AC409C" w:rsidRPr="00FD57DB">
        <w:t xml:space="preserve"> </w:t>
      </w:r>
    </w:p>
    <w:p w14:paraId="7ADA14ED" w14:textId="77777777" w:rsidR="00466BF6" w:rsidRDefault="00466BF6" w:rsidP="00466BF6">
      <w:pPr>
        <w:pStyle w:val="BodyText"/>
      </w:pPr>
      <w:r w:rsidRPr="00660ABA">
        <w:t>Current existing controls for this hazard includ</w:t>
      </w:r>
      <w:r>
        <w:t>e:</w:t>
      </w:r>
    </w:p>
    <w:p w14:paraId="1B61B040" w14:textId="105EA95B" w:rsidR="00466BF6" w:rsidRDefault="00466BF6" w:rsidP="006670D2">
      <w:pPr>
        <w:pStyle w:val="PullOutBoxBullet"/>
      </w:pPr>
      <w:r w:rsidRPr="003566BD">
        <w:t xml:space="preserve">The </w:t>
      </w:r>
      <w:r w:rsidRPr="003566BD">
        <w:rPr>
          <w:i/>
          <w:iCs/>
        </w:rPr>
        <w:t>Code of Practice for Timber Production 2014</w:t>
      </w:r>
      <w:r>
        <w:rPr>
          <w:i/>
          <w:iCs/>
        </w:rPr>
        <w:t xml:space="preserve">. </w:t>
      </w:r>
      <w:r>
        <w:t>Th</w:t>
      </w:r>
      <w:r w:rsidRPr="003566BD">
        <w:t xml:space="preserve">ere </w:t>
      </w:r>
      <w:r>
        <w:t>is</w:t>
      </w:r>
      <w:r w:rsidRPr="003566BD">
        <w:t xml:space="preserve"> no species-specific prescription for this </w:t>
      </w:r>
      <w:r w:rsidR="00DE0CEC">
        <w:t>sub</w:t>
      </w:r>
      <w:r w:rsidR="00FF1888">
        <w:t>species</w:t>
      </w:r>
      <w:r>
        <w:t xml:space="preserve"> in the Code, however </w:t>
      </w:r>
      <w:r w:rsidRPr="003566BD">
        <w:t xml:space="preserve">the Code includes general protections for </w:t>
      </w:r>
      <w:r>
        <w:t xml:space="preserve">waterways and </w:t>
      </w:r>
      <w:r w:rsidRPr="003566BD">
        <w:t>rainforest</w:t>
      </w:r>
      <w:r>
        <w:t xml:space="preserve"> </w:t>
      </w:r>
      <w:r w:rsidRPr="003566BD">
        <w:t xml:space="preserve">including a prohibition on harvesting, the application of buffers and </w:t>
      </w:r>
      <w:r w:rsidR="000D065A" w:rsidRPr="00C02DCA">
        <w:t>design standards for roads, crossings</w:t>
      </w:r>
      <w:r w:rsidR="00A3118A" w:rsidRPr="00C02DCA">
        <w:t>,</w:t>
      </w:r>
      <w:r w:rsidR="000D065A" w:rsidRPr="00C02DCA">
        <w:t xml:space="preserve"> and coupe infrastructure</w:t>
      </w:r>
      <w:r w:rsidR="000D065A" w:rsidRPr="4F453272">
        <w:t xml:space="preserve">. </w:t>
      </w:r>
      <w:r w:rsidRPr="003566BD">
        <w:t xml:space="preserve">The lack of a specific prescription leads to the effectiveness of the Code being assessed as poor for this </w:t>
      </w:r>
      <w:r w:rsidR="00DE0CEC">
        <w:t>sub</w:t>
      </w:r>
      <w:r w:rsidR="00FF1888">
        <w:t>species</w:t>
      </w:r>
      <w:r w:rsidRPr="003566BD">
        <w:t xml:space="preserve">. </w:t>
      </w:r>
    </w:p>
    <w:p w14:paraId="0DB34D50" w14:textId="5DF468F7" w:rsidR="00466BF6" w:rsidRPr="003566BD" w:rsidRDefault="00466BF6" w:rsidP="006670D2">
      <w:pPr>
        <w:pStyle w:val="PullOutBoxBullet"/>
      </w:pPr>
      <w:r>
        <w:t xml:space="preserve">The CAR reserve system. </w:t>
      </w:r>
      <w:r w:rsidRPr="00CB51DA">
        <w:rPr>
          <w:rStyle w:val="normaltextrun"/>
        </w:rPr>
        <w:t xml:space="preserve">The effectiveness of this control for this </w:t>
      </w:r>
      <w:r w:rsidR="00DE0CEC">
        <w:rPr>
          <w:rStyle w:val="normaltextrun"/>
        </w:rPr>
        <w:t>sub</w:t>
      </w:r>
      <w:r w:rsidRPr="00CB51DA">
        <w:rPr>
          <w:rStyle w:val="normaltextrun"/>
        </w:rPr>
        <w:t>species has been evaluated</w:t>
      </w:r>
      <w:r>
        <w:t xml:space="preserve"> as s</w:t>
      </w:r>
      <w:r w:rsidRPr="00BA1880">
        <w:t xml:space="preserve">atisfactory </w:t>
      </w:r>
      <w:r>
        <w:t xml:space="preserve">as 51% of the </w:t>
      </w:r>
      <w:r w:rsidR="00DE0CEC">
        <w:t>sub</w:t>
      </w:r>
      <w:r w:rsidR="007B7B03">
        <w:t>species’</w:t>
      </w:r>
      <w:r>
        <w:t xml:space="preserve"> modelled distribution and 80% of important populations are within the reserve system</w:t>
      </w:r>
      <w:r w:rsidR="009D33EA">
        <w:t>.</w:t>
      </w:r>
    </w:p>
    <w:p w14:paraId="32A9A32C" w14:textId="7CB71777"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39</w:t>
      </w:r>
      <w:r w:rsidR="000B6788" w:rsidRPr="00B6162A">
        <w:rPr>
          <w:bCs/>
          <w:noProof/>
        </w:rPr>
        <w:fldChar w:fldCharType="end"/>
      </w:r>
      <w:r w:rsidRPr="00FF310C">
        <w:t>. Beech Finger-fern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466BF6" w:rsidRPr="00867DAA" w14:paraId="7C58BA0F"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0E58FCC" w14:textId="77777777" w:rsidR="00466BF6" w:rsidRPr="00704719" w:rsidRDefault="00466BF6" w:rsidP="005611CD">
            <w:pPr>
              <w:pStyle w:val="BodyText"/>
            </w:pPr>
            <w:r w:rsidRPr="00704719">
              <w:t>Requirement</w:t>
            </w:r>
          </w:p>
        </w:tc>
        <w:tc>
          <w:tcPr>
            <w:tcW w:w="7371" w:type="dxa"/>
          </w:tcPr>
          <w:p w14:paraId="71CA6384" w14:textId="77777777" w:rsidR="00466BF6" w:rsidRPr="00704719" w:rsidRDefault="00466BF6" w:rsidP="005611CD">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153C336F" w14:textId="77777777" w:rsidTr="005611CD">
        <w:tc>
          <w:tcPr>
            <w:tcW w:w="2268" w:type="dxa"/>
          </w:tcPr>
          <w:p w14:paraId="72E6BC12" w14:textId="227AB6EC" w:rsidR="00466BF6" w:rsidRPr="00867DAA" w:rsidRDefault="00466BF6" w:rsidP="005611CD">
            <w:pPr>
              <w:pStyle w:val="BodyText"/>
            </w:pPr>
            <w:r w:rsidRPr="00867DAA">
              <w:t>Interim protections</w:t>
            </w:r>
            <w:r w:rsidR="00E75FD1">
              <w:t xml:space="preserve">  </w:t>
            </w:r>
          </w:p>
        </w:tc>
        <w:tc>
          <w:tcPr>
            <w:tcW w:w="7371" w:type="dxa"/>
          </w:tcPr>
          <w:p w14:paraId="18C9EAAA" w14:textId="151B0186" w:rsidR="00466BF6" w:rsidRPr="00200995" w:rsidRDefault="00466BF6" w:rsidP="005611CD">
            <w:pPr>
              <w:pStyle w:val="BodyText"/>
            </w:pPr>
            <w:r w:rsidRPr="00200995">
              <w:t xml:space="preserve">Not required for this hazard </w:t>
            </w:r>
            <w:r>
              <w:t xml:space="preserve">given </w:t>
            </w:r>
            <w:r w:rsidR="00AA1D78">
              <w:t>level of risk is medium</w:t>
            </w:r>
            <w:r>
              <w:t>.</w:t>
            </w:r>
          </w:p>
        </w:tc>
      </w:tr>
      <w:tr w:rsidR="00AA1D78" w:rsidRPr="00867DAA" w14:paraId="1B0B7163" w14:textId="77777777" w:rsidTr="005611CD">
        <w:tc>
          <w:tcPr>
            <w:tcW w:w="0" w:type="dxa"/>
          </w:tcPr>
          <w:p w14:paraId="0B85A5F3" w14:textId="0698ECC2" w:rsidR="00AA1D78" w:rsidRPr="00867DAA" w:rsidRDefault="00AA1D78" w:rsidP="005611CD">
            <w:pPr>
              <w:pStyle w:val="BodyText"/>
            </w:pPr>
            <w:r>
              <w:t>Priority management actions</w:t>
            </w:r>
          </w:p>
        </w:tc>
        <w:tc>
          <w:tcPr>
            <w:tcW w:w="0" w:type="dxa"/>
            <w:shd w:val="clear" w:color="auto" w:fill="auto"/>
          </w:tcPr>
          <w:p w14:paraId="213C22B0" w14:textId="0A6C5186" w:rsidR="00AA1D78" w:rsidRPr="00200995" w:rsidRDefault="006A61AB" w:rsidP="005611CD">
            <w:pPr>
              <w:pStyle w:val="BodyText"/>
            </w:pPr>
            <w:r w:rsidRPr="00200995">
              <w:t xml:space="preserve">Not required for this hazard </w:t>
            </w:r>
            <w:r>
              <w:t>given level of risk is medium.</w:t>
            </w:r>
          </w:p>
        </w:tc>
      </w:tr>
      <w:tr w:rsidR="00466BF6" w:rsidRPr="00867DAA" w14:paraId="3C669321" w14:textId="77777777" w:rsidTr="005611CD">
        <w:tc>
          <w:tcPr>
            <w:tcW w:w="0" w:type="dxa"/>
          </w:tcPr>
          <w:p w14:paraId="418DDB3A" w14:textId="77777777" w:rsidR="00466BF6" w:rsidRPr="00867DAA" w:rsidRDefault="00466BF6" w:rsidP="005611CD">
            <w:pPr>
              <w:pStyle w:val="BodyText"/>
            </w:pPr>
            <w:r w:rsidRPr="00867DAA">
              <w:t>Permanent protections</w:t>
            </w:r>
          </w:p>
        </w:tc>
        <w:tc>
          <w:tcPr>
            <w:tcW w:w="0" w:type="dxa"/>
            <w:shd w:val="clear" w:color="auto" w:fill="auto"/>
          </w:tcPr>
          <w:p w14:paraId="7A2018DB" w14:textId="77777777" w:rsidR="00466BF6" w:rsidRPr="00200995" w:rsidRDefault="00466BF6" w:rsidP="005611CD">
            <w:pPr>
              <w:pStyle w:val="BodyText"/>
            </w:pPr>
            <w:r w:rsidRPr="00200995">
              <w:t xml:space="preserve">Additional permanent protections </w:t>
            </w:r>
            <w:r>
              <w:t>may be</w:t>
            </w:r>
            <w:r w:rsidRPr="00200995">
              <w:t xml:space="preserve"> required in the longer-term</w:t>
            </w:r>
            <w:r>
              <w:t>.</w:t>
            </w:r>
          </w:p>
        </w:tc>
      </w:tr>
      <w:tr w:rsidR="00466BF6" w:rsidRPr="00867DAA" w14:paraId="6BCA6DC1" w14:textId="77777777" w:rsidTr="005611CD">
        <w:tc>
          <w:tcPr>
            <w:tcW w:w="2268" w:type="dxa"/>
          </w:tcPr>
          <w:p w14:paraId="46271F59" w14:textId="48161BA4" w:rsidR="00466BF6" w:rsidRPr="00867DAA" w:rsidRDefault="00B47D26" w:rsidP="005611CD">
            <w:pPr>
              <w:pStyle w:val="BodyText"/>
            </w:pPr>
            <w:r>
              <w:t>Potential m</w:t>
            </w:r>
            <w:r w:rsidR="00466BF6" w:rsidRPr="00867DAA">
              <w:t>anagement actions</w:t>
            </w:r>
          </w:p>
        </w:tc>
        <w:tc>
          <w:tcPr>
            <w:tcW w:w="7371" w:type="dxa"/>
          </w:tcPr>
          <w:p w14:paraId="45964FF1" w14:textId="77777777" w:rsidR="00F40584" w:rsidRPr="00E31362" w:rsidRDefault="00F40584" w:rsidP="006670D2">
            <w:pPr>
              <w:pStyle w:val="PullOutBoxBullet"/>
            </w:pPr>
            <w:r w:rsidRPr="00E31362">
              <w:t>Comprehensively search likely habitat and map important populations; and</w:t>
            </w:r>
          </w:p>
          <w:p w14:paraId="0ABFF648" w14:textId="0AEDDE49" w:rsidR="00E9026D" w:rsidRPr="005D5D32" w:rsidRDefault="00F40584" w:rsidP="006670D2">
            <w:pPr>
              <w:pStyle w:val="PullOutBoxBullet"/>
              <w:rPr>
                <w:rFonts w:cs="Arial"/>
              </w:rPr>
            </w:pPr>
            <w:r w:rsidRPr="00E31362">
              <w:t>Establish monitoring sites and collect baseline data.</w:t>
            </w:r>
          </w:p>
          <w:p w14:paraId="65EA624F" w14:textId="3ECAF258" w:rsidR="00466BF6" w:rsidRPr="00915D82" w:rsidRDefault="00466BF6" w:rsidP="006670D2">
            <w:pPr>
              <w:pStyle w:val="PullOutBoxBullet"/>
              <w:rPr>
                <w:rFonts w:cs="Arial"/>
              </w:rPr>
            </w:pPr>
            <w:r w:rsidRPr="00A35428">
              <w:t>Species-specific code prescriptions</w:t>
            </w:r>
            <w:r w:rsidRPr="00D829C5">
              <w:t xml:space="preserve"> should be considered </w:t>
            </w:r>
            <w:r w:rsidRPr="009468B3">
              <w:t xml:space="preserve">in </w:t>
            </w:r>
            <w:r w:rsidRPr="00DA6A4B">
              <w:t xml:space="preserve">any </w:t>
            </w:r>
            <w:r w:rsidRPr="00AD3BEB">
              <w:t>future Code amend</w:t>
            </w:r>
            <w:r w:rsidRPr="00BE1712">
              <w:t>ments</w:t>
            </w:r>
            <w:r w:rsidRPr="00F26BEE">
              <w:t>.</w:t>
            </w:r>
          </w:p>
        </w:tc>
      </w:tr>
    </w:tbl>
    <w:p w14:paraId="4FE16505" w14:textId="77777777" w:rsidR="00466BF6" w:rsidRPr="00660ABA" w:rsidRDefault="00466BF6" w:rsidP="00466BF6">
      <w:pPr>
        <w:pStyle w:val="Heading5"/>
        <w:numPr>
          <w:ilvl w:val="0"/>
          <w:numId w:val="0"/>
        </w:numPr>
        <w:rPr>
          <w:rFonts w:ascii="Segoe UI" w:hAnsi="Segoe UI" w:cs="Segoe UI"/>
          <w:sz w:val="18"/>
          <w:szCs w:val="18"/>
        </w:rPr>
      </w:pPr>
      <w:r w:rsidRPr="00D55628">
        <w:rPr>
          <w:rFonts w:cs="Times New Roman"/>
          <w:noProof/>
          <w:lang w:eastAsia="en-US"/>
        </w:rPr>
        <mc:AlternateContent>
          <mc:Choice Requires="wps">
            <w:drawing>
              <wp:anchor distT="0" distB="0" distL="114300" distR="114300" simplePos="1" relativeHeight="251658244" behindDoc="1" locked="1" layoutInCell="1" allowOverlap="1" wp14:anchorId="3492643E" wp14:editId="6F1C7EF4">
                <wp:simplePos x="359410" y="9071610"/>
                <wp:positionH relativeFrom="page">
                  <wp:posOffset>359410</wp:posOffset>
                </wp:positionH>
                <wp:positionV relativeFrom="page">
                  <wp:posOffset>9071610</wp:posOffset>
                </wp:positionV>
                <wp:extent cx="6840001" cy="432000"/>
                <wp:effectExtent l="0" t="0" r="0" b="0"/>
                <wp:wrapNone/>
                <wp:docPr id="28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72E8F"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2643E" id="_x0000_s1045" type="#_x0000_t202" alt="Title: Decorative Cover Shape" style="position:absolute;margin-left:28.3pt;margin-top:714.3pt;width:538.6pt;height:34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" fillcolor="#201547" stroked="f" strokeweight=".5pt">
                <v:textbox inset="10mm,0,10mm,0">
                  <w:txbxContent>
                    <w:p w14:paraId="7CB72E8F"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43" behindDoc="0" locked="1" layoutInCell="1" allowOverlap="1" wp14:anchorId="333F4E14" wp14:editId="1EA31D6D">
                <wp:simplePos x="0" y="0"/>
                <wp:positionH relativeFrom="page">
                  <wp:posOffset>360045</wp:posOffset>
                </wp:positionH>
                <wp:positionV relativeFrom="page">
                  <wp:posOffset>360045</wp:posOffset>
                </wp:positionV>
                <wp:extent cx="1864800" cy="1976400"/>
                <wp:effectExtent l="0" t="0" r="0" b="0"/>
                <wp:wrapNone/>
                <wp:docPr id="35"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372E16C" id="TriangleTopACIMono" o:spid="_x0000_s1026" style="position:absolute;margin-left:28.35pt;margin-top:28.35pt;width:146.85pt;height:155.6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242" behindDoc="0" locked="1" layoutInCell="1" allowOverlap="1" wp14:anchorId="72AC8F00" wp14:editId="60F6D9E0">
                <wp:simplePos x="0" y="0"/>
                <wp:positionH relativeFrom="page">
                  <wp:posOffset>359410</wp:posOffset>
                </wp:positionH>
                <wp:positionV relativeFrom="page">
                  <wp:posOffset>359410</wp:posOffset>
                </wp:positionV>
                <wp:extent cx="1864800" cy="1976400"/>
                <wp:effectExtent l="0" t="0" r="0" b="0"/>
                <wp:wrapNone/>
                <wp:docPr id="37"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77F0400" id="TriangleTop" o:spid="_x0000_s1026" style="position:absolute;margin-left:28.3pt;margin-top:28.3pt;width:146.85pt;height:155.6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41" behindDoc="0" locked="1" layoutInCell="1" allowOverlap="1" wp14:anchorId="79114F59" wp14:editId="281DF588">
                <wp:simplePos x="0" y="0"/>
                <wp:positionH relativeFrom="page">
                  <wp:posOffset>0</wp:posOffset>
                </wp:positionH>
                <wp:positionV relativeFrom="page">
                  <wp:align>bottom</wp:align>
                </wp:positionV>
                <wp:extent cx="3848400" cy="720000"/>
                <wp:effectExtent l="0" t="0" r="0" b="0"/>
                <wp:wrapNone/>
                <wp:docPr id="292"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21CF6"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14F59" id="_x0000_s1046" type="#_x0000_t202" style="position:absolute;margin-left:0;margin-top:0;width:303pt;height:56.7pt;z-index:25165824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J0lpQ1tAgAARgUAAA4AAAAAAAAAAAAAAAAALgIA&#10;AGRycy9lMm9Eb2MueG1sUEsBAi0AFAAGAAgAAAAhAPTKz6jaAAAABQEAAA8AAAAAAAAAAAAAAAAA&#10;xwQAAGRycy9kb3ducmV2LnhtbFBLBQYAAAAABAAEAPMAAADOBQAAAAA=&#10;" filled="f" stroked="f" strokeweight=".5pt">
                <v:textbox inset="20mm">
                  <w:txbxContent>
                    <w:p w14:paraId="1A821CF6"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r>
        <w:t>Plantations</w:t>
      </w:r>
    </w:p>
    <w:p w14:paraId="14ED5DD7" w14:textId="7C12418A" w:rsidR="00466BF6" w:rsidRPr="00F26BEE" w:rsidRDefault="00466BF6" w:rsidP="00466BF6">
      <w:pPr>
        <w:pStyle w:val="BodyText"/>
        <w:rPr>
          <w:rFonts w:ascii="Calibri" w:hAnsi="Calibri" w:cs="Calibri"/>
          <w:color w:val="000000"/>
          <w:sz w:val="22"/>
          <w:szCs w:val="22"/>
        </w:rPr>
      </w:pPr>
      <w:r>
        <w:t>Two incidental site records, north of the Tarra-Bulga National Park in the Strzelecki Ranges, plot within public land managed for plantation forestry purposes and are potentially at risk from forestry operations</w:t>
      </w:r>
      <w:r w:rsidRPr="00B30B94">
        <w:t xml:space="preserve"> </w:t>
      </w:r>
      <w:r>
        <w:t xml:space="preserve">associated with plantation management. </w:t>
      </w:r>
      <w:r w:rsidRPr="00704719">
        <w:rPr>
          <w:rStyle w:val="BodyTextChar"/>
        </w:rPr>
        <w:t xml:space="preserve">The </w:t>
      </w:r>
      <w:r w:rsidR="00DE0CEC">
        <w:rPr>
          <w:rStyle w:val="BodyTextChar"/>
        </w:rPr>
        <w:t>sub</w:t>
      </w:r>
      <w:r w:rsidR="007B7B03">
        <w:rPr>
          <w:rStyle w:val="BodyTextChar"/>
        </w:rPr>
        <w:t>species</w:t>
      </w:r>
      <w:r w:rsidRPr="00704719">
        <w:rPr>
          <w:rStyle w:val="BodyTextChar"/>
        </w:rPr>
        <w:t xml:space="preserve"> usually occurs singly or as a </w:t>
      </w:r>
      <w:r w:rsidRPr="004273A8">
        <w:rPr>
          <w:rStyle w:val="BodyTextChar"/>
        </w:rPr>
        <w:t>few plants</w:t>
      </w:r>
      <w:r w:rsidR="00206E6B">
        <w:rPr>
          <w:rStyle w:val="BodyTextChar"/>
        </w:rPr>
        <w:t xml:space="preserve"> (VicFlora 2014) </w:t>
      </w:r>
      <w:r w:rsidRPr="00704719">
        <w:rPr>
          <w:rStyle w:val="BodyTextChar"/>
        </w:rPr>
        <w:t>a</w:t>
      </w:r>
      <w:r>
        <w:rPr>
          <w:rStyle w:val="BodyTextChar"/>
        </w:rPr>
        <w:t>nd</w:t>
      </w:r>
      <w:r w:rsidRPr="00704719">
        <w:rPr>
          <w:rStyle w:val="BodyTextChar"/>
        </w:rPr>
        <w:t xml:space="preserve"> is </w:t>
      </w:r>
      <w:r>
        <w:rPr>
          <w:rStyle w:val="BodyTextChar"/>
        </w:rPr>
        <w:t>difficult to</w:t>
      </w:r>
      <w:r w:rsidRPr="00704719">
        <w:rPr>
          <w:rStyle w:val="BodyTextChar"/>
        </w:rPr>
        <w:t xml:space="preserve"> survey </w:t>
      </w:r>
      <w:r>
        <w:rPr>
          <w:rStyle w:val="BodyTextChar"/>
        </w:rPr>
        <w:t xml:space="preserve">or model </w:t>
      </w:r>
      <w:r w:rsidRPr="00704719">
        <w:rPr>
          <w:rStyle w:val="BodyTextChar"/>
        </w:rPr>
        <w:t xml:space="preserve">adequately and hence </w:t>
      </w:r>
      <w:r>
        <w:rPr>
          <w:rStyle w:val="BodyTextChar"/>
        </w:rPr>
        <w:t>difficult</w:t>
      </w:r>
      <w:r w:rsidRPr="00704719">
        <w:rPr>
          <w:rStyle w:val="BodyTextChar"/>
        </w:rPr>
        <w:t xml:space="preserve"> to protect through prescription. </w:t>
      </w:r>
      <w:r>
        <w:t xml:space="preserve">This hazard </w:t>
      </w:r>
      <w:r w:rsidRPr="00F26BEE">
        <w:t>extends across all populations in the Gippsland RFA region.</w:t>
      </w:r>
    </w:p>
    <w:p w14:paraId="7135BF98" w14:textId="77777777" w:rsidR="00466BF6" w:rsidRPr="00F26BEE" w:rsidRDefault="00466BF6" w:rsidP="00466BF6">
      <w:pPr>
        <w:pStyle w:val="BodyText"/>
      </w:pPr>
      <w:r w:rsidRPr="00F26BEE">
        <w:t>Current existing controls for this hazard include:</w:t>
      </w:r>
    </w:p>
    <w:p w14:paraId="360416CA" w14:textId="22365F68" w:rsidR="00466BF6" w:rsidRPr="00F26BEE" w:rsidRDefault="00466BF6" w:rsidP="006670D2">
      <w:pPr>
        <w:pStyle w:val="PullOutBoxBullet"/>
      </w:pPr>
      <w:r w:rsidRPr="00F26BEE">
        <w:rPr>
          <w:i/>
          <w:iCs/>
        </w:rPr>
        <w:t>The Code of Practice for Timber Production 2014.</w:t>
      </w:r>
      <w:r w:rsidRPr="00F26BEE">
        <w:t xml:space="preserve"> This risk has been evaluated as uncontrolled due to poor understanding of the </w:t>
      </w:r>
      <w:r w:rsidR="00DE0CEC">
        <w:t>sub</w:t>
      </w:r>
      <w:r w:rsidRPr="00F26BEE">
        <w:t>species</w:t>
      </w:r>
      <w:r w:rsidR="00105B67">
        <w:t>’</w:t>
      </w:r>
      <w:r w:rsidRPr="00F26BEE">
        <w:t xml:space="preserve"> distribution and abundance and </w:t>
      </w:r>
      <w:r w:rsidR="00DA1C6C">
        <w:t xml:space="preserve">the </w:t>
      </w:r>
      <w:r w:rsidRPr="00F26BEE">
        <w:t xml:space="preserve">lack of </w:t>
      </w:r>
      <w:r w:rsidR="006956B5">
        <w:t xml:space="preserve">a </w:t>
      </w:r>
      <w:r w:rsidR="00DE0CEC">
        <w:t>sub</w:t>
      </w:r>
      <w:r w:rsidRPr="00F26BEE">
        <w:t xml:space="preserve">species-specific prescription. </w:t>
      </w:r>
    </w:p>
    <w:p w14:paraId="55EB24DD" w14:textId="12CA29C1" w:rsidR="00466BF6" w:rsidRDefault="00466BF6" w:rsidP="006670D2">
      <w:pPr>
        <w:pStyle w:val="PullOutBoxBullet"/>
      </w:pPr>
      <w:r w:rsidRPr="00F26BEE">
        <w:t xml:space="preserve">The CAR reserve system. </w:t>
      </w:r>
      <w:r w:rsidRPr="00F26BEE">
        <w:rPr>
          <w:rStyle w:val="normaltextrun"/>
        </w:rPr>
        <w:t xml:space="preserve">The effectiveness of this control for this </w:t>
      </w:r>
      <w:r w:rsidR="00DE0CEC">
        <w:rPr>
          <w:rStyle w:val="normaltextrun"/>
        </w:rPr>
        <w:t>sub</w:t>
      </w:r>
      <w:r w:rsidRPr="00F26BEE">
        <w:rPr>
          <w:rStyle w:val="normaltextrun"/>
        </w:rPr>
        <w:t xml:space="preserve">species has been evaluated </w:t>
      </w:r>
      <w:r w:rsidRPr="00F26BEE">
        <w:t xml:space="preserve">as satisfactory as 51% of the </w:t>
      </w:r>
      <w:r w:rsidR="00DE0CEC">
        <w:t>sub</w:t>
      </w:r>
      <w:r w:rsidR="007B7B03">
        <w:t>species’</w:t>
      </w:r>
      <w:r w:rsidRPr="00F26BEE">
        <w:t xml:space="preserve"> modelled distribution and 80% of important populations are within the reserve system</w:t>
      </w:r>
      <w:r w:rsidR="009D33EA">
        <w:t>.</w:t>
      </w:r>
    </w:p>
    <w:p w14:paraId="38F21830" w14:textId="7E2F1511"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40</w:t>
      </w:r>
      <w:r w:rsidR="000B6788" w:rsidRPr="00B6162A">
        <w:rPr>
          <w:bCs/>
          <w:noProof/>
        </w:rPr>
        <w:fldChar w:fldCharType="end"/>
      </w:r>
      <w:r w:rsidRPr="00FF310C">
        <w:t>. Beech Finger-fern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466BF6" w:rsidRPr="00867DAA" w14:paraId="1DBEE8DF"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A96C47A" w14:textId="77777777" w:rsidR="00466BF6" w:rsidRPr="00704719" w:rsidRDefault="00466BF6" w:rsidP="005611CD">
            <w:pPr>
              <w:pStyle w:val="BodyText"/>
            </w:pPr>
            <w:r w:rsidRPr="00704719">
              <w:t>Requirement</w:t>
            </w:r>
          </w:p>
        </w:tc>
        <w:tc>
          <w:tcPr>
            <w:tcW w:w="7371" w:type="dxa"/>
          </w:tcPr>
          <w:p w14:paraId="44FC4A65" w14:textId="77777777" w:rsidR="00466BF6" w:rsidRPr="00704719" w:rsidRDefault="00466BF6" w:rsidP="005611CD">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19FD103E" w14:textId="77777777" w:rsidTr="005611CD">
        <w:tc>
          <w:tcPr>
            <w:tcW w:w="2268" w:type="dxa"/>
          </w:tcPr>
          <w:p w14:paraId="3FF8873B" w14:textId="63E347EE" w:rsidR="00466BF6" w:rsidRPr="00867DAA" w:rsidRDefault="00466BF6" w:rsidP="005611CD">
            <w:pPr>
              <w:pStyle w:val="BodyText"/>
            </w:pPr>
            <w:r w:rsidRPr="00867DAA">
              <w:t>Interim protections</w:t>
            </w:r>
          </w:p>
        </w:tc>
        <w:tc>
          <w:tcPr>
            <w:tcW w:w="7371" w:type="dxa"/>
          </w:tcPr>
          <w:p w14:paraId="3C68C291" w14:textId="77777777" w:rsidR="00466BF6" w:rsidRPr="00200995" w:rsidRDefault="00466BF6" w:rsidP="005611CD">
            <w:pPr>
              <w:pStyle w:val="BodyText"/>
            </w:pPr>
            <w:r w:rsidRPr="00200995">
              <w:t>Not required for this hazard</w:t>
            </w:r>
            <w:r>
              <w:t xml:space="preserve"> as the risk is longer-term.</w:t>
            </w:r>
          </w:p>
        </w:tc>
      </w:tr>
      <w:tr w:rsidR="006A61AB" w:rsidRPr="00867DAA" w14:paraId="45BEC975" w14:textId="77777777" w:rsidTr="005611CD">
        <w:tc>
          <w:tcPr>
            <w:tcW w:w="0" w:type="dxa"/>
          </w:tcPr>
          <w:p w14:paraId="70A41961" w14:textId="4BD9EA2D" w:rsidR="006A61AB" w:rsidRPr="00867DAA" w:rsidRDefault="006A61AB" w:rsidP="005611CD">
            <w:pPr>
              <w:pStyle w:val="BodyText"/>
            </w:pPr>
            <w:r>
              <w:t>Priority management actions</w:t>
            </w:r>
          </w:p>
        </w:tc>
        <w:tc>
          <w:tcPr>
            <w:tcW w:w="0" w:type="dxa"/>
            <w:shd w:val="clear" w:color="auto" w:fill="auto"/>
          </w:tcPr>
          <w:p w14:paraId="626E8A5C" w14:textId="6382C06A" w:rsidR="006A61AB" w:rsidRPr="00200995" w:rsidRDefault="00685F83" w:rsidP="006670D2">
            <w:pPr>
              <w:pStyle w:val="PullOutBoxBullet"/>
            </w:pPr>
            <w:r>
              <w:t>Work with plantation managers to identify important populations.</w:t>
            </w:r>
          </w:p>
        </w:tc>
      </w:tr>
      <w:tr w:rsidR="00466BF6" w:rsidRPr="00867DAA" w14:paraId="7E1CD8D7" w14:textId="77777777" w:rsidTr="005611CD">
        <w:tc>
          <w:tcPr>
            <w:tcW w:w="0" w:type="dxa"/>
          </w:tcPr>
          <w:p w14:paraId="1C64CCA7" w14:textId="77777777" w:rsidR="00466BF6" w:rsidRPr="00867DAA" w:rsidRDefault="00466BF6" w:rsidP="005611CD">
            <w:pPr>
              <w:pStyle w:val="BodyText"/>
            </w:pPr>
            <w:r w:rsidRPr="00867DAA">
              <w:t>Permanent protections</w:t>
            </w:r>
          </w:p>
        </w:tc>
        <w:tc>
          <w:tcPr>
            <w:tcW w:w="0" w:type="dxa"/>
            <w:shd w:val="clear" w:color="auto" w:fill="auto"/>
          </w:tcPr>
          <w:p w14:paraId="620BE9FF" w14:textId="77777777" w:rsidR="00466BF6" w:rsidRPr="00200995" w:rsidRDefault="00466BF6" w:rsidP="005611CD">
            <w:pPr>
              <w:pStyle w:val="BodyText"/>
            </w:pPr>
            <w:r w:rsidRPr="00200995">
              <w:t xml:space="preserve">Additional permanent protections </w:t>
            </w:r>
            <w:r>
              <w:t>may be</w:t>
            </w:r>
            <w:r w:rsidRPr="00200995">
              <w:t xml:space="preserve"> required in the longer-term</w:t>
            </w:r>
            <w:r>
              <w:t>.</w:t>
            </w:r>
          </w:p>
        </w:tc>
      </w:tr>
      <w:tr w:rsidR="00466BF6" w:rsidRPr="00867DAA" w14:paraId="14227740" w14:textId="77777777" w:rsidTr="005611CD">
        <w:tc>
          <w:tcPr>
            <w:tcW w:w="2268" w:type="dxa"/>
          </w:tcPr>
          <w:p w14:paraId="33B79DF4" w14:textId="214B4F4E" w:rsidR="00466BF6" w:rsidRPr="00867DAA" w:rsidRDefault="00B47D26" w:rsidP="005611CD">
            <w:pPr>
              <w:pStyle w:val="BodyText"/>
            </w:pPr>
            <w:r>
              <w:t>Potential m</w:t>
            </w:r>
            <w:r w:rsidR="00466BF6" w:rsidRPr="00867DAA">
              <w:t>anagement actions</w:t>
            </w:r>
          </w:p>
        </w:tc>
        <w:tc>
          <w:tcPr>
            <w:tcW w:w="7371" w:type="dxa"/>
          </w:tcPr>
          <w:p w14:paraId="26335835" w14:textId="77777777" w:rsidR="00466BF6" w:rsidRDefault="00466BF6" w:rsidP="006670D2">
            <w:pPr>
              <w:pStyle w:val="PullOutBoxBullet"/>
            </w:pPr>
            <w:r>
              <w:t xml:space="preserve">Establish exclusion zones around known site records; and </w:t>
            </w:r>
          </w:p>
          <w:p w14:paraId="1ACBB66F" w14:textId="77777777" w:rsidR="00466BF6" w:rsidRPr="00704719" w:rsidRDefault="00466BF6" w:rsidP="006670D2">
            <w:pPr>
              <w:pStyle w:val="PullOutBoxBullet"/>
            </w:pPr>
            <w:r>
              <w:t>Conduct field surveys in Wet Forest habitats prior to harvesting, regeneration burning, replanting or herbicide application.</w:t>
            </w:r>
          </w:p>
        </w:tc>
      </w:tr>
    </w:tbl>
    <w:p w14:paraId="09458B33" w14:textId="77777777" w:rsidR="00466BF6" w:rsidRDefault="00466BF6" w:rsidP="007E5EBF">
      <w:pPr>
        <w:pStyle w:val="Heading3"/>
      </w:pPr>
      <w:bookmarkStart w:id="80" w:name="_Toc88725216"/>
      <w:bookmarkStart w:id="81" w:name="_Toc88725217"/>
      <w:bookmarkStart w:id="82" w:name="_Toc88725218"/>
      <w:bookmarkStart w:id="83" w:name="_Toc88725219"/>
      <w:bookmarkStart w:id="84" w:name="_Toc88725220"/>
      <w:bookmarkStart w:id="85" w:name="_Toc88725221"/>
      <w:bookmarkStart w:id="86" w:name="_Toc88725222"/>
      <w:bookmarkStart w:id="87" w:name="_Toc88725223"/>
      <w:bookmarkStart w:id="88" w:name="_Toc88725224"/>
      <w:bookmarkStart w:id="89" w:name="_Toc88725225"/>
      <w:bookmarkStart w:id="90" w:name="_Toc88725226"/>
      <w:bookmarkStart w:id="91" w:name="_Toc88725227"/>
      <w:bookmarkStart w:id="92" w:name="_Toc88725228"/>
      <w:bookmarkStart w:id="93" w:name="_Toc88725229"/>
      <w:bookmarkStart w:id="94" w:name="_Toc88725231"/>
      <w:bookmarkStart w:id="95" w:name="_Toc88725233"/>
      <w:bookmarkStart w:id="96" w:name="_Toc88725235"/>
      <w:bookmarkStart w:id="97" w:name="_Toc88725237"/>
      <w:bookmarkStart w:id="98" w:name="_Toc88725238"/>
      <w:bookmarkStart w:id="99" w:name="_Toc88725239"/>
      <w:bookmarkStart w:id="100" w:name="_Toc88725240"/>
      <w:bookmarkStart w:id="101" w:name="_Toc88725241"/>
      <w:bookmarkStart w:id="102" w:name="_Toc88725242"/>
      <w:bookmarkStart w:id="103" w:name="_Toc88725243"/>
      <w:bookmarkStart w:id="104" w:name="_Toc88725244"/>
      <w:bookmarkStart w:id="105" w:name="_Toc88725245"/>
      <w:bookmarkStart w:id="106" w:name="_Toc88725246"/>
      <w:bookmarkStart w:id="107" w:name="_Toc88725247"/>
      <w:bookmarkStart w:id="108" w:name="_Toc88725248"/>
      <w:bookmarkStart w:id="109" w:name="_Toc88725249"/>
      <w:bookmarkStart w:id="110" w:name="_Toc88725250"/>
      <w:bookmarkStart w:id="111" w:name="_Toc88725251"/>
      <w:bookmarkStart w:id="112" w:name="_Toc88725252"/>
      <w:bookmarkStart w:id="113" w:name="_Toc88725253"/>
      <w:bookmarkStart w:id="114" w:name="_Toc88725254"/>
      <w:bookmarkStart w:id="115" w:name="_Toc88725255"/>
      <w:bookmarkStart w:id="116" w:name="_Toc88725256"/>
      <w:bookmarkStart w:id="117" w:name="_Toc88725257"/>
      <w:bookmarkStart w:id="118" w:name="_Toc88725258"/>
      <w:bookmarkStart w:id="119" w:name="_Toc88725259"/>
      <w:bookmarkStart w:id="120" w:name="_Toc88725260"/>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D55628">
        <w:rPr>
          <w:rFonts w:cs="Times New Roman"/>
          <w:noProof/>
          <w:lang w:eastAsia="en-US"/>
        </w:rPr>
        <mc:AlternateContent>
          <mc:Choice Requires="wps">
            <w:drawing>
              <wp:anchor distT="0" distB="0" distL="114300" distR="114300" simplePos="1" relativeHeight="251658248" behindDoc="1" locked="1" layoutInCell="1" allowOverlap="1" wp14:anchorId="206120F9" wp14:editId="493ABDA2">
                <wp:simplePos x="359410" y="9071610"/>
                <wp:positionH relativeFrom="page">
                  <wp:posOffset>359410</wp:posOffset>
                </wp:positionH>
                <wp:positionV relativeFrom="page">
                  <wp:posOffset>9071610</wp:posOffset>
                </wp:positionV>
                <wp:extent cx="6840001" cy="432000"/>
                <wp:effectExtent l="0" t="0" r="0" b="0"/>
                <wp:wrapNone/>
                <wp:docPr id="29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7E4DD"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120F9" id="_x0000_s1047" type="#_x0000_t202" alt="Title: Decorative Cover Shape" style="position:absolute;left:0;text-align:left;margin-left:28.3pt;margin-top:714.3pt;width:538.6pt;height:34pt;z-index:-251658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" fillcolor="#201547" stroked="f" strokeweight=".5pt">
                <v:textbox inset="10mm,0,10mm,0">
                  <w:txbxContent>
                    <w:p w14:paraId="1C67E4DD"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47" behindDoc="0" locked="1" layoutInCell="1" allowOverlap="1" wp14:anchorId="6D89CD23" wp14:editId="5A8F9706">
                <wp:simplePos x="0" y="0"/>
                <wp:positionH relativeFrom="page">
                  <wp:posOffset>360045</wp:posOffset>
                </wp:positionH>
                <wp:positionV relativeFrom="page">
                  <wp:posOffset>360045</wp:posOffset>
                </wp:positionV>
                <wp:extent cx="1864800" cy="1976400"/>
                <wp:effectExtent l="0" t="0" r="0" b="0"/>
                <wp:wrapNone/>
                <wp:docPr id="3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A27A027" id="TriangleTopACIMono" o:spid="_x0000_s1026" style="position:absolute;margin-left:28.35pt;margin-top:28.35pt;width:146.85pt;height:155.6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246" behindDoc="0" locked="1" layoutInCell="1" allowOverlap="1" wp14:anchorId="51A19CD1" wp14:editId="4009DD62">
                <wp:simplePos x="0" y="0"/>
                <wp:positionH relativeFrom="page">
                  <wp:posOffset>359410</wp:posOffset>
                </wp:positionH>
                <wp:positionV relativeFrom="page">
                  <wp:posOffset>359410</wp:posOffset>
                </wp:positionV>
                <wp:extent cx="1864800" cy="1976400"/>
                <wp:effectExtent l="0" t="0" r="0" b="0"/>
                <wp:wrapNone/>
                <wp:docPr id="39"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9B4B6AF" id="TriangleTop" o:spid="_x0000_s1026" style="position:absolute;margin-left:28.3pt;margin-top:28.3pt;width:146.85pt;height:155.6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45" behindDoc="0" locked="1" layoutInCell="1" allowOverlap="1" wp14:anchorId="557EE22D" wp14:editId="7FB7AF90">
                <wp:simplePos x="0" y="0"/>
                <wp:positionH relativeFrom="page">
                  <wp:posOffset>0</wp:posOffset>
                </wp:positionH>
                <wp:positionV relativeFrom="page">
                  <wp:align>bottom</wp:align>
                </wp:positionV>
                <wp:extent cx="3848400" cy="720000"/>
                <wp:effectExtent l="0" t="0" r="0" b="0"/>
                <wp:wrapNone/>
                <wp:docPr id="302"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B1051"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EE22D" id="_x0000_s1048" type="#_x0000_t202" style="position:absolute;left:0;text-align:left;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DiZQpWbgIAAEYFAAAOAAAAAAAAAAAAAAAAAC4C&#10;AABkcnMvZTJvRG9jLnhtbFBLAQItABQABgAIAAAAIQD0ys+o2gAAAAUBAAAPAAAAAAAAAAAAAAAA&#10;AMgEAABkcnMvZG93bnJldi54bWxQSwUGAAAAAAQABADzAAAAzwUAAAAA&#10;" filled="f" stroked="f" strokeweight=".5pt">
                <v:textbox inset="20mm">
                  <w:txbxContent>
                    <w:p w14:paraId="687B1051"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bookmarkStart w:id="121" w:name="_Toc88725261"/>
      <w:bookmarkStart w:id="122" w:name="_Toc88725262"/>
      <w:bookmarkStart w:id="123" w:name="_Toc88725263"/>
      <w:bookmarkStart w:id="124" w:name="_Toc88725264"/>
      <w:bookmarkStart w:id="125" w:name="_Toc88725265"/>
      <w:bookmarkStart w:id="126" w:name="_Toc88725266"/>
      <w:bookmarkStart w:id="127" w:name="_Toc88725267"/>
      <w:bookmarkStart w:id="128" w:name="_Toc88725268"/>
      <w:bookmarkStart w:id="129" w:name="_Toc88725269"/>
      <w:bookmarkStart w:id="130" w:name="_Toc88725270"/>
      <w:bookmarkStart w:id="131" w:name="_Toc88725271"/>
      <w:bookmarkStart w:id="132" w:name="_Toc88725272"/>
      <w:bookmarkStart w:id="133" w:name="_Toc88725274"/>
      <w:bookmarkStart w:id="134" w:name="_Toc88725276"/>
      <w:bookmarkStart w:id="135" w:name="_Toc88725278"/>
      <w:bookmarkStart w:id="136" w:name="_Toc88725280"/>
      <w:bookmarkStart w:id="137" w:name="_Toc88725281"/>
      <w:bookmarkStart w:id="138" w:name="_Toc88725282"/>
      <w:bookmarkStart w:id="139" w:name="_Toc88725283"/>
      <w:bookmarkStart w:id="140" w:name="_Toc88725284"/>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Invasive species</w:t>
      </w:r>
      <w:bookmarkEnd w:id="140"/>
    </w:p>
    <w:p w14:paraId="4BF9D8CD" w14:textId="77777777" w:rsidR="00466BF6" w:rsidRPr="001C0DE0" w:rsidRDefault="00466BF6" w:rsidP="00466BF6">
      <w:pPr>
        <w:pStyle w:val="Heading5"/>
        <w:numPr>
          <w:ilvl w:val="0"/>
          <w:numId w:val="0"/>
        </w:numPr>
        <w:ind w:left="1008" w:hanging="1008"/>
      </w:pPr>
      <w:r>
        <w:t>Invasive vertebrate (deer)</w:t>
      </w:r>
    </w:p>
    <w:p w14:paraId="4AFF0FEE" w14:textId="5DBD6D26" w:rsidR="00466BF6" w:rsidRPr="00704719" w:rsidRDefault="00466BF6" w:rsidP="00466BF6">
      <w:pPr>
        <w:pStyle w:val="BodyText"/>
        <w:rPr>
          <w:rFonts w:ascii="Calibri" w:hAnsi="Calibri" w:cs="Calibri"/>
          <w:color w:val="000000"/>
          <w:sz w:val="22"/>
          <w:szCs w:val="22"/>
        </w:rPr>
      </w:pPr>
      <w:r w:rsidRPr="00F26BEE">
        <w:t>Sambar</w:t>
      </w:r>
      <w:r w:rsidR="00AC37AC">
        <w:t xml:space="preserve"> deer</w:t>
      </w:r>
      <w:r w:rsidRPr="00F26BEE">
        <w:t xml:space="preserve"> have been increasing in population across the Central Highlands and Gippsland RFA regions in the last decade (Watter et al. 2020), infiltrating</w:t>
      </w:r>
      <w:r>
        <w:t xml:space="preserve"> all districts and forest types, often observed congregating in damper habitats including Cool Temperate Rainforest and other riparian habitats. For many taxa, targeted browsing of juveniles or resprouts has eliminated all recruits which will inevitably result in local extinction. It is unclear how frequently Sambar are likely to target the </w:t>
      </w:r>
      <w:r w:rsidR="00D51603">
        <w:t>sub</w:t>
      </w:r>
      <w:r w:rsidR="007B7B03">
        <w:t>species’</w:t>
      </w:r>
      <w:r>
        <w:t xml:space="preserve"> host trees such as the Musk Daisy-bush for antler rubbing, however</w:t>
      </w:r>
      <w:r>
        <w:rPr>
          <w:rStyle w:val="BodyTextChar"/>
        </w:rPr>
        <w:t xml:space="preserve"> v</w:t>
      </w:r>
      <w:r w:rsidRPr="00277B1B">
        <w:rPr>
          <w:rStyle w:val="BodyTextChar"/>
        </w:rPr>
        <w:t>egetative regeneration of established plants from rhizomes protected within the trunks of host plants post-fire are likely to be at elevated risk of antler rubbing</w:t>
      </w:r>
      <w:r>
        <w:t xml:space="preserve">, which </w:t>
      </w:r>
      <w:r w:rsidRPr="00277B1B">
        <w:rPr>
          <w:rStyle w:val="BodyTextChar"/>
        </w:rPr>
        <w:t>can dislodge epiphytic occurrence</w:t>
      </w:r>
      <w:r>
        <w:rPr>
          <w:rStyle w:val="BodyTextChar"/>
        </w:rPr>
        <w:t xml:space="preserve">s. </w:t>
      </w:r>
      <w:r>
        <w:t xml:space="preserve">Sambar have the capacity to completely ringbark numerous understorey shrubs and trees, which would eliminate entirely one of the most frequently documented hosts of the </w:t>
      </w:r>
      <w:r w:rsidR="00D51603">
        <w:t>sub</w:t>
      </w:r>
      <w:r w:rsidR="007B7B03">
        <w:t>species</w:t>
      </w:r>
      <w:r>
        <w:t xml:space="preserve">. Sambar are also likely to destabilise fragile lithophytic habitats, namely thin crusts comprising soil, litter, bryophytes, lichens, other fungi and algae, through trampling or even wallowing. Sambar often target regenerating stands following bushfire, planned burns and regenerating </w:t>
      </w:r>
      <w:r w:rsidR="00FF6B44">
        <w:t>timber harvesting</w:t>
      </w:r>
      <w:r>
        <w:t xml:space="preserve"> coupes, resulting in recruitment failure of seed recruits or resprouting individuals at their most vulnerable stage of development. This hazard extends across all the </w:t>
      </w:r>
      <w:r w:rsidR="00D51603">
        <w:t>sub</w:t>
      </w:r>
      <w:r w:rsidR="007B7B03">
        <w:t>species’</w:t>
      </w:r>
      <w:r>
        <w:t xml:space="preserve"> populations in the Central Highlands and Gippsland RFA regions.</w:t>
      </w:r>
    </w:p>
    <w:p w14:paraId="36130709" w14:textId="77777777" w:rsidR="00466BF6" w:rsidRPr="00F26BEE" w:rsidRDefault="00466BF6" w:rsidP="00466BF6">
      <w:pPr>
        <w:pStyle w:val="BodyText"/>
      </w:pPr>
      <w:r w:rsidRPr="00660ABA">
        <w:t xml:space="preserve">Current existing controls </w:t>
      </w:r>
      <w:r w:rsidRPr="00F26BEE">
        <w:t>for this hazard include:</w:t>
      </w:r>
    </w:p>
    <w:p w14:paraId="5858810A" w14:textId="7776F4CF" w:rsidR="006C4869" w:rsidRPr="006C4869" w:rsidRDefault="00466BF6" w:rsidP="006670D2">
      <w:pPr>
        <w:pStyle w:val="PullOutBoxBullet"/>
      </w:pPr>
      <w:r w:rsidRPr="00F26BEE">
        <w:rPr>
          <w:rStyle w:val="normaltextrun"/>
        </w:rPr>
        <w:t xml:space="preserve">Targeted deer control. The effectiveness of this control for this </w:t>
      </w:r>
      <w:r w:rsidR="00D51603">
        <w:rPr>
          <w:rStyle w:val="normaltextrun"/>
        </w:rPr>
        <w:t>sub</w:t>
      </w:r>
      <w:r w:rsidRPr="00F26BEE">
        <w:rPr>
          <w:rStyle w:val="normaltextrun"/>
        </w:rPr>
        <w:t>species has been evaluated as poor because targeted culling is patchy, expensive, and challenging to target in remote forest areas. Sambar deer occur across a large area so there is a reservoir of other areas to recolonise from.</w:t>
      </w:r>
      <w:r w:rsidRPr="00F26BEE">
        <w:rPr>
          <w:rStyle w:val="eop"/>
        </w:rPr>
        <w:t> </w:t>
      </w:r>
      <w:r w:rsidRPr="00F26BEE">
        <w:t xml:space="preserve"> </w:t>
      </w:r>
    </w:p>
    <w:p w14:paraId="44826E5F" w14:textId="585F8E75" w:rsidR="00466BF6" w:rsidRPr="00A309FE" w:rsidRDefault="00466BF6" w:rsidP="006670D2">
      <w:pPr>
        <w:spacing w:before="120" w:after="240"/>
      </w:pPr>
      <w:r w:rsidRPr="00A309FE">
        <w:rPr>
          <w:b/>
          <w:bCs/>
          <w:sz w:val="16"/>
        </w:rPr>
        <w:t xml:space="preserve">Table </w:t>
      </w:r>
      <w:r w:rsidR="001149F4" w:rsidRPr="00915D82">
        <w:rPr>
          <w:b/>
          <w:bCs/>
          <w:sz w:val="16"/>
        </w:rPr>
        <w:fldChar w:fldCharType="begin"/>
      </w:r>
      <w:r w:rsidR="001149F4" w:rsidRPr="00A309FE">
        <w:rPr>
          <w:b/>
          <w:bCs/>
          <w:sz w:val="16"/>
        </w:rPr>
        <w:instrText xml:space="preserve"> SEQ Table \* ARABIC </w:instrText>
      </w:r>
      <w:r w:rsidR="001149F4" w:rsidRPr="00915D82">
        <w:rPr>
          <w:b/>
          <w:bCs/>
          <w:sz w:val="16"/>
        </w:rPr>
        <w:fldChar w:fldCharType="separate"/>
      </w:r>
      <w:r w:rsidR="00692F0D">
        <w:rPr>
          <w:b/>
          <w:bCs/>
          <w:noProof/>
          <w:sz w:val="16"/>
        </w:rPr>
        <w:t>41</w:t>
      </w:r>
      <w:r w:rsidR="001149F4" w:rsidRPr="00915D82">
        <w:rPr>
          <w:b/>
          <w:bCs/>
          <w:sz w:val="16"/>
        </w:rPr>
        <w:fldChar w:fldCharType="end"/>
      </w:r>
      <w:r w:rsidRPr="00A309FE">
        <w:rPr>
          <w:b/>
          <w:bCs/>
          <w:sz w:val="16"/>
        </w:rPr>
        <w:t>. Beech Finger-fern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466BF6" w:rsidRPr="00867DAA" w14:paraId="61C055A4"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5AD102AF" w14:textId="77777777" w:rsidR="00466BF6" w:rsidRPr="00704719" w:rsidRDefault="00466BF6" w:rsidP="005611CD">
            <w:pPr>
              <w:pStyle w:val="BodyText"/>
            </w:pPr>
            <w:r w:rsidRPr="00704719">
              <w:t>Requirement</w:t>
            </w:r>
          </w:p>
        </w:tc>
        <w:tc>
          <w:tcPr>
            <w:tcW w:w="7371" w:type="dxa"/>
          </w:tcPr>
          <w:p w14:paraId="1F60DB0D" w14:textId="77777777" w:rsidR="00466BF6" w:rsidRPr="00704719" w:rsidRDefault="00466BF6" w:rsidP="005611CD">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399AC565" w14:textId="77777777" w:rsidTr="0045799B">
        <w:tc>
          <w:tcPr>
            <w:tcW w:w="0" w:type="dxa"/>
            <w:shd w:val="clear" w:color="auto" w:fill="auto"/>
          </w:tcPr>
          <w:p w14:paraId="2AA25F34" w14:textId="51E1FB51" w:rsidR="00466BF6" w:rsidRPr="00867DAA" w:rsidRDefault="009C59C6" w:rsidP="005611CD">
            <w:pPr>
              <w:pStyle w:val="BodyText"/>
            </w:pPr>
            <w:r>
              <w:t>Priority management actions</w:t>
            </w:r>
          </w:p>
        </w:tc>
        <w:tc>
          <w:tcPr>
            <w:tcW w:w="0" w:type="dxa"/>
            <w:shd w:val="clear" w:color="auto" w:fill="auto"/>
          </w:tcPr>
          <w:p w14:paraId="322B1393" w14:textId="77777777" w:rsidR="00466BF6" w:rsidRPr="00200995" w:rsidRDefault="00466BF6" w:rsidP="005611CD">
            <w:pPr>
              <w:pStyle w:val="BodyText"/>
            </w:pPr>
            <w:r w:rsidRPr="00200995">
              <w:t>Not required for this hazard</w:t>
            </w:r>
            <w:r>
              <w:t xml:space="preserve"> unless a major event occurs.</w:t>
            </w:r>
          </w:p>
        </w:tc>
      </w:tr>
      <w:tr w:rsidR="00466BF6" w:rsidRPr="00867DAA" w14:paraId="317F5D8F" w14:textId="77777777" w:rsidTr="0045799B">
        <w:tc>
          <w:tcPr>
            <w:tcW w:w="0" w:type="dxa"/>
            <w:shd w:val="clear" w:color="auto" w:fill="auto"/>
          </w:tcPr>
          <w:p w14:paraId="6922CECB" w14:textId="0E39F54D" w:rsidR="00466BF6" w:rsidRPr="00867DAA" w:rsidRDefault="009C59C6" w:rsidP="005611CD">
            <w:pPr>
              <w:pStyle w:val="BodyText"/>
            </w:pPr>
            <w:r>
              <w:t>Potential m</w:t>
            </w:r>
            <w:r w:rsidR="00466BF6" w:rsidRPr="00867DAA">
              <w:t>anagement actions</w:t>
            </w:r>
          </w:p>
        </w:tc>
        <w:tc>
          <w:tcPr>
            <w:tcW w:w="0" w:type="dxa"/>
            <w:shd w:val="clear" w:color="auto" w:fill="auto"/>
          </w:tcPr>
          <w:p w14:paraId="77642C24" w14:textId="7583A9EE" w:rsidR="00466BF6" w:rsidRDefault="00466BF6" w:rsidP="006670D2">
            <w:pPr>
              <w:pStyle w:val="PullOutBoxBullet"/>
            </w:pPr>
            <w:r>
              <w:t xml:space="preserve">Monitor representative populations following </w:t>
            </w:r>
            <w:r w:rsidR="00FF6B44">
              <w:t>timber harvesting</w:t>
            </w:r>
            <w:r>
              <w:t xml:space="preserve">, </w:t>
            </w:r>
            <w:r w:rsidR="001C49E0">
              <w:t xml:space="preserve">planned </w:t>
            </w:r>
            <w:r>
              <w:t xml:space="preserve">burning and bushfire to look for evidence of antler rubbing on host trees; and </w:t>
            </w:r>
          </w:p>
          <w:p w14:paraId="58FE5E95" w14:textId="77777777" w:rsidR="00466BF6" w:rsidRPr="00362BCE" w:rsidRDefault="00466BF6" w:rsidP="006670D2">
            <w:pPr>
              <w:pStyle w:val="PullOutBoxBullet"/>
            </w:pPr>
            <w:r>
              <w:t>T</w:t>
            </w:r>
            <w:r w:rsidRPr="00FB615A">
              <w:t>arget Sambar for control after major decline events.</w:t>
            </w:r>
          </w:p>
        </w:tc>
      </w:tr>
    </w:tbl>
    <w:p w14:paraId="7E351235" w14:textId="4C39DEC5" w:rsidR="00466BF6" w:rsidRPr="00D85E62" w:rsidRDefault="00466BF6" w:rsidP="00FB5A2B">
      <w:pPr>
        <w:pStyle w:val="Heading2"/>
        <w:ind w:left="0"/>
      </w:pPr>
      <w:bookmarkStart w:id="141" w:name="_Toc95233340"/>
      <w:bookmarkStart w:id="142" w:name="_Toc113271031"/>
      <w:r>
        <w:t>Black Bog-sedge (</w:t>
      </w:r>
      <w:r w:rsidRPr="00197CBF">
        <w:rPr>
          <w:i/>
          <w:iCs/>
        </w:rPr>
        <w:t>Schoenus melanostachys</w:t>
      </w:r>
      <w:r>
        <w:t>)</w:t>
      </w:r>
      <w:bookmarkEnd w:id="141"/>
      <w:bookmarkEnd w:id="142"/>
    </w:p>
    <w:p w14:paraId="55088499" w14:textId="5FDB9B3A" w:rsidR="00466BF6" w:rsidRDefault="00466BF6" w:rsidP="00466BF6">
      <w:pPr>
        <w:pStyle w:val="BodyText"/>
      </w:pPr>
      <w:r>
        <w:t xml:space="preserve">The </w:t>
      </w:r>
      <w:r w:rsidRPr="008F1EFF">
        <w:t>Black Bog-sedge</w:t>
      </w:r>
      <w:r>
        <w:t xml:space="preserve"> was listed as Vulnerable in Victoria under the FFG Act in May 2021. The </w:t>
      </w:r>
      <w:r w:rsidR="007B7B03">
        <w:t>species</w:t>
      </w:r>
      <w:r>
        <w:t xml:space="preserve"> has modelled habitat in </w:t>
      </w:r>
      <w:r w:rsidRPr="00D05A3B">
        <w:t xml:space="preserve">the </w:t>
      </w:r>
      <w:r>
        <w:t xml:space="preserve">East Gippsland </w:t>
      </w:r>
      <w:r w:rsidRPr="008F703F">
        <w:t>(</w:t>
      </w:r>
      <w:r>
        <w:t>100</w:t>
      </w:r>
      <w:r w:rsidRPr="008F703F">
        <w:t>%</w:t>
      </w:r>
      <w:r>
        <w:t xml:space="preserve"> of modelled habitat</w:t>
      </w:r>
      <w:r w:rsidRPr="008F703F">
        <w:t>)</w:t>
      </w:r>
      <w:r>
        <w:t xml:space="preserve"> </w:t>
      </w:r>
      <w:r w:rsidRPr="008F703F">
        <w:t>RFA region</w:t>
      </w:r>
      <w: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 </w:t>
      </w:r>
    </w:p>
    <w:p w14:paraId="42D3B979" w14:textId="77777777" w:rsidR="00466BF6" w:rsidRDefault="00466BF6" w:rsidP="007E5EBF">
      <w:pPr>
        <w:pStyle w:val="Heading3"/>
      </w:pPr>
      <w:r>
        <w:t>Risk Assessment</w:t>
      </w:r>
    </w:p>
    <w:p w14:paraId="4F7F3345" w14:textId="59F860AC"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42</w:t>
      </w:r>
      <w:r w:rsidR="000B6788" w:rsidRPr="00B6162A">
        <w:rPr>
          <w:bCs/>
          <w:noProof/>
        </w:rPr>
        <w:fldChar w:fldCharType="end"/>
      </w:r>
      <w:r w:rsidRPr="00FF310C">
        <w:t>. Black Bog-sedge risk ratings in the East Gippsland RFA region:</w:t>
      </w:r>
    </w:p>
    <w:tbl>
      <w:tblPr>
        <w:tblStyle w:val="TableGrid"/>
        <w:tblW w:w="9329" w:type="dxa"/>
        <w:tblLook w:val="04A0" w:firstRow="1" w:lastRow="0" w:firstColumn="1" w:lastColumn="0" w:noHBand="0" w:noVBand="1"/>
      </w:tblPr>
      <w:tblGrid>
        <w:gridCol w:w="2346"/>
        <w:gridCol w:w="2325"/>
        <w:gridCol w:w="2329"/>
        <w:gridCol w:w="2329"/>
      </w:tblGrid>
      <w:tr w:rsidR="00466BF6" w14:paraId="29C891C7"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vAlign w:val="center"/>
          </w:tcPr>
          <w:p w14:paraId="5DDEAF83" w14:textId="77777777" w:rsidR="00466BF6" w:rsidRPr="00643008" w:rsidRDefault="00466BF6" w:rsidP="006670D2">
            <w:pPr>
              <w:pStyle w:val="CaptionImageorFigure"/>
            </w:pPr>
          </w:p>
        </w:tc>
        <w:tc>
          <w:tcPr>
            <w:tcW w:w="2410" w:type="dxa"/>
            <w:vAlign w:val="center"/>
          </w:tcPr>
          <w:p w14:paraId="43001F70" w14:textId="77777777" w:rsidR="00466BF6" w:rsidRPr="0046086F" w:rsidDel="00C443E0"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rsidRPr="0046086F">
              <w:t>Drying climate</w:t>
            </w:r>
          </w:p>
        </w:tc>
        <w:tc>
          <w:tcPr>
            <w:tcW w:w="2410" w:type="dxa"/>
            <w:vAlign w:val="center"/>
          </w:tcPr>
          <w:p w14:paraId="76C2E646" w14:textId="04ACEA9A"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w:t>
            </w:r>
            <w:r w:rsidRPr="004425DC">
              <w:t>ncreased fire frequency</w:t>
            </w:r>
            <w:r>
              <w:t xml:space="preserve"> and </w:t>
            </w:r>
            <w:r w:rsidRPr="004425DC">
              <w:t>intensity</w:t>
            </w:r>
          </w:p>
        </w:tc>
        <w:tc>
          <w:tcPr>
            <w:tcW w:w="2410" w:type="dxa"/>
            <w:vAlign w:val="center"/>
          </w:tcPr>
          <w:p w14:paraId="2E08FC6C" w14:textId="649CB509" w:rsidR="00466BF6" w:rsidRPr="00CB238F" w:rsidRDefault="00AD5DB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466BF6">
              <w:t>orestry operations</w:t>
            </w:r>
          </w:p>
        </w:tc>
      </w:tr>
      <w:tr w:rsidR="00466BF6" w14:paraId="0DDE6BB7" w14:textId="77777777" w:rsidTr="00296E0F">
        <w:tc>
          <w:tcPr>
            <w:tcW w:w="2410" w:type="dxa"/>
            <w:vAlign w:val="center"/>
          </w:tcPr>
          <w:p w14:paraId="0E8D5145" w14:textId="77777777" w:rsidR="00466BF6" w:rsidRPr="0053677B" w:rsidRDefault="00466BF6" w:rsidP="00AD5DB6">
            <w:pPr>
              <w:pStyle w:val="BodyText"/>
              <w:jc w:val="center"/>
            </w:pPr>
            <w:r w:rsidRPr="0053677B">
              <w:t>Consequence</w:t>
            </w:r>
          </w:p>
        </w:tc>
        <w:tc>
          <w:tcPr>
            <w:tcW w:w="2410" w:type="dxa"/>
            <w:vAlign w:val="center"/>
          </w:tcPr>
          <w:p w14:paraId="5E736C9A" w14:textId="77777777" w:rsidR="00466BF6" w:rsidRDefault="00466BF6" w:rsidP="00AD5DB6">
            <w:pPr>
              <w:pStyle w:val="BodyText"/>
              <w:jc w:val="center"/>
            </w:pPr>
            <w:r>
              <w:t>Moderate</w:t>
            </w:r>
          </w:p>
        </w:tc>
        <w:tc>
          <w:tcPr>
            <w:tcW w:w="2410" w:type="dxa"/>
            <w:vAlign w:val="center"/>
          </w:tcPr>
          <w:p w14:paraId="0D1A340E" w14:textId="77777777" w:rsidR="00466BF6" w:rsidRDefault="00466BF6" w:rsidP="00AD5DB6">
            <w:pPr>
              <w:pStyle w:val="BodyText"/>
              <w:jc w:val="center"/>
            </w:pPr>
            <w:r>
              <w:t>Moderate</w:t>
            </w:r>
          </w:p>
        </w:tc>
        <w:tc>
          <w:tcPr>
            <w:tcW w:w="2410" w:type="dxa"/>
            <w:vAlign w:val="center"/>
          </w:tcPr>
          <w:p w14:paraId="414BA3F9" w14:textId="77777777" w:rsidR="00466BF6" w:rsidRDefault="00466BF6" w:rsidP="00AD5DB6">
            <w:pPr>
              <w:pStyle w:val="BodyText"/>
              <w:jc w:val="center"/>
            </w:pPr>
            <w:r>
              <w:t>Minor</w:t>
            </w:r>
          </w:p>
        </w:tc>
      </w:tr>
      <w:tr w:rsidR="00466BF6" w14:paraId="40DE2C5C" w14:textId="77777777" w:rsidTr="00296E0F">
        <w:tc>
          <w:tcPr>
            <w:tcW w:w="2410" w:type="dxa"/>
            <w:vAlign w:val="center"/>
          </w:tcPr>
          <w:p w14:paraId="28D7004F" w14:textId="77777777" w:rsidR="00466BF6" w:rsidRPr="0053677B" w:rsidRDefault="00466BF6" w:rsidP="00AD5DB6">
            <w:pPr>
              <w:pStyle w:val="BodyText"/>
              <w:jc w:val="center"/>
            </w:pPr>
            <w:r w:rsidRPr="0053677B">
              <w:t>Likelihood</w:t>
            </w:r>
          </w:p>
        </w:tc>
        <w:tc>
          <w:tcPr>
            <w:tcW w:w="2410" w:type="dxa"/>
            <w:vAlign w:val="center"/>
          </w:tcPr>
          <w:p w14:paraId="5B338C59" w14:textId="77777777" w:rsidR="00466BF6" w:rsidRDefault="00466BF6" w:rsidP="00AD5DB6">
            <w:pPr>
              <w:pStyle w:val="BodyText"/>
              <w:jc w:val="center"/>
            </w:pPr>
            <w:r>
              <w:t>Possible</w:t>
            </w:r>
          </w:p>
        </w:tc>
        <w:tc>
          <w:tcPr>
            <w:tcW w:w="2410" w:type="dxa"/>
            <w:vAlign w:val="center"/>
          </w:tcPr>
          <w:p w14:paraId="639C0E44" w14:textId="77777777" w:rsidR="00466BF6" w:rsidRDefault="00466BF6" w:rsidP="00AD5DB6">
            <w:pPr>
              <w:pStyle w:val="BodyText"/>
              <w:jc w:val="center"/>
            </w:pPr>
            <w:r>
              <w:t>Likely</w:t>
            </w:r>
          </w:p>
        </w:tc>
        <w:tc>
          <w:tcPr>
            <w:tcW w:w="2410" w:type="dxa"/>
            <w:vAlign w:val="center"/>
          </w:tcPr>
          <w:p w14:paraId="74DC4208" w14:textId="77777777" w:rsidR="00466BF6" w:rsidRDefault="00466BF6" w:rsidP="00AD5DB6">
            <w:pPr>
              <w:pStyle w:val="BodyText"/>
              <w:jc w:val="center"/>
            </w:pPr>
            <w:r>
              <w:t>Possible</w:t>
            </w:r>
          </w:p>
        </w:tc>
      </w:tr>
      <w:tr w:rsidR="00466BF6" w14:paraId="0BD68262" w14:textId="77777777" w:rsidTr="00296E0F">
        <w:tc>
          <w:tcPr>
            <w:tcW w:w="2410" w:type="dxa"/>
            <w:vAlign w:val="center"/>
          </w:tcPr>
          <w:p w14:paraId="26589E37" w14:textId="77777777" w:rsidR="00466BF6" w:rsidRPr="0053677B" w:rsidRDefault="00466BF6" w:rsidP="00AD5DB6">
            <w:pPr>
              <w:pStyle w:val="BodyText"/>
              <w:jc w:val="center"/>
            </w:pPr>
            <w:r w:rsidRPr="0053677B">
              <w:t>Overall risk rating</w:t>
            </w:r>
          </w:p>
        </w:tc>
        <w:tc>
          <w:tcPr>
            <w:tcW w:w="2410" w:type="dxa"/>
            <w:shd w:val="clear" w:color="auto" w:fill="FFFF00"/>
            <w:vAlign w:val="center"/>
          </w:tcPr>
          <w:p w14:paraId="30BA60D3" w14:textId="77777777" w:rsidR="00466BF6" w:rsidRDefault="00466BF6" w:rsidP="00AD5DB6">
            <w:pPr>
              <w:pStyle w:val="BodyText"/>
              <w:jc w:val="center"/>
            </w:pPr>
            <w:r>
              <w:t>Medium</w:t>
            </w:r>
          </w:p>
        </w:tc>
        <w:tc>
          <w:tcPr>
            <w:tcW w:w="2410" w:type="dxa"/>
            <w:shd w:val="clear" w:color="auto" w:fill="FFC000"/>
            <w:vAlign w:val="center"/>
          </w:tcPr>
          <w:p w14:paraId="79214502" w14:textId="77777777" w:rsidR="00466BF6" w:rsidRDefault="00466BF6" w:rsidP="00AD5DB6">
            <w:pPr>
              <w:pStyle w:val="BodyText"/>
              <w:jc w:val="center"/>
            </w:pPr>
            <w:r>
              <w:t>Significant</w:t>
            </w:r>
          </w:p>
        </w:tc>
        <w:tc>
          <w:tcPr>
            <w:tcW w:w="2410" w:type="dxa"/>
            <w:shd w:val="clear" w:color="auto" w:fill="FFFF00"/>
            <w:vAlign w:val="center"/>
          </w:tcPr>
          <w:p w14:paraId="0C614D13" w14:textId="77777777" w:rsidR="00466BF6" w:rsidRDefault="00466BF6" w:rsidP="00AD5DB6">
            <w:pPr>
              <w:pStyle w:val="BodyText"/>
              <w:jc w:val="center"/>
            </w:pPr>
            <w:r>
              <w:t>Medium</w:t>
            </w:r>
          </w:p>
        </w:tc>
      </w:tr>
    </w:tbl>
    <w:p w14:paraId="3F54B115" w14:textId="77777777" w:rsidR="00466BF6" w:rsidRPr="0077027B" w:rsidRDefault="00466BF6" w:rsidP="007E5EBF">
      <w:pPr>
        <w:pStyle w:val="Heading3"/>
        <w:jc w:val="both"/>
      </w:pPr>
      <w:r>
        <w:t>Climate change</w:t>
      </w:r>
    </w:p>
    <w:p w14:paraId="2F1A5769" w14:textId="77777777" w:rsidR="00466BF6" w:rsidRPr="00451790" w:rsidRDefault="00466BF6" w:rsidP="00466BF6">
      <w:pPr>
        <w:pStyle w:val="Heading5"/>
        <w:numPr>
          <w:ilvl w:val="0"/>
          <w:numId w:val="0"/>
        </w:numPr>
        <w:ind w:left="1008" w:hanging="1008"/>
      </w:pPr>
      <w:r w:rsidRPr="00451790">
        <w:t>Drying climate</w:t>
      </w:r>
    </w:p>
    <w:p w14:paraId="20981663" w14:textId="3BB8EAD6" w:rsidR="00466BF6" w:rsidRPr="00F26BEE" w:rsidRDefault="00466BF6" w:rsidP="00466BF6">
      <w:pPr>
        <w:pStyle w:val="BodyText"/>
      </w:pPr>
      <w:r w:rsidRPr="003566BD">
        <w:t xml:space="preserve">The </w:t>
      </w:r>
      <w:r>
        <w:t xml:space="preserve">greatest impacts of a drying climate for this </w:t>
      </w:r>
      <w:r w:rsidR="00655133">
        <w:t>species</w:t>
      </w:r>
      <w:r>
        <w:t xml:space="preserve"> </w:t>
      </w:r>
      <w:r w:rsidRPr="003566BD">
        <w:t xml:space="preserve">are </w:t>
      </w:r>
      <w:r>
        <w:t xml:space="preserve">those on </w:t>
      </w:r>
      <w:r w:rsidRPr="003566BD">
        <w:t>the watering cycles of wetland</w:t>
      </w:r>
      <w:r>
        <w:t>s</w:t>
      </w:r>
      <w:r w:rsidRPr="003566BD">
        <w:t xml:space="preserve"> and wet heath.</w:t>
      </w:r>
      <w:r>
        <w:t xml:space="preserve"> This hazard applies to 90% of the </w:t>
      </w:r>
      <w:r w:rsidR="00655133">
        <w:t>species’</w:t>
      </w:r>
      <w:r>
        <w:t xml:space="preserve"> habitat and leads to a</w:t>
      </w:r>
      <w:r w:rsidRPr="003566BD">
        <w:t>ltered hydrology</w:t>
      </w:r>
      <w:r>
        <w:t>, h</w:t>
      </w:r>
      <w:r w:rsidRPr="003566BD">
        <w:t>abitat degradation</w:t>
      </w:r>
      <w:r>
        <w:t xml:space="preserve"> and </w:t>
      </w:r>
      <w:r w:rsidRPr="00F26BEE">
        <w:t xml:space="preserve">habitat loss. A drying climate will likely result in greater incidence of fire which may remove or reduce peaty soils which forms part of the </w:t>
      </w:r>
      <w:r w:rsidR="00655133">
        <w:t>species’</w:t>
      </w:r>
      <w:r w:rsidRPr="00F26BEE">
        <w:t xml:space="preserve"> habitat requirements. </w:t>
      </w:r>
    </w:p>
    <w:p w14:paraId="059F9322" w14:textId="62CF10C0" w:rsidR="00466BF6" w:rsidRDefault="00466BF6" w:rsidP="00466BF6">
      <w:pPr>
        <w:pStyle w:val="BodyText"/>
      </w:pPr>
      <w:r w:rsidRPr="00F26BEE">
        <w:t xml:space="preserve">Current control measures for this hazard are not effective in managing the risk to this </w:t>
      </w:r>
      <w:r w:rsidR="00655133">
        <w:t>species</w:t>
      </w:r>
      <w:r w:rsidRPr="00F26BEE">
        <w:t xml:space="preserve"> at the scale relevant to its conservation.</w:t>
      </w:r>
    </w:p>
    <w:p w14:paraId="55DC378C" w14:textId="351D8852"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43</w:t>
      </w:r>
      <w:r w:rsidR="000B6788" w:rsidRPr="00B6162A">
        <w:rPr>
          <w:bCs/>
          <w:noProof/>
        </w:rPr>
        <w:fldChar w:fldCharType="end"/>
      </w:r>
      <w:r w:rsidRPr="00FF310C">
        <w:t>. Black Bog-sedge protection requirements and recommendations for drying climate</w:t>
      </w:r>
    </w:p>
    <w:tbl>
      <w:tblPr>
        <w:tblStyle w:val="TableGrid"/>
        <w:tblW w:w="0" w:type="auto"/>
        <w:tblLook w:val="04A0" w:firstRow="1" w:lastRow="0" w:firstColumn="1" w:lastColumn="0" w:noHBand="0" w:noVBand="1"/>
      </w:tblPr>
      <w:tblGrid>
        <w:gridCol w:w="2268"/>
        <w:gridCol w:w="7371"/>
      </w:tblGrid>
      <w:tr w:rsidR="00466BF6" w:rsidRPr="00867DAA" w14:paraId="2FB39684"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7C4BD889" w14:textId="77777777" w:rsidR="00466BF6" w:rsidRPr="00704719" w:rsidRDefault="00466BF6" w:rsidP="005611CD">
            <w:pPr>
              <w:pStyle w:val="BodyText"/>
            </w:pPr>
            <w:r w:rsidRPr="00704719">
              <w:t>Requirement</w:t>
            </w:r>
          </w:p>
        </w:tc>
        <w:tc>
          <w:tcPr>
            <w:tcW w:w="7371" w:type="dxa"/>
          </w:tcPr>
          <w:p w14:paraId="04BF0871" w14:textId="77777777" w:rsidR="00466BF6" w:rsidRPr="00704719" w:rsidRDefault="00466BF6" w:rsidP="005611CD">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19DF88AF" w14:textId="77777777" w:rsidTr="005611CD">
        <w:tc>
          <w:tcPr>
            <w:tcW w:w="2268" w:type="dxa"/>
          </w:tcPr>
          <w:p w14:paraId="17A21A07" w14:textId="791BB188" w:rsidR="00466BF6" w:rsidRPr="003566BD" w:rsidRDefault="009C59C6" w:rsidP="005611CD">
            <w:pPr>
              <w:pStyle w:val="BodyText"/>
            </w:pPr>
            <w:r>
              <w:t>Priority management actions</w:t>
            </w:r>
          </w:p>
        </w:tc>
        <w:tc>
          <w:tcPr>
            <w:tcW w:w="7371" w:type="dxa"/>
          </w:tcPr>
          <w:p w14:paraId="40CD2A60" w14:textId="77777777" w:rsidR="00466BF6" w:rsidRPr="003566BD" w:rsidRDefault="00466BF6" w:rsidP="005611CD">
            <w:pPr>
              <w:pStyle w:val="BodyText"/>
            </w:pPr>
            <w:r w:rsidRPr="00200995">
              <w:t>Not required for this hazard based on the overall risk level of medium</w:t>
            </w:r>
            <w:r>
              <w:t>, and because it is a longer-term threat.</w:t>
            </w:r>
          </w:p>
        </w:tc>
      </w:tr>
      <w:tr w:rsidR="00466BF6" w:rsidRPr="00867DAA" w14:paraId="62166776" w14:textId="77777777" w:rsidTr="005611CD">
        <w:tc>
          <w:tcPr>
            <w:tcW w:w="2268" w:type="dxa"/>
          </w:tcPr>
          <w:p w14:paraId="77B6472C" w14:textId="51467F36" w:rsidR="00466BF6" w:rsidRPr="00867DAA" w:rsidRDefault="009C59C6" w:rsidP="005611CD">
            <w:pPr>
              <w:pStyle w:val="BodyText"/>
            </w:pPr>
            <w:r>
              <w:t>Potential m</w:t>
            </w:r>
            <w:r w:rsidR="00466BF6" w:rsidRPr="00867DAA">
              <w:t>anagement actions</w:t>
            </w:r>
          </w:p>
        </w:tc>
        <w:tc>
          <w:tcPr>
            <w:tcW w:w="7371" w:type="dxa"/>
          </w:tcPr>
          <w:p w14:paraId="26D56AFB" w14:textId="28DB7BF5" w:rsidR="00466BF6" w:rsidRPr="00AD3C29" w:rsidRDefault="00466BF6" w:rsidP="006670D2">
            <w:pPr>
              <w:pStyle w:val="PullOutBoxBullet"/>
            </w:pPr>
            <w:r w:rsidRPr="00F26BEE">
              <w:t>Investigate options to manage watering requirements of near coastal swamps, wet heaths and similar habitat under predicted warmer temperatures and lower rainfall</w:t>
            </w:r>
            <w:r w:rsidRPr="00AD3C29">
              <w:t xml:space="preserve"> conditions</w:t>
            </w:r>
            <w:r w:rsidR="00AD5DB6">
              <w:t>;</w:t>
            </w:r>
          </w:p>
          <w:p w14:paraId="6475ECBC" w14:textId="77777777" w:rsidR="00466BF6" w:rsidRDefault="00466BF6" w:rsidP="006670D2">
            <w:pPr>
              <w:pStyle w:val="PullOutBoxBullet"/>
            </w:pPr>
            <w:r>
              <w:t>D</w:t>
            </w:r>
            <w:r w:rsidRPr="003566BD">
              <w:t>etermine if populations can be protected with fencing of riparian habitat</w:t>
            </w:r>
            <w:r>
              <w:t xml:space="preserve">; </w:t>
            </w:r>
          </w:p>
          <w:p w14:paraId="1B07C210" w14:textId="77777777" w:rsidR="00466BF6" w:rsidRDefault="00466BF6" w:rsidP="006670D2">
            <w:pPr>
              <w:pStyle w:val="PullOutBoxBullet"/>
            </w:pPr>
            <w:r>
              <w:t>M</w:t>
            </w:r>
            <w:r w:rsidRPr="003566BD">
              <w:t>onitor selected populations in near coastal habitats, to determine changes in ground water, recruitment</w:t>
            </w:r>
            <w:r>
              <w:t>,</w:t>
            </w:r>
            <w:r w:rsidRPr="003566BD">
              <w:t xml:space="preserve"> and extent of occupancy</w:t>
            </w:r>
            <w:r>
              <w:t xml:space="preserve">; and </w:t>
            </w:r>
          </w:p>
          <w:p w14:paraId="13ACAA85" w14:textId="77777777" w:rsidR="00466BF6" w:rsidRPr="003566BD" w:rsidRDefault="00466BF6" w:rsidP="006670D2">
            <w:pPr>
              <w:pStyle w:val="PullOutBoxBullet"/>
            </w:pPr>
            <w:r>
              <w:t>Propagate and establish new populations in the margins of constructed wetlands.</w:t>
            </w:r>
          </w:p>
        </w:tc>
      </w:tr>
    </w:tbl>
    <w:p w14:paraId="108C0E16" w14:textId="77777777" w:rsidR="00466BF6" w:rsidRPr="0077027B" w:rsidRDefault="00466BF6" w:rsidP="007E5EBF">
      <w:pPr>
        <w:pStyle w:val="Heading3"/>
        <w:jc w:val="both"/>
      </w:pPr>
      <w:r>
        <w:t>Fire</w:t>
      </w:r>
    </w:p>
    <w:p w14:paraId="68050AE7" w14:textId="78B0D4BB" w:rsidR="00466BF6" w:rsidRPr="006E516A" w:rsidRDefault="00466BF6" w:rsidP="00466BF6">
      <w:pPr>
        <w:pStyle w:val="Heading5"/>
        <w:numPr>
          <w:ilvl w:val="0"/>
          <w:numId w:val="0"/>
        </w:numPr>
        <w:ind w:left="1008" w:hanging="1008"/>
        <w:rPr>
          <w:rFonts w:cs="Arial"/>
        </w:rPr>
      </w:pPr>
      <w:r w:rsidRPr="006E516A">
        <w:t>Increased fire frequency</w:t>
      </w:r>
      <w:r>
        <w:t xml:space="preserve"> and </w:t>
      </w:r>
      <w:r w:rsidRPr="006E516A">
        <w:t>intensity</w:t>
      </w:r>
    </w:p>
    <w:p w14:paraId="169A1F0E" w14:textId="2B23E245" w:rsidR="00C06C85" w:rsidRPr="007128C5" w:rsidRDefault="00C06C85" w:rsidP="00C06C85">
      <w:pPr>
        <w:spacing w:line="240" w:lineRule="auto"/>
        <w:textAlignment w:val="baseline"/>
        <w:rPr>
          <w:rFonts w:cs="Times New Roman"/>
          <w:sz w:val="18"/>
          <w:szCs w:val="18"/>
          <w:lang w:eastAsia="en-US"/>
        </w:rPr>
      </w:pPr>
      <w:r w:rsidRPr="007128C5">
        <w:rPr>
          <w:rFonts w:cs="Times New Roman"/>
          <w:sz w:val="18"/>
          <w:szCs w:val="18"/>
          <w:lang w:eastAsia="en-US"/>
        </w:rPr>
        <w:t xml:space="preserve">Climatic drying and warming are projected to increase the risk of more frequent and intense fire events and may contribute in some circumstances to the lowering of water tables and drying out of wetland habitats, resulting in a contraction in the local extent of suitable habitat. </w:t>
      </w:r>
      <w:r w:rsidR="00032BB4">
        <w:rPr>
          <w:rFonts w:cs="Times New Roman"/>
          <w:sz w:val="18"/>
          <w:szCs w:val="18"/>
          <w:lang w:eastAsia="en-US"/>
        </w:rPr>
        <w:t>Inappropriate</w:t>
      </w:r>
      <w:r w:rsidRPr="007128C5">
        <w:rPr>
          <w:rFonts w:cs="Times New Roman"/>
          <w:sz w:val="18"/>
          <w:szCs w:val="18"/>
          <w:lang w:eastAsia="en-US"/>
        </w:rPr>
        <w:t xml:space="preserve"> fire regimes may also lead to lowered water tables and drying wetland habitats. The effects of fire on the </w:t>
      </w:r>
      <w:r w:rsidR="00655133">
        <w:rPr>
          <w:rFonts w:cs="Times New Roman"/>
          <w:sz w:val="18"/>
          <w:szCs w:val="18"/>
          <w:lang w:eastAsia="en-US"/>
        </w:rPr>
        <w:t>species</w:t>
      </w:r>
      <w:r w:rsidRPr="007128C5">
        <w:rPr>
          <w:rFonts w:cs="Times New Roman"/>
          <w:sz w:val="18"/>
          <w:szCs w:val="18"/>
          <w:lang w:eastAsia="en-US"/>
        </w:rPr>
        <w:t xml:space="preserve"> are uncertain, however it is likely to tolerate moderate periodic fire if habitats (mainly substrate and hydrology) are not significantly degraded in the process. In one study, germination somewhat increased with heat and smoke treatment, however not significantly (Penman et al. 2008). Resprouting from rhizomes is the </w:t>
      </w:r>
      <w:r w:rsidR="00655133">
        <w:rPr>
          <w:rFonts w:cs="Times New Roman"/>
          <w:sz w:val="18"/>
          <w:szCs w:val="18"/>
          <w:lang w:eastAsia="en-US"/>
        </w:rPr>
        <w:t>speci</w:t>
      </w:r>
      <w:r w:rsidR="00A71395">
        <w:rPr>
          <w:rFonts w:cs="Times New Roman"/>
          <w:sz w:val="18"/>
          <w:szCs w:val="18"/>
          <w:lang w:eastAsia="en-US"/>
        </w:rPr>
        <w:t>es’</w:t>
      </w:r>
      <w:r w:rsidRPr="007128C5">
        <w:rPr>
          <w:rFonts w:cs="Times New Roman"/>
          <w:sz w:val="18"/>
          <w:szCs w:val="18"/>
          <w:lang w:eastAsia="en-US"/>
        </w:rPr>
        <w:t xml:space="preserve"> most likely regeneration response following fire, although intense fire has the capacity to consume peaty organic substrates, thus destroying the tough rhizome of the </w:t>
      </w:r>
      <w:r w:rsidR="00846D69">
        <w:rPr>
          <w:rFonts w:cs="Times New Roman"/>
          <w:sz w:val="18"/>
          <w:szCs w:val="18"/>
          <w:lang w:eastAsia="en-US"/>
        </w:rPr>
        <w:t>species</w:t>
      </w:r>
      <w:r w:rsidRPr="007128C5">
        <w:rPr>
          <w:rFonts w:cs="Times New Roman"/>
          <w:sz w:val="18"/>
          <w:szCs w:val="18"/>
          <w:lang w:eastAsia="en-US"/>
        </w:rPr>
        <w:t xml:space="preserve">. Fire at intervals that approach the </w:t>
      </w:r>
      <w:r w:rsidR="00846D69">
        <w:rPr>
          <w:rFonts w:cs="Times New Roman"/>
          <w:sz w:val="18"/>
          <w:szCs w:val="18"/>
          <w:lang w:eastAsia="en-US"/>
        </w:rPr>
        <w:t>species’</w:t>
      </w:r>
      <w:r w:rsidRPr="007128C5">
        <w:rPr>
          <w:rFonts w:cs="Times New Roman"/>
          <w:sz w:val="18"/>
          <w:szCs w:val="18"/>
          <w:lang w:eastAsia="en-US"/>
        </w:rPr>
        <w:t xml:space="preserve"> tolerable fire interval can eliminate recruiting stands permanently, and as the </w:t>
      </w:r>
      <w:r w:rsidR="00846D69">
        <w:rPr>
          <w:rFonts w:cs="Times New Roman"/>
          <w:sz w:val="18"/>
          <w:szCs w:val="18"/>
          <w:lang w:eastAsia="en-US"/>
        </w:rPr>
        <w:t>species</w:t>
      </w:r>
      <w:r w:rsidRPr="007128C5">
        <w:rPr>
          <w:rFonts w:cs="Times New Roman"/>
          <w:sz w:val="18"/>
          <w:szCs w:val="18"/>
          <w:lang w:eastAsia="en-US"/>
        </w:rPr>
        <w:t xml:space="preserve"> has no mechanism for long-distance dispersal, there is little opportunity for recolonisation. This hazard impacts approximately 50% of the </w:t>
      </w:r>
      <w:r w:rsidR="00846D69">
        <w:rPr>
          <w:rFonts w:cs="Times New Roman"/>
          <w:sz w:val="18"/>
          <w:szCs w:val="18"/>
          <w:lang w:eastAsia="en-US"/>
        </w:rPr>
        <w:t>species’</w:t>
      </w:r>
      <w:r w:rsidRPr="007128C5">
        <w:rPr>
          <w:rFonts w:cs="Times New Roman"/>
          <w:sz w:val="18"/>
          <w:szCs w:val="18"/>
          <w:lang w:eastAsia="en-US"/>
        </w:rPr>
        <w:t xml:space="preserve"> habitat</w:t>
      </w:r>
      <w:r w:rsidR="00AC7964">
        <w:rPr>
          <w:rFonts w:cs="Times New Roman"/>
          <w:sz w:val="18"/>
          <w:szCs w:val="18"/>
          <w:lang w:eastAsia="en-US"/>
        </w:rPr>
        <w:t>.</w:t>
      </w:r>
      <w:r w:rsidRPr="007128C5">
        <w:rPr>
          <w:rFonts w:cs="Times New Roman"/>
          <w:sz w:val="18"/>
          <w:szCs w:val="18"/>
          <w:lang w:eastAsia="en-US"/>
        </w:rPr>
        <w:t> </w:t>
      </w:r>
    </w:p>
    <w:p w14:paraId="626BAD82" w14:textId="1B90977A" w:rsidR="00466BF6" w:rsidRDefault="00466BF6" w:rsidP="00466BF6">
      <w:pPr>
        <w:pStyle w:val="BodyText"/>
      </w:pPr>
      <w:r w:rsidRPr="00F26BEE">
        <w:t xml:space="preserve">Current control measures for this hazard are not effective in managing the risk to this </w:t>
      </w:r>
      <w:r w:rsidR="00846D69">
        <w:t>species</w:t>
      </w:r>
      <w:r w:rsidRPr="00F26BEE">
        <w:t xml:space="preserve"> at the scale relevant to its conservation.</w:t>
      </w:r>
    </w:p>
    <w:p w14:paraId="57EC3A5A" w14:textId="5DB789D6"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44</w:t>
      </w:r>
      <w:r w:rsidR="000B6788" w:rsidRPr="00B6162A">
        <w:rPr>
          <w:bCs/>
          <w:noProof/>
        </w:rPr>
        <w:fldChar w:fldCharType="end"/>
      </w:r>
      <w:r w:rsidRPr="00FF310C">
        <w:t>. Black Bog-sedge protection requirements and recommendations for increased fire frequency and intensity</w:t>
      </w:r>
    </w:p>
    <w:tbl>
      <w:tblPr>
        <w:tblStyle w:val="TableGrid"/>
        <w:tblW w:w="0" w:type="auto"/>
        <w:tblLook w:val="04A0" w:firstRow="1" w:lastRow="0" w:firstColumn="1" w:lastColumn="0" w:noHBand="0" w:noVBand="1"/>
      </w:tblPr>
      <w:tblGrid>
        <w:gridCol w:w="2268"/>
        <w:gridCol w:w="7371"/>
      </w:tblGrid>
      <w:tr w:rsidR="00466BF6" w:rsidRPr="00867DAA" w14:paraId="72ADCB2F"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C877EA4" w14:textId="77777777" w:rsidR="00466BF6" w:rsidRPr="00704719" w:rsidRDefault="00466BF6" w:rsidP="005611CD">
            <w:pPr>
              <w:pStyle w:val="BodyText"/>
            </w:pPr>
            <w:r w:rsidRPr="00704719">
              <w:t>Requirement</w:t>
            </w:r>
          </w:p>
        </w:tc>
        <w:tc>
          <w:tcPr>
            <w:tcW w:w="7371" w:type="dxa"/>
          </w:tcPr>
          <w:p w14:paraId="15121B4B" w14:textId="77777777" w:rsidR="00466BF6" w:rsidRPr="00704719" w:rsidRDefault="00466BF6" w:rsidP="005611CD">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7B74511B" w14:textId="77777777" w:rsidTr="005611CD">
        <w:tc>
          <w:tcPr>
            <w:tcW w:w="2268" w:type="dxa"/>
          </w:tcPr>
          <w:p w14:paraId="1058BA18" w14:textId="2C854831" w:rsidR="00466BF6" w:rsidRPr="004626F4" w:rsidRDefault="009C59C6" w:rsidP="005611CD">
            <w:pPr>
              <w:pStyle w:val="BodyText"/>
            </w:pPr>
            <w:r>
              <w:t>Priority management actions</w:t>
            </w:r>
          </w:p>
        </w:tc>
        <w:tc>
          <w:tcPr>
            <w:tcW w:w="7371" w:type="dxa"/>
          </w:tcPr>
          <w:p w14:paraId="36E7F37A" w14:textId="77777777" w:rsidR="00466BF6" w:rsidRPr="009D2566" w:rsidRDefault="00466BF6" w:rsidP="005611CD">
            <w:pPr>
              <w:pStyle w:val="BodyText"/>
            </w:pPr>
            <w:r w:rsidRPr="009D2566">
              <w:t>Not required for this hazard</w:t>
            </w:r>
            <w:r w:rsidRPr="007935D4">
              <w:t xml:space="preserve"> </w:t>
            </w:r>
            <w:r>
              <w:t>as it is a longer-term threat.</w:t>
            </w:r>
          </w:p>
        </w:tc>
      </w:tr>
      <w:tr w:rsidR="00466BF6" w:rsidRPr="00867DAA" w14:paraId="1C61EE0B" w14:textId="77777777" w:rsidTr="005611CD">
        <w:tc>
          <w:tcPr>
            <w:tcW w:w="2268" w:type="dxa"/>
          </w:tcPr>
          <w:p w14:paraId="70E6049C" w14:textId="6A93F012" w:rsidR="00466BF6" w:rsidRPr="00867DAA" w:rsidRDefault="009C59C6" w:rsidP="005611CD">
            <w:pPr>
              <w:pStyle w:val="BodyText"/>
            </w:pPr>
            <w:r>
              <w:t>Potential m</w:t>
            </w:r>
            <w:r w:rsidR="00466BF6" w:rsidRPr="00867DAA">
              <w:t>anagement actions</w:t>
            </w:r>
          </w:p>
        </w:tc>
        <w:tc>
          <w:tcPr>
            <w:tcW w:w="7371" w:type="dxa"/>
          </w:tcPr>
          <w:p w14:paraId="434BD732" w14:textId="77777777" w:rsidR="00466BF6" w:rsidRDefault="00466BF6" w:rsidP="006670D2">
            <w:pPr>
              <w:pStyle w:val="PullOutBoxBullet"/>
            </w:pPr>
            <w:r>
              <w:t>D</w:t>
            </w:r>
            <w:r w:rsidRPr="000C0278">
              <w:t>etermine if populations can be protected with fencing of riparian habitat, with the assistance of grants for private property</w:t>
            </w:r>
            <w:r>
              <w:t xml:space="preserve">; </w:t>
            </w:r>
          </w:p>
          <w:p w14:paraId="4F8B8330" w14:textId="77777777" w:rsidR="00466BF6" w:rsidRDefault="00466BF6" w:rsidP="006670D2">
            <w:pPr>
              <w:pStyle w:val="PullOutBoxBullet"/>
            </w:pPr>
            <w:r>
              <w:t xml:space="preserve">Monitor selected population in near coastal habitats to </w:t>
            </w:r>
            <w:r w:rsidRPr="000C0278">
              <w:t>determine changes in ground water, recruitment</w:t>
            </w:r>
            <w:r>
              <w:t>,</w:t>
            </w:r>
            <w:r w:rsidRPr="000C0278">
              <w:t xml:space="preserve"> and extent of occupancy</w:t>
            </w:r>
            <w:r>
              <w:t xml:space="preserve">; and </w:t>
            </w:r>
          </w:p>
          <w:p w14:paraId="3634A31A" w14:textId="77777777" w:rsidR="00466BF6" w:rsidRPr="009D2566" w:rsidRDefault="00466BF6" w:rsidP="006670D2">
            <w:pPr>
              <w:pStyle w:val="PullOutBoxBullet"/>
            </w:pPr>
            <w:r>
              <w:t>Propagate and establish new populations in the margins of constructed wetlands.</w:t>
            </w:r>
          </w:p>
        </w:tc>
      </w:tr>
    </w:tbl>
    <w:p w14:paraId="73F5EE6A" w14:textId="77777777" w:rsidR="00466BF6" w:rsidRPr="0077027B" w:rsidRDefault="00466BF6" w:rsidP="007E5EBF">
      <w:pPr>
        <w:pStyle w:val="Heading3"/>
        <w:jc w:val="both"/>
      </w:pPr>
      <w:r>
        <w:t>Forestry operations</w:t>
      </w:r>
    </w:p>
    <w:p w14:paraId="3CC85138" w14:textId="5953DA71" w:rsidR="00466BF6" w:rsidRPr="00F26BEE" w:rsidRDefault="00BC4502" w:rsidP="00466BF6">
      <w:pPr>
        <w:pStyle w:val="Heading5"/>
        <w:numPr>
          <w:ilvl w:val="0"/>
          <w:numId w:val="0"/>
        </w:numPr>
      </w:pPr>
      <w:r>
        <w:t>F</w:t>
      </w:r>
      <w:r w:rsidR="00466BF6" w:rsidRPr="00F26BEE">
        <w:t>orestry operations</w:t>
      </w:r>
    </w:p>
    <w:p w14:paraId="6BE09CCB" w14:textId="17AAF617" w:rsidR="00466BF6" w:rsidRDefault="00466BF6" w:rsidP="00466BF6">
      <w:pPr>
        <w:pStyle w:val="BodyText"/>
      </w:pPr>
      <w:r w:rsidRPr="00F26BEE">
        <w:t xml:space="preserve">Forestry operations in forests adjacent to the </w:t>
      </w:r>
      <w:r w:rsidR="00846D69">
        <w:t>species’</w:t>
      </w:r>
      <w:r w:rsidRPr="00F26BEE">
        <w:t xml:space="preserve"> habitat may contribute in some circumstances to the lowering of water tables and drying out of wetland habitats, resulting in a contraction in the local extent of suitable habitat although the degree of any impact is unclear. </w:t>
      </w:r>
      <w:r w:rsidR="00C712A8" w:rsidRPr="00FD57DB">
        <w:rPr>
          <w:rFonts w:ascii="Arial" w:hAnsi="Arial"/>
        </w:rPr>
        <w:t xml:space="preserve">Based on </w:t>
      </w:r>
      <w:r w:rsidR="003D6D17" w:rsidRPr="00FD57DB">
        <w:rPr>
          <w:rFonts w:ascii="Arial" w:hAnsi="Arial"/>
        </w:rPr>
        <w:t>the 2015 net harvest area layer</w:t>
      </w:r>
      <w:r w:rsidR="00BD6264" w:rsidRPr="00FD57DB">
        <w:rPr>
          <w:rFonts w:ascii="Arial" w:hAnsi="Arial"/>
        </w:rPr>
        <w:t>,</w:t>
      </w:r>
      <w:r w:rsidR="0036415C" w:rsidRPr="00FD57DB">
        <w:rPr>
          <w:rFonts w:ascii="Arial" w:hAnsi="Arial"/>
        </w:rPr>
        <w:t xml:space="preserve"> the </w:t>
      </w:r>
      <w:r w:rsidR="0069647A" w:rsidRPr="00FD57DB">
        <w:rPr>
          <w:rFonts w:ascii="Arial" w:hAnsi="Arial"/>
        </w:rPr>
        <w:t xml:space="preserve">expert/s estimated that </w:t>
      </w:r>
      <w:r w:rsidR="00BD6264" w:rsidRPr="00FD57DB">
        <w:rPr>
          <w:rFonts w:ascii="Arial" w:hAnsi="Arial"/>
        </w:rPr>
        <w:t xml:space="preserve">the hazard </w:t>
      </w:r>
      <w:r w:rsidR="003D6D17" w:rsidRPr="00FD57DB">
        <w:rPr>
          <w:rFonts w:ascii="Arial" w:hAnsi="Arial"/>
        </w:rPr>
        <w:t>applie</w:t>
      </w:r>
      <w:r w:rsidR="00BD6264" w:rsidRPr="00FD57DB">
        <w:rPr>
          <w:rFonts w:ascii="Arial" w:hAnsi="Arial"/>
        </w:rPr>
        <w:t>d</w:t>
      </w:r>
      <w:r w:rsidR="003D6D17" w:rsidRPr="00FD57DB">
        <w:rPr>
          <w:rFonts w:ascii="Arial" w:hAnsi="Arial"/>
        </w:rPr>
        <w:t xml:space="preserve"> to</w:t>
      </w:r>
      <w:r w:rsidR="009C1C30" w:rsidRPr="00FD57DB">
        <w:rPr>
          <w:rFonts w:ascii="Arial" w:hAnsi="Arial"/>
        </w:rPr>
        <w:t xml:space="preserve"> approximately 10% of the </w:t>
      </w:r>
      <w:r w:rsidR="00846D69">
        <w:rPr>
          <w:rFonts w:ascii="Arial" w:hAnsi="Arial"/>
        </w:rPr>
        <w:t>species’</w:t>
      </w:r>
      <w:r w:rsidR="009C1C30" w:rsidRPr="00FD57DB">
        <w:rPr>
          <w:rFonts w:ascii="Arial" w:hAnsi="Arial"/>
        </w:rPr>
        <w:t xml:space="preserve"> habit</w:t>
      </w:r>
      <w:r w:rsidR="00D01B74" w:rsidRPr="00FD57DB">
        <w:rPr>
          <w:rFonts w:ascii="Arial" w:hAnsi="Arial"/>
        </w:rPr>
        <w:t>at</w:t>
      </w:r>
      <w:r w:rsidR="00BD6264" w:rsidRPr="00FD57DB">
        <w:rPr>
          <w:rFonts w:ascii="Arial" w:hAnsi="Arial"/>
        </w:rPr>
        <w:t>,</w:t>
      </w:r>
      <w:r w:rsidR="00D01B74" w:rsidRPr="00FD57DB">
        <w:rPr>
          <w:rFonts w:ascii="Arial" w:hAnsi="Arial"/>
        </w:rPr>
        <w:t xml:space="preserve"> and may lead to altered hydrology, habitat loss and habitat degradation. </w:t>
      </w:r>
      <w:r w:rsidR="00C110BE" w:rsidRPr="00FD57DB">
        <w:rPr>
          <w:rFonts w:ascii="Arial" w:hAnsi="Arial"/>
        </w:rPr>
        <w:t xml:space="preserve">Based on the revised operable layer, this </w:t>
      </w:r>
      <w:r w:rsidR="00A476D6" w:rsidRPr="00FD57DB">
        <w:rPr>
          <w:rFonts w:ascii="Arial" w:hAnsi="Arial"/>
        </w:rPr>
        <w:t xml:space="preserve">is now less </w:t>
      </w:r>
      <w:r w:rsidR="00C110BE" w:rsidRPr="00FD57DB">
        <w:rPr>
          <w:rFonts w:ascii="Arial" w:hAnsi="Arial"/>
        </w:rPr>
        <w:t xml:space="preserve">than 6%. </w:t>
      </w:r>
      <w:r w:rsidR="00B5179D" w:rsidRPr="00FD57DB">
        <w:rPr>
          <w:rFonts w:ascii="Arial" w:hAnsi="Arial"/>
        </w:rPr>
        <w:t xml:space="preserve">Landscape subject to harvesting may also experience altered fire regimes. </w:t>
      </w:r>
    </w:p>
    <w:p w14:paraId="22EC1494" w14:textId="77777777" w:rsidR="00466BF6" w:rsidRDefault="00466BF6" w:rsidP="00466BF6">
      <w:pPr>
        <w:pStyle w:val="BodyText"/>
      </w:pPr>
      <w:r>
        <w:t>Current existing controls for this hazard include:</w:t>
      </w:r>
    </w:p>
    <w:p w14:paraId="55DE3CEB" w14:textId="30832412" w:rsidR="00466BF6" w:rsidRDefault="00466BF6" w:rsidP="006670D2">
      <w:pPr>
        <w:pStyle w:val="PullOutBoxBullet"/>
      </w:pPr>
      <w:r w:rsidRPr="003566BD">
        <w:t xml:space="preserve">The </w:t>
      </w:r>
      <w:r w:rsidRPr="003566BD">
        <w:rPr>
          <w:i/>
          <w:iCs/>
        </w:rPr>
        <w:t>Code of Practice for Timber Production 2014</w:t>
      </w:r>
      <w:r>
        <w:rPr>
          <w:i/>
          <w:iCs/>
        </w:rPr>
        <w:t xml:space="preserve">. </w:t>
      </w:r>
      <w:r>
        <w:t>Th</w:t>
      </w:r>
      <w:r w:rsidRPr="003566BD">
        <w:t xml:space="preserve">ere </w:t>
      </w:r>
      <w:r w:rsidR="00690DDB">
        <w:t>is</w:t>
      </w:r>
      <w:r w:rsidRPr="003566BD">
        <w:t xml:space="preserve"> no species-specific prescription for this </w:t>
      </w:r>
      <w:r w:rsidR="00846D69">
        <w:t>species</w:t>
      </w:r>
      <w:r>
        <w:t xml:space="preserve">, however </w:t>
      </w:r>
      <w:r w:rsidRPr="003566BD">
        <w:t xml:space="preserve">the general protections for </w:t>
      </w:r>
      <w:r>
        <w:t xml:space="preserve">wetland habitat </w:t>
      </w:r>
      <w:r w:rsidR="0066288A">
        <w:t xml:space="preserve">under the Code, </w:t>
      </w:r>
      <w:r>
        <w:t>includin</w:t>
      </w:r>
      <w:r w:rsidRPr="003566BD">
        <w:t xml:space="preserve">g a prohibition on harvesting, the application of buffers and </w:t>
      </w:r>
      <w:r w:rsidR="000D065A" w:rsidRPr="00C02DCA">
        <w:t>design standards for roads, crossings and coupe infrastructure</w:t>
      </w:r>
      <w:r w:rsidR="0066288A">
        <w:t xml:space="preserve">, </w:t>
      </w:r>
      <w:r w:rsidR="00EB1F35">
        <w:t xml:space="preserve">have been assessed as satisfactory for this </w:t>
      </w:r>
      <w:r w:rsidR="00846D69">
        <w:t>species</w:t>
      </w:r>
      <w:r w:rsidRPr="003566BD">
        <w:t xml:space="preserve">. </w:t>
      </w:r>
    </w:p>
    <w:p w14:paraId="60EB4600" w14:textId="6F77A38E" w:rsidR="00466BF6" w:rsidRPr="003B3013" w:rsidRDefault="00466BF6" w:rsidP="006670D2">
      <w:pPr>
        <w:pStyle w:val="PullOutBoxBullet"/>
        <w:rPr>
          <w:b/>
          <w:bCs/>
          <w:sz w:val="16"/>
        </w:rPr>
      </w:pPr>
      <w:r>
        <w:t xml:space="preserve">The CAR reserve system. </w:t>
      </w:r>
      <w:r w:rsidRPr="00CB51DA">
        <w:rPr>
          <w:rStyle w:val="normaltextrun"/>
        </w:rPr>
        <w:t>The effectiveness of this control for this species has been evaluated as</w:t>
      </w:r>
      <w:r>
        <w:rPr>
          <w:rStyle w:val="normaltextrun"/>
        </w:rPr>
        <w:t xml:space="preserve"> satisfactory </w:t>
      </w:r>
      <w:r>
        <w:t xml:space="preserve">as 56% of the </w:t>
      </w:r>
      <w:r w:rsidR="00846D69">
        <w:t>species’</w:t>
      </w:r>
      <w:r>
        <w:t xml:space="preserve"> modelled distribution and 60% of important populations are within the reserve system</w:t>
      </w:r>
      <w:r w:rsidR="009D33EA">
        <w:t>.</w:t>
      </w:r>
    </w:p>
    <w:p w14:paraId="3CE965E3" w14:textId="7924645F"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45</w:t>
      </w:r>
      <w:r w:rsidR="000B6788" w:rsidRPr="00B6162A">
        <w:rPr>
          <w:bCs/>
          <w:noProof/>
        </w:rPr>
        <w:fldChar w:fldCharType="end"/>
      </w:r>
      <w:r w:rsidRPr="00FF310C">
        <w:t xml:space="preserve">. Black Bog-sedge protection requirements and recommendations for </w:t>
      </w:r>
      <w:r w:rsidR="00AD5DB6" w:rsidRPr="00FF310C">
        <w:t>f</w:t>
      </w:r>
      <w:r w:rsidRPr="00FF310C">
        <w:t>orestry operations</w:t>
      </w:r>
    </w:p>
    <w:tbl>
      <w:tblPr>
        <w:tblStyle w:val="TableGrid"/>
        <w:tblW w:w="0" w:type="auto"/>
        <w:tblLook w:val="04A0" w:firstRow="1" w:lastRow="0" w:firstColumn="1" w:lastColumn="0" w:noHBand="0" w:noVBand="1"/>
      </w:tblPr>
      <w:tblGrid>
        <w:gridCol w:w="2268"/>
        <w:gridCol w:w="7371"/>
      </w:tblGrid>
      <w:tr w:rsidR="00466BF6" w:rsidRPr="00867DAA" w14:paraId="3B9A3C1C"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0F680EA" w14:textId="77777777" w:rsidR="00466BF6" w:rsidRPr="00704719" w:rsidRDefault="00466BF6" w:rsidP="005611CD">
            <w:pPr>
              <w:pStyle w:val="BodyText"/>
            </w:pPr>
            <w:r w:rsidRPr="00704719">
              <w:t>Requirement</w:t>
            </w:r>
          </w:p>
        </w:tc>
        <w:tc>
          <w:tcPr>
            <w:tcW w:w="7371" w:type="dxa"/>
          </w:tcPr>
          <w:p w14:paraId="6BBC8DD6" w14:textId="77777777" w:rsidR="00466BF6" w:rsidRPr="00704719" w:rsidRDefault="00466BF6" w:rsidP="005611CD">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09742413" w14:textId="77777777" w:rsidTr="005611CD">
        <w:tc>
          <w:tcPr>
            <w:tcW w:w="2268" w:type="dxa"/>
          </w:tcPr>
          <w:p w14:paraId="2700D145" w14:textId="6C1120F7" w:rsidR="00466BF6" w:rsidRPr="003566BD" w:rsidRDefault="00466BF6" w:rsidP="005611CD">
            <w:pPr>
              <w:pStyle w:val="BodyText"/>
            </w:pPr>
            <w:r w:rsidRPr="003566BD">
              <w:t>Interim protections</w:t>
            </w:r>
            <w:r w:rsidR="003E308B">
              <w:t xml:space="preserve"> </w:t>
            </w:r>
          </w:p>
        </w:tc>
        <w:tc>
          <w:tcPr>
            <w:tcW w:w="7371" w:type="dxa"/>
          </w:tcPr>
          <w:p w14:paraId="65690866" w14:textId="77777777" w:rsidR="00466BF6" w:rsidRPr="003566BD" w:rsidRDefault="00466BF6" w:rsidP="005611CD">
            <w:pPr>
              <w:pStyle w:val="BodyText"/>
            </w:pPr>
            <w:r w:rsidRPr="00200995">
              <w:t>Not required for this hazard based on the overall risk level of medium</w:t>
            </w:r>
            <w:r>
              <w:t>.</w:t>
            </w:r>
          </w:p>
        </w:tc>
      </w:tr>
      <w:tr w:rsidR="00EE0729" w:rsidRPr="00867DAA" w14:paraId="46B01204" w14:textId="77777777" w:rsidTr="005611CD">
        <w:tc>
          <w:tcPr>
            <w:tcW w:w="2268" w:type="dxa"/>
          </w:tcPr>
          <w:p w14:paraId="4A51D416" w14:textId="18C57968" w:rsidR="00EE0729" w:rsidRPr="003566BD" w:rsidRDefault="00EE0729" w:rsidP="005611CD">
            <w:pPr>
              <w:pStyle w:val="BodyText"/>
            </w:pPr>
            <w:r>
              <w:t>Priority management actions</w:t>
            </w:r>
          </w:p>
        </w:tc>
        <w:tc>
          <w:tcPr>
            <w:tcW w:w="7371" w:type="dxa"/>
            <w:shd w:val="clear" w:color="auto" w:fill="auto"/>
          </w:tcPr>
          <w:p w14:paraId="4042331F" w14:textId="2AF06306" w:rsidR="00EE0729" w:rsidRPr="003566BD" w:rsidRDefault="00EE0729" w:rsidP="005611CD">
            <w:pPr>
              <w:pStyle w:val="BodyText"/>
            </w:pPr>
            <w:r w:rsidRPr="00200995">
              <w:t>Not required for this hazard based on the overall risk level of medium</w:t>
            </w:r>
            <w:r>
              <w:t>.</w:t>
            </w:r>
          </w:p>
        </w:tc>
      </w:tr>
      <w:tr w:rsidR="00466BF6" w:rsidRPr="00867DAA" w14:paraId="38DC9E34" w14:textId="77777777" w:rsidTr="005611CD">
        <w:tc>
          <w:tcPr>
            <w:tcW w:w="2268" w:type="dxa"/>
          </w:tcPr>
          <w:p w14:paraId="47989969" w14:textId="77777777" w:rsidR="00466BF6" w:rsidRPr="003566BD" w:rsidRDefault="00466BF6" w:rsidP="005611CD">
            <w:pPr>
              <w:pStyle w:val="BodyText"/>
            </w:pPr>
            <w:r w:rsidRPr="003566BD">
              <w:t>Permanent protections</w:t>
            </w:r>
          </w:p>
        </w:tc>
        <w:tc>
          <w:tcPr>
            <w:tcW w:w="7371" w:type="dxa"/>
            <w:shd w:val="clear" w:color="auto" w:fill="auto"/>
          </w:tcPr>
          <w:p w14:paraId="444226F0" w14:textId="77777777" w:rsidR="00466BF6" w:rsidRPr="003566BD" w:rsidRDefault="00466BF6" w:rsidP="005611CD">
            <w:pPr>
              <w:pStyle w:val="BodyText"/>
            </w:pPr>
            <w:r w:rsidRPr="003566BD">
              <w:t>Additional permanent protections may be required in the longer-term</w:t>
            </w:r>
            <w:r>
              <w:t>.</w:t>
            </w:r>
          </w:p>
        </w:tc>
      </w:tr>
      <w:tr w:rsidR="00466BF6" w:rsidRPr="00867DAA" w14:paraId="4B33EAD0" w14:textId="77777777" w:rsidTr="005611CD">
        <w:tc>
          <w:tcPr>
            <w:tcW w:w="2268" w:type="dxa"/>
          </w:tcPr>
          <w:p w14:paraId="02AE02A4" w14:textId="682A8DD4" w:rsidR="00466BF6" w:rsidRPr="00867DAA" w:rsidRDefault="009C59C6" w:rsidP="005611CD">
            <w:pPr>
              <w:pStyle w:val="BodyText"/>
            </w:pPr>
            <w:r>
              <w:t>Potential m</w:t>
            </w:r>
            <w:r w:rsidR="00466BF6" w:rsidRPr="00867DAA">
              <w:t>anagement actions</w:t>
            </w:r>
          </w:p>
        </w:tc>
        <w:tc>
          <w:tcPr>
            <w:tcW w:w="7371" w:type="dxa"/>
          </w:tcPr>
          <w:p w14:paraId="13E4CA5C" w14:textId="3A26A9F6" w:rsidR="00466BF6" w:rsidRPr="003566BD" w:rsidRDefault="00466BF6" w:rsidP="006670D2">
            <w:pPr>
              <w:pStyle w:val="PullOutBoxBullet"/>
            </w:pPr>
            <w:r w:rsidRPr="00CA4A1D">
              <w:t>Consider introducing a species-specific code prescription as part of any future Code amendments</w:t>
            </w:r>
            <w:r w:rsidR="00A02FA2">
              <w:t>.</w:t>
            </w:r>
          </w:p>
        </w:tc>
      </w:tr>
    </w:tbl>
    <w:p w14:paraId="21C3FAAA" w14:textId="77777777" w:rsidR="00466BF6" w:rsidRDefault="00466BF6" w:rsidP="00466BF6">
      <w:pPr>
        <w:rPr>
          <w:rFonts w:cs="Times New Roman"/>
          <w:lang w:eastAsia="en-US"/>
        </w:rPr>
      </w:pPr>
      <w:r>
        <w:rPr>
          <w:rFonts w:cs="Times New Roman"/>
          <w:lang w:eastAsia="en-US"/>
        </w:rPr>
        <w:br w:type="page"/>
      </w:r>
    </w:p>
    <w:p w14:paraId="76742212" w14:textId="77777777" w:rsidR="00466BF6" w:rsidRPr="007935D4" w:rsidRDefault="00466BF6" w:rsidP="00FB5A2B">
      <w:pPr>
        <w:pStyle w:val="Heading2"/>
        <w:ind w:left="0"/>
      </w:pPr>
      <w:bookmarkStart w:id="143" w:name="_Toc88557988"/>
      <w:bookmarkStart w:id="144" w:name="_Toc88725529"/>
      <w:bookmarkStart w:id="145" w:name="_Toc95233341"/>
      <w:bookmarkStart w:id="146" w:name="_Toc113271032"/>
      <w:r>
        <w:t>Bog Saw-sedge </w:t>
      </w:r>
      <w:r w:rsidRPr="00FB5A2B">
        <w:rPr>
          <w:i/>
          <w:iCs/>
        </w:rPr>
        <w:t>(Gahnia subaequiglumis)</w:t>
      </w:r>
      <w:bookmarkEnd w:id="143"/>
      <w:bookmarkEnd w:id="144"/>
      <w:bookmarkEnd w:id="145"/>
      <w:bookmarkEnd w:id="146"/>
      <w:r>
        <w:t> </w:t>
      </w:r>
    </w:p>
    <w:p w14:paraId="604C1655" w14:textId="7C7A0B9C" w:rsidR="00466BF6" w:rsidRPr="003E1225" w:rsidRDefault="00466BF6" w:rsidP="00466BF6">
      <w:pPr>
        <w:pStyle w:val="BodyText"/>
        <w:rPr>
          <w:rFonts w:ascii="Arial" w:hAnsi="Arial"/>
          <w:color w:val="363534"/>
        </w:rPr>
      </w:pPr>
      <w:r w:rsidRPr="003566BD">
        <w:t>The Bog Saw-sedge</w:t>
      </w:r>
      <w:r w:rsidRPr="008C5786">
        <w:t xml:space="preserve"> was listed</w:t>
      </w:r>
      <w:r>
        <w:t xml:space="preserve"> as Endangered in Victoria under the FFG Act in May 2021. The </w:t>
      </w:r>
      <w:r w:rsidR="00846D69">
        <w:t>species</w:t>
      </w:r>
      <w:r>
        <w:t xml:space="preserve"> has modelled habitat in the East Gippsland (100% of modelled habitat) RFA region.</w:t>
      </w:r>
      <w:r w:rsidRPr="00B31978">
        <w:rPr>
          <w:rStyle w:val="BodyTextChar"/>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 </w:t>
      </w:r>
    </w:p>
    <w:p w14:paraId="62019637" w14:textId="77777777" w:rsidR="00466BF6" w:rsidRDefault="00466BF6" w:rsidP="007E5EBF">
      <w:pPr>
        <w:pStyle w:val="Heading3"/>
      </w:pPr>
      <w:bookmarkStart w:id="147" w:name="_Toc88725530"/>
      <w:r>
        <w:t>Risk Assessment</w:t>
      </w:r>
      <w:bookmarkEnd w:id="147"/>
    </w:p>
    <w:p w14:paraId="71ECA5ED" w14:textId="6E3524DC"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46</w:t>
      </w:r>
      <w:r w:rsidR="000B6788" w:rsidRPr="00B6162A">
        <w:rPr>
          <w:bCs/>
          <w:noProof/>
        </w:rPr>
        <w:fldChar w:fldCharType="end"/>
      </w:r>
      <w:r w:rsidRPr="00FF310C">
        <w:t>. Bog Saw-sedge risk ratings in the East Gippsland RFA region:</w:t>
      </w:r>
    </w:p>
    <w:tbl>
      <w:tblPr>
        <w:tblStyle w:val="TableGrid"/>
        <w:tblW w:w="0" w:type="auto"/>
        <w:tblLayout w:type="fixed"/>
        <w:tblLook w:val="04A0" w:firstRow="1" w:lastRow="0" w:firstColumn="1" w:lastColumn="0" w:noHBand="0" w:noVBand="1"/>
      </w:tblPr>
      <w:tblGrid>
        <w:gridCol w:w="2410"/>
        <w:gridCol w:w="2410"/>
        <w:gridCol w:w="2410"/>
        <w:gridCol w:w="2410"/>
      </w:tblGrid>
      <w:tr w:rsidR="00466BF6" w14:paraId="0B536196" w14:textId="77777777" w:rsidTr="007013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vAlign w:val="center"/>
          </w:tcPr>
          <w:p w14:paraId="1EA66F29" w14:textId="77777777" w:rsidR="00466BF6" w:rsidRPr="00643008" w:rsidRDefault="00466BF6" w:rsidP="006670D2">
            <w:pPr>
              <w:pStyle w:val="CaptionImageorFigure"/>
            </w:pPr>
          </w:p>
        </w:tc>
        <w:tc>
          <w:tcPr>
            <w:tcW w:w="2410" w:type="dxa"/>
            <w:vAlign w:val="center"/>
          </w:tcPr>
          <w:p w14:paraId="72032752" w14:textId="77777777" w:rsidR="00466BF6" w:rsidRPr="00643008"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w:t>
            </w:r>
          </w:p>
        </w:tc>
        <w:tc>
          <w:tcPr>
            <w:tcW w:w="2410" w:type="dxa"/>
            <w:vAlign w:val="center"/>
          </w:tcPr>
          <w:p w14:paraId="7E08742A" w14:textId="75C1D0A3" w:rsidR="00466BF6" w:rsidDel="00C534E3" w:rsidRDefault="00AD5DB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466BF6">
              <w:t>orestry operations</w:t>
            </w:r>
          </w:p>
        </w:tc>
        <w:tc>
          <w:tcPr>
            <w:tcW w:w="2410" w:type="dxa"/>
            <w:vAlign w:val="center"/>
          </w:tcPr>
          <w:p w14:paraId="255D675F"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r>
      <w:tr w:rsidR="00466BF6" w14:paraId="08760880" w14:textId="77777777" w:rsidTr="007013BC">
        <w:tc>
          <w:tcPr>
            <w:tcW w:w="2410" w:type="dxa"/>
            <w:vAlign w:val="center"/>
          </w:tcPr>
          <w:p w14:paraId="18D36234" w14:textId="77777777" w:rsidR="00466BF6" w:rsidRPr="0053677B" w:rsidRDefault="00466BF6" w:rsidP="00AD5DB6">
            <w:pPr>
              <w:pStyle w:val="BodyText"/>
              <w:jc w:val="center"/>
            </w:pPr>
            <w:r w:rsidRPr="0053677B">
              <w:t>Consequence</w:t>
            </w:r>
          </w:p>
        </w:tc>
        <w:tc>
          <w:tcPr>
            <w:tcW w:w="2410" w:type="dxa"/>
            <w:vAlign w:val="center"/>
          </w:tcPr>
          <w:p w14:paraId="006B2CE7" w14:textId="77777777" w:rsidR="00466BF6" w:rsidRDefault="00466BF6" w:rsidP="00AD5DB6">
            <w:pPr>
              <w:pStyle w:val="BodyText"/>
              <w:jc w:val="center"/>
            </w:pPr>
            <w:r>
              <w:t>Major</w:t>
            </w:r>
          </w:p>
        </w:tc>
        <w:tc>
          <w:tcPr>
            <w:tcW w:w="2410" w:type="dxa"/>
            <w:vAlign w:val="center"/>
          </w:tcPr>
          <w:p w14:paraId="2AA63C63" w14:textId="77777777" w:rsidR="00466BF6" w:rsidRDefault="00466BF6" w:rsidP="00AD5DB6">
            <w:pPr>
              <w:pStyle w:val="BodyText"/>
              <w:jc w:val="center"/>
            </w:pPr>
            <w:r>
              <w:t>Major</w:t>
            </w:r>
          </w:p>
        </w:tc>
        <w:tc>
          <w:tcPr>
            <w:tcW w:w="2410" w:type="dxa"/>
            <w:vAlign w:val="center"/>
          </w:tcPr>
          <w:p w14:paraId="46676AB9" w14:textId="77777777" w:rsidR="00466BF6" w:rsidRDefault="00466BF6" w:rsidP="00AD5DB6">
            <w:pPr>
              <w:pStyle w:val="BodyText"/>
              <w:jc w:val="center"/>
            </w:pPr>
            <w:r>
              <w:t>Major</w:t>
            </w:r>
          </w:p>
        </w:tc>
      </w:tr>
      <w:tr w:rsidR="00466BF6" w14:paraId="6216CE57" w14:textId="77777777" w:rsidTr="007013BC">
        <w:tc>
          <w:tcPr>
            <w:tcW w:w="2410" w:type="dxa"/>
            <w:vAlign w:val="center"/>
          </w:tcPr>
          <w:p w14:paraId="3330C4A8" w14:textId="77777777" w:rsidR="00466BF6" w:rsidRPr="0053677B" w:rsidRDefault="00466BF6" w:rsidP="00AD5DB6">
            <w:pPr>
              <w:pStyle w:val="BodyText"/>
              <w:jc w:val="center"/>
            </w:pPr>
            <w:r w:rsidRPr="0053677B">
              <w:t>Likelihood</w:t>
            </w:r>
          </w:p>
        </w:tc>
        <w:tc>
          <w:tcPr>
            <w:tcW w:w="2410" w:type="dxa"/>
            <w:vAlign w:val="center"/>
          </w:tcPr>
          <w:p w14:paraId="70F536AC" w14:textId="77777777" w:rsidR="00466BF6" w:rsidRDefault="00466BF6" w:rsidP="00AD5DB6">
            <w:pPr>
              <w:pStyle w:val="BodyText"/>
              <w:jc w:val="center"/>
            </w:pPr>
            <w:r>
              <w:t>Possible</w:t>
            </w:r>
          </w:p>
        </w:tc>
        <w:tc>
          <w:tcPr>
            <w:tcW w:w="2410" w:type="dxa"/>
            <w:vAlign w:val="center"/>
          </w:tcPr>
          <w:p w14:paraId="0A3F55EE" w14:textId="77777777" w:rsidR="00466BF6" w:rsidRDefault="00466BF6" w:rsidP="00AD5DB6">
            <w:pPr>
              <w:pStyle w:val="BodyText"/>
              <w:jc w:val="center"/>
            </w:pPr>
            <w:r>
              <w:t>Unlikely</w:t>
            </w:r>
          </w:p>
        </w:tc>
        <w:tc>
          <w:tcPr>
            <w:tcW w:w="2410" w:type="dxa"/>
            <w:vAlign w:val="center"/>
          </w:tcPr>
          <w:p w14:paraId="3AD03F3D" w14:textId="77777777" w:rsidR="00466BF6" w:rsidRDefault="00466BF6" w:rsidP="00AD5DB6">
            <w:pPr>
              <w:pStyle w:val="BodyText"/>
              <w:jc w:val="center"/>
            </w:pPr>
            <w:r>
              <w:t>Possible</w:t>
            </w:r>
          </w:p>
        </w:tc>
      </w:tr>
      <w:tr w:rsidR="00466BF6" w14:paraId="7C4F2E4C" w14:textId="77777777" w:rsidTr="007013BC">
        <w:tc>
          <w:tcPr>
            <w:tcW w:w="2410" w:type="dxa"/>
            <w:vAlign w:val="center"/>
          </w:tcPr>
          <w:p w14:paraId="1FF6CEE0" w14:textId="77777777" w:rsidR="00466BF6" w:rsidRPr="0053677B" w:rsidRDefault="00466BF6" w:rsidP="00AD5DB6">
            <w:pPr>
              <w:pStyle w:val="BodyText"/>
              <w:jc w:val="center"/>
            </w:pPr>
            <w:r w:rsidRPr="0053677B">
              <w:t>Overall risk rating</w:t>
            </w:r>
          </w:p>
        </w:tc>
        <w:tc>
          <w:tcPr>
            <w:tcW w:w="2410" w:type="dxa"/>
            <w:shd w:val="clear" w:color="auto" w:fill="FFC000"/>
            <w:vAlign w:val="center"/>
          </w:tcPr>
          <w:p w14:paraId="5A6B3719" w14:textId="77777777" w:rsidR="00466BF6" w:rsidRDefault="00466BF6" w:rsidP="00AD5DB6">
            <w:pPr>
              <w:pStyle w:val="BodyText"/>
              <w:jc w:val="center"/>
            </w:pPr>
            <w:r>
              <w:t>Significant</w:t>
            </w:r>
          </w:p>
        </w:tc>
        <w:tc>
          <w:tcPr>
            <w:tcW w:w="2410" w:type="dxa"/>
            <w:shd w:val="clear" w:color="auto" w:fill="FFFF00"/>
            <w:vAlign w:val="center"/>
          </w:tcPr>
          <w:p w14:paraId="5E2D9E1C" w14:textId="77777777" w:rsidR="00466BF6" w:rsidRDefault="00466BF6" w:rsidP="00AD5DB6">
            <w:pPr>
              <w:pStyle w:val="BodyText"/>
              <w:jc w:val="center"/>
            </w:pPr>
            <w:r>
              <w:t>Medium</w:t>
            </w:r>
          </w:p>
        </w:tc>
        <w:tc>
          <w:tcPr>
            <w:tcW w:w="2410" w:type="dxa"/>
            <w:shd w:val="clear" w:color="auto" w:fill="FFC000"/>
            <w:vAlign w:val="center"/>
          </w:tcPr>
          <w:p w14:paraId="171784D2" w14:textId="77777777" w:rsidR="00466BF6" w:rsidRDefault="00466BF6" w:rsidP="00AD5DB6">
            <w:pPr>
              <w:pStyle w:val="BodyText"/>
              <w:jc w:val="center"/>
            </w:pPr>
            <w:r>
              <w:t>Significant</w:t>
            </w:r>
          </w:p>
        </w:tc>
      </w:tr>
    </w:tbl>
    <w:p w14:paraId="04B01ACA" w14:textId="77777777" w:rsidR="00466BF6" w:rsidRDefault="00466BF6" w:rsidP="007E5EBF">
      <w:pPr>
        <w:pStyle w:val="Heading3"/>
      </w:pPr>
      <w:bookmarkStart w:id="148" w:name="_Toc88725531"/>
      <w:r>
        <w:t>Climate change</w:t>
      </w:r>
      <w:bookmarkEnd w:id="148"/>
    </w:p>
    <w:p w14:paraId="7300708D" w14:textId="77777777" w:rsidR="00466BF6" w:rsidRPr="001C0DE0" w:rsidRDefault="00466BF6" w:rsidP="00466BF6">
      <w:pPr>
        <w:pStyle w:val="Heading5"/>
        <w:numPr>
          <w:ilvl w:val="0"/>
          <w:numId w:val="0"/>
        </w:numPr>
        <w:ind w:left="1008" w:hanging="1008"/>
      </w:pPr>
      <w:r>
        <w:t>Drying climate</w:t>
      </w:r>
    </w:p>
    <w:p w14:paraId="72EAC1C3" w14:textId="5619BDA7" w:rsidR="00466BF6" w:rsidRDefault="00466BF6" w:rsidP="00466BF6">
      <w:pPr>
        <w:pStyle w:val="BodyText"/>
      </w:pPr>
      <w:r>
        <w:t xml:space="preserve">This hazard extends across all the </w:t>
      </w:r>
      <w:r w:rsidR="00846D69">
        <w:t>species’</w:t>
      </w:r>
      <w:r>
        <w:t xml:space="preserve"> habitat, which occurs in swampy sites, and includes the long-term decline in its extent and quality. It is exacerbated by the direct and indirect impacts of climatic warming and drying as well as inappropriate fire regimes, which increases the risk of more frequent, intense</w:t>
      </w:r>
      <w:r w:rsidR="004A3147">
        <w:t>,</w:t>
      </w:r>
      <w:r>
        <w:t xml:space="preserve"> and landscape-scale fires. </w:t>
      </w:r>
    </w:p>
    <w:p w14:paraId="33184F73" w14:textId="3ABD4B60" w:rsidR="00466BF6" w:rsidRPr="001D53A0" w:rsidRDefault="00466BF6" w:rsidP="00466BF6">
      <w:pPr>
        <w:pStyle w:val="BodyText"/>
      </w:pPr>
      <w:r w:rsidRPr="00441B1D">
        <w:t xml:space="preserve">Current control measures for this hazard are not effective in managing the risk to this </w:t>
      </w:r>
      <w:r w:rsidR="00846D69">
        <w:t>species</w:t>
      </w:r>
      <w:r w:rsidRPr="00441B1D">
        <w:t xml:space="preserve"> at the scale relevant to its conservation</w:t>
      </w:r>
      <w:r>
        <w:t>.</w:t>
      </w:r>
    </w:p>
    <w:p w14:paraId="46ACC120" w14:textId="39F3D844"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47</w:t>
      </w:r>
      <w:r w:rsidR="000B6788" w:rsidRPr="00B6162A">
        <w:rPr>
          <w:bCs/>
          <w:noProof/>
        </w:rPr>
        <w:fldChar w:fldCharType="end"/>
      </w:r>
      <w:r w:rsidRPr="00FF310C">
        <w:t>. Bog Saw-sedge protection requirements and recommendations for drying climate</w:t>
      </w:r>
    </w:p>
    <w:tbl>
      <w:tblPr>
        <w:tblStyle w:val="TableGrid"/>
        <w:tblW w:w="0" w:type="auto"/>
        <w:tblLook w:val="04A0" w:firstRow="1" w:lastRow="0" w:firstColumn="1" w:lastColumn="0" w:noHBand="0" w:noVBand="1"/>
      </w:tblPr>
      <w:tblGrid>
        <w:gridCol w:w="2268"/>
        <w:gridCol w:w="7371"/>
      </w:tblGrid>
      <w:tr w:rsidR="00466BF6" w:rsidRPr="00867DAA" w14:paraId="2CB3427C"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C79B400" w14:textId="77777777" w:rsidR="00466BF6" w:rsidRPr="00704719" w:rsidRDefault="00466BF6" w:rsidP="005611CD">
            <w:pPr>
              <w:pStyle w:val="BodyText"/>
            </w:pPr>
            <w:r w:rsidRPr="00704719">
              <w:t>Requirement</w:t>
            </w:r>
          </w:p>
        </w:tc>
        <w:tc>
          <w:tcPr>
            <w:tcW w:w="7371" w:type="dxa"/>
          </w:tcPr>
          <w:p w14:paraId="13FB59DD" w14:textId="77777777" w:rsidR="00466BF6" w:rsidRPr="00704719" w:rsidRDefault="00466BF6" w:rsidP="005611CD">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06FA4083" w14:textId="77777777" w:rsidTr="005611CD">
        <w:tc>
          <w:tcPr>
            <w:tcW w:w="2268" w:type="dxa"/>
          </w:tcPr>
          <w:p w14:paraId="740A68A9" w14:textId="78531EB6" w:rsidR="00466BF6" w:rsidRPr="003566BD" w:rsidRDefault="009C59C6" w:rsidP="005611CD">
            <w:pPr>
              <w:pStyle w:val="BodyText"/>
            </w:pPr>
            <w:r>
              <w:t>Priority management actions</w:t>
            </w:r>
          </w:p>
        </w:tc>
        <w:tc>
          <w:tcPr>
            <w:tcW w:w="7371" w:type="dxa"/>
          </w:tcPr>
          <w:p w14:paraId="4E5DFE86" w14:textId="77777777" w:rsidR="00466BF6" w:rsidRPr="003566BD" w:rsidRDefault="00466BF6" w:rsidP="005611CD">
            <w:pPr>
              <w:pStyle w:val="BodyText"/>
            </w:pPr>
            <w:r w:rsidRPr="00200995">
              <w:t>Not required for this hazard</w:t>
            </w:r>
            <w:r>
              <w:t xml:space="preserve"> as it is a longer-term threat.</w:t>
            </w:r>
          </w:p>
        </w:tc>
      </w:tr>
      <w:tr w:rsidR="00466BF6" w:rsidRPr="00867DAA" w14:paraId="56FF5219" w14:textId="77777777" w:rsidTr="005611CD">
        <w:tc>
          <w:tcPr>
            <w:tcW w:w="2268" w:type="dxa"/>
          </w:tcPr>
          <w:p w14:paraId="6D614D51" w14:textId="764BD966" w:rsidR="00466BF6" w:rsidRPr="00867DAA" w:rsidRDefault="009C59C6" w:rsidP="005611CD">
            <w:pPr>
              <w:pStyle w:val="BodyText"/>
            </w:pPr>
            <w:r>
              <w:t>Potential m</w:t>
            </w:r>
            <w:r w:rsidR="00466BF6" w:rsidRPr="00867DAA">
              <w:t>anagement actions</w:t>
            </w:r>
          </w:p>
        </w:tc>
        <w:tc>
          <w:tcPr>
            <w:tcW w:w="7371" w:type="dxa"/>
          </w:tcPr>
          <w:p w14:paraId="6DED3F6E" w14:textId="71157331" w:rsidR="005429C5" w:rsidRDefault="005429C5" w:rsidP="006670D2">
            <w:pPr>
              <w:pStyle w:val="PullOutBoxBullet"/>
            </w:pPr>
            <w:r>
              <w:t>Monitor</w:t>
            </w:r>
            <w:r w:rsidR="00466BF6">
              <w:t xml:space="preserve"> hydrological </w:t>
            </w:r>
            <w:r>
              <w:t xml:space="preserve">changes </w:t>
            </w:r>
            <w:r w:rsidR="00466BF6">
              <w:t xml:space="preserve">to this </w:t>
            </w:r>
            <w:r w:rsidR="00846D69">
              <w:t>species’</w:t>
            </w:r>
            <w:r w:rsidR="00466BF6">
              <w:t xml:space="preserve"> habitat and broader catchment area</w:t>
            </w:r>
            <w:r w:rsidR="00FE4D65">
              <w:t>; and</w:t>
            </w:r>
          </w:p>
          <w:p w14:paraId="48E0112A" w14:textId="59D2D970" w:rsidR="00466BF6" w:rsidRPr="003566BD" w:rsidRDefault="005429C5" w:rsidP="006670D2">
            <w:pPr>
              <w:pStyle w:val="PullOutBoxBullet"/>
            </w:pPr>
            <w:r>
              <w:t>Implement feasible mitigations as required</w:t>
            </w:r>
            <w:r w:rsidR="00466BF6">
              <w:t xml:space="preserve">.  </w:t>
            </w:r>
          </w:p>
        </w:tc>
      </w:tr>
    </w:tbl>
    <w:p w14:paraId="1BFD5AC2" w14:textId="77777777" w:rsidR="00466BF6" w:rsidRDefault="00466BF6" w:rsidP="007E5EBF">
      <w:pPr>
        <w:pStyle w:val="Heading3"/>
      </w:pPr>
      <w:bookmarkStart w:id="149" w:name="_Toc88725533"/>
      <w:r w:rsidRPr="00D55628">
        <w:rPr>
          <w:noProof/>
        </w:rPr>
        <mc:AlternateContent>
          <mc:Choice Requires="wps">
            <w:drawing>
              <wp:anchor distT="0" distB="0" distL="114300" distR="114300" simplePos="1" relativeHeight="251658252" behindDoc="1" locked="1" layoutInCell="1" allowOverlap="1" wp14:anchorId="44D711A3" wp14:editId="09CC6A77">
                <wp:simplePos x="359410" y="9071610"/>
                <wp:positionH relativeFrom="page">
                  <wp:posOffset>359410</wp:posOffset>
                </wp:positionH>
                <wp:positionV relativeFrom="page">
                  <wp:posOffset>9071610</wp:posOffset>
                </wp:positionV>
                <wp:extent cx="6840001" cy="432000"/>
                <wp:effectExtent l="0" t="0" r="0" b="0"/>
                <wp:wrapNone/>
                <wp:docPr id="76"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97421"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711A3" id="_x0000_s1049" type="#_x0000_t202" alt="Title: Decorative Cover Shape" style="position:absolute;left:0;text-align:left;margin-left:28.3pt;margin-top:714.3pt;width:538.6pt;height:34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" fillcolor="#201547" stroked="f" strokeweight=".5pt">
                <v:textbox inset="10mm,0,10mm,0">
                  <w:txbxContent>
                    <w:p w14:paraId="7CC97421"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658251" behindDoc="0" locked="1" layoutInCell="1" allowOverlap="1" wp14:anchorId="021D1F51" wp14:editId="32470FDD">
                <wp:simplePos x="0" y="0"/>
                <wp:positionH relativeFrom="page">
                  <wp:posOffset>360045</wp:posOffset>
                </wp:positionH>
                <wp:positionV relativeFrom="page">
                  <wp:posOffset>360045</wp:posOffset>
                </wp:positionV>
                <wp:extent cx="1864800" cy="1976400"/>
                <wp:effectExtent l="0" t="0" r="0" b="0"/>
                <wp:wrapNone/>
                <wp:docPr id="42"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908838C" id="TriangleTopACIMono" o:spid="_x0000_s1026" style="position:absolute;margin-left:28.35pt;margin-top:28.35pt;width:146.85pt;height:155.6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noProof/>
        </w:rPr>
        <mc:AlternateContent>
          <mc:Choice Requires="wps">
            <w:drawing>
              <wp:anchor distT="0" distB="0" distL="114300" distR="114300" simplePos="0" relativeHeight="251658250" behindDoc="0" locked="1" layoutInCell="1" allowOverlap="1" wp14:anchorId="6B3855EB" wp14:editId="6B4517E6">
                <wp:simplePos x="0" y="0"/>
                <wp:positionH relativeFrom="page">
                  <wp:posOffset>359410</wp:posOffset>
                </wp:positionH>
                <wp:positionV relativeFrom="page">
                  <wp:posOffset>359410</wp:posOffset>
                </wp:positionV>
                <wp:extent cx="1864800" cy="1976400"/>
                <wp:effectExtent l="0" t="0" r="0" b="0"/>
                <wp:wrapNone/>
                <wp:docPr id="43"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06F961C" id="TriangleTop" o:spid="_x0000_s1026" style="position:absolute;margin-left:28.3pt;margin-top:28.3pt;width:146.85pt;height:155.6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noProof/>
        </w:rPr>
        <mc:AlternateContent>
          <mc:Choice Requires="wps">
            <w:drawing>
              <wp:anchor distT="0" distB="0" distL="114300" distR="114300" simplePos="0" relativeHeight="251658249" behindDoc="0" locked="1" layoutInCell="1" allowOverlap="1" wp14:anchorId="54B2B263" wp14:editId="66726617">
                <wp:simplePos x="0" y="0"/>
                <wp:positionH relativeFrom="page">
                  <wp:posOffset>0</wp:posOffset>
                </wp:positionH>
                <wp:positionV relativeFrom="page">
                  <wp:align>bottom</wp:align>
                </wp:positionV>
                <wp:extent cx="3848400" cy="720000"/>
                <wp:effectExtent l="0" t="0" r="0" b="0"/>
                <wp:wrapNone/>
                <wp:docPr id="79"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CE95B"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B263" id="_x0000_s1050" type="#_x0000_t202" style="position:absolute;left:0;text-align:left;margin-left:0;margin-top:0;width:303pt;height:56.7pt;z-index:25165824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Bjpfu6bgIAAEYFAAAOAAAAAAAAAAAAAAAAAC4C&#10;AABkcnMvZTJvRG9jLnhtbFBLAQItABQABgAIAAAAIQD0ys+o2gAAAAUBAAAPAAAAAAAAAAAAAAAA&#10;AMgEAABkcnMvZG93bnJldi54bWxQSwUGAAAAAAQABADzAAAAzwUAAAAA&#10;" filled="f" stroked="f" strokeweight=".5pt">
                <v:textbox inset="20mm">
                  <w:txbxContent>
                    <w:p w14:paraId="5B2CE95B"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r>
        <w:t>Forestry operations</w:t>
      </w:r>
      <w:bookmarkEnd w:id="149"/>
    </w:p>
    <w:p w14:paraId="618F7780" w14:textId="457AB6EE" w:rsidR="00466BF6" w:rsidRPr="00F26BEE" w:rsidRDefault="00AD5DB6" w:rsidP="00466BF6">
      <w:pPr>
        <w:pStyle w:val="Heading5"/>
        <w:numPr>
          <w:ilvl w:val="0"/>
          <w:numId w:val="0"/>
        </w:numPr>
        <w:ind w:left="1008" w:hanging="1008"/>
      </w:pPr>
      <w:r>
        <w:t>F</w:t>
      </w:r>
      <w:r w:rsidR="00466BF6" w:rsidRPr="00F26BEE">
        <w:t>orestry operations</w:t>
      </w:r>
    </w:p>
    <w:p w14:paraId="57E85E16" w14:textId="1C93BC3C" w:rsidR="00466BF6" w:rsidRPr="00F26BEE" w:rsidRDefault="00466BF6" w:rsidP="00466BF6">
      <w:pPr>
        <w:pStyle w:val="BodyText"/>
      </w:pPr>
      <w:r w:rsidRPr="00F26BEE">
        <w:t xml:space="preserve">There are no known important populations of this </w:t>
      </w:r>
      <w:r w:rsidR="00846D69">
        <w:t>species</w:t>
      </w:r>
      <w:r w:rsidRPr="00F26BEE">
        <w:t xml:space="preserve"> i</w:t>
      </w:r>
      <w:r w:rsidR="002D43C7">
        <w:t>n</w:t>
      </w:r>
      <w:r w:rsidRPr="00F26BEE">
        <w:t xml:space="preserve"> areas available for </w:t>
      </w:r>
      <w:r w:rsidRPr="00F26BEE">
        <w:rPr>
          <w:rFonts w:ascii="Arial" w:hAnsi="Arial" w:cs="Arial"/>
        </w:rPr>
        <w:t>timber harvesting</w:t>
      </w:r>
      <w:r w:rsidR="005D5D32">
        <w:rPr>
          <w:rFonts w:ascii="Arial" w:hAnsi="Arial" w:cs="Arial"/>
        </w:rPr>
        <w:t>,</w:t>
      </w:r>
      <w:r w:rsidRPr="00F26BEE">
        <w:t xml:space="preserve"> although 35% of its modelled habitat occurs in areas that are merchantable</w:t>
      </w:r>
      <w:r w:rsidR="00A476D6" w:rsidRPr="00A476D6">
        <w:rPr>
          <w:color w:val="7030A0"/>
        </w:rPr>
        <w:t xml:space="preserve"> </w:t>
      </w:r>
      <w:r w:rsidR="00A476D6" w:rsidRPr="00FD57DB">
        <w:t>based on the 2015 net harvest area layer</w:t>
      </w:r>
      <w:r w:rsidR="00A84C1D" w:rsidRPr="00FD57DB">
        <w:t xml:space="preserve">. </w:t>
      </w:r>
      <w:r w:rsidR="0017484F" w:rsidRPr="00FD57DB">
        <w:t xml:space="preserve">Using the revised operable area layer </w:t>
      </w:r>
      <w:r w:rsidR="00C32CB9" w:rsidRPr="00FD57DB">
        <w:t xml:space="preserve">this </w:t>
      </w:r>
      <w:r w:rsidR="00A476D6" w:rsidRPr="00FD57DB">
        <w:t>has reduced to</w:t>
      </w:r>
      <w:r w:rsidR="000A0237" w:rsidRPr="00FD57DB">
        <w:t xml:space="preserve"> 9%. </w:t>
      </w:r>
      <w:r w:rsidR="004C580A" w:rsidRPr="00915D82">
        <w:t>As has been suggested for similar wetland species, forestry operations may influence changes in catchment hydrology that lead to drying out of habitats. However, the main drivers of such alterations are climate change and fire</w:t>
      </w:r>
      <w:r w:rsidR="000C1464">
        <w:t xml:space="preserve"> rather than forestry operations</w:t>
      </w:r>
      <w:r w:rsidR="00E2479A" w:rsidRPr="00915D82">
        <w:t>.</w:t>
      </w:r>
      <w:r w:rsidR="00E2479A">
        <w:rPr>
          <w:color w:val="7030A0"/>
        </w:rPr>
        <w:t xml:space="preserve"> </w:t>
      </w:r>
      <w:r w:rsidRPr="00F26BEE">
        <w:t>The magnitude of this is likely to vary according to forest type, the extent of recent harvesting and any recent bushfires.</w:t>
      </w:r>
    </w:p>
    <w:p w14:paraId="086E641D" w14:textId="77777777" w:rsidR="00466BF6" w:rsidRPr="00F26BEE" w:rsidRDefault="00466BF6" w:rsidP="00466BF6">
      <w:pPr>
        <w:pStyle w:val="BodyText"/>
      </w:pPr>
      <w:r w:rsidRPr="00F26BEE">
        <w:t>Current existing controls for this hazard include:</w:t>
      </w:r>
    </w:p>
    <w:p w14:paraId="0E035227" w14:textId="77777777" w:rsidR="00466BF6" w:rsidRDefault="00466BF6" w:rsidP="006670D2">
      <w:pPr>
        <w:pStyle w:val="PullOutBoxBullet"/>
      </w:pPr>
      <w:r w:rsidRPr="00F26BEE">
        <w:t>Harvest scheduling considerations</w:t>
      </w:r>
      <w:r>
        <w:t xml:space="preserve"> of catchment hydrology. </w:t>
      </w:r>
      <w:r w:rsidRPr="00CB51DA">
        <w:rPr>
          <w:rStyle w:val="normaltextrun"/>
        </w:rPr>
        <w:t>The effectiveness of this control for this species has been evaluated as</w:t>
      </w:r>
      <w:r>
        <w:t xml:space="preserve"> poor as data is difficult to obtain to make decisions on reducing hydrological impacts in a catchment. </w:t>
      </w:r>
    </w:p>
    <w:p w14:paraId="30735CB0" w14:textId="4667E48E" w:rsidR="00466BF6" w:rsidRPr="00F26BEE" w:rsidRDefault="00466BF6" w:rsidP="006670D2">
      <w:pPr>
        <w:pStyle w:val="PullOutBoxBullet"/>
      </w:pPr>
      <w:r w:rsidRPr="00F26BEE">
        <w:t xml:space="preserve">The </w:t>
      </w:r>
      <w:r w:rsidRPr="00F26BEE">
        <w:rPr>
          <w:i/>
        </w:rPr>
        <w:t xml:space="preserve">Code of Practice for Timber Production 2014. </w:t>
      </w:r>
      <w:r w:rsidRPr="00CB51DA">
        <w:rPr>
          <w:rStyle w:val="normaltextrun"/>
        </w:rPr>
        <w:t>The effectiveness of this control for this species has been evaluated as</w:t>
      </w:r>
      <w:r w:rsidRPr="00AE6397">
        <w:t xml:space="preserve"> satisfactory as s</w:t>
      </w:r>
      <w:r w:rsidRPr="00FB615A">
        <w:rPr>
          <w:rStyle w:val="normaltextrun"/>
          <w:rFonts w:ascii="Arial" w:hAnsi="Arial"/>
          <w:color w:val="363534"/>
          <w:shd w:val="clear" w:color="auto" w:fill="FFFFFF"/>
        </w:rPr>
        <w:t xml:space="preserve">pecies-specific protections for the </w:t>
      </w:r>
      <w:r w:rsidR="00846D69">
        <w:rPr>
          <w:rStyle w:val="normaltextrun"/>
          <w:rFonts w:ascii="Arial" w:hAnsi="Arial"/>
          <w:color w:val="363534"/>
          <w:shd w:val="clear" w:color="auto" w:fill="FFFFFF"/>
        </w:rPr>
        <w:t>spe</w:t>
      </w:r>
      <w:r w:rsidR="00813D83">
        <w:rPr>
          <w:rStyle w:val="normaltextrun"/>
          <w:rFonts w:ascii="Arial" w:hAnsi="Arial"/>
          <w:color w:val="363534"/>
          <w:shd w:val="clear" w:color="auto" w:fill="FFFFFF"/>
        </w:rPr>
        <w:t>ci</w:t>
      </w:r>
      <w:r w:rsidR="00846D69">
        <w:rPr>
          <w:rStyle w:val="normaltextrun"/>
          <w:rFonts w:ascii="Arial" w:hAnsi="Arial"/>
          <w:color w:val="363534"/>
          <w:shd w:val="clear" w:color="auto" w:fill="FFFFFF"/>
        </w:rPr>
        <w:t>es</w:t>
      </w:r>
      <w:r w:rsidRPr="00FB615A">
        <w:rPr>
          <w:rStyle w:val="normaltextrun"/>
          <w:rFonts w:ascii="Arial" w:hAnsi="Arial"/>
          <w:color w:val="363534"/>
          <w:shd w:val="clear" w:color="auto" w:fill="FFFFFF"/>
        </w:rPr>
        <w:t xml:space="preserve"> are includ</w:t>
      </w:r>
      <w:r w:rsidRPr="00E15975">
        <w:rPr>
          <w:rStyle w:val="normaltextrun"/>
          <w:rFonts w:ascii="Arial" w:hAnsi="Arial"/>
          <w:color w:val="363534"/>
          <w:shd w:val="clear" w:color="auto" w:fill="FFFFFF"/>
        </w:rPr>
        <w:t>ed in the Code, as well as other more general prescriptions such as protection and buffering of waterways which also provide protection from forestry operations.</w:t>
      </w:r>
    </w:p>
    <w:p w14:paraId="54B7A075" w14:textId="5B155621" w:rsidR="00466BF6" w:rsidRPr="00FB615A" w:rsidRDefault="00466BF6"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w:t>
      </w:r>
      <w:r w:rsidRPr="4F453272">
        <w:t>satisfactory</w:t>
      </w:r>
      <w:r>
        <w:t xml:space="preserve"> because although only 39% of the </w:t>
      </w:r>
      <w:r w:rsidR="00846D69">
        <w:t>species’</w:t>
      </w:r>
      <w:r>
        <w:t xml:space="preserve"> modelled habitat is in the reserve system, 86% of its important populations are within the</w:t>
      </w:r>
      <w:r w:rsidR="006874DF">
        <w:t xml:space="preserve"> </w:t>
      </w:r>
      <w:r>
        <w:t>system</w:t>
      </w:r>
      <w:r w:rsidRPr="4F453272">
        <w:t>.</w:t>
      </w:r>
    </w:p>
    <w:p w14:paraId="23937E26" w14:textId="3EF3FBE4"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48</w:t>
      </w:r>
      <w:r w:rsidR="000B6788" w:rsidRPr="00B6162A">
        <w:rPr>
          <w:bCs/>
          <w:noProof/>
        </w:rPr>
        <w:fldChar w:fldCharType="end"/>
      </w:r>
      <w:r w:rsidRPr="00FF310C">
        <w:t xml:space="preserve">. Bog Saw-sedge protection requirements and recommendations </w:t>
      </w:r>
      <w:r w:rsidR="00AD5DB6" w:rsidRPr="00FF310C">
        <w:t>for</w:t>
      </w:r>
      <w:r w:rsidRPr="00FF310C">
        <w:t xml:space="preserve"> forestry operations</w:t>
      </w:r>
    </w:p>
    <w:tbl>
      <w:tblPr>
        <w:tblStyle w:val="TableGrid"/>
        <w:tblW w:w="0" w:type="auto"/>
        <w:tblLook w:val="04A0" w:firstRow="1" w:lastRow="0" w:firstColumn="1" w:lastColumn="0" w:noHBand="0" w:noVBand="1"/>
      </w:tblPr>
      <w:tblGrid>
        <w:gridCol w:w="2268"/>
        <w:gridCol w:w="7371"/>
      </w:tblGrid>
      <w:tr w:rsidR="00466BF6" w:rsidRPr="00867DAA" w14:paraId="1BB9FC0B" w14:textId="77777777" w:rsidTr="005611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C5B42E1" w14:textId="77777777" w:rsidR="00466BF6" w:rsidRPr="00704719" w:rsidRDefault="00466BF6" w:rsidP="005611CD">
            <w:pPr>
              <w:pStyle w:val="BodyText"/>
            </w:pPr>
            <w:r w:rsidRPr="00704719">
              <w:t>Requirement</w:t>
            </w:r>
          </w:p>
        </w:tc>
        <w:tc>
          <w:tcPr>
            <w:tcW w:w="7371" w:type="dxa"/>
          </w:tcPr>
          <w:p w14:paraId="0421B218" w14:textId="77777777" w:rsidR="00466BF6" w:rsidRPr="00704719" w:rsidRDefault="00466BF6" w:rsidP="005611CD">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6D9C8A64" w14:textId="77777777" w:rsidTr="005611CD">
        <w:tc>
          <w:tcPr>
            <w:tcW w:w="2268" w:type="dxa"/>
          </w:tcPr>
          <w:p w14:paraId="4906E3C0" w14:textId="794E1F15" w:rsidR="00466BF6" w:rsidRPr="003566BD" w:rsidRDefault="00466BF6" w:rsidP="005611CD">
            <w:pPr>
              <w:pStyle w:val="BodyText"/>
            </w:pPr>
            <w:r w:rsidRPr="003566BD">
              <w:t>Interim protection</w:t>
            </w:r>
            <w:r w:rsidR="00056A1C">
              <w:t>s</w:t>
            </w:r>
            <w:r w:rsidR="00575332">
              <w:t xml:space="preserve"> </w:t>
            </w:r>
          </w:p>
        </w:tc>
        <w:tc>
          <w:tcPr>
            <w:tcW w:w="7371" w:type="dxa"/>
          </w:tcPr>
          <w:p w14:paraId="285C079B" w14:textId="45FB1034" w:rsidR="00466BF6" w:rsidRPr="003566BD" w:rsidRDefault="00F37E7E" w:rsidP="005611CD">
            <w:pPr>
              <w:pStyle w:val="BodyText"/>
            </w:pPr>
            <w:r w:rsidRPr="00915D82">
              <w:t xml:space="preserve">Not required for this hazard as </w:t>
            </w:r>
            <w:r w:rsidR="00056A1C">
              <w:t>risk level is medium</w:t>
            </w:r>
            <w:r w:rsidR="00D03664">
              <w:t>.</w:t>
            </w:r>
          </w:p>
        </w:tc>
      </w:tr>
      <w:tr w:rsidR="00EE3D7E" w:rsidRPr="00867DAA" w14:paraId="0A41DA75" w14:textId="77777777" w:rsidTr="005611CD">
        <w:tc>
          <w:tcPr>
            <w:tcW w:w="2268" w:type="dxa"/>
          </w:tcPr>
          <w:p w14:paraId="2FE07810" w14:textId="72C6B283" w:rsidR="00EE3D7E" w:rsidRPr="003566BD" w:rsidRDefault="00D03664" w:rsidP="005611CD">
            <w:pPr>
              <w:pStyle w:val="BodyText"/>
            </w:pPr>
            <w:r>
              <w:t>P</w:t>
            </w:r>
            <w:r w:rsidR="00EE3D7E">
              <w:t>riority management actions</w:t>
            </w:r>
          </w:p>
        </w:tc>
        <w:tc>
          <w:tcPr>
            <w:tcW w:w="7371" w:type="dxa"/>
            <w:shd w:val="clear" w:color="auto" w:fill="auto"/>
          </w:tcPr>
          <w:p w14:paraId="516AD388" w14:textId="3FD92383" w:rsidR="00EE3D7E" w:rsidRPr="003566BD" w:rsidRDefault="005429C5" w:rsidP="005611CD">
            <w:pPr>
              <w:pStyle w:val="BodyText"/>
            </w:pPr>
            <w:r w:rsidRPr="00881204">
              <w:t xml:space="preserve">Not required for this hazard as </w:t>
            </w:r>
            <w:r>
              <w:t>risk level is medium.</w:t>
            </w:r>
          </w:p>
        </w:tc>
      </w:tr>
      <w:tr w:rsidR="00466BF6" w:rsidRPr="00867DAA" w14:paraId="39541F0C" w14:textId="77777777" w:rsidTr="005611CD">
        <w:tc>
          <w:tcPr>
            <w:tcW w:w="2268" w:type="dxa"/>
          </w:tcPr>
          <w:p w14:paraId="29760A4D" w14:textId="77777777" w:rsidR="00466BF6" w:rsidRPr="003566BD" w:rsidRDefault="00466BF6" w:rsidP="005611CD">
            <w:pPr>
              <w:pStyle w:val="BodyText"/>
            </w:pPr>
            <w:r w:rsidRPr="003566BD">
              <w:t>Permanent protections</w:t>
            </w:r>
          </w:p>
        </w:tc>
        <w:tc>
          <w:tcPr>
            <w:tcW w:w="7371" w:type="dxa"/>
            <w:shd w:val="clear" w:color="auto" w:fill="auto"/>
          </w:tcPr>
          <w:p w14:paraId="3075FC13" w14:textId="77777777" w:rsidR="00466BF6" w:rsidRPr="003566BD" w:rsidRDefault="00466BF6" w:rsidP="005611CD">
            <w:pPr>
              <w:pStyle w:val="BodyText"/>
            </w:pPr>
            <w:r w:rsidRPr="003566BD">
              <w:t>Additional permanent protections may be required in the longer-term</w:t>
            </w:r>
            <w:r>
              <w:t>.</w:t>
            </w:r>
          </w:p>
        </w:tc>
      </w:tr>
      <w:tr w:rsidR="00466BF6" w:rsidRPr="00867DAA" w14:paraId="71585FB0" w14:textId="77777777" w:rsidTr="005611CD">
        <w:tc>
          <w:tcPr>
            <w:tcW w:w="2268" w:type="dxa"/>
          </w:tcPr>
          <w:p w14:paraId="6B37E766" w14:textId="4BA9667E" w:rsidR="00466BF6" w:rsidRPr="00867DAA" w:rsidRDefault="00093BB0" w:rsidP="005611CD">
            <w:pPr>
              <w:pStyle w:val="BodyText"/>
            </w:pPr>
            <w:r>
              <w:t>Potential m</w:t>
            </w:r>
            <w:r w:rsidR="00466BF6" w:rsidRPr="00867DAA">
              <w:t>anagement actions</w:t>
            </w:r>
          </w:p>
        </w:tc>
        <w:tc>
          <w:tcPr>
            <w:tcW w:w="7371" w:type="dxa"/>
          </w:tcPr>
          <w:p w14:paraId="5CB6A593" w14:textId="68D7BC55" w:rsidR="001E6A7C" w:rsidRDefault="00250827" w:rsidP="006670D2">
            <w:pPr>
              <w:pStyle w:val="PullOutBoxBullet"/>
            </w:pPr>
            <w:r>
              <w:rPr>
                <w:lang w:eastAsia="en-US"/>
              </w:rPr>
              <w:t>A</w:t>
            </w:r>
            <w:r w:rsidR="001E6A7C" w:rsidRPr="00915D82">
              <w:rPr>
                <w:lang w:eastAsia="en-US"/>
              </w:rPr>
              <w:t>ssess the impacts of hydrological changes associated with forestry</w:t>
            </w:r>
            <w:r w:rsidR="000C7F9C">
              <w:rPr>
                <w:lang w:eastAsia="en-US"/>
              </w:rPr>
              <w:t xml:space="preserve"> operations</w:t>
            </w:r>
            <w:r>
              <w:rPr>
                <w:lang w:eastAsia="en-US"/>
              </w:rPr>
              <w:t>; and</w:t>
            </w:r>
          </w:p>
          <w:p w14:paraId="5AB51E4D" w14:textId="712AB1E6" w:rsidR="00466BF6" w:rsidRPr="003566BD" w:rsidRDefault="001E6A7C" w:rsidP="006670D2">
            <w:pPr>
              <w:pStyle w:val="PullOutBoxBullet"/>
            </w:pPr>
            <w:r>
              <w:rPr>
                <w:lang w:eastAsia="en-US"/>
              </w:rPr>
              <w:t>I</w:t>
            </w:r>
            <w:r w:rsidRPr="00915D82">
              <w:rPr>
                <w:lang w:eastAsia="en-US"/>
              </w:rPr>
              <w:t>mplement feasible mitigations where the impacts are assessed as significant.</w:t>
            </w:r>
          </w:p>
        </w:tc>
      </w:tr>
    </w:tbl>
    <w:p w14:paraId="665BDC78" w14:textId="77777777" w:rsidR="00466BF6" w:rsidRPr="001C0DE0" w:rsidRDefault="00466BF6" w:rsidP="00466BF6">
      <w:pPr>
        <w:pStyle w:val="Heading5"/>
        <w:numPr>
          <w:ilvl w:val="0"/>
          <w:numId w:val="0"/>
        </w:numPr>
        <w:ind w:left="1008" w:hanging="1008"/>
      </w:pPr>
      <w:r>
        <w:t>Plantations</w:t>
      </w:r>
    </w:p>
    <w:p w14:paraId="6D25D968" w14:textId="333F2773" w:rsidR="00466BF6" w:rsidRPr="00F26BEE" w:rsidRDefault="00466BF6" w:rsidP="00466BF6">
      <w:pPr>
        <w:pStyle w:val="BodyText"/>
      </w:pPr>
      <w:r>
        <w:t xml:space="preserve">In comparison to native forestry operations, plantations occur in closer proximity to the </w:t>
      </w:r>
      <w:r w:rsidR="00846D69">
        <w:t>species’</w:t>
      </w:r>
      <w:r>
        <w:t xml:space="preserve"> habitat where the growth of the trees can cause hydrological impacts on that habitat. Young, actively growing trees have greater evapotranspiration which reduces stream and groundwater inputs to the remainder of the catchment. 11% of the </w:t>
      </w:r>
      <w:r w:rsidR="00846D69">
        <w:t xml:space="preserve">species’ </w:t>
      </w:r>
      <w:r>
        <w:t xml:space="preserve">modelled habitat and 35% of its important populations are within </w:t>
      </w:r>
      <w:r w:rsidRPr="00D95A46">
        <w:t>200</w:t>
      </w:r>
      <w:r w:rsidRPr="005B1055">
        <w:t>m</w:t>
      </w:r>
      <w:r>
        <w:t xml:space="preserve"> of plantations, however the hydrological impacts across a catchment are likely to affect higher proportions. This hazard </w:t>
      </w:r>
      <w:r w:rsidRPr="00F26BEE">
        <w:t>interacts with climatic drying and may be further exacerbated by fire regimes in some circumstances.</w:t>
      </w:r>
    </w:p>
    <w:p w14:paraId="6012679C" w14:textId="77777777" w:rsidR="00466BF6" w:rsidRPr="00F26BEE" w:rsidRDefault="00466BF6" w:rsidP="00466BF6">
      <w:pPr>
        <w:pStyle w:val="BodyText"/>
      </w:pPr>
      <w:r w:rsidRPr="00F26BEE">
        <w:t>Current existing controls for this hazard include:</w:t>
      </w:r>
    </w:p>
    <w:p w14:paraId="3D1DBD30" w14:textId="77777777" w:rsidR="00466BF6" w:rsidRPr="00F26BEE" w:rsidRDefault="00466BF6" w:rsidP="006670D2">
      <w:pPr>
        <w:pStyle w:val="PullOutBoxBullet"/>
      </w:pPr>
      <w:r w:rsidRPr="00F26BEE">
        <w:t xml:space="preserve">Harvest scheduling considerations of catchment hydrology. The effectiveness of this control for this species has been evaluated as poor as data is difficult to get hold of to make decisions to reduce hydrological impacts in a catchment. </w:t>
      </w:r>
    </w:p>
    <w:p w14:paraId="38EFBB65" w14:textId="4B0FEEB1" w:rsidR="00466BF6" w:rsidRPr="00D95A46" w:rsidRDefault="00466BF6"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w:t>
      </w:r>
      <w:r w:rsidRPr="4F453272">
        <w:t>satisfactory</w:t>
      </w:r>
      <w:r>
        <w:t xml:space="preserve"> because although only 39% of the </w:t>
      </w:r>
      <w:r w:rsidR="00846D69">
        <w:t>species’</w:t>
      </w:r>
      <w:r>
        <w:t xml:space="preserve"> modelled habitat is in the reserve system, 86% of its important populations are within the system</w:t>
      </w:r>
      <w:r w:rsidRPr="4F453272">
        <w:t>.</w:t>
      </w:r>
    </w:p>
    <w:p w14:paraId="5FF4ED2D" w14:textId="6083A559"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49</w:t>
      </w:r>
      <w:r w:rsidR="000B6788" w:rsidRPr="00B6162A">
        <w:rPr>
          <w:bCs/>
          <w:noProof/>
        </w:rPr>
        <w:fldChar w:fldCharType="end"/>
      </w:r>
      <w:r w:rsidRPr="00FF310C">
        <w:t>. Bog Saw-sedge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466BF6" w:rsidRPr="00867DAA" w14:paraId="579EF9B7"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523BCF3B" w14:textId="77777777" w:rsidR="00466BF6" w:rsidRPr="00704719" w:rsidRDefault="00466BF6" w:rsidP="00296E0F">
            <w:pPr>
              <w:pStyle w:val="BodyText"/>
            </w:pPr>
            <w:r w:rsidRPr="00704719">
              <w:t>Requirement</w:t>
            </w:r>
          </w:p>
        </w:tc>
        <w:tc>
          <w:tcPr>
            <w:tcW w:w="7371" w:type="dxa"/>
            <w:vAlign w:val="center"/>
          </w:tcPr>
          <w:p w14:paraId="5B89FC40"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5B8D0BEC" w14:textId="77777777" w:rsidTr="005611CD">
        <w:tc>
          <w:tcPr>
            <w:tcW w:w="2268" w:type="dxa"/>
          </w:tcPr>
          <w:p w14:paraId="08DED2DA" w14:textId="262FAD51" w:rsidR="00466BF6" w:rsidRPr="003566BD" w:rsidRDefault="00466BF6" w:rsidP="005611CD">
            <w:pPr>
              <w:pStyle w:val="BodyText"/>
            </w:pPr>
            <w:r w:rsidRPr="003566BD">
              <w:t>Interim protections</w:t>
            </w:r>
            <w:r w:rsidR="00575332">
              <w:t xml:space="preserve"> </w:t>
            </w:r>
          </w:p>
        </w:tc>
        <w:tc>
          <w:tcPr>
            <w:tcW w:w="7371" w:type="dxa"/>
          </w:tcPr>
          <w:p w14:paraId="674BA1DA" w14:textId="02E0C2FB" w:rsidR="00466BF6" w:rsidRPr="003566BD" w:rsidRDefault="00283A90" w:rsidP="005611CD">
            <w:pPr>
              <w:pStyle w:val="BodyText"/>
            </w:pPr>
            <w:r w:rsidRPr="00200995">
              <w:t>Not required for this hazard</w:t>
            </w:r>
            <w:r>
              <w:t>.</w:t>
            </w:r>
          </w:p>
        </w:tc>
      </w:tr>
      <w:tr w:rsidR="00E3681D" w:rsidRPr="00867DAA" w14:paraId="2E69A8A9" w14:textId="77777777" w:rsidTr="005611CD">
        <w:tc>
          <w:tcPr>
            <w:tcW w:w="2268" w:type="dxa"/>
          </w:tcPr>
          <w:p w14:paraId="082CCF29" w14:textId="070E463D" w:rsidR="00E3681D" w:rsidRPr="003566BD" w:rsidRDefault="00E3681D" w:rsidP="005611CD">
            <w:pPr>
              <w:pStyle w:val="BodyText"/>
            </w:pPr>
            <w:r>
              <w:t>Priority management actions</w:t>
            </w:r>
          </w:p>
        </w:tc>
        <w:tc>
          <w:tcPr>
            <w:tcW w:w="7371" w:type="dxa"/>
            <w:shd w:val="clear" w:color="auto" w:fill="auto"/>
          </w:tcPr>
          <w:p w14:paraId="3A140DFE" w14:textId="30CE0B0F" w:rsidR="00E3681D" w:rsidRPr="003566BD" w:rsidRDefault="000C7F9C" w:rsidP="005611CD">
            <w:pPr>
              <w:pStyle w:val="BodyText"/>
            </w:pPr>
            <w:r>
              <w:t>Identify key locations and liaise with relevant plantation managers</w:t>
            </w:r>
            <w:r w:rsidR="00BF5990">
              <w:t>.</w:t>
            </w:r>
          </w:p>
        </w:tc>
      </w:tr>
      <w:tr w:rsidR="00466BF6" w:rsidRPr="00867DAA" w14:paraId="1649A88B" w14:textId="77777777" w:rsidTr="005611CD">
        <w:tc>
          <w:tcPr>
            <w:tcW w:w="2268" w:type="dxa"/>
          </w:tcPr>
          <w:p w14:paraId="4D0F53DF" w14:textId="77777777" w:rsidR="00466BF6" w:rsidRPr="003566BD" w:rsidRDefault="00466BF6" w:rsidP="005611CD">
            <w:pPr>
              <w:pStyle w:val="BodyText"/>
            </w:pPr>
            <w:r w:rsidRPr="003566BD">
              <w:t>Permanent protections</w:t>
            </w:r>
          </w:p>
        </w:tc>
        <w:tc>
          <w:tcPr>
            <w:tcW w:w="7371" w:type="dxa"/>
            <w:shd w:val="clear" w:color="auto" w:fill="auto"/>
          </w:tcPr>
          <w:p w14:paraId="60116482" w14:textId="77777777" w:rsidR="00466BF6" w:rsidRPr="003566BD" w:rsidRDefault="00466BF6" w:rsidP="005611CD">
            <w:pPr>
              <w:pStyle w:val="BodyText"/>
            </w:pPr>
            <w:r w:rsidRPr="003566BD">
              <w:t>Additional permanent protections may be required in the longer-term</w:t>
            </w:r>
            <w:r>
              <w:t>.</w:t>
            </w:r>
          </w:p>
        </w:tc>
      </w:tr>
      <w:tr w:rsidR="00466BF6" w:rsidRPr="00867DAA" w14:paraId="5F9F9F83" w14:textId="77777777" w:rsidTr="005611CD">
        <w:tc>
          <w:tcPr>
            <w:tcW w:w="2268" w:type="dxa"/>
          </w:tcPr>
          <w:p w14:paraId="22D3A3C1" w14:textId="0E18B440" w:rsidR="00466BF6" w:rsidRPr="00867DAA" w:rsidRDefault="00093BB0" w:rsidP="005611CD">
            <w:pPr>
              <w:pStyle w:val="BodyText"/>
            </w:pPr>
            <w:r>
              <w:t>Potential m</w:t>
            </w:r>
            <w:r w:rsidR="00466BF6" w:rsidRPr="00867DAA">
              <w:t>anagement actions</w:t>
            </w:r>
          </w:p>
        </w:tc>
        <w:tc>
          <w:tcPr>
            <w:tcW w:w="7371" w:type="dxa"/>
          </w:tcPr>
          <w:p w14:paraId="5DD873E5" w14:textId="77777777" w:rsidR="00E3681D" w:rsidRDefault="00E3681D" w:rsidP="006670D2">
            <w:pPr>
              <w:pStyle w:val="PullOutBoxBullet"/>
            </w:pPr>
            <w:r w:rsidRPr="00881204">
              <w:rPr>
                <w:lang w:eastAsia="en-US"/>
              </w:rPr>
              <w:t xml:space="preserve">Work with plantation managers to assess the impacts of hydrological changes associated with plantation forestry; </w:t>
            </w:r>
            <w:r>
              <w:rPr>
                <w:lang w:eastAsia="en-US"/>
              </w:rPr>
              <w:t>and</w:t>
            </w:r>
          </w:p>
          <w:p w14:paraId="2C3DF2FD" w14:textId="5D6131E7" w:rsidR="00466BF6" w:rsidRPr="003566BD" w:rsidRDefault="00E3681D" w:rsidP="006670D2">
            <w:pPr>
              <w:pStyle w:val="PullOutBoxBullet"/>
            </w:pPr>
            <w:r>
              <w:rPr>
                <w:lang w:eastAsia="en-US"/>
              </w:rPr>
              <w:t>I</w:t>
            </w:r>
            <w:r w:rsidRPr="00881204">
              <w:rPr>
                <w:lang w:eastAsia="en-US"/>
              </w:rPr>
              <w:t>mplement feasible mitigations where the impacts are assessed as significant.</w:t>
            </w:r>
          </w:p>
        </w:tc>
      </w:tr>
    </w:tbl>
    <w:p w14:paraId="272D0360" w14:textId="224B175F" w:rsidR="002252B7" w:rsidRDefault="002252B7" w:rsidP="00E5690B">
      <w:pPr>
        <w:pStyle w:val="BodyText"/>
      </w:pPr>
      <w:bookmarkStart w:id="150" w:name="_Toc88724695"/>
      <w:bookmarkStart w:id="151" w:name="_Toc95233342"/>
      <w:bookmarkStart w:id="152" w:name="_Toc88147030"/>
      <w:bookmarkStart w:id="153" w:name="_Toc88725164"/>
    </w:p>
    <w:p w14:paraId="59319CF3" w14:textId="77777777" w:rsidR="00AB65FA" w:rsidRDefault="00AB65FA">
      <w:pPr>
        <w:rPr>
          <w:rFonts w:ascii="Arial" w:hAnsi="Arial"/>
          <w:b/>
          <w:bCs/>
          <w:color w:val="00B2A9" w:themeColor="accent1"/>
          <w:kern w:val="20"/>
          <w:sz w:val="24"/>
          <w:szCs w:val="28"/>
        </w:rPr>
      </w:pPr>
      <w:r>
        <w:br w:type="page"/>
      </w:r>
    </w:p>
    <w:p w14:paraId="57782166" w14:textId="65506B4F" w:rsidR="00466BF6" w:rsidRPr="005F7D8C" w:rsidRDefault="00466BF6" w:rsidP="00FB5A2B">
      <w:pPr>
        <w:pStyle w:val="Heading2"/>
        <w:ind w:left="0"/>
        <w:rPr>
          <w:i/>
          <w:iCs/>
        </w:rPr>
      </w:pPr>
      <w:bookmarkStart w:id="154" w:name="_Toc113271033"/>
      <w:r w:rsidRPr="006936B0">
        <w:t>Bolwarra</w:t>
      </w:r>
      <w:r w:rsidRPr="005F7D8C">
        <w:rPr>
          <w:i/>
          <w:iCs/>
        </w:rPr>
        <w:t xml:space="preserve"> (Eupomatia laurina)</w:t>
      </w:r>
      <w:bookmarkEnd w:id="150"/>
      <w:bookmarkEnd w:id="151"/>
      <w:bookmarkEnd w:id="154"/>
    </w:p>
    <w:p w14:paraId="36A619D3" w14:textId="7A3667E0" w:rsidR="00466BF6" w:rsidRPr="007A00A8" w:rsidRDefault="00466BF6" w:rsidP="00466BF6">
      <w:pPr>
        <w:pStyle w:val="BodyText"/>
      </w:pPr>
      <w:r>
        <w:t xml:space="preserve">The Bolwarra was listed as </w:t>
      </w:r>
      <w:r w:rsidRPr="0081682D">
        <w:t>Endangered</w:t>
      </w:r>
      <w:r>
        <w:t xml:space="preserve"> in Victoria</w:t>
      </w:r>
      <w:r w:rsidRPr="0081682D">
        <w:t xml:space="preserve"> </w:t>
      </w:r>
      <w:r>
        <w:t xml:space="preserve">under the FFG Act in May 2021. The </w:t>
      </w:r>
      <w:r w:rsidR="00846D69">
        <w:t>species</w:t>
      </w:r>
      <w:r>
        <w:t xml:space="preserve"> has modelled habitat in the East Gippsland (100% of modelled habitat) RFA region.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 </w:t>
      </w:r>
    </w:p>
    <w:p w14:paraId="1D399057" w14:textId="77777777" w:rsidR="00466BF6" w:rsidRDefault="00466BF6" w:rsidP="007E5EBF">
      <w:pPr>
        <w:pStyle w:val="Heading3"/>
      </w:pPr>
      <w:bookmarkStart w:id="155" w:name="_Toc88724696"/>
      <w:r>
        <w:t>Risk Assessment</w:t>
      </w:r>
      <w:bookmarkEnd w:id="155"/>
    </w:p>
    <w:p w14:paraId="44632788" w14:textId="4E9C85AA"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50</w:t>
      </w:r>
      <w:r w:rsidR="000B6788" w:rsidRPr="00B6162A">
        <w:rPr>
          <w:bCs/>
          <w:noProof/>
        </w:rPr>
        <w:fldChar w:fldCharType="end"/>
      </w:r>
      <w:r w:rsidRPr="00FF310C">
        <w:t>. Bolwarra risk ratings in the East Gippsland RFA region:</w:t>
      </w:r>
    </w:p>
    <w:tbl>
      <w:tblPr>
        <w:tblStyle w:val="TableGrid"/>
        <w:tblW w:w="9639" w:type="dxa"/>
        <w:tblLook w:val="04A0" w:firstRow="1" w:lastRow="0" w:firstColumn="1" w:lastColumn="0" w:noHBand="0" w:noVBand="1"/>
      </w:tblPr>
      <w:tblGrid>
        <w:gridCol w:w="1935"/>
        <w:gridCol w:w="1925"/>
        <w:gridCol w:w="1924"/>
        <w:gridCol w:w="1927"/>
        <w:gridCol w:w="1928"/>
      </w:tblGrid>
      <w:tr w:rsidR="00466BF6" w14:paraId="13A655D3" w14:textId="77777777" w:rsidTr="007013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56" w:type="dxa"/>
            <w:vAlign w:val="center"/>
          </w:tcPr>
          <w:p w14:paraId="2AF062A6" w14:textId="77777777" w:rsidR="00466BF6" w:rsidRPr="00643008" w:rsidRDefault="00466BF6" w:rsidP="006670D2">
            <w:pPr>
              <w:pStyle w:val="CaptionImageorFigure"/>
            </w:pPr>
          </w:p>
        </w:tc>
        <w:tc>
          <w:tcPr>
            <w:tcW w:w="1956" w:type="dxa"/>
            <w:vAlign w:val="center"/>
          </w:tcPr>
          <w:p w14:paraId="630556C4" w14:textId="5507B932" w:rsidR="00466BF6" w:rsidRPr="00643008"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w:t>
            </w:r>
            <w:r w:rsidRPr="0092284A">
              <w:t>rought</w:t>
            </w:r>
            <w:r>
              <w:t xml:space="preserve">; </w:t>
            </w:r>
            <w:r w:rsidRPr="0092284A">
              <w:t>Increased fire frequency</w:t>
            </w:r>
            <w:r>
              <w:t xml:space="preserve"> and </w:t>
            </w:r>
            <w:r w:rsidRPr="0092284A">
              <w:t>intensity</w:t>
            </w:r>
          </w:p>
        </w:tc>
        <w:tc>
          <w:tcPr>
            <w:tcW w:w="0" w:type="dxa"/>
            <w:vAlign w:val="center"/>
          </w:tcPr>
          <w:p w14:paraId="5EDE7C96"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Planned burning</w:t>
            </w:r>
          </w:p>
        </w:tc>
        <w:tc>
          <w:tcPr>
            <w:tcW w:w="0" w:type="dxa"/>
            <w:vAlign w:val="center"/>
          </w:tcPr>
          <w:p w14:paraId="185E691A" w14:textId="4910826B" w:rsidR="00466BF6" w:rsidRPr="00643008" w:rsidRDefault="003856B8"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466BF6">
              <w:t>orestry operations</w:t>
            </w:r>
          </w:p>
        </w:tc>
        <w:tc>
          <w:tcPr>
            <w:tcW w:w="0" w:type="dxa"/>
            <w:vAlign w:val="center"/>
          </w:tcPr>
          <w:p w14:paraId="78F2BF6B" w14:textId="77777777" w:rsidR="00466BF6" w:rsidRPr="00643008"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466BF6" w14:paraId="65143E72" w14:textId="77777777" w:rsidTr="007013BC">
        <w:tc>
          <w:tcPr>
            <w:tcW w:w="1956" w:type="dxa"/>
            <w:vAlign w:val="center"/>
          </w:tcPr>
          <w:p w14:paraId="6F372D22" w14:textId="77777777" w:rsidR="00466BF6" w:rsidRPr="0053677B" w:rsidRDefault="00466BF6" w:rsidP="00C22AAB">
            <w:pPr>
              <w:pStyle w:val="BodyText"/>
              <w:jc w:val="center"/>
            </w:pPr>
            <w:r w:rsidRPr="0053677B">
              <w:t>Consequence</w:t>
            </w:r>
          </w:p>
        </w:tc>
        <w:tc>
          <w:tcPr>
            <w:tcW w:w="1956" w:type="dxa"/>
            <w:vAlign w:val="center"/>
          </w:tcPr>
          <w:p w14:paraId="32CB5502" w14:textId="77777777" w:rsidR="00466BF6" w:rsidRDefault="00466BF6" w:rsidP="00C22AAB">
            <w:pPr>
              <w:pStyle w:val="BodyText"/>
              <w:jc w:val="center"/>
            </w:pPr>
            <w:r>
              <w:t>Extreme</w:t>
            </w:r>
          </w:p>
        </w:tc>
        <w:tc>
          <w:tcPr>
            <w:tcW w:w="0" w:type="dxa"/>
            <w:vAlign w:val="center"/>
          </w:tcPr>
          <w:p w14:paraId="3D88F7AE" w14:textId="77777777" w:rsidR="00466BF6" w:rsidRDefault="00466BF6" w:rsidP="00C22AAB">
            <w:pPr>
              <w:pStyle w:val="BodyText"/>
              <w:jc w:val="center"/>
            </w:pPr>
            <w:r>
              <w:t>Moderate</w:t>
            </w:r>
          </w:p>
        </w:tc>
        <w:tc>
          <w:tcPr>
            <w:tcW w:w="0" w:type="dxa"/>
            <w:vAlign w:val="center"/>
          </w:tcPr>
          <w:p w14:paraId="4A92B2C4" w14:textId="77777777" w:rsidR="00466BF6" w:rsidRPr="007935D4" w:rsidRDefault="00466BF6" w:rsidP="00C22AAB">
            <w:pPr>
              <w:pStyle w:val="BodyText"/>
              <w:jc w:val="center"/>
            </w:pPr>
            <w:r w:rsidRPr="007935D4">
              <w:t>Moderate</w:t>
            </w:r>
          </w:p>
        </w:tc>
        <w:tc>
          <w:tcPr>
            <w:tcW w:w="0" w:type="dxa"/>
            <w:vAlign w:val="center"/>
          </w:tcPr>
          <w:p w14:paraId="78E0D9E6" w14:textId="77777777" w:rsidR="00466BF6" w:rsidRDefault="00466BF6" w:rsidP="00C22AAB">
            <w:pPr>
              <w:pStyle w:val="BodyText"/>
              <w:jc w:val="center"/>
            </w:pPr>
            <w:r>
              <w:t>Moderate</w:t>
            </w:r>
          </w:p>
        </w:tc>
      </w:tr>
      <w:tr w:rsidR="00466BF6" w14:paraId="1BC13395" w14:textId="77777777" w:rsidTr="007013BC">
        <w:tc>
          <w:tcPr>
            <w:tcW w:w="1956" w:type="dxa"/>
            <w:vAlign w:val="center"/>
          </w:tcPr>
          <w:p w14:paraId="54AC78D9" w14:textId="77777777" w:rsidR="00466BF6" w:rsidRPr="0053677B" w:rsidRDefault="00466BF6" w:rsidP="00C22AAB">
            <w:pPr>
              <w:pStyle w:val="BodyText"/>
              <w:jc w:val="center"/>
            </w:pPr>
            <w:r w:rsidRPr="0053677B">
              <w:t>Likelihood</w:t>
            </w:r>
          </w:p>
        </w:tc>
        <w:tc>
          <w:tcPr>
            <w:tcW w:w="1956" w:type="dxa"/>
            <w:vAlign w:val="center"/>
          </w:tcPr>
          <w:p w14:paraId="77A50A13" w14:textId="77777777" w:rsidR="00466BF6" w:rsidRDefault="00466BF6" w:rsidP="00C22AAB">
            <w:pPr>
              <w:pStyle w:val="BodyText"/>
              <w:jc w:val="center"/>
            </w:pPr>
            <w:r>
              <w:t>Likely</w:t>
            </w:r>
          </w:p>
        </w:tc>
        <w:tc>
          <w:tcPr>
            <w:tcW w:w="0" w:type="dxa"/>
            <w:vAlign w:val="center"/>
          </w:tcPr>
          <w:p w14:paraId="118074AA" w14:textId="77777777" w:rsidR="00466BF6" w:rsidRDefault="00466BF6" w:rsidP="00C22AAB">
            <w:pPr>
              <w:pStyle w:val="BodyText"/>
              <w:jc w:val="center"/>
            </w:pPr>
            <w:r>
              <w:t>Possible</w:t>
            </w:r>
          </w:p>
        </w:tc>
        <w:tc>
          <w:tcPr>
            <w:tcW w:w="0" w:type="dxa"/>
            <w:vAlign w:val="center"/>
          </w:tcPr>
          <w:p w14:paraId="080857AE" w14:textId="77777777" w:rsidR="00466BF6" w:rsidRPr="007935D4" w:rsidRDefault="00466BF6" w:rsidP="00C22AAB">
            <w:pPr>
              <w:pStyle w:val="BodyText"/>
              <w:jc w:val="center"/>
            </w:pPr>
            <w:r w:rsidRPr="007935D4">
              <w:t>Likely</w:t>
            </w:r>
          </w:p>
        </w:tc>
        <w:tc>
          <w:tcPr>
            <w:tcW w:w="0" w:type="dxa"/>
            <w:vAlign w:val="center"/>
          </w:tcPr>
          <w:p w14:paraId="43187159" w14:textId="77777777" w:rsidR="00466BF6" w:rsidRDefault="00466BF6" w:rsidP="00C22AAB">
            <w:pPr>
              <w:pStyle w:val="BodyText"/>
              <w:jc w:val="center"/>
            </w:pPr>
            <w:r>
              <w:t>Likely</w:t>
            </w:r>
          </w:p>
        </w:tc>
      </w:tr>
      <w:tr w:rsidR="00466BF6" w14:paraId="30E1ADC6" w14:textId="77777777" w:rsidTr="007013BC">
        <w:tc>
          <w:tcPr>
            <w:tcW w:w="1956" w:type="dxa"/>
            <w:vAlign w:val="center"/>
          </w:tcPr>
          <w:p w14:paraId="5DE4A335" w14:textId="77777777" w:rsidR="00466BF6" w:rsidRPr="0053677B" w:rsidRDefault="00466BF6" w:rsidP="00C22AAB">
            <w:pPr>
              <w:pStyle w:val="BodyText"/>
              <w:jc w:val="center"/>
            </w:pPr>
            <w:r w:rsidRPr="0053677B">
              <w:t>Overall risk rating</w:t>
            </w:r>
          </w:p>
        </w:tc>
        <w:tc>
          <w:tcPr>
            <w:tcW w:w="1956" w:type="dxa"/>
            <w:shd w:val="clear" w:color="auto" w:fill="FF0000"/>
            <w:vAlign w:val="center"/>
          </w:tcPr>
          <w:p w14:paraId="27561E6B" w14:textId="77777777" w:rsidR="00466BF6" w:rsidRDefault="00466BF6" w:rsidP="00C22AAB">
            <w:pPr>
              <w:pStyle w:val="BodyText"/>
              <w:jc w:val="center"/>
            </w:pPr>
            <w:r>
              <w:t>High</w:t>
            </w:r>
          </w:p>
        </w:tc>
        <w:tc>
          <w:tcPr>
            <w:tcW w:w="1956" w:type="dxa"/>
            <w:shd w:val="clear" w:color="auto" w:fill="FFFF00"/>
            <w:vAlign w:val="center"/>
          </w:tcPr>
          <w:p w14:paraId="2DD9B382" w14:textId="77777777" w:rsidR="00466BF6" w:rsidRDefault="00466BF6" w:rsidP="00C22AAB">
            <w:pPr>
              <w:pStyle w:val="BodyText"/>
              <w:jc w:val="center"/>
            </w:pPr>
            <w:r>
              <w:t>Medium</w:t>
            </w:r>
          </w:p>
        </w:tc>
        <w:tc>
          <w:tcPr>
            <w:tcW w:w="1956" w:type="dxa"/>
            <w:shd w:val="clear" w:color="auto" w:fill="FFC000"/>
            <w:vAlign w:val="center"/>
          </w:tcPr>
          <w:p w14:paraId="13C84464" w14:textId="77777777" w:rsidR="00466BF6" w:rsidRPr="007935D4" w:rsidRDefault="00466BF6" w:rsidP="00C22AAB">
            <w:pPr>
              <w:pStyle w:val="BodyText"/>
              <w:jc w:val="center"/>
            </w:pPr>
            <w:r w:rsidRPr="007935D4">
              <w:t>Significant</w:t>
            </w:r>
          </w:p>
        </w:tc>
        <w:tc>
          <w:tcPr>
            <w:tcW w:w="1957" w:type="dxa"/>
            <w:shd w:val="clear" w:color="auto" w:fill="FFC000"/>
            <w:vAlign w:val="center"/>
          </w:tcPr>
          <w:p w14:paraId="04F472B8" w14:textId="77777777" w:rsidR="00466BF6" w:rsidRDefault="00466BF6" w:rsidP="00C22AAB">
            <w:pPr>
              <w:pStyle w:val="BodyText"/>
              <w:jc w:val="center"/>
            </w:pPr>
            <w:r>
              <w:t>Significant</w:t>
            </w:r>
          </w:p>
        </w:tc>
      </w:tr>
    </w:tbl>
    <w:p w14:paraId="5CD44FDB" w14:textId="77777777" w:rsidR="00466BF6" w:rsidRDefault="00466BF6" w:rsidP="007E5EBF">
      <w:pPr>
        <w:pStyle w:val="Heading3"/>
      </w:pPr>
      <w:bookmarkStart w:id="156" w:name="_Toc88724697"/>
      <w:r w:rsidRPr="0077027B">
        <w:t xml:space="preserve">Climate </w:t>
      </w:r>
      <w:r w:rsidRPr="00770A81">
        <w:t>change</w:t>
      </w:r>
      <w:r>
        <w:t>; F</w:t>
      </w:r>
      <w:r w:rsidRPr="0077027B">
        <w:t>ire</w:t>
      </w:r>
      <w:bookmarkEnd w:id="156"/>
    </w:p>
    <w:p w14:paraId="580876F9" w14:textId="739BBCEA" w:rsidR="00466BF6" w:rsidRPr="0092284A" w:rsidRDefault="00466BF6" w:rsidP="00466BF6">
      <w:pPr>
        <w:pStyle w:val="Heading5"/>
        <w:numPr>
          <w:ilvl w:val="0"/>
          <w:numId w:val="0"/>
        </w:numPr>
        <w:ind w:left="1008" w:hanging="1008"/>
      </w:pPr>
      <w:r>
        <w:t>D</w:t>
      </w:r>
      <w:r w:rsidRPr="0092284A">
        <w:t>rought</w:t>
      </w:r>
      <w:r>
        <w:t xml:space="preserve"> and i</w:t>
      </w:r>
      <w:r w:rsidRPr="0092284A">
        <w:t>ncreased fire frequenc</w:t>
      </w:r>
      <w:r>
        <w:t xml:space="preserve">y and </w:t>
      </w:r>
      <w:r w:rsidRPr="0092284A">
        <w:t>intensity</w:t>
      </w:r>
    </w:p>
    <w:p w14:paraId="57C9164E" w14:textId="16388979" w:rsidR="00466BF6" w:rsidRPr="00F26BEE" w:rsidRDefault="00466BF6" w:rsidP="00466BF6">
      <w:pPr>
        <w:pStyle w:val="BodyText"/>
      </w:pPr>
      <w:r>
        <w:t xml:space="preserve">Drought and increased fire </w:t>
      </w:r>
      <w:r w:rsidRPr="00F26BEE">
        <w:t xml:space="preserve">frequency and intensity have been combined here due to the close relationship between the two hazards. Drought stress and increasing fire risk, with altered fire regimes under climate change, are likely to continue to threaten this </w:t>
      </w:r>
      <w:r w:rsidR="00846D69">
        <w:t>species</w:t>
      </w:r>
      <w:r w:rsidRPr="00F26BEE">
        <w:t xml:space="preserve"> and its habitat. Many locations have already been severely burnt as an early climate change signal, with </w:t>
      </w:r>
      <w:r w:rsidR="007154CE" w:rsidRPr="00F26BEE">
        <w:t>most</w:t>
      </w:r>
      <w:r w:rsidRPr="00F26BEE">
        <w:t xml:space="preserve"> sites burnt in the last 40 years (e.g., Ash Wednesday fire 1983). In the longer term, the risks of adult mortality and recruitment failure increase due to repeat fire events and extreme drought stress. The habitat loss that occurs has a slower effect as the vegetation that regenerates after each fire event fails to recover the structural characteristics of mature rainforest, which is the critical habitat for the </w:t>
      </w:r>
      <w:r w:rsidR="00846D69">
        <w:t>species</w:t>
      </w:r>
      <w:r w:rsidRPr="00F26BEE">
        <w:t xml:space="preserve">. If patches of rainforest that support mature individuals that flower are lost, the seed set is also lost and therefore the ability of individuals to grow in more open forest is reduced. When a large fire hits a rainforest or rainforest margin with sufficient intensity to destroy the canopy there is a high chance of invasion and stand replacement by eucalypt forest. Most </w:t>
      </w:r>
      <w:r w:rsidRPr="00F26BEE">
        <w:rPr>
          <w:i/>
          <w:iCs/>
        </w:rPr>
        <w:t>Eupomatia</w:t>
      </w:r>
      <w:r w:rsidRPr="00F26BEE">
        <w:t xml:space="preserve"> canopies are likely to be fire killed in a severe bushfire event, with many examples of this seen where stands of rainforest have been impacted by severe fire events. Each catastrophic fire event results </w:t>
      </w:r>
      <w:r w:rsidR="002924BC">
        <w:t>in</w:t>
      </w:r>
      <w:r w:rsidRPr="00F26BEE">
        <w:t xml:space="preserve"> incremental impacts, which accrue over decades. Climate change leads to increased fire risk, with recruiting stands exposed post-fire to the hazards of drought-induced mortality and targeted browsing by Sambar which are likely to target lush recruiting juvenile plants. This hazard extends to 100% of the </w:t>
      </w:r>
      <w:r w:rsidR="001910A1">
        <w:t>species’</w:t>
      </w:r>
      <w:r w:rsidRPr="00F26BEE">
        <w:t xml:space="preserve"> distribution in Victoria.</w:t>
      </w:r>
    </w:p>
    <w:p w14:paraId="5869A519" w14:textId="77777777" w:rsidR="00466BF6" w:rsidRPr="00F26BEE" w:rsidRDefault="00466BF6" w:rsidP="00466BF6">
      <w:pPr>
        <w:pStyle w:val="BodyText"/>
      </w:pPr>
      <w:r w:rsidRPr="00F26BEE">
        <w:t>Current controls for the hazard include:</w:t>
      </w:r>
    </w:p>
    <w:p w14:paraId="6AF85B00" w14:textId="10F2EB31" w:rsidR="00466BF6" w:rsidRPr="003B3013" w:rsidRDefault="00466BF6" w:rsidP="006670D2">
      <w:pPr>
        <w:pStyle w:val="PullOutBoxBullet"/>
        <w:rPr>
          <w:b/>
          <w:bCs/>
          <w:sz w:val="16"/>
        </w:rPr>
      </w:pPr>
      <w:r w:rsidRPr="00F26BEE">
        <w:t xml:space="preserve">Planned burning. This control is considered ineffective in this case as the species’ habitat is generally not suitable for planned burning. Strategic </w:t>
      </w:r>
      <w:r w:rsidR="007276C8" w:rsidRPr="00F26BEE">
        <w:t>fuel breaks</w:t>
      </w:r>
      <w:r w:rsidRPr="00F26BEE">
        <w:t xml:space="preserve"> and associated backburning may however provide valuable protection in some cases for this species and its habitat from severe bushfires.</w:t>
      </w:r>
    </w:p>
    <w:p w14:paraId="54C7FABF" w14:textId="782A478B"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51</w:t>
      </w:r>
      <w:r w:rsidR="000B6788" w:rsidRPr="00B6162A">
        <w:rPr>
          <w:bCs/>
          <w:noProof/>
        </w:rPr>
        <w:fldChar w:fldCharType="end"/>
      </w:r>
      <w:r w:rsidRPr="00FF310C">
        <w:t>. Bolwarra protection requirements and recommendations for drought and increased fire frequency</w:t>
      </w:r>
      <w:r w:rsidR="00EC5096" w:rsidRPr="00FF310C">
        <w:t xml:space="preserve"> and </w:t>
      </w:r>
      <w:r w:rsidRPr="00FF310C">
        <w:t>intensity</w:t>
      </w:r>
    </w:p>
    <w:tbl>
      <w:tblPr>
        <w:tblStyle w:val="TableGrid"/>
        <w:tblW w:w="0" w:type="auto"/>
        <w:tblLook w:val="04A0" w:firstRow="1" w:lastRow="0" w:firstColumn="1" w:lastColumn="0" w:noHBand="0" w:noVBand="1"/>
      </w:tblPr>
      <w:tblGrid>
        <w:gridCol w:w="2268"/>
        <w:gridCol w:w="7371"/>
      </w:tblGrid>
      <w:tr w:rsidR="00466BF6" w:rsidRPr="00867DAA" w14:paraId="19FD740B"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16EB5305" w14:textId="77777777" w:rsidR="00466BF6" w:rsidRPr="00704719" w:rsidRDefault="00466BF6" w:rsidP="00296E0F">
            <w:pPr>
              <w:pStyle w:val="BodyText"/>
            </w:pPr>
            <w:r w:rsidRPr="00704719">
              <w:t>Requirement</w:t>
            </w:r>
          </w:p>
        </w:tc>
        <w:tc>
          <w:tcPr>
            <w:tcW w:w="7371" w:type="dxa"/>
            <w:vAlign w:val="center"/>
          </w:tcPr>
          <w:p w14:paraId="5CDCB44A"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25665FF9" w14:textId="77777777" w:rsidTr="005611CD">
        <w:tc>
          <w:tcPr>
            <w:tcW w:w="2268" w:type="dxa"/>
          </w:tcPr>
          <w:p w14:paraId="2B5998D2" w14:textId="69379510" w:rsidR="00466BF6" w:rsidRPr="003566BD" w:rsidRDefault="008D6AF6" w:rsidP="005611CD">
            <w:pPr>
              <w:pStyle w:val="BodyText"/>
            </w:pPr>
            <w:r>
              <w:t>Priority management actions</w:t>
            </w:r>
          </w:p>
        </w:tc>
        <w:tc>
          <w:tcPr>
            <w:tcW w:w="7371" w:type="dxa"/>
          </w:tcPr>
          <w:p w14:paraId="27488D6D" w14:textId="77777777" w:rsidR="00466BF6" w:rsidRPr="003566BD" w:rsidRDefault="00466BF6" w:rsidP="005611CD">
            <w:pPr>
              <w:pStyle w:val="BodyText"/>
            </w:pPr>
            <w:r>
              <w:t>Not required for this hazard as it is a longer-term threat.</w:t>
            </w:r>
          </w:p>
        </w:tc>
      </w:tr>
      <w:tr w:rsidR="00466BF6" w:rsidRPr="00867DAA" w14:paraId="35BB2979" w14:textId="77777777" w:rsidTr="005611CD">
        <w:tc>
          <w:tcPr>
            <w:tcW w:w="2268" w:type="dxa"/>
          </w:tcPr>
          <w:p w14:paraId="35F59171" w14:textId="711A0937" w:rsidR="00466BF6" w:rsidRPr="00867DAA" w:rsidRDefault="008D6AF6" w:rsidP="005611CD">
            <w:pPr>
              <w:pStyle w:val="BodyText"/>
            </w:pPr>
            <w:r>
              <w:t>Potential m</w:t>
            </w:r>
            <w:r w:rsidR="00466BF6" w:rsidRPr="00867DAA">
              <w:t>anagement actions</w:t>
            </w:r>
          </w:p>
        </w:tc>
        <w:tc>
          <w:tcPr>
            <w:tcW w:w="7371" w:type="dxa"/>
          </w:tcPr>
          <w:p w14:paraId="28D95C6A" w14:textId="77777777" w:rsidR="00466BF6" w:rsidRPr="003566BD" w:rsidRDefault="00466BF6" w:rsidP="006670D2">
            <w:pPr>
              <w:pStyle w:val="PullOutBoxBullet"/>
            </w:pPr>
            <w:r>
              <w:t>Target the</w:t>
            </w:r>
            <w:r w:rsidRPr="008C1400">
              <w:t xml:space="preserve"> removal of </w:t>
            </w:r>
            <w:r>
              <w:t>e</w:t>
            </w:r>
            <w:r w:rsidRPr="008C1400">
              <w:t>ucalypts invading former rainforest following intense</w:t>
            </w:r>
            <w:r>
              <w:t xml:space="preserve"> bush</w:t>
            </w:r>
            <w:r w:rsidRPr="008C1400">
              <w:t>fire</w:t>
            </w:r>
            <w:r>
              <w:t>.</w:t>
            </w:r>
          </w:p>
        </w:tc>
      </w:tr>
    </w:tbl>
    <w:p w14:paraId="6832CE10" w14:textId="77777777" w:rsidR="00466BF6" w:rsidRDefault="00466BF6" w:rsidP="007E5EBF">
      <w:pPr>
        <w:pStyle w:val="Heading3"/>
      </w:pPr>
      <w:bookmarkStart w:id="157" w:name="_Toc88724698"/>
      <w:r>
        <w:t>Fire</w:t>
      </w:r>
      <w:bookmarkEnd w:id="157"/>
    </w:p>
    <w:p w14:paraId="0018241E" w14:textId="77777777" w:rsidR="00466BF6" w:rsidRDefault="00466BF6" w:rsidP="00466BF6">
      <w:pPr>
        <w:pStyle w:val="Heading5"/>
        <w:numPr>
          <w:ilvl w:val="0"/>
          <w:numId w:val="0"/>
        </w:numPr>
        <w:ind w:left="1008" w:hanging="1008"/>
      </w:pPr>
      <w:r>
        <w:t>Planned burning</w:t>
      </w:r>
    </w:p>
    <w:p w14:paraId="392E4061" w14:textId="0EE0715A" w:rsidR="00466BF6" w:rsidRPr="00F26BEE" w:rsidRDefault="00466BF6" w:rsidP="00466BF6">
      <w:pPr>
        <w:pStyle w:val="BodyText"/>
      </w:pPr>
      <w:r w:rsidRPr="009A3B1B">
        <w:t>Traditionally, p</w:t>
      </w:r>
      <w:r>
        <w:t xml:space="preserve">lanned </w:t>
      </w:r>
      <w:r w:rsidRPr="009A3B1B">
        <w:t xml:space="preserve">burns in the </w:t>
      </w:r>
      <w:r w:rsidRPr="00F26BEE">
        <w:t>general vicinity of rainforest and other riparian vegetation have been reliant on differential moisture gradients to reduce the intensity and impact of fire on all fire-sensitive vegetation types in the riparian environment. Whilst this approach has often worked satisfactorily in the past, recent experience and climate change projections (</w:t>
      </w:r>
      <w:r w:rsidR="00B70255">
        <w:t>CSIRO &amp; Bureau of Meteorology 2020</w:t>
      </w:r>
      <w:r w:rsidRPr="00F26BEE">
        <w:t>) demonstrate the increasing risk of even well-controlled planned burns entering rainforest and its buffers.</w:t>
      </w:r>
    </w:p>
    <w:p w14:paraId="3E68ACE5" w14:textId="013A2799" w:rsidR="00466BF6" w:rsidRPr="00704719" w:rsidRDefault="00466BF6" w:rsidP="00466BF6">
      <w:pPr>
        <w:pStyle w:val="BodyText"/>
      </w:pPr>
      <w:r w:rsidRPr="00F26BEE">
        <w:t>All fire in the ecotonal environment threatens to expose fire-sensitive plants to mortality and local extinction. The precise impact on</w:t>
      </w:r>
      <w:r w:rsidRPr="00F26BEE">
        <w:rPr>
          <w:i/>
          <w:iCs/>
        </w:rPr>
        <w:t xml:space="preserve"> </w:t>
      </w:r>
      <w:r w:rsidRPr="00F26BEE">
        <w:t xml:space="preserve">the </w:t>
      </w:r>
      <w:r w:rsidR="001910A1">
        <w:t>species</w:t>
      </w:r>
      <w:r w:rsidRPr="00F26BEE">
        <w:t xml:space="preserve"> is unclear since the plant is observed both in intense shade and in the protection of small canopy gaps both within the rainforest stand and sometimes extending into the surrounding ecotone. In the long term, most of these plants rarely achieve sufficient maturity to flower and set seed. In 50 years of field observation, the </w:t>
      </w:r>
      <w:r w:rsidR="001910A1">
        <w:t>species</w:t>
      </w:r>
      <w:r w:rsidRPr="00F26BEE">
        <w:t xml:space="preserve"> has been only very rarely observed in flower or fruit, a phenomenon typical of many rainforest plants across the globe, many of which</w:t>
      </w:r>
      <w:r w:rsidRPr="0043061A">
        <w:t xml:space="preserve"> exhibit mast flowering of the most mature individuals synchronously at rare and unpredictable intervals. Fire in the ecotonal environment, with the risk of fire ingress into the mature rainforest stand, ris</w:t>
      </w:r>
      <w:r w:rsidRPr="004124AD">
        <w:t>ks mortality or at le</w:t>
      </w:r>
      <w:r w:rsidRPr="00DE4CC9">
        <w:t xml:space="preserve">ast crown death of these rare mature individuals, as well as the far greater proportion of juvenile and transgressive individuals. </w:t>
      </w:r>
      <w:r>
        <w:t>Planned burning</w:t>
      </w:r>
      <w:r w:rsidRPr="00704719">
        <w:t xml:space="preserve"> acts synergistically with increasing drought stress to increase the risk of mortality or crown death of fire-sensitive plants. This hazard occurs </w:t>
      </w:r>
      <w:r>
        <w:t xml:space="preserve">across </w:t>
      </w:r>
      <w:r w:rsidRPr="00704719">
        <w:t>approximately 10-25% of</w:t>
      </w:r>
      <w:r>
        <w:t xml:space="preserve"> the </w:t>
      </w:r>
      <w:r w:rsidR="001910A1">
        <w:t>species’</w:t>
      </w:r>
      <w:r>
        <w:t xml:space="preserve"> distribution.</w:t>
      </w:r>
    </w:p>
    <w:p w14:paraId="50BDA4A2" w14:textId="77777777" w:rsidR="00466BF6" w:rsidRPr="00704719" w:rsidRDefault="00466BF6" w:rsidP="00466BF6">
      <w:pPr>
        <w:pStyle w:val="BodyText"/>
      </w:pPr>
      <w:r w:rsidRPr="00704719">
        <w:t>Current controls for this hazard include:</w:t>
      </w:r>
    </w:p>
    <w:p w14:paraId="1661B3B8" w14:textId="568A0E2D" w:rsidR="00466BF6" w:rsidRDefault="0023454E" w:rsidP="006670D2">
      <w:pPr>
        <w:pStyle w:val="PullOutBoxBullet"/>
      </w:pPr>
      <w:r w:rsidRPr="00F26BEE">
        <w:t xml:space="preserve">Values checking and strategic bushfire management planning. </w:t>
      </w:r>
      <w:r w:rsidRPr="00BB09D4">
        <w:t xml:space="preserve">The effectiveness of these measures has been evaluated as poor at mitigating risk to this species. Values checking relies on existing site records and modelled distribution, and for some </w:t>
      </w:r>
      <w:r w:rsidR="009430A5">
        <w:t>taxa</w:t>
      </w:r>
      <w:r w:rsidRPr="00BB09D4">
        <w:t xml:space="preserve"> site records are not comprehensive. Habitat modelling may also exaggerate actual distributions, particularly for poorly-know</w:t>
      </w:r>
      <w:r w:rsidR="007C2A64">
        <w:t>n</w:t>
      </w:r>
      <w:r w:rsidRPr="00BB09D4">
        <w:t xml:space="preserve"> </w:t>
      </w:r>
      <w:r w:rsidR="009430A5">
        <w:t>taxa</w:t>
      </w:r>
      <w:r w:rsidR="00466BF6" w:rsidRPr="00DB7B28">
        <w:t>.</w:t>
      </w:r>
      <w:r w:rsidR="00466BF6">
        <w:t xml:space="preserve">   </w:t>
      </w:r>
    </w:p>
    <w:p w14:paraId="3D385DA8" w14:textId="0D1DC31D"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52</w:t>
      </w:r>
      <w:r w:rsidR="000B6788" w:rsidRPr="00B6162A">
        <w:rPr>
          <w:bCs/>
          <w:noProof/>
        </w:rPr>
        <w:fldChar w:fldCharType="end"/>
      </w:r>
      <w:r w:rsidRPr="00FF310C">
        <w:t>. Bolwarra protection requirements and recommendations for planned burning</w:t>
      </w:r>
    </w:p>
    <w:tbl>
      <w:tblPr>
        <w:tblStyle w:val="TableGrid"/>
        <w:tblW w:w="0" w:type="auto"/>
        <w:tblLook w:val="04A0" w:firstRow="1" w:lastRow="0" w:firstColumn="1" w:lastColumn="0" w:noHBand="0" w:noVBand="1"/>
      </w:tblPr>
      <w:tblGrid>
        <w:gridCol w:w="2268"/>
        <w:gridCol w:w="7371"/>
      </w:tblGrid>
      <w:tr w:rsidR="00466BF6" w:rsidRPr="00867DAA" w14:paraId="66411A67"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366DB845" w14:textId="77777777" w:rsidR="00466BF6" w:rsidRPr="00704719" w:rsidRDefault="00466BF6" w:rsidP="00296E0F">
            <w:pPr>
              <w:pStyle w:val="BodyText"/>
            </w:pPr>
            <w:r w:rsidRPr="00704719">
              <w:t>Requirement</w:t>
            </w:r>
          </w:p>
        </w:tc>
        <w:tc>
          <w:tcPr>
            <w:tcW w:w="7371" w:type="dxa"/>
            <w:vAlign w:val="center"/>
          </w:tcPr>
          <w:p w14:paraId="2A42F86C"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386AD6ED" w14:textId="77777777" w:rsidTr="005611CD">
        <w:tc>
          <w:tcPr>
            <w:tcW w:w="2268" w:type="dxa"/>
          </w:tcPr>
          <w:p w14:paraId="6A9ED315" w14:textId="0A92ADAC" w:rsidR="00466BF6" w:rsidRPr="003566BD" w:rsidRDefault="00A14601" w:rsidP="005611CD">
            <w:pPr>
              <w:pStyle w:val="BodyText"/>
            </w:pPr>
            <w:r>
              <w:t>Priority management actions</w:t>
            </w:r>
          </w:p>
        </w:tc>
        <w:tc>
          <w:tcPr>
            <w:tcW w:w="7371" w:type="dxa"/>
          </w:tcPr>
          <w:p w14:paraId="6A14BB85" w14:textId="77777777" w:rsidR="00466BF6" w:rsidRPr="003566BD" w:rsidRDefault="00466BF6" w:rsidP="005611CD">
            <w:pPr>
              <w:pStyle w:val="BodyText"/>
            </w:pPr>
            <w:r w:rsidRPr="00200995">
              <w:t>Not required for this hazard based on the overall risk level of medium</w:t>
            </w:r>
            <w:r>
              <w:t>.</w:t>
            </w:r>
          </w:p>
        </w:tc>
      </w:tr>
      <w:tr w:rsidR="00466BF6" w:rsidRPr="00867DAA" w14:paraId="411A1ABB" w14:textId="77777777" w:rsidTr="005611CD">
        <w:tc>
          <w:tcPr>
            <w:tcW w:w="2268" w:type="dxa"/>
          </w:tcPr>
          <w:p w14:paraId="528C82C1" w14:textId="7EEC22C6" w:rsidR="00466BF6" w:rsidRPr="00867DAA" w:rsidRDefault="00A14601" w:rsidP="005611CD">
            <w:pPr>
              <w:pStyle w:val="BodyText"/>
            </w:pPr>
            <w:r>
              <w:t>Potential m</w:t>
            </w:r>
            <w:r w:rsidR="00466BF6" w:rsidRPr="00867DAA">
              <w:t>anagement actions</w:t>
            </w:r>
          </w:p>
        </w:tc>
        <w:tc>
          <w:tcPr>
            <w:tcW w:w="7371" w:type="dxa"/>
          </w:tcPr>
          <w:p w14:paraId="7380FF20" w14:textId="77777777" w:rsidR="00466BF6" w:rsidRDefault="00466BF6" w:rsidP="006670D2">
            <w:pPr>
              <w:pStyle w:val="PullOutBoxBullet"/>
            </w:pPr>
            <w:r w:rsidRPr="00446BC1">
              <w:t>Provid</w:t>
            </w:r>
            <w:r>
              <w:t>e</w:t>
            </w:r>
            <w:r w:rsidRPr="00446BC1">
              <w:t xml:space="preserve"> a generous exclusion zone in all </w:t>
            </w:r>
            <w:r>
              <w:t>planned</w:t>
            </w:r>
            <w:r w:rsidRPr="00446BC1">
              <w:t xml:space="preserve"> burning corridors in the vicinity of all Warm Temperate Rainforest stands</w:t>
            </w:r>
            <w:r>
              <w:t xml:space="preserve">; and </w:t>
            </w:r>
          </w:p>
          <w:p w14:paraId="36C866BC" w14:textId="77777777" w:rsidR="00466BF6" w:rsidRPr="003566BD" w:rsidRDefault="00466BF6" w:rsidP="006670D2">
            <w:pPr>
              <w:pStyle w:val="PullOutBoxBullet"/>
            </w:pPr>
            <w:r>
              <w:t>Continue</w:t>
            </w:r>
            <w:r w:rsidRPr="00446BC1">
              <w:t xml:space="preserve"> to expand and improve on rainforest mapping</w:t>
            </w:r>
            <w:r w:rsidRPr="009A3B1B">
              <w:t xml:space="preserve"> for use in planned burning.</w:t>
            </w:r>
          </w:p>
        </w:tc>
      </w:tr>
    </w:tbl>
    <w:p w14:paraId="21804902" w14:textId="77777777" w:rsidR="00466BF6" w:rsidRDefault="00466BF6" w:rsidP="007E5EBF">
      <w:pPr>
        <w:pStyle w:val="Heading3"/>
      </w:pPr>
      <w:bookmarkStart w:id="158" w:name="_Toc88724699"/>
      <w:r>
        <w:t>Forestry operations</w:t>
      </w:r>
      <w:bookmarkEnd w:id="158"/>
    </w:p>
    <w:p w14:paraId="517D99BB" w14:textId="21B4940D" w:rsidR="00466BF6" w:rsidRPr="00F42E79" w:rsidRDefault="003856B8" w:rsidP="00466BF6">
      <w:pPr>
        <w:pStyle w:val="Heading5"/>
        <w:numPr>
          <w:ilvl w:val="0"/>
          <w:numId w:val="0"/>
        </w:numPr>
        <w:ind w:left="1008" w:hanging="1008"/>
      </w:pPr>
      <w:r>
        <w:t>F</w:t>
      </w:r>
      <w:r w:rsidR="00466BF6">
        <w:t xml:space="preserve">orestry operations </w:t>
      </w:r>
    </w:p>
    <w:p w14:paraId="0F065003" w14:textId="24ED91B6" w:rsidR="00E34CB7" w:rsidRDefault="00E34CB7" w:rsidP="00E34CB7">
      <w:pPr>
        <w:pStyle w:val="BodyText"/>
      </w:pPr>
      <w:r w:rsidRPr="00FD57DB">
        <w:t xml:space="preserve">This </w:t>
      </w:r>
      <w:r w:rsidR="001910A1">
        <w:t>species</w:t>
      </w:r>
      <w:r w:rsidRPr="00FD57DB">
        <w:t xml:space="preserve"> generally occurs in association with rainforest. An analysis of VBA records showed that ~60% occurred within mapped rainforest or its buffers. In this situation, occurrences should be adequately protected from forestry operations due to the requirements of the Code. The risk to this species from forestry operations in the East Gippsland RFA region was re-assessed in light of new information about the exposure to forestry operations. The experts concluded that, where the species occurred on the margins or outside rainforest and/or its buffers, and especially where the rainforest habitat might have been burnt by bushfires or otherwise disturbed, protection could not be assumed. The experts emphasised the need for additional protections that targeted both the known occurrences and the rainforest habitat where it had been disturbed</w:t>
      </w:r>
      <w:r w:rsidR="00B4446F" w:rsidRPr="00FD57DB">
        <w:t xml:space="preserve"> and</w:t>
      </w:r>
      <w:r w:rsidRPr="00FD57DB">
        <w:t xml:space="preserve"> stressed the importance of greater survey effort to improve understanding of the distribution and abundance of this </w:t>
      </w:r>
      <w:r w:rsidR="001910A1">
        <w:t>species</w:t>
      </w:r>
      <w:r w:rsidRPr="00FD57DB">
        <w:t>.</w:t>
      </w:r>
    </w:p>
    <w:p w14:paraId="00382CAE" w14:textId="6CCD85CE" w:rsidR="00E34CB7" w:rsidRDefault="00E34CB7" w:rsidP="00E34CB7">
      <w:pPr>
        <w:pStyle w:val="BodyText"/>
      </w:pPr>
      <w:r>
        <w:t>This hazard occurs s</w:t>
      </w:r>
      <w:r w:rsidRPr="00F42E79">
        <w:t>poradic</w:t>
      </w:r>
      <w:r>
        <w:t>ally</w:t>
      </w:r>
      <w:r w:rsidRPr="00F42E79">
        <w:t xml:space="preserve"> across the range of the </w:t>
      </w:r>
      <w:r w:rsidR="001910A1">
        <w:t>species</w:t>
      </w:r>
      <w:r w:rsidRPr="00F42E79">
        <w:t xml:space="preserve"> within State </w:t>
      </w:r>
      <w:r>
        <w:t>Forest</w:t>
      </w:r>
      <w:r w:rsidRPr="00F42E79">
        <w:t xml:space="preserve"> available for timber </w:t>
      </w:r>
      <w:r w:rsidRPr="00E34CB7">
        <w:t xml:space="preserve">production with 9% of post-1970 VBA points and 25% of the </w:t>
      </w:r>
      <w:r w:rsidR="00E82E00">
        <w:t>species’</w:t>
      </w:r>
      <w:r w:rsidRPr="00E34CB7">
        <w:t xml:space="preserve"> habitat distribution model potentially available for harvesting, b</w:t>
      </w:r>
      <w:r w:rsidRPr="00FD57DB">
        <w:t>ased on the 2015 net harvest area layer</w:t>
      </w:r>
      <w:r w:rsidRPr="00E34CB7">
        <w:t xml:space="preserve">. </w:t>
      </w:r>
      <w:r w:rsidRPr="00FD57DB">
        <w:t xml:space="preserve">Using the revised operable area layer, this is reduced to 9% of the </w:t>
      </w:r>
      <w:r w:rsidR="00E82E00">
        <w:t>species’</w:t>
      </w:r>
      <w:r w:rsidRPr="00FD57DB">
        <w:t xml:space="preserve"> modelled habitat and 7% of VBA points</w:t>
      </w:r>
      <w:r w:rsidRPr="00CF3C5E">
        <w:rPr>
          <w:color w:val="7030A0"/>
        </w:rPr>
        <w:t xml:space="preserve">. </w:t>
      </w:r>
      <w:r>
        <w:t>It is important to note that the</w:t>
      </w:r>
      <w:r w:rsidRPr="00F42E79">
        <w:t xml:space="preserve"> VBA points could be biased by survey effort of rainforest in protected areas with greater access</w:t>
      </w:r>
      <w:r w:rsidR="00DE20FC">
        <w:t>.</w:t>
      </w:r>
    </w:p>
    <w:p w14:paraId="3F3B4D2D" w14:textId="77777777" w:rsidR="00466BF6" w:rsidRDefault="00466BF6" w:rsidP="00466BF6">
      <w:pPr>
        <w:pStyle w:val="BodyText"/>
      </w:pPr>
      <w:r>
        <w:t>Current controls for this hazard include:</w:t>
      </w:r>
    </w:p>
    <w:p w14:paraId="610C7D41" w14:textId="77D5AC87" w:rsidR="00466BF6" w:rsidRPr="007B5608" w:rsidRDefault="00466BF6" w:rsidP="006670D2">
      <w:pPr>
        <w:pStyle w:val="PullOutBoxBullet"/>
        <w:rPr>
          <w:rFonts w:eastAsiaTheme="minorEastAsia" w:cstheme="minorBidi"/>
          <w:sz w:val="22"/>
          <w:szCs w:val="22"/>
        </w:rPr>
      </w:pPr>
      <w:r w:rsidRPr="4F453272">
        <w:t xml:space="preserve">The </w:t>
      </w:r>
      <w:r w:rsidRPr="4F453272">
        <w:rPr>
          <w:i/>
          <w:iCs/>
        </w:rPr>
        <w:t xml:space="preserve">Code of Practice for Timber Production 2014. </w:t>
      </w:r>
      <w:r w:rsidR="00C268C5" w:rsidRPr="00915D82">
        <w:t xml:space="preserve">The effectiveness of this control for this species was rated as poor. Concerns regarding the accurate field identification of rainforest following disturbance warrants a more reliable approach to its protection. </w:t>
      </w:r>
      <w:r w:rsidR="00C268C5" w:rsidRPr="009A371D">
        <w:t xml:space="preserve">There is no species-specific prescription for this </w:t>
      </w:r>
      <w:r w:rsidR="00E82E00">
        <w:t>species</w:t>
      </w:r>
      <w:r w:rsidR="00C268C5" w:rsidRPr="009A371D">
        <w:t xml:space="preserve"> in the Code, however the Code includes general protections for waterways and rainforest including a prohibition on harvesting, the application of buffers and </w:t>
      </w:r>
      <w:r w:rsidR="004F30F6" w:rsidRPr="00C02DCA">
        <w:t>design standards for roads, crossings</w:t>
      </w:r>
      <w:r w:rsidR="00B4446F" w:rsidRPr="00C02DCA">
        <w:t>,</w:t>
      </w:r>
      <w:r w:rsidR="004F30F6" w:rsidRPr="00C02DCA">
        <w:t xml:space="preserve"> and coupe infrastructure</w:t>
      </w:r>
      <w:r w:rsidR="004F30F6" w:rsidRPr="4F453272">
        <w:t>.</w:t>
      </w:r>
      <w:r w:rsidR="004F30F6" w:rsidRPr="4F453272">
        <w:rPr>
          <w:rFonts w:eastAsiaTheme="minorHAnsi"/>
        </w:rPr>
        <w:t xml:space="preserve"> </w:t>
      </w:r>
    </w:p>
    <w:p w14:paraId="372E1283" w14:textId="0B2B65FC" w:rsidR="00466BF6" w:rsidRDefault="00466BF6"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w:t>
      </w:r>
      <w:r w:rsidRPr="4F453272">
        <w:t>satisfactory as 5</w:t>
      </w:r>
      <w:r>
        <w:t>7</w:t>
      </w:r>
      <w:r w:rsidRPr="4F453272">
        <w:t xml:space="preserve">% of the </w:t>
      </w:r>
      <w:r w:rsidR="00E82E00">
        <w:t>species</w:t>
      </w:r>
      <w:r w:rsidR="00C91800">
        <w:t>’</w:t>
      </w:r>
      <w:r w:rsidRPr="4F453272">
        <w:t xml:space="preserve"> modelled distribution and 8</w:t>
      </w:r>
      <w:r>
        <w:t>2</w:t>
      </w:r>
      <w:r w:rsidRPr="4F453272">
        <w:t>% of important populations are within the reserve system</w:t>
      </w:r>
      <w:r w:rsidR="00A53D38">
        <w:t>.</w:t>
      </w:r>
    </w:p>
    <w:p w14:paraId="7D88F4A4" w14:textId="6DA6E4B4"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53</w:t>
      </w:r>
      <w:r w:rsidR="000B6788" w:rsidRPr="00B6162A">
        <w:rPr>
          <w:bCs/>
          <w:noProof/>
        </w:rPr>
        <w:fldChar w:fldCharType="end"/>
      </w:r>
      <w:r w:rsidRPr="00FF310C">
        <w:t>. Bolwarra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466BF6" w:rsidRPr="00867DAA" w14:paraId="1501D913" w14:textId="77777777" w:rsidTr="0092071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A1E3B9B" w14:textId="77777777" w:rsidR="00466BF6" w:rsidRPr="007B5B86" w:rsidRDefault="00466BF6" w:rsidP="00296E0F">
            <w:pPr>
              <w:pStyle w:val="BodyText"/>
            </w:pPr>
            <w:r w:rsidRPr="007B5B86">
              <w:t>Requirement</w:t>
            </w:r>
          </w:p>
        </w:tc>
        <w:tc>
          <w:tcPr>
            <w:tcW w:w="7371" w:type="dxa"/>
          </w:tcPr>
          <w:p w14:paraId="44E15EE2" w14:textId="77777777" w:rsidR="00466BF6" w:rsidRPr="007B5B86"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466BF6" w:rsidRPr="00867DAA" w14:paraId="26EFDF77" w14:textId="77777777" w:rsidTr="0045799B">
        <w:tc>
          <w:tcPr>
            <w:tcW w:w="0" w:type="dxa"/>
          </w:tcPr>
          <w:p w14:paraId="02F160A2" w14:textId="77777777" w:rsidR="00466BF6" w:rsidRPr="00867DAA" w:rsidRDefault="00466BF6" w:rsidP="005611CD">
            <w:pPr>
              <w:pStyle w:val="BodyText"/>
            </w:pPr>
            <w:r w:rsidRPr="00867DAA">
              <w:t>Interim protections</w:t>
            </w:r>
          </w:p>
        </w:tc>
        <w:tc>
          <w:tcPr>
            <w:tcW w:w="0" w:type="dxa"/>
          </w:tcPr>
          <w:p w14:paraId="7E812173" w14:textId="74742401" w:rsidR="00E70602" w:rsidRPr="00E70602" w:rsidRDefault="00E70602" w:rsidP="00E70602">
            <w:pPr>
              <w:pStyle w:val="BodyText"/>
              <w:rPr>
                <w:rFonts w:eastAsia="Calibri"/>
              </w:rPr>
            </w:pPr>
            <w:r>
              <w:rPr>
                <w:rFonts w:eastAsia="Calibri"/>
              </w:rPr>
              <w:t xml:space="preserve">Within the </w:t>
            </w:r>
            <w:r w:rsidRPr="00FD57DB">
              <w:rPr>
                <w:rFonts w:eastAsia="Calibri"/>
              </w:rPr>
              <w:t>East Gippsland RFA region</w:t>
            </w:r>
            <w:r w:rsidRPr="00E70602">
              <w:rPr>
                <w:rFonts w:eastAsia="Calibri"/>
              </w:rPr>
              <w:t>, the Secretary will establish Special Protection Zone(s) to protect Warm Temperate Rainforest</w:t>
            </w:r>
            <w:r w:rsidR="007927B7">
              <w:rPr>
                <w:rFonts w:eastAsia="Calibri"/>
              </w:rPr>
              <w:t xml:space="preserve"> and Cool Temperate Rainforest</w:t>
            </w:r>
            <w:r w:rsidRPr="00E70602">
              <w:rPr>
                <w:rFonts w:eastAsia="Calibri"/>
              </w:rPr>
              <w:t xml:space="preserve"> communities including relevant buffers based on </w:t>
            </w:r>
            <w:r w:rsidR="00A25DAB">
              <w:rPr>
                <w:rFonts w:eastAsia="Calibri"/>
              </w:rPr>
              <w:t xml:space="preserve">the </w:t>
            </w:r>
            <w:r w:rsidRPr="00E70602">
              <w:rPr>
                <w:rFonts w:eastAsia="Calibri"/>
              </w:rPr>
              <w:t xml:space="preserve">Department’s corporate spatial dataset RAINFOR where the rainforest extent has been impacted by high severity fire in the last 10 years (since 2012) (DELWP 2019-20 Fire Severity: Crown Burn and High Crown Scorch). This is to provide protection for the habitat of unrecorded populations of this </w:t>
            </w:r>
            <w:r w:rsidR="00C91800">
              <w:rPr>
                <w:rFonts w:eastAsia="Calibri"/>
              </w:rPr>
              <w:t>species</w:t>
            </w:r>
            <w:r w:rsidRPr="00E70602">
              <w:rPr>
                <w:rFonts w:eastAsia="Calibri"/>
              </w:rPr>
              <w:t xml:space="preserve"> where it has been recently disturbed</w:t>
            </w:r>
            <w:r w:rsidR="0076396F">
              <w:rPr>
                <w:rFonts w:eastAsia="Calibri"/>
              </w:rPr>
              <w:t xml:space="preserve"> (See Map 4).</w:t>
            </w:r>
          </w:p>
          <w:p w14:paraId="3AED2619" w14:textId="039A5D0D" w:rsidR="00E70602" w:rsidRDefault="00E70602" w:rsidP="00E70602">
            <w:pPr>
              <w:pStyle w:val="BodyText"/>
              <w:rPr>
                <w:rFonts w:eastAsia="Calibri"/>
              </w:rPr>
            </w:pPr>
            <w:r w:rsidRPr="00FD57DB">
              <w:rPr>
                <w:rFonts w:eastAsia="Calibri"/>
              </w:rPr>
              <w:t xml:space="preserve">Within the East Gippsland RFA region, the Secretary will establish Special Management Zone(s) of 200 m radius around post-1970 VBA records of this </w:t>
            </w:r>
            <w:r w:rsidR="00C91800">
              <w:rPr>
                <w:rFonts w:eastAsia="Calibri"/>
              </w:rPr>
              <w:t>species</w:t>
            </w:r>
            <w:r w:rsidRPr="00FD57DB">
              <w:rPr>
                <w:rFonts w:eastAsia="Calibri"/>
              </w:rPr>
              <w:t xml:space="preserve"> with 100 m or better accuracy and any new records</w:t>
            </w:r>
            <w:r w:rsidR="0076396F">
              <w:rPr>
                <w:rFonts w:eastAsia="Calibri"/>
              </w:rPr>
              <w:t xml:space="preserve"> (See Map </w:t>
            </w:r>
            <w:r w:rsidR="00182011">
              <w:rPr>
                <w:rFonts w:eastAsia="Calibri"/>
              </w:rPr>
              <w:t>5a).</w:t>
            </w:r>
          </w:p>
          <w:p w14:paraId="17DD7C22" w14:textId="096649D3" w:rsidR="00466BF6" w:rsidRPr="00902D27" w:rsidRDefault="00E70602" w:rsidP="005611CD">
            <w:pPr>
              <w:pStyle w:val="BodyText"/>
              <w:rPr>
                <w:rFonts w:eastAsia="Calibri"/>
              </w:rPr>
            </w:pPr>
            <w:r>
              <w:rPr>
                <w:rFonts w:eastAsia="Calibri"/>
              </w:rPr>
              <w:t>Note that permanent protections have been recommended for two Warm Temperate Rainforest communities in East Gippsland (</w:t>
            </w:r>
            <w:r w:rsidRPr="00474773">
              <w:t xml:space="preserve">Warm Temperate Rainforest </w:t>
            </w:r>
            <w:r>
              <w:t xml:space="preserve">- </w:t>
            </w:r>
            <w:r w:rsidRPr="00474773">
              <w:t xml:space="preserve">East Gippsland Alluvial Terraces and Warm Temperate Rainforest </w:t>
            </w:r>
            <w:r>
              <w:t xml:space="preserve">- </w:t>
            </w:r>
            <w:r w:rsidRPr="00474773">
              <w:t>Far East Gippsland</w:t>
            </w:r>
            <w:r>
              <w:t>)</w:t>
            </w:r>
            <w:r>
              <w:rPr>
                <w:rFonts w:eastAsia="Calibri"/>
              </w:rPr>
              <w:t>. This measure may also provide additional protection and may overlap with areas identified above.</w:t>
            </w:r>
          </w:p>
        </w:tc>
      </w:tr>
      <w:tr w:rsidR="00575332" w:rsidRPr="00867DAA" w14:paraId="2349192F" w14:textId="77777777" w:rsidTr="0045799B">
        <w:tc>
          <w:tcPr>
            <w:tcW w:w="0" w:type="dxa"/>
          </w:tcPr>
          <w:p w14:paraId="30E6B8BF" w14:textId="554B4BA2" w:rsidR="00575332" w:rsidRPr="00867DAA" w:rsidRDefault="00575332" w:rsidP="005611CD">
            <w:pPr>
              <w:pStyle w:val="BodyText"/>
            </w:pPr>
            <w:r>
              <w:t>Priority management actions</w:t>
            </w:r>
          </w:p>
        </w:tc>
        <w:tc>
          <w:tcPr>
            <w:tcW w:w="0" w:type="dxa"/>
          </w:tcPr>
          <w:p w14:paraId="21A3E67A" w14:textId="77777777" w:rsidR="00A400D6" w:rsidRPr="00E31362" w:rsidRDefault="00A400D6" w:rsidP="006670D2">
            <w:pPr>
              <w:pStyle w:val="PullOutBoxBullet"/>
            </w:pPr>
            <w:r w:rsidRPr="00E31362">
              <w:t>Comprehensively search likely habitat and map important populations; and</w:t>
            </w:r>
          </w:p>
          <w:p w14:paraId="1E4A4BC2" w14:textId="1C82AA4C" w:rsidR="00575332" w:rsidRDefault="00A400D6" w:rsidP="006670D2">
            <w:pPr>
              <w:pStyle w:val="PullOutBoxBullet"/>
            </w:pPr>
            <w:r w:rsidRPr="00E31362">
              <w:t>Establish monitoring sites and collect baseline data.</w:t>
            </w:r>
          </w:p>
        </w:tc>
      </w:tr>
      <w:tr w:rsidR="00466BF6" w:rsidRPr="00867DAA" w14:paraId="1D15E2C8" w14:textId="77777777" w:rsidTr="0045799B">
        <w:tc>
          <w:tcPr>
            <w:tcW w:w="0" w:type="dxa"/>
          </w:tcPr>
          <w:p w14:paraId="5B5CAB02" w14:textId="77777777" w:rsidR="00466BF6" w:rsidRPr="00867DAA" w:rsidRDefault="00466BF6" w:rsidP="005611CD">
            <w:pPr>
              <w:pStyle w:val="BodyText"/>
            </w:pPr>
            <w:r w:rsidRPr="00867DAA">
              <w:t>Permanent protections</w:t>
            </w:r>
          </w:p>
        </w:tc>
        <w:tc>
          <w:tcPr>
            <w:tcW w:w="0" w:type="dxa"/>
          </w:tcPr>
          <w:p w14:paraId="0D19426C" w14:textId="77777777" w:rsidR="00466BF6" w:rsidRPr="00867DAA" w:rsidRDefault="00466BF6" w:rsidP="005611CD">
            <w:pPr>
              <w:pStyle w:val="BodyText"/>
            </w:pPr>
            <w:r>
              <w:t>Additional permanent protections for the rainforest habitat of this species are likely to be required in the longer-term.</w:t>
            </w:r>
          </w:p>
        </w:tc>
      </w:tr>
      <w:tr w:rsidR="00466BF6" w:rsidRPr="00867DAA" w14:paraId="5F4A2CB2" w14:textId="77777777" w:rsidTr="0045799B">
        <w:tc>
          <w:tcPr>
            <w:tcW w:w="0" w:type="dxa"/>
          </w:tcPr>
          <w:p w14:paraId="6BA9D950" w14:textId="1F3660DF" w:rsidR="00466BF6" w:rsidRPr="00867DAA" w:rsidRDefault="00A14601" w:rsidP="005611CD">
            <w:pPr>
              <w:pStyle w:val="BodyText"/>
            </w:pPr>
            <w:r>
              <w:t>Potent</w:t>
            </w:r>
            <w:r w:rsidR="00F50412">
              <w:t>ial m</w:t>
            </w:r>
            <w:r w:rsidR="00466BF6" w:rsidRPr="00867DAA">
              <w:t>anagement actions</w:t>
            </w:r>
          </w:p>
        </w:tc>
        <w:tc>
          <w:tcPr>
            <w:tcW w:w="0" w:type="dxa"/>
          </w:tcPr>
          <w:p w14:paraId="6E02B6EA" w14:textId="71D267FA" w:rsidR="00466BF6" w:rsidRPr="00F26BEE" w:rsidRDefault="00466BF6" w:rsidP="006670D2">
            <w:pPr>
              <w:pStyle w:val="PullOutBoxBullet"/>
            </w:pPr>
            <w:r w:rsidRPr="00F26BEE">
              <w:t xml:space="preserve">Improve information </w:t>
            </w:r>
            <w:r w:rsidR="00610D6C">
              <w:t xml:space="preserve">on </w:t>
            </w:r>
            <w:r w:rsidRPr="00F26BEE">
              <w:t xml:space="preserve">the location of important populations in </w:t>
            </w:r>
            <w:r w:rsidR="007276C8" w:rsidRPr="00F26BEE">
              <w:t>State Forest</w:t>
            </w:r>
            <w:r w:rsidRPr="00F26BEE">
              <w:t xml:space="preserve">; </w:t>
            </w:r>
          </w:p>
          <w:p w14:paraId="79301BBA" w14:textId="77777777" w:rsidR="00466BF6" w:rsidRPr="00F26BEE" w:rsidRDefault="00466BF6" w:rsidP="006670D2">
            <w:pPr>
              <w:pStyle w:val="PullOutBoxBullet"/>
            </w:pPr>
            <w:r w:rsidRPr="00F26BEE">
              <w:t xml:space="preserve">Monitor population size and health of individuals, and assess threats; </w:t>
            </w:r>
          </w:p>
          <w:p w14:paraId="45A49DFD" w14:textId="77777777" w:rsidR="00466BF6" w:rsidRPr="00F26BEE" w:rsidRDefault="00466BF6" w:rsidP="006670D2">
            <w:pPr>
              <w:pStyle w:val="PullOutBoxBullet"/>
            </w:pPr>
            <w:r w:rsidRPr="00F26BEE">
              <w:t xml:space="preserve">Investigate response to disturbance; and </w:t>
            </w:r>
          </w:p>
          <w:p w14:paraId="574DD0A5" w14:textId="77777777" w:rsidR="00466BF6" w:rsidRPr="002546F4" w:rsidRDefault="00466BF6" w:rsidP="006670D2">
            <w:pPr>
              <w:pStyle w:val="PullOutBoxBullet"/>
            </w:pPr>
            <w:r w:rsidRPr="00F26BEE">
              <w:t>Provide training and support to field staff in rainforest recognition and management.</w:t>
            </w:r>
          </w:p>
        </w:tc>
      </w:tr>
    </w:tbl>
    <w:p w14:paraId="3BA191F0" w14:textId="77777777" w:rsidR="00466BF6" w:rsidRDefault="00466BF6" w:rsidP="007E5EBF">
      <w:pPr>
        <w:pStyle w:val="Heading3"/>
      </w:pPr>
      <w:bookmarkStart w:id="159" w:name="_Toc88724700"/>
      <w:bookmarkStart w:id="160" w:name="_Toc88724701"/>
      <w:bookmarkEnd w:id="159"/>
      <w:r>
        <w:t>Invasive Species</w:t>
      </w:r>
      <w:bookmarkEnd w:id="160"/>
    </w:p>
    <w:p w14:paraId="406885E5" w14:textId="77777777" w:rsidR="00466BF6" w:rsidRDefault="00466BF6" w:rsidP="00466BF6">
      <w:pPr>
        <w:pStyle w:val="Heading5"/>
        <w:numPr>
          <w:ilvl w:val="0"/>
          <w:numId w:val="0"/>
        </w:numPr>
        <w:ind w:left="1008" w:hanging="1008"/>
      </w:pPr>
      <w:r>
        <w:t>Invasive vertebrate (deer)</w:t>
      </w:r>
    </w:p>
    <w:p w14:paraId="04E576A4" w14:textId="39EC771F" w:rsidR="00466BF6" w:rsidRPr="00BC012D" w:rsidRDefault="00466BF6" w:rsidP="00466BF6">
      <w:pPr>
        <w:pStyle w:val="BodyText"/>
      </w:pPr>
      <w:r w:rsidRPr="00F26BEE">
        <w:t>Sambar</w:t>
      </w:r>
      <w:r w:rsidR="002315FE">
        <w:t xml:space="preserve"> </w:t>
      </w:r>
      <w:r w:rsidR="00343A53">
        <w:t>D</w:t>
      </w:r>
      <w:r w:rsidR="002315FE">
        <w:t>eer</w:t>
      </w:r>
      <w:r w:rsidRPr="00F26BEE">
        <w:t xml:space="preserve"> have been increasing in population across the East Gippsland region in the last decade (Watter et al. 2020), infiltrating all districts and forest types, often observed congregating in damper habitats including Warm Temperate Rainforest. Although it is unclear whether Sambar actively target the </w:t>
      </w:r>
      <w:r w:rsidR="00C91800">
        <w:t>species</w:t>
      </w:r>
      <w:r w:rsidRPr="00F26BEE">
        <w:t>, they have been documented in lowland and coastal rainforest communities, targeting a wide range of tree and shrub taxa such as Yellow</w:t>
      </w:r>
      <w:r w:rsidR="00836B9A">
        <w:t>-</w:t>
      </w:r>
      <w:r w:rsidRPr="00F26BEE">
        <w:t>wood (</w:t>
      </w:r>
      <w:r w:rsidRPr="00F26BEE">
        <w:rPr>
          <w:i/>
          <w:iCs/>
        </w:rPr>
        <w:t>Acronychia oblongifolia</w:t>
      </w:r>
      <w:r w:rsidRPr="00F26BEE">
        <w:t>) which has similar foliage texture to the Bolwarra. Numerous taxa have been documented</w:t>
      </w:r>
      <w:r>
        <w:t xml:space="preserve"> as being targeted by Sambar in Victoria, many of which are confined to rainforest. </w:t>
      </w:r>
    </w:p>
    <w:p w14:paraId="720519E3" w14:textId="5A56C26E" w:rsidR="00466BF6" w:rsidRPr="001F51C9" w:rsidRDefault="00466BF6" w:rsidP="00466BF6">
      <w:pPr>
        <w:pStyle w:val="BodyText"/>
      </w:pPr>
      <w:r w:rsidRPr="00BC012D">
        <w:t>Sambar have the capacity to eliminate seedlings</w:t>
      </w:r>
      <w:r>
        <w:t xml:space="preserve"> and</w:t>
      </w:r>
      <w:r w:rsidRPr="00BC012D">
        <w:t xml:space="preserve"> juveniles by targeted browsing, </w:t>
      </w:r>
      <w:r w:rsidR="007276C8" w:rsidRPr="00BC012D">
        <w:t>ringbarking</w:t>
      </w:r>
      <w:r>
        <w:t>, trampling</w:t>
      </w:r>
      <w:r w:rsidR="00F03800">
        <w:t>,</w:t>
      </w:r>
      <w:r>
        <w:t xml:space="preserve"> and wallowing,</w:t>
      </w:r>
      <w:r w:rsidRPr="00BC012D">
        <w:t xml:space="preserve"> and death of saplings and adult individuals by targeted antler rubbing</w:t>
      </w:r>
      <w:r>
        <w:t xml:space="preserve">. The </w:t>
      </w:r>
      <w:r w:rsidR="00C91800">
        <w:t>species</w:t>
      </w:r>
      <w:r w:rsidRPr="00BC012D">
        <w:t xml:space="preserve"> is particularly susceptible to antler rubbin</w:t>
      </w:r>
      <w:r>
        <w:t xml:space="preserve">g, and deer have been </w:t>
      </w:r>
      <w:r w:rsidRPr="00BC012D">
        <w:t xml:space="preserve">observed dragging sub-canopy crowns to the ground using their antlers </w:t>
      </w:r>
      <w:r w:rsidR="0041027F" w:rsidRPr="00BC012D">
        <w:t>to</w:t>
      </w:r>
      <w:r w:rsidRPr="00BC012D">
        <w:t xml:space="preserve"> consume the foliage of trees, shrubs and the numerous vines which typically entangle the understorey vegetation. </w:t>
      </w:r>
      <w:r>
        <w:t xml:space="preserve">The </w:t>
      </w:r>
      <w:r w:rsidR="00C91800">
        <w:t>species</w:t>
      </w:r>
      <w:r w:rsidRPr="00BC012D">
        <w:t xml:space="preserve"> has an almost unique architecture among Victorian trees and shrubs of being both an upright self-supporting plant and having semi-scandent branches often supported by surrounding vegetation. These scandent branches are particularly susceptible to being dragged down and snapped by Sambar even if they are not intentionally targeted for browsing. </w:t>
      </w:r>
      <w:r w:rsidRPr="00AF30EC">
        <w:t>Sambar often target</w:t>
      </w:r>
      <w:r w:rsidRPr="00A62663">
        <w:t xml:space="preserve"> </w:t>
      </w:r>
      <w:r w:rsidRPr="00AF30EC">
        <w:t xml:space="preserve">regenerating </w:t>
      </w:r>
      <w:r w:rsidR="00FF6B44">
        <w:t>timber harvesting</w:t>
      </w:r>
      <w:r w:rsidRPr="00AF30EC">
        <w:t xml:space="preserve"> coupes</w:t>
      </w:r>
      <w:r>
        <w:t xml:space="preserve"> and</w:t>
      </w:r>
      <w:r w:rsidRPr="00AF30EC">
        <w:t xml:space="preserve"> stands following</w:t>
      </w:r>
      <w:r>
        <w:t xml:space="preserve"> bushfire and</w:t>
      </w:r>
      <w:r w:rsidRPr="00AF30EC">
        <w:t xml:space="preserve"> </w:t>
      </w:r>
      <w:r>
        <w:t>planned</w:t>
      </w:r>
      <w:r w:rsidRPr="00AF30EC">
        <w:t xml:space="preserve"> burns</w:t>
      </w:r>
      <w:r>
        <w:t>,</w:t>
      </w:r>
      <w:r w:rsidRPr="00AF30EC">
        <w:t xml:space="preserve"> resulting in recruitment failure of seed recruits or resprouting individuals at their most vulnerable stage of development. </w:t>
      </w:r>
      <w:r>
        <w:t xml:space="preserve">This hazard extends across all the </w:t>
      </w:r>
      <w:r w:rsidR="00C91800">
        <w:t>species’</w:t>
      </w:r>
      <w:r>
        <w:t xml:space="preserve"> populations.</w:t>
      </w:r>
      <w:r w:rsidRPr="00BC012D">
        <w:t xml:space="preserve">  </w:t>
      </w:r>
    </w:p>
    <w:p w14:paraId="48BF0F07" w14:textId="77777777" w:rsidR="00466BF6" w:rsidRPr="00704719" w:rsidRDefault="00466BF6" w:rsidP="00466BF6">
      <w:pPr>
        <w:pStyle w:val="BodyText"/>
      </w:pPr>
      <w:r w:rsidRPr="00704719">
        <w:t>Current controls for this hazard include:</w:t>
      </w:r>
    </w:p>
    <w:p w14:paraId="64B0593B" w14:textId="031BB107" w:rsidR="00466BF6" w:rsidRPr="00C54770" w:rsidRDefault="00466BF6" w:rsidP="006670D2">
      <w:pPr>
        <w:pStyle w:val="PullOutBoxBullet"/>
      </w:pPr>
      <w:r w:rsidRPr="00D95A46">
        <w:rPr>
          <w:rStyle w:val="normaltextrun"/>
        </w:rPr>
        <w:t xml:space="preserve">Targeted deer control. </w:t>
      </w:r>
      <w:r w:rsidRPr="00CB51DA">
        <w:rPr>
          <w:rStyle w:val="normaltextrun"/>
        </w:rPr>
        <w:t>The effectiveness of this control for this species has been evaluated as poor</w:t>
      </w:r>
      <w:r>
        <w:rPr>
          <w:rStyle w:val="normaltextrun"/>
        </w:rPr>
        <w:t xml:space="preserve"> </w:t>
      </w:r>
      <w:r w:rsidRPr="00D95A46">
        <w:rPr>
          <w:rStyle w:val="normaltextrun"/>
        </w:rPr>
        <w:t xml:space="preserve">because targeted culling is patchy, expensive, and </w:t>
      </w:r>
      <w:r w:rsidRPr="009C652E">
        <w:rPr>
          <w:rStyle w:val="normaltextrun"/>
        </w:rPr>
        <w:t>challenging</w:t>
      </w:r>
      <w:r w:rsidRPr="00D95A46">
        <w:rPr>
          <w:rStyle w:val="normaltextrun"/>
        </w:rPr>
        <w:t xml:space="preserve"> to target in remote forest areas. Sambar deer occur across a large area so there is a reservoir of other areas to recolonise from.</w:t>
      </w:r>
      <w:r w:rsidRPr="00D95A46">
        <w:rPr>
          <w:rStyle w:val="eop"/>
        </w:rPr>
        <w:t> </w:t>
      </w:r>
      <w:r w:rsidR="00EE510B" w:rsidRPr="00F05594">
        <w:t xml:space="preserve">It is important to note, however, that </w:t>
      </w:r>
      <w:r w:rsidR="00EE510B" w:rsidRPr="00F05594">
        <w:rPr>
          <w:rStyle w:val="eop"/>
          <w:rFonts w:ascii="Arial" w:hAnsi="Arial"/>
          <w:color w:val="363534"/>
        </w:rPr>
        <w:t xml:space="preserve">recent deer control programs carried out throughout East Gippsland show significant advances in ground-based shooting by using thermal imaging, after-dark hunting and in some cases the use of silencers. Targeted control programs should not be considered inappropriate if program funding is sustainable and the target flora species for protection face significant threat from deer activity. </w:t>
      </w:r>
    </w:p>
    <w:p w14:paraId="5C5C1688" w14:textId="113DD7D0"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54</w:t>
      </w:r>
      <w:r w:rsidR="000B6788" w:rsidRPr="00B6162A">
        <w:rPr>
          <w:bCs/>
          <w:noProof/>
        </w:rPr>
        <w:fldChar w:fldCharType="end"/>
      </w:r>
      <w:r w:rsidRPr="00FF310C">
        <w:t>. Bolwarra protection requirements and recommendations for invasive vertebrate (deer)</w:t>
      </w:r>
    </w:p>
    <w:tbl>
      <w:tblPr>
        <w:tblStyle w:val="TableGrid"/>
        <w:tblW w:w="0" w:type="auto"/>
        <w:tblLayout w:type="fixed"/>
        <w:tblLook w:val="04A0" w:firstRow="1" w:lastRow="0" w:firstColumn="1" w:lastColumn="0" w:noHBand="0" w:noVBand="1"/>
      </w:tblPr>
      <w:tblGrid>
        <w:gridCol w:w="2268"/>
        <w:gridCol w:w="7371"/>
      </w:tblGrid>
      <w:tr w:rsidR="00E14348" w:rsidRPr="00867DAA" w14:paraId="484206F8" w14:textId="77777777" w:rsidTr="00E1434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53D94109" w14:textId="77777777" w:rsidR="00466BF6" w:rsidRPr="007B5B86" w:rsidRDefault="00466BF6" w:rsidP="00296E0F">
            <w:pPr>
              <w:pStyle w:val="BodyText"/>
            </w:pPr>
            <w:r w:rsidRPr="007B5B86">
              <w:t>Requirement</w:t>
            </w:r>
          </w:p>
        </w:tc>
        <w:tc>
          <w:tcPr>
            <w:tcW w:w="7371" w:type="dxa"/>
            <w:vAlign w:val="center"/>
          </w:tcPr>
          <w:p w14:paraId="50A0EA1C" w14:textId="77777777" w:rsidR="00466BF6" w:rsidRPr="007B5B86"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466BF6" w:rsidRPr="00867DAA" w14:paraId="54DD6699" w14:textId="77777777" w:rsidTr="0045799B">
        <w:tc>
          <w:tcPr>
            <w:tcW w:w="0" w:type="dxa"/>
          </w:tcPr>
          <w:p w14:paraId="281226EC" w14:textId="1C5ED8E0" w:rsidR="00466BF6" w:rsidRPr="00867DAA" w:rsidRDefault="00F50412" w:rsidP="005611CD">
            <w:pPr>
              <w:pStyle w:val="BodyText"/>
            </w:pPr>
            <w:r>
              <w:t>Priority management actions</w:t>
            </w:r>
          </w:p>
        </w:tc>
        <w:tc>
          <w:tcPr>
            <w:tcW w:w="0" w:type="dxa"/>
          </w:tcPr>
          <w:p w14:paraId="5B6BE281" w14:textId="77777777" w:rsidR="00466BF6" w:rsidRPr="00867DAA" w:rsidRDefault="00466BF6" w:rsidP="005611CD">
            <w:pPr>
              <w:pStyle w:val="BodyText"/>
            </w:pPr>
            <w:r>
              <w:t>Not required for this hazard.</w:t>
            </w:r>
          </w:p>
        </w:tc>
      </w:tr>
      <w:tr w:rsidR="00466BF6" w:rsidRPr="00867DAA" w14:paraId="484184B1" w14:textId="77777777" w:rsidTr="0045799B">
        <w:tc>
          <w:tcPr>
            <w:tcW w:w="0" w:type="dxa"/>
          </w:tcPr>
          <w:p w14:paraId="166CC1F5" w14:textId="22232F8F" w:rsidR="00466BF6" w:rsidRPr="00867DAA" w:rsidRDefault="00F50412" w:rsidP="005611CD">
            <w:pPr>
              <w:pStyle w:val="BodyText"/>
            </w:pPr>
            <w:r>
              <w:t>Potential m</w:t>
            </w:r>
            <w:r w:rsidR="00466BF6" w:rsidRPr="00867DAA">
              <w:t>anagement actions</w:t>
            </w:r>
          </w:p>
        </w:tc>
        <w:tc>
          <w:tcPr>
            <w:tcW w:w="0" w:type="dxa"/>
          </w:tcPr>
          <w:p w14:paraId="65599B2F" w14:textId="3AE44D4D" w:rsidR="00466BF6" w:rsidRDefault="00466BF6" w:rsidP="006670D2">
            <w:pPr>
              <w:pStyle w:val="PullOutBoxBullet"/>
            </w:pPr>
            <w:r>
              <w:t>Monitor</w:t>
            </w:r>
            <w:r w:rsidRPr="006F1079">
              <w:t xml:space="preserve"> representative populations following </w:t>
            </w:r>
            <w:r w:rsidR="00FF6B44">
              <w:t>timber harvesting</w:t>
            </w:r>
            <w:r w:rsidRPr="006F1079">
              <w:t xml:space="preserve">, </w:t>
            </w:r>
            <w:r>
              <w:t>planned</w:t>
            </w:r>
            <w:r w:rsidRPr="006F1079">
              <w:t xml:space="preserve"> burning and </w:t>
            </w:r>
            <w:r>
              <w:t>bush</w:t>
            </w:r>
            <w:r w:rsidRPr="006F1079">
              <w:t xml:space="preserve">fire, as well as in healthy mature stands, to see evidence of browsing; and </w:t>
            </w:r>
          </w:p>
          <w:p w14:paraId="39A34958" w14:textId="77777777" w:rsidR="00466BF6" w:rsidRPr="00867DAA" w:rsidRDefault="00466BF6" w:rsidP="006670D2">
            <w:pPr>
              <w:pStyle w:val="PullOutBoxBullet"/>
            </w:pPr>
            <w:r>
              <w:t>T</w:t>
            </w:r>
            <w:r w:rsidRPr="006F1079">
              <w:t>arget Sambar for control particularly after major decline events such as fire or extremely severe drought.</w:t>
            </w:r>
          </w:p>
        </w:tc>
      </w:tr>
    </w:tbl>
    <w:p w14:paraId="148C5E55" w14:textId="12AB7128" w:rsidR="00466BF6" w:rsidRPr="004523C2" w:rsidRDefault="00466BF6" w:rsidP="00FB5A2B">
      <w:pPr>
        <w:pStyle w:val="Heading2"/>
        <w:ind w:left="0"/>
      </w:pPr>
      <w:r>
        <w:br w:type="page"/>
      </w:r>
      <w:bookmarkStart w:id="161" w:name="_Toc95233343"/>
      <w:bookmarkStart w:id="162" w:name="_Toc113271034"/>
      <w:r>
        <w:t>Brackish Plains Buttercup </w:t>
      </w:r>
      <w:r w:rsidRPr="60664A41">
        <w:rPr>
          <w:i/>
          <w:iCs/>
        </w:rPr>
        <w:t>(Ranunculus diminutus)</w:t>
      </w:r>
      <w:bookmarkEnd w:id="152"/>
      <w:bookmarkEnd w:id="153"/>
      <w:bookmarkEnd w:id="161"/>
      <w:bookmarkEnd w:id="162"/>
      <w:r>
        <w:t> </w:t>
      </w:r>
    </w:p>
    <w:p w14:paraId="680BA929" w14:textId="10FB0575" w:rsidR="00466BF6" w:rsidRPr="003E1225" w:rsidRDefault="00466BF6" w:rsidP="00466BF6">
      <w:pPr>
        <w:pStyle w:val="BodyText"/>
        <w:rPr>
          <w:rFonts w:ascii="Arial" w:hAnsi="Arial"/>
          <w:color w:val="363534"/>
        </w:rPr>
      </w:pPr>
      <w:r>
        <w:t xml:space="preserve">The Brackish Plains Buttercup was listed as Endangered in Victoria under the FFG Act in May 2021. The </w:t>
      </w:r>
      <w:r w:rsidR="00C91800">
        <w:t>species</w:t>
      </w:r>
      <w:r>
        <w:t xml:space="preserve"> has modelled habitat in the West (95% modelled habitat), Central Highlands (2% of modelled habitat), Gippsland (1% of modelled habitat) and North East (1% of modelled habitat) RFA regions, with 1% occurring in non-RFA regions.</w:t>
      </w:r>
      <w:r w:rsidRPr="003735DE">
        <w:rPr>
          <w:rStyle w:val="BodyTextChar"/>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 </w:t>
      </w:r>
    </w:p>
    <w:p w14:paraId="22657246" w14:textId="77777777" w:rsidR="00466BF6" w:rsidRDefault="00466BF6" w:rsidP="007E5EBF">
      <w:pPr>
        <w:pStyle w:val="Heading3"/>
      </w:pPr>
      <w:bookmarkStart w:id="163" w:name="_Toc88725165"/>
      <w:r>
        <w:t>Risk Assessment</w:t>
      </w:r>
      <w:bookmarkEnd w:id="163"/>
    </w:p>
    <w:p w14:paraId="28DD9BE2" w14:textId="4A1A6F8D"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55</w:t>
      </w:r>
      <w:r w:rsidR="000B6788" w:rsidRPr="00B6162A">
        <w:rPr>
          <w:bCs/>
          <w:noProof/>
        </w:rPr>
        <w:fldChar w:fldCharType="end"/>
      </w:r>
      <w:r w:rsidRPr="00FF310C">
        <w:t>. Brackish Plains Buttercup risk ratings in the Gippsland, North East and West RFA regions:  </w:t>
      </w:r>
    </w:p>
    <w:tbl>
      <w:tblPr>
        <w:tblStyle w:val="TableGrid"/>
        <w:tblW w:w="9639" w:type="dxa"/>
        <w:tblLook w:val="04A0" w:firstRow="1" w:lastRow="0" w:firstColumn="1" w:lastColumn="0" w:noHBand="0" w:noVBand="1"/>
      </w:tblPr>
      <w:tblGrid>
        <w:gridCol w:w="1937"/>
        <w:gridCol w:w="1920"/>
        <w:gridCol w:w="1929"/>
        <w:gridCol w:w="1929"/>
        <w:gridCol w:w="1924"/>
      </w:tblGrid>
      <w:tr w:rsidR="00466BF6" w14:paraId="51E96AE9" w14:textId="77777777" w:rsidTr="007013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56" w:type="dxa"/>
            <w:vAlign w:val="center"/>
          </w:tcPr>
          <w:p w14:paraId="58B1E645" w14:textId="77777777" w:rsidR="00466BF6" w:rsidRPr="00643008" w:rsidRDefault="00466BF6" w:rsidP="006670D2">
            <w:pPr>
              <w:pStyle w:val="CaptionImageorFigure"/>
            </w:pPr>
          </w:p>
        </w:tc>
        <w:tc>
          <w:tcPr>
            <w:tcW w:w="1956" w:type="dxa"/>
            <w:vAlign w:val="center"/>
          </w:tcPr>
          <w:p w14:paraId="3BDBD59C"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w:t>
            </w:r>
          </w:p>
        </w:tc>
        <w:tc>
          <w:tcPr>
            <w:tcW w:w="1956" w:type="dxa"/>
            <w:vAlign w:val="center"/>
          </w:tcPr>
          <w:p w14:paraId="7B9E94C4" w14:textId="77777777" w:rsidR="00466BF6" w:rsidRPr="00643008"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c>
          <w:tcPr>
            <w:tcW w:w="1956" w:type="dxa"/>
            <w:vAlign w:val="center"/>
          </w:tcPr>
          <w:p w14:paraId="0DBE0DE8"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Agriculture</w:t>
            </w:r>
          </w:p>
        </w:tc>
        <w:tc>
          <w:tcPr>
            <w:tcW w:w="1957" w:type="dxa"/>
            <w:vAlign w:val="center"/>
          </w:tcPr>
          <w:p w14:paraId="4F282392"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plant (weeds)</w:t>
            </w:r>
          </w:p>
        </w:tc>
      </w:tr>
      <w:tr w:rsidR="00466BF6" w14:paraId="55F22549" w14:textId="77777777" w:rsidTr="007013BC">
        <w:tc>
          <w:tcPr>
            <w:tcW w:w="1956" w:type="dxa"/>
            <w:vAlign w:val="center"/>
          </w:tcPr>
          <w:p w14:paraId="02B74271" w14:textId="77777777" w:rsidR="00466BF6" w:rsidRPr="0053677B" w:rsidRDefault="00466BF6" w:rsidP="00655D1F">
            <w:pPr>
              <w:pStyle w:val="BodyText"/>
              <w:jc w:val="center"/>
            </w:pPr>
            <w:r w:rsidRPr="0053677B">
              <w:t>Consequence</w:t>
            </w:r>
          </w:p>
        </w:tc>
        <w:tc>
          <w:tcPr>
            <w:tcW w:w="1956" w:type="dxa"/>
            <w:vAlign w:val="center"/>
          </w:tcPr>
          <w:p w14:paraId="4B7C9BB4" w14:textId="77777777" w:rsidR="00466BF6" w:rsidRDefault="00466BF6" w:rsidP="00655D1F">
            <w:pPr>
              <w:pStyle w:val="BodyText"/>
              <w:jc w:val="center"/>
            </w:pPr>
            <w:r>
              <w:t>Major</w:t>
            </w:r>
          </w:p>
        </w:tc>
        <w:tc>
          <w:tcPr>
            <w:tcW w:w="1956" w:type="dxa"/>
            <w:vAlign w:val="center"/>
          </w:tcPr>
          <w:p w14:paraId="066E1A25" w14:textId="77777777" w:rsidR="00466BF6" w:rsidRDefault="00466BF6" w:rsidP="00655D1F">
            <w:pPr>
              <w:pStyle w:val="BodyText"/>
              <w:jc w:val="center"/>
            </w:pPr>
            <w:r>
              <w:t>Minor</w:t>
            </w:r>
          </w:p>
        </w:tc>
        <w:tc>
          <w:tcPr>
            <w:tcW w:w="1956" w:type="dxa"/>
            <w:vAlign w:val="center"/>
          </w:tcPr>
          <w:p w14:paraId="48EDA813" w14:textId="77777777" w:rsidR="00466BF6" w:rsidRDefault="00466BF6" w:rsidP="00655D1F">
            <w:pPr>
              <w:pStyle w:val="BodyText"/>
              <w:jc w:val="center"/>
            </w:pPr>
            <w:r>
              <w:t>Major</w:t>
            </w:r>
          </w:p>
        </w:tc>
        <w:tc>
          <w:tcPr>
            <w:tcW w:w="1957" w:type="dxa"/>
            <w:vAlign w:val="center"/>
          </w:tcPr>
          <w:p w14:paraId="6055C84D" w14:textId="77777777" w:rsidR="00466BF6" w:rsidRDefault="00466BF6" w:rsidP="00655D1F">
            <w:pPr>
              <w:pStyle w:val="BodyText"/>
              <w:jc w:val="center"/>
            </w:pPr>
            <w:r>
              <w:t>Extreme</w:t>
            </w:r>
          </w:p>
        </w:tc>
      </w:tr>
      <w:tr w:rsidR="00466BF6" w14:paraId="14B143F2" w14:textId="77777777" w:rsidTr="007013BC">
        <w:tc>
          <w:tcPr>
            <w:tcW w:w="1956" w:type="dxa"/>
            <w:vAlign w:val="center"/>
          </w:tcPr>
          <w:p w14:paraId="458D5043" w14:textId="77777777" w:rsidR="00466BF6" w:rsidRPr="0053677B" w:rsidRDefault="00466BF6" w:rsidP="00655D1F">
            <w:pPr>
              <w:pStyle w:val="BodyText"/>
              <w:jc w:val="center"/>
            </w:pPr>
            <w:r w:rsidRPr="0053677B">
              <w:t>Likelihood</w:t>
            </w:r>
          </w:p>
        </w:tc>
        <w:tc>
          <w:tcPr>
            <w:tcW w:w="1956" w:type="dxa"/>
            <w:vAlign w:val="center"/>
          </w:tcPr>
          <w:p w14:paraId="594D0603" w14:textId="77777777" w:rsidR="00466BF6" w:rsidRDefault="00466BF6" w:rsidP="00655D1F">
            <w:pPr>
              <w:pStyle w:val="BodyText"/>
              <w:jc w:val="center"/>
            </w:pPr>
            <w:r>
              <w:t>Likely</w:t>
            </w:r>
          </w:p>
        </w:tc>
        <w:tc>
          <w:tcPr>
            <w:tcW w:w="1956" w:type="dxa"/>
            <w:vAlign w:val="center"/>
          </w:tcPr>
          <w:p w14:paraId="7AEC7B9A" w14:textId="77777777" w:rsidR="00466BF6" w:rsidRDefault="00466BF6" w:rsidP="00655D1F">
            <w:pPr>
              <w:pStyle w:val="BodyText"/>
              <w:jc w:val="center"/>
            </w:pPr>
            <w:r>
              <w:t>Possible</w:t>
            </w:r>
          </w:p>
        </w:tc>
        <w:tc>
          <w:tcPr>
            <w:tcW w:w="1956" w:type="dxa"/>
            <w:vAlign w:val="center"/>
          </w:tcPr>
          <w:p w14:paraId="5D4EACF8" w14:textId="77777777" w:rsidR="00466BF6" w:rsidRDefault="00466BF6" w:rsidP="00655D1F">
            <w:pPr>
              <w:pStyle w:val="BodyText"/>
              <w:jc w:val="center"/>
            </w:pPr>
            <w:r>
              <w:t>Likely</w:t>
            </w:r>
          </w:p>
        </w:tc>
        <w:tc>
          <w:tcPr>
            <w:tcW w:w="1957" w:type="dxa"/>
            <w:vAlign w:val="center"/>
          </w:tcPr>
          <w:p w14:paraId="2E4E80D5" w14:textId="77777777" w:rsidR="00466BF6" w:rsidRDefault="00466BF6" w:rsidP="00655D1F">
            <w:pPr>
              <w:pStyle w:val="BodyText"/>
              <w:jc w:val="center"/>
            </w:pPr>
            <w:r>
              <w:t>Almost certain</w:t>
            </w:r>
          </w:p>
        </w:tc>
      </w:tr>
      <w:tr w:rsidR="00466BF6" w14:paraId="23178817" w14:textId="77777777" w:rsidTr="007013BC">
        <w:tc>
          <w:tcPr>
            <w:tcW w:w="1956" w:type="dxa"/>
            <w:vAlign w:val="center"/>
          </w:tcPr>
          <w:p w14:paraId="6F886936" w14:textId="77777777" w:rsidR="00466BF6" w:rsidRPr="0053677B" w:rsidRDefault="00466BF6" w:rsidP="00655D1F">
            <w:pPr>
              <w:pStyle w:val="BodyText"/>
              <w:jc w:val="center"/>
            </w:pPr>
            <w:r w:rsidRPr="0053677B">
              <w:t>Overall risk rating</w:t>
            </w:r>
          </w:p>
        </w:tc>
        <w:tc>
          <w:tcPr>
            <w:tcW w:w="1956" w:type="dxa"/>
            <w:shd w:val="clear" w:color="auto" w:fill="FF0000"/>
            <w:vAlign w:val="center"/>
          </w:tcPr>
          <w:p w14:paraId="5F3935B3" w14:textId="77777777" w:rsidR="00466BF6" w:rsidRDefault="00466BF6" w:rsidP="00655D1F">
            <w:pPr>
              <w:pStyle w:val="BodyText"/>
              <w:jc w:val="center"/>
            </w:pPr>
            <w:r>
              <w:t>High</w:t>
            </w:r>
          </w:p>
        </w:tc>
        <w:tc>
          <w:tcPr>
            <w:tcW w:w="1956" w:type="dxa"/>
            <w:shd w:val="clear" w:color="auto" w:fill="FFFF00"/>
            <w:vAlign w:val="center"/>
          </w:tcPr>
          <w:p w14:paraId="30CE0240" w14:textId="77777777" w:rsidR="00466BF6" w:rsidRDefault="00466BF6" w:rsidP="00655D1F">
            <w:pPr>
              <w:pStyle w:val="BodyText"/>
              <w:jc w:val="center"/>
            </w:pPr>
            <w:r>
              <w:t>Medium</w:t>
            </w:r>
          </w:p>
        </w:tc>
        <w:tc>
          <w:tcPr>
            <w:tcW w:w="1956" w:type="dxa"/>
            <w:shd w:val="clear" w:color="auto" w:fill="FF0000"/>
            <w:vAlign w:val="center"/>
          </w:tcPr>
          <w:p w14:paraId="6A390C24" w14:textId="77777777" w:rsidR="00466BF6" w:rsidRDefault="00466BF6" w:rsidP="00655D1F">
            <w:pPr>
              <w:pStyle w:val="BodyText"/>
              <w:jc w:val="center"/>
            </w:pPr>
            <w:r>
              <w:t>High</w:t>
            </w:r>
          </w:p>
        </w:tc>
        <w:tc>
          <w:tcPr>
            <w:tcW w:w="1957" w:type="dxa"/>
            <w:shd w:val="clear" w:color="auto" w:fill="FF0000"/>
            <w:vAlign w:val="center"/>
          </w:tcPr>
          <w:p w14:paraId="2993B871" w14:textId="77777777" w:rsidR="00466BF6" w:rsidRDefault="00466BF6" w:rsidP="00655D1F">
            <w:pPr>
              <w:pStyle w:val="BodyText"/>
              <w:jc w:val="center"/>
            </w:pPr>
            <w:r>
              <w:t>High</w:t>
            </w:r>
          </w:p>
        </w:tc>
      </w:tr>
    </w:tbl>
    <w:p w14:paraId="58CCA74E" w14:textId="3F50EC0D" w:rsidR="00466BF6" w:rsidRPr="00FF310C" w:rsidRDefault="00466BF6" w:rsidP="006670D2">
      <w:pPr>
        <w:pStyle w:val="Caption"/>
      </w:pPr>
      <w:bookmarkStart w:id="164" w:name="_Toc88725166"/>
      <w:bookmarkStart w:id="165" w:name="_Toc88725167"/>
      <w:bookmarkStart w:id="166" w:name="_Toc88725168"/>
      <w:bookmarkStart w:id="167" w:name="_Toc88725179"/>
      <w:bookmarkStart w:id="168" w:name="_Toc88725169"/>
      <w:bookmarkEnd w:id="164"/>
      <w:bookmarkEnd w:id="165"/>
      <w:bookmarkEnd w:id="166"/>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56</w:t>
      </w:r>
      <w:r w:rsidR="000B6788" w:rsidRPr="00B6162A">
        <w:rPr>
          <w:bCs/>
          <w:noProof/>
        </w:rPr>
        <w:fldChar w:fldCharType="end"/>
      </w:r>
      <w:r w:rsidRPr="00FF310C">
        <w:t>. Brackish Plains Buttercup risk ratings in the Central Highlands RFA region:  </w:t>
      </w:r>
    </w:p>
    <w:tbl>
      <w:tblPr>
        <w:tblStyle w:val="TableGrid"/>
        <w:tblW w:w="0" w:type="auto"/>
        <w:tblLook w:val="04A0" w:firstRow="1" w:lastRow="0" w:firstColumn="1" w:lastColumn="0" w:noHBand="0" w:noVBand="1"/>
      </w:tblPr>
      <w:tblGrid>
        <w:gridCol w:w="1928"/>
        <w:gridCol w:w="1928"/>
        <w:gridCol w:w="1928"/>
        <w:gridCol w:w="1928"/>
      </w:tblGrid>
      <w:tr w:rsidR="00466BF6" w14:paraId="6E7A8B62" w14:textId="77777777" w:rsidTr="00225DD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8" w:type="dxa"/>
            <w:vAlign w:val="center"/>
          </w:tcPr>
          <w:p w14:paraId="3E3B4A15" w14:textId="77777777" w:rsidR="00466BF6" w:rsidRPr="00643008" w:rsidRDefault="00466BF6" w:rsidP="006670D2">
            <w:pPr>
              <w:pStyle w:val="CaptionImageorFigure"/>
            </w:pPr>
          </w:p>
        </w:tc>
        <w:tc>
          <w:tcPr>
            <w:tcW w:w="1928" w:type="dxa"/>
            <w:vAlign w:val="center"/>
          </w:tcPr>
          <w:p w14:paraId="0395CCF1"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w:t>
            </w:r>
          </w:p>
        </w:tc>
        <w:tc>
          <w:tcPr>
            <w:tcW w:w="1928" w:type="dxa"/>
            <w:vAlign w:val="center"/>
          </w:tcPr>
          <w:p w14:paraId="24E3EDB4"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Agriculture</w:t>
            </w:r>
          </w:p>
        </w:tc>
        <w:tc>
          <w:tcPr>
            <w:tcW w:w="1928" w:type="dxa"/>
            <w:vAlign w:val="center"/>
          </w:tcPr>
          <w:p w14:paraId="5722D60D"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plant (weeds)</w:t>
            </w:r>
          </w:p>
        </w:tc>
      </w:tr>
      <w:tr w:rsidR="00466BF6" w14:paraId="6E6A7640" w14:textId="77777777" w:rsidTr="00225DD6">
        <w:tc>
          <w:tcPr>
            <w:tcW w:w="1928" w:type="dxa"/>
            <w:vAlign w:val="center"/>
          </w:tcPr>
          <w:p w14:paraId="6E42268F" w14:textId="77777777" w:rsidR="00466BF6" w:rsidRPr="0053677B" w:rsidRDefault="00466BF6" w:rsidP="00655D1F">
            <w:pPr>
              <w:pStyle w:val="BodyText"/>
              <w:jc w:val="center"/>
            </w:pPr>
            <w:r w:rsidRPr="0053677B">
              <w:t>Consequence</w:t>
            </w:r>
          </w:p>
        </w:tc>
        <w:tc>
          <w:tcPr>
            <w:tcW w:w="1928" w:type="dxa"/>
            <w:vAlign w:val="center"/>
          </w:tcPr>
          <w:p w14:paraId="7ACE34CE" w14:textId="77777777" w:rsidR="00466BF6" w:rsidRDefault="00466BF6" w:rsidP="00655D1F">
            <w:pPr>
              <w:pStyle w:val="BodyText"/>
              <w:jc w:val="center"/>
            </w:pPr>
            <w:r>
              <w:t>Major</w:t>
            </w:r>
          </w:p>
        </w:tc>
        <w:tc>
          <w:tcPr>
            <w:tcW w:w="1928" w:type="dxa"/>
            <w:vAlign w:val="center"/>
          </w:tcPr>
          <w:p w14:paraId="53CCC296" w14:textId="77777777" w:rsidR="00466BF6" w:rsidRDefault="00466BF6" w:rsidP="00655D1F">
            <w:pPr>
              <w:pStyle w:val="BodyText"/>
              <w:jc w:val="center"/>
            </w:pPr>
            <w:r>
              <w:t>Major</w:t>
            </w:r>
          </w:p>
        </w:tc>
        <w:tc>
          <w:tcPr>
            <w:tcW w:w="1928" w:type="dxa"/>
            <w:vAlign w:val="center"/>
          </w:tcPr>
          <w:p w14:paraId="7151E927" w14:textId="77777777" w:rsidR="00466BF6" w:rsidRDefault="00466BF6" w:rsidP="00655D1F">
            <w:pPr>
              <w:pStyle w:val="BodyText"/>
              <w:jc w:val="center"/>
            </w:pPr>
            <w:r>
              <w:t>Extreme</w:t>
            </w:r>
          </w:p>
        </w:tc>
      </w:tr>
      <w:tr w:rsidR="00466BF6" w14:paraId="44EF460B" w14:textId="77777777" w:rsidTr="00225DD6">
        <w:tc>
          <w:tcPr>
            <w:tcW w:w="1928" w:type="dxa"/>
            <w:vAlign w:val="center"/>
          </w:tcPr>
          <w:p w14:paraId="05476379" w14:textId="77777777" w:rsidR="00466BF6" w:rsidRPr="0053677B" w:rsidRDefault="00466BF6" w:rsidP="00655D1F">
            <w:pPr>
              <w:pStyle w:val="BodyText"/>
              <w:jc w:val="center"/>
            </w:pPr>
            <w:r w:rsidRPr="0053677B">
              <w:t>Likelihood</w:t>
            </w:r>
          </w:p>
        </w:tc>
        <w:tc>
          <w:tcPr>
            <w:tcW w:w="1928" w:type="dxa"/>
            <w:vAlign w:val="center"/>
          </w:tcPr>
          <w:p w14:paraId="1EBFD3EE" w14:textId="77777777" w:rsidR="00466BF6" w:rsidRDefault="00466BF6" w:rsidP="00655D1F">
            <w:pPr>
              <w:pStyle w:val="BodyText"/>
              <w:jc w:val="center"/>
            </w:pPr>
            <w:r>
              <w:t>Likely</w:t>
            </w:r>
          </w:p>
        </w:tc>
        <w:tc>
          <w:tcPr>
            <w:tcW w:w="1928" w:type="dxa"/>
            <w:vAlign w:val="center"/>
          </w:tcPr>
          <w:p w14:paraId="40320310" w14:textId="77777777" w:rsidR="00466BF6" w:rsidRDefault="00466BF6" w:rsidP="00655D1F">
            <w:pPr>
              <w:pStyle w:val="BodyText"/>
              <w:jc w:val="center"/>
            </w:pPr>
            <w:r>
              <w:t>Likely</w:t>
            </w:r>
          </w:p>
        </w:tc>
        <w:tc>
          <w:tcPr>
            <w:tcW w:w="1928" w:type="dxa"/>
            <w:vAlign w:val="center"/>
          </w:tcPr>
          <w:p w14:paraId="59AC6017" w14:textId="77777777" w:rsidR="00466BF6" w:rsidRDefault="00466BF6" w:rsidP="00655D1F">
            <w:pPr>
              <w:pStyle w:val="BodyText"/>
              <w:jc w:val="center"/>
            </w:pPr>
            <w:r>
              <w:t>Almost certain</w:t>
            </w:r>
          </w:p>
        </w:tc>
      </w:tr>
      <w:tr w:rsidR="00466BF6" w14:paraId="2108C205" w14:textId="77777777" w:rsidTr="00225DD6">
        <w:tc>
          <w:tcPr>
            <w:tcW w:w="1928" w:type="dxa"/>
            <w:vAlign w:val="center"/>
          </w:tcPr>
          <w:p w14:paraId="2A5EFF38" w14:textId="77777777" w:rsidR="00466BF6" w:rsidRPr="0053677B" w:rsidRDefault="00466BF6" w:rsidP="00655D1F">
            <w:pPr>
              <w:pStyle w:val="BodyText"/>
              <w:jc w:val="center"/>
            </w:pPr>
            <w:r w:rsidRPr="0053677B">
              <w:t>Overall risk rating</w:t>
            </w:r>
          </w:p>
        </w:tc>
        <w:tc>
          <w:tcPr>
            <w:tcW w:w="1928" w:type="dxa"/>
            <w:shd w:val="clear" w:color="auto" w:fill="FF0000"/>
            <w:vAlign w:val="center"/>
          </w:tcPr>
          <w:p w14:paraId="1971DE6A" w14:textId="77777777" w:rsidR="00466BF6" w:rsidRDefault="00466BF6" w:rsidP="00655D1F">
            <w:pPr>
              <w:pStyle w:val="BodyText"/>
              <w:jc w:val="center"/>
            </w:pPr>
            <w:r>
              <w:t>High</w:t>
            </w:r>
          </w:p>
        </w:tc>
        <w:tc>
          <w:tcPr>
            <w:tcW w:w="1928" w:type="dxa"/>
            <w:shd w:val="clear" w:color="auto" w:fill="FF0000"/>
            <w:vAlign w:val="center"/>
          </w:tcPr>
          <w:p w14:paraId="406E3E88" w14:textId="77777777" w:rsidR="00466BF6" w:rsidRDefault="00466BF6" w:rsidP="00655D1F">
            <w:pPr>
              <w:pStyle w:val="BodyText"/>
              <w:jc w:val="center"/>
            </w:pPr>
            <w:r>
              <w:t>High</w:t>
            </w:r>
          </w:p>
        </w:tc>
        <w:tc>
          <w:tcPr>
            <w:tcW w:w="1928" w:type="dxa"/>
            <w:shd w:val="clear" w:color="auto" w:fill="FF0000"/>
            <w:vAlign w:val="center"/>
          </w:tcPr>
          <w:p w14:paraId="6061BFD2" w14:textId="77777777" w:rsidR="00466BF6" w:rsidRDefault="00466BF6" w:rsidP="00655D1F">
            <w:pPr>
              <w:pStyle w:val="BodyText"/>
              <w:jc w:val="center"/>
            </w:pPr>
            <w:r>
              <w:t>High</w:t>
            </w:r>
          </w:p>
        </w:tc>
      </w:tr>
    </w:tbl>
    <w:p w14:paraId="6807EE6A" w14:textId="77777777" w:rsidR="00466BF6" w:rsidRDefault="00466BF6" w:rsidP="007E5EBF">
      <w:pPr>
        <w:pStyle w:val="Heading3"/>
      </w:pPr>
      <w:r>
        <w:t>Climate change</w:t>
      </w:r>
      <w:bookmarkEnd w:id="167"/>
    </w:p>
    <w:p w14:paraId="135245FB" w14:textId="77777777" w:rsidR="00466BF6" w:rsidRPr="001C0DE0" w:rsidRDefault="00466BF6" w:rsidP="00466BF6">
      <w:pPr>
        <w:pStyle w:val="Heading5"/>
        <w:numPr>
          <w:ilvl w:val="0"/>
          <w:numId w:val="0"/>
        </w:numPr>
        <w:ind w:left="1008" w:hanging="1008"/>
      </w:pPr>
      <w:r>
        <w:t>Drying climate</w:t>
      </w:r>
    </w:p>
    <w:p w14:paraId="5653701F" w14:textId="0C78F4AE" w:rsidR="00466BF6" w:rsidRPr="003566BD" w:rsidRDefault="00466BF6" w:rsidP="00466BF6">
      <w:pPr>
        <w:pStyle w:val="BodyText"/>
      </w:pPr>
      <w:r>
        <w:t>In the longer term t</w:t>
      </w:r>
      <w:r w:rsidRPr="003566BD">
        <w:t xml:space="preserve">he </w:t>
      </w:r>
      <w:r w:rsidR="00C91800">
        <w:t>species</w:t>
      </w:r>
      <w:r w:rsidRPr="003566BD">
        <w:t xml:space="preserve"> is threatened by climatic drying</w:t>
      </w:r>
      <w:r>
        <w:t xml:space="preserve"> which could</w:t>
      </w:r>
      <w:r w:rsidRPr="003566BD">
        <w:t xml:space="preserve"> reduce the reliability of winter rainfall events</w:t>
      </w:r>
      <w:r>
        <w:t>, therefore</w:t>
      </w:r>
      <w:r w:rsidRPr="003566BD">
        <w:t xml:space="preserve"> </w:t>
      </w:r>
      <w:r>
        <w:t>impacting on the q</w:t>
      </w:r>
      <w:r w:rsidRPr="003566BD">
        <w:t>uality</w:t>
      </w:r>
      <w:r>
        <w:t xml:space="preserve"> and amount</w:t>
      </w:r>
      <w:r w:rsidRPr="003566BD">
        <w:t xml:space="preserve"> of </w:t>
      </w:r>
      <w:r>
        <w:t xml:space="preserve">habitat </w:t>
      </w:r>
      <w:r w:rsidRPr="003566BD">
        <w:t xml:space="preserve">available </w:t>
      </w:r>
      <w:r>
        <w:t xml:space="preserve">to the </w:t>
      </w:r>
      <w:r w:rsidR="00C91800">
        <w:t>species</w:t>
      </w:r>
      <w:r>
        <w:t xml:space="preserve">, as well as </w:t>
      </w:r>
      <w:r w:rsidRPr="003566BD">
        <w:t>increasing the risk of seedbank depletion, recruitment failure and local extinction</w:t>
      </w:r>
      <w:r>
        <w:t xml:space="preserve">. </w:t>
      </w:r>
      <w:r w:rsidRPr="00277B1B">
        <w:t xml:space="preserve">Climate change may </w:t>
      </w:r>
      <w:r>
        <w:t xml:space="preserve">also </w:t>
      </w:r>
      <w:r w:rsidRPr="00277B1B">
        <w:t>increase the capacity of some introduced plant species to competitively occupy the habitat and increase the likelihood of attempted agricultural intensification</w:t>
      </w:r>
      <w:r>
        <w:t xml:space="preserve"> such as </w:t>
      </w:r>
      <w:r w:rsidRPr="00277B1B">
        <w:t>ploughing</w:t>
      </w:r>
      <w:r>
        <w:t xml:space="preserve"> and</w:t>
      </w:r>
      <w:r w:rsidRPr="00277B1B">
        <w:t xml:space="preserve"> cropping within the habitat. </w:t>
      </w:r>
      <w:r>
        <w:t xml:space="preserve">This hazard extends across 100% of the </w:t>
      </w:r>
      <w:r w:rsidR="00C91800">
        <w:t>species’</w:t>
      </w:r>
      <w:r>
        <w:t xml:space="preserve"> distribution. </w:t>
      </w:r>
    </w:p>
    <w:p w14:paraId="5A01291B" w14:textId="5AB965D9" w:rsidR="00466BF6" w:rsidRPr="00F26BEE" w:rsidRDefault="00466BF6" w:rsidP="00466BF6">
      <w:pPr>
        <w:pStyle w:val="BodyText"/>
        <w:rPr>
          <w:lang w:eastAsia="en-AU"/>
        </w:rPr>
      </w:pPr>
      <w:r w:rsidRPr="00F26BEE">
        <w:t xml:space="preserve">Current control measures for this hazard are not effective in managing the risk to this </w:t>
      </w:r>
      <w:r w:rsidR="00C91800">
        <w:t>species</w:t>
      </w:r>
      <w:r w:rsidRPr="00F26BEE">
        <w:t xml:space="preserve"> at the scale relevant to its conservation</w:t>
      </w:r>
      <w:r>
        <w:t>.</w:t>
      </w:r>
    </w:p>
    <w:p w14:paraId="7992D476" w14:textId="5723EB47"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57</w:t>
      </w:r>
      <w:r w:rsidR="000B6788" w:rsidRPr="00B6162A">
        <w:rPr>
          <w:bCs/>
          <w:noProof/>
        </w:rPr>
        <w:fldChar w:fldCharType="end"/>
      </w:r>
      <w:r w:rsidRPr="00FF310C">
        <w:t>. Brackish Plains Buttercup protection requirements and recommendations for drying climate</w:t>
      </w:r>
    </w:p>
    <w:tbl>
      <w:tblPr>
        <w:tblStyle w:val="TableGrid"/>
        <w:tblW w:w="0" w:type="auto"/>
        <w:tblLook w:val="04A0" w:firstRow="1" w:lastRow="0" w:firstColumn="1" w:lastColumn="0" w:noHBand="0" w:noVBand="1"/>
      </w:tblPr>
      <w:tblGrid>
        <w:gridCol w:w="2268"/>
        <w:gridCol w:w="7371"/>
      </w:tblGrid>
      <w:tr w:rsidR="00466BF6" w:rsidRPr="00867DAA" w14:paraId="633ECB46"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10EDA30A" w14:textId="77777777" w:rsidR="00466BF6" w:rsidRPr="00704719" w:rsidRDefault="00466BF6" w:rsidP="00296E0F">
            <w:pPr>
              <w:pStyle w:val="BodyText"/>
            </w:pPr>
            <w:r w:rsidRPr="00704719">
              <w:t>Requirement</w:t>
            </w:r>
          </w:p>
        </w:tc>
        <w:tc>
          <w:tcPr>
            <w:tcW w:w="7371" w:type="dxa"/>
            <w:vAlign w:val="center"/>
          </w:tcPr>
          <w:p w14:paraId="079466F7"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624CDE35" w14:textId="77777777" w:rsidTr="005611CD">
        <w:tc>
          <w:tcPr>
            <w:tcW w:w="2268" w:type="dxa"/>
          </w:tcPr>
          <w:p w14:paraId="7B092972" w14:textId="4728D3BC" w:rsidR="00466BF6" w:rsidRPr="003566BD" w:rsidRDefault="00F50412" w:rsidP="005611CD">
            <w:pPr>
              <w:pStyle w:val="BodyText"/>
            </w:pPr>
            <w:r>
              <w:t>Priority management actions</w:t>
            </w:r>
          </w:p>
        </w:tc>
        <w:tc>
          <w:tcPr>
            <w:tcW w:w="7371" w:type="dxa"/>
          </w:tcPr>
          <w:p w14:paraId="298805A2" w14:textId="77777777" w:rsidR="00466BF6" w:rsidRPr="003566BD" w:rsidRDefault="00466BF6" w:rsidP="005611CD">
            <w:pPr>
              <w:pStyle w:val="BodyText"/>
            </w:pPr>
            <w:r w:rsidRPr="00200995">
              <w:t xml:space="preserve">Not required for this hazard </w:t>
            </w:r>
            <w:r>
              <w:t>as it is a longer-term threat.</w:t>
            </w:r>
          </w:p>
        </w:tc>
      </w:tr>
      <w:tr w:rsidR="00466BF6" w:rsidRPr="00867DAA" w14:paraId="65984A5F" w14:textId="77777777" w:rsidTr="005611CD">
        <w:tc>
          <w:tcPr>
            <w:tcW w:w="2268" w:type="dxa"/>
          </w:tcPr>
          <w:p w14:paraId="41A91B43" w14:textId="7E0052C6" w:rsidR="00466BF6" w:rsidRPr="00867DAA" w:rsidRDefault="00F50412" w:rsidP="005611CD">
            <w:pPr>
              <w:pStyle w:val="BodyText"/>
            </w:pPr>
            <w:r>
              <w:t>Potential m</w:t>
            </w:r>
            <w:r w:rsidR="00466BF6" w:rsidRPr="00867DAA">
              <w:t>anagement actions</w:t>
            </w:r>
          </w:p>
        </w:tc>
        <w:tc>
          <w:tcPr>
            <w:tcW w:w="7371" w:type="dxa"/>
          </w:tcPr>
          <w:p w14:paraId="0F87BE32" w14:textId="6E6CCB22" w:rsidR="00466BF6" w:rsidRPr="00335CEE" w:rsidRDefault="00466BF6" w:rsidP="006670D2">
            <w:pPr>
              <w:pStyle w:val="PullOutBoxBullet"/>
            </w:pPr>
            <w:r>
              <w:rPr>
                <w:rStyle w:val="BodyTextChar"/>
              </w:rPr>
              <w:t xml:space="preserve">Undertake </w:t>
            </w:r>
            <w:r>
              <w:rPr>
                <w:rStyle w:val="BodyTextChar"/>
                <w:i/>
                <w:iCs/>
              </w:rPr>
              <w:t>i</w:t>
            </w:r>
            <w:r w:rsidRPr="00D95A46">
              <w:rPr>
                <w:rStyle w:val="BodyTextChar"/>
                <w:i/>
                <w:iCs/>
              </w:rPr>
              <w:t>n-situ</w:t>
            </w:r>
            <w:r>
              <w:t xml:space="preserve"> propagation and maintenance of seed bank</w:t>
            </w:r>
            <w:r w:rsidR="00B61F24">
              <w:t>.</w:t>
            </w:r>
          </w:p>
        </w:tc>
      </w:tr>
    </w:tbl>
    <w:p w14:paraId="1E69FFEC" w14:textId="7ED81ADA" w:rsidR="00466BF6" w:rsidRDefault="00466BF6" w:rsidP="007E5EBF">
      <w:pPr>
        <w:pStyle w:val="Heading3"/>
      </w:pPr>
      <w:r>
        <w:t>Forestry operations</w:t>
      </w:r>
      <w:bookmarkEnd w:id="168"/>
    </w:p>
    <w:p w14:paraId="638BB94E" w14:textId="77777777" w:rsidR="00466BF6" w:rsidRPr="00660ABA" w:rsidRDefault="00466BF6" w:rsidP="00466BF6">
      <w:pPr>
        <w:pStyle w:val="Heading5"/>
        <w:numPr>
          <w:ilvl w:val="0"/>
          <w:numId w:val="0"/>
        </w:numPr>
        <w:ind w:left="1008" w:hanging="1008"/>
        <w:rPr>
          <w:rFonts w:ascii="Segoe UI" w:hAnsi="Segoe UI" w:cs="Segoe UI"/>
          <w:sz w:val="18"/>
          <w:szCs w:val="18"/>
        </w:rPr>
      </w:pPr>
      <w:r>
        <w:t>Plantations</w:t>
      </w:r>
    </w:p>
    <w:p w14:paraId="0250C480" w14:textId="2A0D2E38" w:rsidR="00466BF6" w:rsidRPr="00326849" w:rsidRDefault="00B164E3" w:rsidP="00B45F85">
      <w:pPr>
        <w:pStyle w:val="BodyText"/>
        <w:rPr>
          <w:rFonts w:ascii="Calibri" w:hAnsi="Calibri" w:cs="Calibri"/>
          <w:color w:val="000000"/>
          <w:sz w:val="22"/>
          <w:szCs w:val="22"/>
        </w:rPr>
      </w:pPr>
      <w:r w:rsidRPr="00915D82">
        <w:t>Large-scale plantation establishment may pose a threat to this species</w:t>
      </w:r>
      <w:r w:rsidR="00150F79">
        <w:t>;</w:t>
      </w:r>
      <w:r w:rsidR="00466BF6">
        <w:t xml:space="preserve"> </w:t>
      </w:r>
      <w:r w:rsidR="00150F79">
        <w:t>however,</w:t>
      </w:r>
      <w:r w:rsidR="00466BF6">
        <w:t xml:space="preserve"> </w:t>
      </w:r>
      <w:r>
        <w:t>it</w:t>
      </w:r>
      <w:r w:rsidR="00466BF6">
        <w:t xml:space="preserve"> mainly occupies brackish lakebeds and creek-lines that are unlikely to be targeted for plantations. During harvesting there can be significant damage to small wetlands if they are not protected from machinery, which can also lead to runoff and erosion into wetlands reducing water quality. An increase in water-use by plantations, especially by regenerating young trees, may increase the impact of a drying climate and be exacerbated by reduced rainfall, particularly where remnant wet habitat is less well buffered.</w:t>
      </w:r>
      <w:r w:rsidR="00466BF6" w:rsidRPr="00402E62">
        <w:t xml:space="preserve"> </w:t>
      </w:r>
      <w:r w:rsidR="00466BF6">
        <w:t xml:space="preserve">Harvesting operations can also increase weed invasion. </w:t>
      </w:r>
    </w:p>
    <w:p w14:paraId="6F8F09D6" w14:textId="33E7AFE7" w:rsidR="00466BF6" w:rsidRDefault="00466BF6" w:rsidP="00B45F85">
      <w:pPr>
        <w:pStyle w:val="BodyText"/>
      </w:pPr>
      <w:r>
        <w:t xml:space="preserve">This hazard extends across 11% of the </w:t>
      </w:r>
      <w:r w:rsidR="00C91800">
        <w:t>species’</w:t>
      </w:r>
      <w:r>
        <w:t xml:space="preserve"> modelled habitat</w:t>
      </w:r>
      <w:r>
        <w:rPr>
          <w:rStyle w:val="BodyTextChar"/>
        </w:rPr>
        <w:t>, however the</w:t>
      </w:r>
      <w:r w:rsidRPr="003566BD">
        <w:rPr>
          <w:rStyle w:val="BodyTextChar"/>
        </w:rPr>
        <w:t xml:space="preserve"> </w:t>
      </w:r>
      <w:r w:rsidR="00DD2B0E">
        <w:rPr>
          <w:rStyle w:val="BodyTextChar"/>
        </w:rPr>
        <w:t>modelling may</w:t>
      </w:r>
      <w:r w:rsidRPr="003566BD">
        <w:rPr>
          <w:rStyle w:val="BodyTextChar"/>
        </w:rPr>
        <w:t xml:space="preserve"> miss</w:t>
      </w:r>
      <w:r w:rsidR="00DD2B0E">
        <w:rPr>
          <w:rStyle w:val="BodyTextChar"/>
        </w:rPr>
        <w:t xml:space="preserve"> </w:t>
      </w:r>
      <w:r w:rsidRPr="003566BD">
        <w:rPr>
          <w:rStyle w:val="BodyTextChar"/>
        </w:rPr>
        <w:t xml:space="preserve">small wetlands that </w:t>
      </w:r>
      <w:r w:rsidR="00526C7D">
        <w:rPr>
          <w:rStyle w:val="BodyTextChar"/>
        </w:rPr>
        <w:t>could</w:t>
      </w:r>
      <w:r w:rsidRPr="003566BD">
        <w:rPr>
          <w:rStyle w:val="BodyTextChar"/>
        </w:rPr>
        <w:t xml:space="preserve"> support this </w:t>
      </w:r>
      <w:r w:rsidR="00C91800">
        <w:rPr>
          <w:rStyle w:val="BodyTextChar"/>
        </w:rPr>
        <w:t>species</w:t>
      </w:r>
      <w:r w:rsidRPr="003566BD">
        <w:rPr>
          <w:rStyle w:val="BodyTextChar"/>
        </w:rPr>
        <w:t xml:space="preserve">. On-ground assessment or a simple analysis of aerial photography may be required to detect wetland habitat within coupes. </w:t>
      </w:r>
      <w:r w:rsidRPr="00277B1B">
        <w:rPr>
          <w:rStyle w:val="BodyTextChar"/>
        </w:rPr>
        <w:t>There is</w:t>
      </w:r>
      <w:r>
        <w:rPr>
          <w:rStyle w:val="BodyTextChar"/>
        </w:rPr>
        <w:t xml:space="preserve"> also some</w:t>
      </w:r>
      <w:r w:rsidRPr="00277B1B">
        <w:rPr>
          <w:rStyle w:val="BodyTextChar"/>
        </w:rPr>
        <w:t xml:space="preserve"> uncertainty </w:t>
      </w:r>
      <w:r>
        <w:rPr>
          <w:rStyle w:val="BodyTextChar"/>
        </w:rPr>
        <w:t xml:space="preserve">about </w:t>
      </w:r>
      <w:r w:rsidRPr="00277B1B">
        <w:rPr>
          <w:rStyle w:val="BodyTextChar"/>
        </w:rPr>
        <w:t>how much of the soils (often heavy clays) of land surrounding the habitat of this</w:t>
      </w:r>
      <w:r>
        <w:rPr>
          <w:rStyle w:val="BodyTextChar"/>
        </w:rPr>
        <w:t xml:space="preserve"> </w:t>
      </w:r>
      <w:r w:rsidR="00C91800">
        <w:rPr>
          <w:rStyle w:val="BodyTextChar"/>
        </w:rPr>
        <w:t>species</w:t>
      </w:r>
      <w:r w:rsidRPr="00277B1B">
        <w:rPr>
          <w:rStyle w:val="BodyTextChar"/>
        </w:rPr>
        <w:t xml:space="preserve"> would be suitable for plantations (other than sometimes of Sugar Gum</w:t>
      </w:r>
      <w:r>
        <w:rPr>
          <w:rStyle w:val="BodyTextChar"/>
        </w:rPr>
        <w:t xml:space="preserve"> (</w:t>
      </w:r>
      <w:r w:rsidRPr="008A008C">
        <w:rPr>
          <w:rStyle w:val="BodyTextChar"/>
          <w:i/>
          <w:iCs/>
        </w:rPr>
        <w:t>Eucalyptus cladocalyx</w:t>
      </w:r>
      <w:r w:rsidRPr="008A008C">
        <w:rPr>
          <w:rStyle w:val="BodyTextChar"/>
        </w:rPr>
        <w:t>)</w:t>
      </w:r>
      <w:r w:rsidRPr="00277B1B">
        <w:rPr>
          <w:rStyle w:val="BodyTextChar"/>
        </w:rPr>
        <w:t>). This extent of plantations could change under future land uses</w:t>
      </w:r>
      <w:r w:rsidR="005B213E">
        <w:rPr>
          <w:rStyle w:val="BodyTextChar"/>
        </w:rPr>
        <w:t>,</w:t>
      </w:r>
      <w:r>
        <w:rPr>
          <w:rStyle w:val="BodyTextChar"/>
        </w:rPr>
        <w:t xml:space="preserve"> therefore</w:t>
      </w:r>
      <w:r w:rsidRPr="00277B1B">
        <w:rPr>
          <w:rStyle w:val="BodyTextChar"/>
        </w:rPr>
        <w:t xml:space="preserve"> </w:t>
      </w:r>
      <w:r w:rsidR="005C3EA3">
        <w:rPr>
          <w:rStyle w:val="BodyTextChar"/>
        </w:rPr>
        <w:t xml:space="preserve">an </w:t>
      </w:r>
      <w:r w:rsidRPr="00277B1B">
        <w:rPr>
          <w:rStyle w:val="BodyTextChar"/>
        </w:rPr>
        <w:t>estimate of the potential extent of hazard is consequently somewhat conjectural.</w:t>
      </w:r>
    </w:p>
    <w:p w14:paraId="5D793E72" w14:textId="77777777" w:rsidR="00466BF6" w:rsidRDefault="00466BF6" w:rsidP="00466BF6">
      <w:pPr>
        <w:pStyle w:val="BodyText"/>
      </w:pPr>
      <w:r w:rsidRPr="00660ABA">
        <w:t>Current existing controls for this hazard includ</w:t>
      </w:r>
      <w:r>
        <w:t>e:</w:t>
      </w:r>
    </w:p>
    <w:p w14:paraId="0F5D74F5" w14:textId="77777777" w:rsidR="00466BF6" w:rsidRDefault="00466BF6" w:rsidP="006670D2">
      <w:pPr>
        <w:pStyle w:val="PullOutBoxBullet"/>
      </w:pPr>
      <w:r>
        <w:t xml:space="preserve">The </w:t>
      </w:r>
      <w:r w:rsidRPr="007935D4">
        <w:rPr>
          <w:i/>
          <w:iCs/>
        </w:rPr>
        <w:t>Code of Practice for Timber Production 2014</w:t>
      </w:r>
      <w:r>
        <w:t xml:space="preserve">. </w:t>
      </w:r>
      <w:r w:rsidRPr="00160F2E">
        <w:t>The effectiveness of this control for this species has been evaluated as</w:t>
      </w:r>
      <w:r>
        <w:t xml:space="preserve"> poor, because while it is being assessed in at least some regions, the history of management for protection of included or abutting remnant vegetation has varied across the extent of plantations. The potential for damage from issues such as spray drift and run-off from track networks may also not yet be fully dealt with.</w:t>
      </w:r>
    </w:p>
    <w:p w14:paraId="0F5C90CE" w14:textId="215A8E14" w:rsidR="00466BF6" w:rsidRDefault="00466BF6" w:rsidP="006670D2">
      <w:pPr>
        <w:pStyle w:val="PullOutBoxBullet"/>
      </w:pPr>
      <w:r>
        <w:t xml:space="preserve">Victorian Planning Provisions and planning schemes. </w:t>
      </w:r>
      <w:r w:rsidRPr="00160F2E">
        <w:t>The effectiveness of this control for this species has been evaluated as</w:t>
      </w:r>
      <w:r>
        <w:t xml:space="preserve"> poor, as it is considered in relation to development of new plantations on private land. While the habitat of this </w:t>
      </w:r>
      <w:r w:rsidR="00C91800">
        <w:t>species</w:t>
      </w:r>
      <w:r>
        <w:t xml:space="preserve"> is generally unsuitable for plantations, the control does not prevent incremental damage to wetland habitat abutting plantations from desiccation or fertilizer/herbicide drift if the plantations are established on already cleared land.</w:t>
      </w:r>
    </w:p>
    <w:p w14:paraId="6D2BF258" w14:textId="48C51A22" w:rsidR="00466BF6" w:rsidRDefault="00466BF6"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poor</w:t>
      </w:r>
      <w:r w:rsidRPr="4F453272">
        <w:t xml:space="preserve"> as </w:t>
      </w:r>
      <w:r>
        <w:t>only 3</w:t>
      </w:r>
      <w:r w:rsidRPr="4F453272">
        <w:t xml:space="preserve">% of the </w:t>
      </w:r>
      <w:r w:rsidR="00C91800">
        <w:t>species’</w:t>
      </w:r>
      <w:r w:rsidRPr="4F453272">
        <w:t xml:space="preserve"> modelled distribution and </w:t>
      </w:r>
      <w:r>
        <w:t>14</w:t>
      </w:r>
      <w:r w:rsidRPr="4F453272">
        <w:t>% of important populations are within the reserve system</w:t>
      </w:r>
      <w:r w:rsidR="00A53D38">
        <w:t>.</w:t>
      </w:r>
    </w:p>
    <w:p w14:paraId="49FD0D0F" w14:textId="45C90CA2"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58</w:t>
      </w:r>
      <w:r w:rsidR="000B6788" w:rsidRPr="00B6162A">
        <w:rPr>
          <w:bCs/>
          <w:noProof/>
        </w:rPr>
        <w:fldChar w:fldCharType="end"/>
      </w:r>
      <w:r w:rsidRPr="00FF310C">
        <w:t>. Brackish Plains Buttercup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466BF6" w:rsidRPr="00867DAA" w14:paraId="65AA4AF9"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0BEAD24B" w14:textId="77777777" w:rsidR="00466BF6" w:rsidRPr="00704719" w:rsidRDefault="00466BF6" w:rsidP="00296E0F">
            <w:pPr>
              <w:pStyle w:val="BodyText"/>
            </w:pPr>
            <w:r w:rsidRPr="00704719">
              <w:t>Requirement</w:t>
            </w:r>
          </w:p>
        </w:tc>
        <w:tc>
          <w:tcPr>
            <w:tcW w:w="7371" w:type="dxa"/>
            <w:vAlign w:val="center"/>
          </w:tcPr>
          <w:p w14:paraId="4A92328E"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107AFB84" w14:textId="77777777" w:rsidTr="005611CD">
        <w:tc>
          <w:tcPr>
            <w:tcW w:w="2268" w:type="dxa"/>
          </w:tcPr>
          <w:p w14:paraId="510B270B" w14:textId="3198D84D" w:rsidR="00466BF6" w:rsidRPr="003566BD" w:rsidRDefault="00466BF6" w:rsidP="005611CD">
            <w:pPr>
              <w:pStyle w:val="BodyText"/>
            </w:pPr>
            <w:r w:rsidRPr="003566BD">
              <w:t>Interim protection</w:t>
            </w:r>
            <w:r w:rsidR="00F55A13">
              <w:t xml:space="preserve"> </w:t>
            </w:r>
          </w:p>
        </w:tc>
        <w:tc>
          <w:tcPr>
            <w:tcW w:w="7371" w:type="dxa"/>
          </w:tcPr>
          <w:p w14:paraId="33E5C31D" w14:textId="031F41A2" w:rsidR="00466BF6" w:rsidRPr="003566BD" w:rsidRDefault="00466BF6" w:rsidP="005611CD">
            <w:pPr>
              <w:pStyle w:val="BodyText"/>
            </w:pPr>
            <w:r w:rsidRPr="00200995">
              <w:t>Not required for this hazard based on the overall risk level of medium</w:t>
            </w:r>
            <w:r>
              <w:t xml:space="preserve">. </w:t>
            </w:r>
          </w:p>
        </w:tc>
      </w:tr>
      <w:tr w:rsidR="009656AB" w:rsidRPr="00867DAA" w14:paraId="0E73956F" w14:textId="77777777" w:rsidTr="005611CD">
        <w:tc>
          <w:tcPr>
            <w:tcW w:w="2268" w:type="dxa"/>
          </w:tcPr>
          <w:p w14:paraId="0DF9A7D8" w14:textId="4F4B4541" w:rsidR="009656AB" w:rsidRPr="003566BD" w:rsidRDefault="009656AB" w:rsidP="005611CD">
            <w:pPr>
              <w:pStyle w:val="BodyText"/>
            </w:pPr>
            <w:r>
              <w:t>Priority management actions</w:t>
            </w:r>
          </w:p>
        </w:tc>
        <w:tc>
          <w:tcPr>
            <w:tcW w:w="7371" w:type="dxa"/>
            <w:shd w:val="clear" w:color="auto" w:fill="auto"/>
          </w:tcPr>
          <w:p w14:paraId="3DA8C3FD" w14:textId="5D1A0D92" w:rsidR="009656AB" w:rsidRPr="003566BD" w:rsidRDefault="009656AB" w:rsidP="005611CD">
            <w:pPr>
              <w:pStyle w:val="BodyText"/>
            </w:pPr>
            <w:r w:rsidRPr="00200995">
              <w:t>Not required for this hazard based on the overall risk level of medium</w:t>
            </w:r>
            <w:r>
              <w:t>.</w:t>
            </w:r>
          </w:p>
        </w:tc>
      </w:tr>
      <w:tr w:rsidR="00466BF6" w:rsidRPr="00867DAA" w14:paraId="1FE174F7" w14:textId="77777777" w:rsidTr="005611CD">
        <w:tc>
          <w:tcPr>
            <w:tcW w:w="2268" w:type="dxa"/>
          </w:tcPr>
          <w:p w14:paraId="590FB179" w14:textId="77777777" w:rsidR="00466BF6" w:rsidRPr="003566BD" w:rsidRDefault="00466BF6" w:rsidP="005611CD">
            <w:pPr>
              <w:pStyle w:val="BodyText"/>
            </w:pPr>
            <w:r w:rsidRPr="003566BD">
              <w:t>Permanent protections</w:t>
            </w:r>
          </w:p>
        </w:tc>
        <w:tc>
          <w:tcPr>
            <w:tcW w:w="7371" w:type="dxa"/>
            <w:shd w:val="clear" w:color="auto" w:fill="auto"/>
          </w:tcPr>
          <w:p w14:paraId="4A18437A" w14:textId="77777777" w:rsidR="00466BF6" w:rsidRPr="003566BD" w:rsidRDefault="00466BF6" w:rsidP="005611CD">
            <w:pPr>
              <w:pStyle w:val="BodyText"/>
            </w:pPr>
            <w:r w:rsidRPr="003566BD">
              <w:t>Additional permanent protections may be required in the longer-term</w:t>
            </w:r>
            <w:r>
              <w:t>.</w:t>
            </w:r>
          </w:p>
        </w:tc>
      </w:tr>
      <w:tr w:rsidR="00466BF6" w:rsidRPr="00867DAA" w14:paraId="7D989B81" w14:textId="77777777" w:rsidTr="005611CD">
        <w:tc>
          <w:tcPr>
            <w:tcW w:w="2268" w:type="dxa"/>
          </w:tcPr>
          <w:p w14:paraId="2750F2CF" w14:textId="61259E38" w:rsidR="00466BF6" w:rsidRPr="00867DAA" w:rsidRDefault="00F50412" w:rsidP="005611CD">
            <w:pPr>
              <w:pStyle w:val="BodyText"/>
            </w:pPr>
            <w:r>
              <w:t>Potential m</w:t>
            </w:r>
            <w:r w:rsidR="00466BF6" w:rsidRPr="00867DAA">
              <w:t>anagement actions</w:t>
            </w:r>
          </w:p>
        </w:tc>
        <w:tc>
          <w:tcPr>
            <w:tcW w:w="7371" w:type="dxa"/>
          </w:tcPr>
          <w:p w14:paraId="677FC930" w14:textId="7B33B74A" w:rsidR="00466BF6" w:rsidRDefault="00662838" w:rsidP="006670D2">
            <w:pPr>
              <w:pStyle w:val="PullOutBoxBullet"/>
            </w:pPr>
            <w:r w:rsidRPr="00915D82">
              <w:t>Minimise any off-site or off-target impacts of chemicals used as part of plantation management, as required by the Code</w:t>
            </w:r>
            <w:r>
              <w:t>;</w:t>
            </w:r>
            <w:r w:rsidDel="00662838">
              <w:t xml:space="preserve"> </w:t>
            </w:r>
            <w:r w:rsidR="00466BF6">
              <w:t>and</w:t>
            </w:r>
          </w:p>
          <w:p w14:paraId="2C56160C" w14:textId="77777777" w:rsidR="00466BF6" w:rsidRPr="009F2B89" w:rsidRDefault="00466BF6" w:rsidP="006670D2">
            <w:pPr>
              <w:pStyle w:val="PullOutBoxBullet"/>
            </w:pPr>
            <w:r>
              <w:t>Improve protection for remnant habitat in establishment of new plantations.</w:t>
            </w:r>
          </w:p>
        </w:tc>
      </w:tr>
    </w:tbl>
    <w:p w14:paraId="62929933" w14:textId="77777777" w:rsidR="00466BF6" w:rsidRDefault="00466BF6" w:rsidP="007E5EBF">
      <w:pPr>
        <w:pStyle w:val="Heading3"/>
      </w:pPr>
      <w:bookmarkStart w:id="169" w:name="_Toc88725171"/>
      <w:bookmarkStart w:id="170" w:name="_Toc88725172"/>
      <w:bookmarkStart w:id="171" w:name="_Toc88725173"/>
      <w:bookmarkStart w:id="172" w:name="_Toc88725174"/>
      <w:bookmarkStart w:id="173" w:name="_Toc88725175"/>
      <w:bookmarkStart w:id="174" w:name="_Toc88725176"/>
      <w:bookmarkStart w:id="175" w:name="_Toc88725177"/>
      <w:bookmarkStart w:id="176" w:name="_Toc88725178"/>
      <w:bookmarkEnd w:id="169"/>
      <w:bookmarkEnd w:id="170"/>
      <w:bookmarkEnd w:id="171"/>
      <w:bookmarkEnd w:id="172"/>
      <w:bookmarkEnd w:id="173"/>
      <w:bookmarkEnd w:id="174"/>
      <w:bookmarkEnd w:id="175"/>
      <w:r>
        <w:t>Habitat</w:t>
      </w:r>
      <w:bookmarkEnd w:id="176"/>
    </w:p>
    <w:p w14:paraId="2D0C24C0" w14:textId="77777777" w:rsidR="00466BF6" w:rsidRPr="001C0DE0" w:rsidRDefault="00466BF6" w:rsidP="00466BF6">
      <w:pPr>
        <w:pStyle w:val="Heading5"/>
        <w:numPr>
          <w:ilvl w:val="0"/>
          <w:numId w:val="0"/>
        </w:numPr>
        <w:ind w:left="1008" w:hanging="1008"/>
      </w:pPr>
      <w:r w:rsidRPr="00A66DEE">
        <w:t>Agriculture</w:t>
      </w:r>
    </w:p>
    <w:p w14:paraId="45EAB0D1" w14:textId="31907521" w:rsidR="00466BF6" w:rsidRPr="00F26BEE" w:rsidRDefault="00466BF6" w:rsidP="00466BF6">
      <w:pPr>
        <w:pStyle w:val="BodyText"/>
      </w:pPr>
      <w:r>
        <w:t xml:space="preserve">All sites of the </w:t>
      </w:r>
      <w:r w:rsidR="00C91800">
        <w:t>species</w:t>
      </w:r>
      <w:r>
        <w:t xml:space="preserve"> are at risk from continuing habitat degradation through agricultural intensification including extension of cropping, wetland drainage, basalt harvesting, vehicle traffic, infrastructure maintenance, fire management activity, stock agistment, site conversion to woodlot and farm forestry. Climate change may increase the capacity of some introduced plant taxa to competitively occupy the habitat and increase the likelihood of attempted agricultural intensification such as ploughing and cropping. Agricultural </w:t>
      </w:r>
      <w:r w:rsidR="00B01C8B">
        <w:t>p</w:t>
      </w:r>
      <w:r w:rsidR="004758EA">
        <w:t>ractice</w:t>
      </w:r>
      <w:r>
        <w:t>s can lead to elevated nutrient levels and introductions of very high threat species such as Tall Wheat Grass.</w:t>
      </w:r>
      <w:r w:rsidRPr="002F1D5F">
        <w:t xml:space="preserve"> </w:t>
      </w:r>
      <w:r>
        <w:t>Mechanisms to protect the relevant habitat on private land are very limited, as are resources and the required specialist skills for management of populations o</w:t>
      </w:r>
      <w:r w:rsidR="00862093">
        <w:t>n</w:t>
      </w:r>
      <w:r>
        <w:t xml:space="preserve"> public land.</w:t>
      </w:r>
      <w:r w:rsidRPr="00805DBE">
        <w:rPr>
          <w:rFonts w:ascii="Calibri" w:hAnsi="Calibri" w:cs="Calibri"/>
          <w:color w:val="000000"/>
          <w:sz w:val="22"/>
          <w:szCs w:val="22"/>
        </w:rPr>
        <w:t xml:space="preserve"> </w:t>
      </w:r>
      <w:r w:rsidRPr="003566BD">
        <w:rPr>
          <w:rStyle w:val="BodyTextChar"/>
        </w:rPr>
        <w:t>While a</w:t>
      </w:r>
      <w:r>
        <w:rPr>
          <w:rStyle w:val="BodyTextChar"/>
        </w:rPr>
        <w:t xml:space="preserve">round 40% </w:t>
      </w:r>
      <w:r w:rsidRPr="003566BD">
        <w:rPr>
          <w:rStyle w:val="BodyTextChar"/>
        </w:rPr>
        <w:t xml:space="preserve">of known populations occur on public land reserves of some kind, these typically </w:t>
      </w:r>
      <w:r w:rsidRPr="00F26BEE">
        <w:rPr>
          <w:rStyle w:val="BodyTextChar"/>
        </w:rPr>
        <w:t>comprise of small poorly buffered remnants within agricultural landscapes and are consequently subject to edge effects from adjacent land uses.</w:t>
      </w:r>
    </w:p>
    <w:p w14:paraId="578E1E50" w14:textId="77777777" w:rsidR="00466BF6" w:rsidRPr="00F26BEE" w:rsidRDefault="00466BF6" w:rsidP="00466BF6">
      <w:pPr>
        <w:pStyle w:val="BodyText"/>
      </w:pPr>
      <w:r w:rsidRPr="00F26BEE">
        <w:t>Current existing controls for this hazard include:</w:t>
      </w:r>
    </w:p>
    <w:p w14:paraId="022DBB7B" w14:textId="1753F484" w:rsidR="00466BF6" w:rsidRPr="00F26BEE" w:rsidRDefault="00466BF6" w:rsidP="006670D2">
      <w:pPr>
        <w:pStyle w:val="PullOutBoxBullet"/>
      </w:pPr>
      <w:r w:rsidRPr="00F26BEE">
        <w:t xml:space="preserve">Victorian Planning Provisions and planning schemes. The effectiveness of this control for this species has been evaluated as poor because it has limited capacity to prevent habitat loss and degradation associated with the conversion from grazing to cropping. The relevant habitat is treeless and often includes a substantial component of introduced species; it therefore might not be recognised as having any value for native flora conservation by land managers. The control also does not prevent incremental damage resulting from land-use </w:t>
      </w:r>
      <w:r w:rsidR="00C803B7">
        <w:t>practise</w:t>
      </w:r>
      <w:r w:rsidRPr="00F26BEE">
        <w:t>s such as grazing or fertilizer drift.</w:t>
      </w:r>
    </w:p>
    <w:p w14:paraId="2F7E1E0C" w14:textId="1C55F7F7" w:rsidR="00466BF6" w:rsidRPr="00F26BEE" w:rsidRDefault="00466BF6" w:rsidP="006670D2">
      <w:pPr>
        <w:pStyle w:val="PullOutBoxBullet"/>
      </w:pPr>
      <w:r w:rsidRPr="00F26BEE">
        <w:t xml:space="preserve">Support programs such as Landcare. </w:t>
      </w:r>
      <w:r w:rsidR="00E96994" w:rsidRPr="00F26BEE">
        <w:t xml:space="preserve">The effectiveness of this </w:t>
      </w:r>
      <w:r w:rsidR="009837A9">
        <w:t>control</w:t>
      </w:r>
      <w:r w:rsidR="009837A9" w:rsidRPr="00F26BEE">
        <w:t xml:space="preserve"> </w:t>
      </w:r>
      <w:r w:rsidR="00AD068E" w:rsidRPr="00AD068E">
        <w:t>for this species</w:t>
      </w:r>
      <w:r w:rsidRPr="00F26BEE">
        <w:t xml:space="preserve"> has been evaluated as poor because participation is voluntary, and while it has the potential to be highly effective where implemented, it is very much dependant on goodwill and local community support.</w:t>
      </w:r>
    </w:p>
    <w:p w14:paraId="14538D54" w14:textId="77777777" w:rsidR="00466BF6" w:rsidRDefault="00466BF6" w:rsidP="006670D2">
      <w:pPr>
        <w:pStyle w:val="PullOutBoxBullet"/>
      </w:pPr>
      <w:r w:rsidRPr="00F26BEE">
        <w:t>Local wetland management programs such as ‘Wetland Tender’ that fund fencing of wetlands from stock. The effectiveness of this control</w:t>
      </w:r>
      <w:r>
        <w:t xml:space="preserve"> for this species has been evaluated as poor because although it is potentially effective, it is very limited in extent. </w:t>
      </w:r>
    </w:p>
    <w:p w14:paraId="64618743" w14:textId="4CBEC820"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59</w:t>
      </w:r>
      <w:r w:rsidR="000B6788" w:rsidRPr="00B6162A">
        <w:rPr>
          <w:bCs/>
          <w:noProof/>
        </w:rPr>
        <w:fldChar w:fldCharType="end"/>
      </w:r>
      <w:r w:rsidRPr="00FF310C">
        <w:t>. Brackish Plains Buttercup protection requirements and recommendations for agriculture</w:t>
      </w:r>
    </w:p>
    <w:tbl>
      <w:tblPr>
        <w:tblStyle w:val="TableGrid"/>
        <w:tblW w:w="0" w:type="auto"/>
        <w:tblLook w:val="04A0" w:firstRow="1" w:lastRow="0" w:firstColumn="1" w:lastColumn="0" w:noHBand="0" w:noVBand="1"/>
      </w:tblPr>
      <w:tblGrid>
        <w:gridCol w:w="2268"/>
        <w:gridCol w:w="7371"/>
      </w:tblGrid>
      <w:tr w:rsidR="00466BF6" w:rsidRPr="00867DAA" w14:paraId="15C3161F"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0C8EF494" w14:textId="77777777" w:rsidR="00466BF6" w:rsidRPr="00704719" w:rsidRDefault="00466BF6" w:rsidP="00296E0F">
            <w:pPr>
              <w:pStyle w:val="BodyText"/>
            </w:pPr>
            <w:r w:rsidRPr="00704719">
              <w:t>Requirement</w:t>
            </w:r>
          </w:p>
        </w:tc>
        <w:tc>
          <w:tcPr>
            <w:tcW w:w="7371" w:type="dxa"/>
            <w:vAlign w:val="center"/>
          </w:tcPr>
          <w:p w14:paraId="63498012"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115BFBEF" w14:textId="77777777" w:rsidTr="005611CD">
        <w:tc>
          <w:tcPr>
            <w:tcW w:w="2268" w:type="dxa"/>
          </w:tcPr>
          <w:p w14:paraId="78346618" w14:textId="10A6F791" w:rsidR="00466BF6" w:rsidRPr="003566BD" w:rsidRDefault="00F50412" w:rsidP="005611CD">
            <w:pPr>
              <w:pStyle w:val="BodyText"/>
            </w:pPr>
            <w:r>
              <w:t>Priority management actions</w:t>
            </w:r>
          </w:p>
        </w:tc>
        <w:tc>
          <w:tcPr>
            <w:tcW w:w="7371" w:type="dxa"/>
          </w:tcPr>
          <w:p w14:paraId="72D037DF" w14:textId="1681987F" w:rsidR="00466BF6" w:rsidRDefault="00CB03B5" w:rsidP="006670D2">
            <w:pPr>
              <w:pStyle w:val="PullOutBoxBullet"/>
            </w:pPr>
            <w:r w:rsidRPr="00F26BEE">
              <w:t>Conduct surveys to locate extant populations and identify strategic refugia</w:t>
            </w:r>
            <w:r w:rsidR="00FA79C3">
              <w:t>; and</w:t>
            </w:r>
          </w:p>
          <w:p w14:paraId="0D3DA7D3" w14:textId="6578A3C4" w:rsidR="00466BF6" w:rsidRPr="003566BD" w:rsidRDefault="00CB03B5" w:rsidP="006670D2">
            <w:pPr>
              <w:pStyle w:val="PullOutBoxBullet"/>
            </w:pPr>
            <w:r>
              <w:t>Engage with relevant landholders</w:t>
            </w:r>
            <w:r w:rsidR="00BB3612">
              <w:t xml:space="preserve"> and explore options for management</w:t>
            </w:r>
            <w:r w:rsidR="00FA79C3">
              <w:t>.</w:t>
            </w:r>
          </w:p>
        </w:tc>
      </w:tr>
      <w:tr w:rsidR="00466BF6" w:rsidRPr="00867DAA" w14:paraId="1AC2BE2F" w14:textId="77777777" w:rsidTr="005611CD">
        <w:tc>
          <w:tcPr>
            <w:tcW w:w="2268" w:type="dxa"/>
          </w:tcPr>
          <w:p w14:paraId="31D8C7BD" w14:textId="6C8B9760" w:rsidR="00466BF6" w:rsidRPr="00867DAA" w:rsidRDefault="00F50412" w:rsidP="005611CD">
            <w:pPr>
              <w:pStyle w:val="BodyText"/>
            </w:pPr>
            <w:r>
              <w:t>Potential m</w:t>
            </w:r>
            <w:r w:rsidR="00466BF6" w:rsidRPr="00867DAA">
              <w:t>anagement actions</w:t>
            </w:r>
          </w:p>
        </w:tc>
        <w:tc>
          <w:tcPr>
            <w:tcW w:w="7371" w:type="dxa"/>
          </w:tcPr>
          <w:p w14:paraId="38528DFF" w14:textId="77777777" w:rsidR="00466BF6" w:rsidRPr="00F26BEE" w:rsidRDefault="00466BF6" w:rsidP="006670D2">
            <w:pPr>
              <w:pStyle w:val="PullOutBoxBullet"/>
            </w:pPr>
            <w:r w:rsidRPr="00F26BEE">
              <w:t xml:space="preserve">Cease promotion of Tall Wheat-grass for planting in brackish habitats to increase recognition of the plant as a serious environmental weed; </w:t>
            </w:r>
          </w:p>
          <w:p w14:paraId="521E5158" w14:textId="77777777" w:rsidR="00466BF6" w:rsidRPr="00F26BEE" w:rsidRDefault="00466BF6" w:rsidP="006670D2">
            <w:pPr>
              <w:pStyle w:val="PullOutBoxBullet"/>
            </w:pPr>
            <w:r w:rsidRPr="00F26BEE">
              <w:t xml:space="preserve">Raise awareness about the range of threatened flora adapted and endemic to mineralised and sub-saline damp to wet habitats on the volcanic plains; and </w:t>
            </w:r>
          </w:p>
          <w:p w14:paraId="70237169" w14:textId="7C244874" w:rsidR="00466BF6" w:rsidRPr="009F2B89" w:rsidRDefault="00466BF6" w:rsidP="006670D2">
            <w:pPr>
              <w:pStyle w:val="PullOutBoxBullet"/>
            </w:pPr>
            <w:r w:rsidRPr="00F26BEE">
              <w:t>Provide financial incentives to landowners to fence of</w:t>
            </w:r>
            <w:r w:rsidR="00B87644">
              <w:t>f</w:t>
            </w:r>
            <w:r w:rsidRPr="00F26BEE">
              <w:t xml:space="preserve"> the </w:t>
            </w:r>
            <w:r w:rsidR="00C91800">
              <w:t>species’</w:t>
            </w:r>
            <w:r w:rsidRPr="00F26BEE">
              <w:t xml:space="preserve"> habitat.</w:t>
            </w:r>
          </w:p>
        </w:tc>
      </w:tr>
    </w:tbl>
    <w:p w14:paraId="3C06E06D" w14:textId="77777777" w:rsidR="00466BF6" w:rsidRDefault="00466BF6" w:rsidP="007E5EBF">
      <w:pPr>
        <w:pStyle w:val="Heading3"/>
      </w:pPr>
      <w:r w:rsidRPr="00D55628">
        <w:rPr>
          <w:rFonts w:cs="Times New Roman"/>
          <w:noProof/>
          <w:lang w:eastAsia="en-US"/>
        </w:rPr>
        <mc:AlternateContent>
          <mc:Choice Requires="wps">
            <w:drawing>
              <wp:anchor distT="0" distB="0" distL="114300" distR="114300" simplePos="1" relativeHeight="251658256" behindDoc="1" locked="1" layoutInCell="1" allowOverlap="1" wp14:anchorId="4DC3704C" wp14:editId="5DB7FBAF">
                <wp:simplePos x="359410" y="9071610"/>
                <wp:positionH relativeFrom="page">
                  <wp:posOffset>359410</wp:posOffset>
                </wp:positionH>
                <wp:positionV relativeFrom="page">
                  <wp:posOffset>9071610</wp:posOffset>
                </wp:positionV>
                <wp:extent cx="6840001" cy="432000"/>
                <wp:effectExtent l="0" t="0" r="0" b="0"/>
                <wp:wrapNone/>
                <wp:docPr id="111"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DF99B"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704C" id="_x0000_s1051" type="#_x0000_t202" alt="Title: Decorative Cover Shape" style="position:absolute;left:0;text-align:left;margin-left:28.3pt;margin-top:714.3pt;width:538.6pt;height:34pt;z-index:-2516582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UJfQIAAGo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" fillcolor="#201547" stroked="f" strokeweight=".5pt">
                <v:textbox inset="10mm,0,10mm,0">
                  <w:txbxContent>
                    <w:p w14:paraId="7B5DF99B"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55" behindDoc="0" locked="1" layoutInCell="1" allowOverlap="1" wp14:anchorId="763F4DE0" wp14:editId="759B7A64">
                <wp:simplePos x="0" y="0"/>
                <wp:positionH relativeFrom="page">
                  <wp:posOffset>360045</wp:posOffset>
                </wp:positionH>
                <wp:positionV relativeFrom="page">
                  <wp:posOffset>360045</wp:posOffset>
                </wp:positionV>
                <wp:extent cx="1864800" cy="1976400"/>
                <wp:effectExtent l="0" t="0" r="0" b="0"/>
                <wp:wrapNone/>
                <wp:docPr id="44"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C712DE7" id="TriangleTopACIMono" o:spid="_x0000_s1026" style="position:absolute;margin-left:28.35pt;margin-top:28.35pt;width:146.85pt;height:155.6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254" behindDoc="0" locked="1" layoutInCell="1" allowOverlap="1" wp14:anchorId="68B33D72" wp14:editId="3F4926A4">
                <wp:simplePos x="0" y="0"/>
                <wp:positionH relativeFrom="page">
                  <wp:posOffset>359410</wp:posOffset>
                </wp:positionH>
                <wp:positionV relativeFrom="page">
                  <wp:posOffset>359410</wp:posOffset>
                </wp:positionV>
                <wp:extent cx="1864800" cy="1976400"/>
                <wp:effectExtent l="0" t="0" r="0" b="0"/>
                <wp:wrapNone/>
                <wp:docPr id="45"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9F7C75F" id="TriangleTop" o:spid="_x0000_s1026" style="position:absolute;margin-left:28.3pt;margin-top:28.3pt;width:146.85pt;height:155.6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53" behindDoc="0" locked="1" layoutInCell="1" allowOverlap="1" wp14:anchorId="745C2E74" wp14:editId="0F6EFFEB">
                <wp:simplePos x="0" y="0"/>
                <wp:positionH relativeFrom="page">
                  <wp:posOffset>0</wp:posOffset>
                </wp:positionH>
                <wp:positionV relativeFrom="page">
                  <wp:align>bottom</wp:align>
                </wp:positionV>
                <wp:extent cx="3848400" cy="720000"/>
                <wp:effectExtent l="0" t="0" r="0" b="0"/>
                <wp:wrapNone/>
                <wp:docPr id="114"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8AB32"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C2E74" id="_x0000_s1052" type="#_x0000_t202" style="position:absolute;left:0;text-align:left;margin-left:0;margin-top:0;width:303pt;height:56.7pt;z-index:25165825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Ac5VThbgIAAEYFAAAOAAAAAAAAAAAAAAAAAC4C&#10;AABkcnMvZTJvRG9jLnhtbFBLAQItABQABgAIAAAAIQD0ys+o2gAAAAUBAAAPAAAAAAAAAAAAAAAA&#10;AMgEAABkcnMvZG93bnJldi54bWxQSwUGAAAAAAQABADzAAAAzwUAAAAA&#10;" filled="f" stroked="f" strokeweight=".5pt">
                <v:textbox inset="20mm">
                  <w:txbxContent>
                    <w:p w14:paraId="5C18AB32"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bookmarkStart w:id="177" w:name="_Toc88725170"/>
      <w:r>
        <w:t>Invasive Species</w:t>
      </w:r>
      <w:bookmarkEnd w:id="177"/>
    </w:p>
    <w:p w14:paraId="6EDC76C8" w14:textId="77777777" w:rsidR="00466BF6" w:rsidRPr="00660ABA" w:rsidRDefault="00466BF6" w:rsidP="00466BF6">
      <w:pPr>
        <w:pStyle w:val="Heading5"/>
        <w:numPr>
          <w:ilvl w:val="0"/>
          <w:numId w:val="0"/>
        </w:numPr>
        <w:ind w:left="1008" w:hanging="1008"/>
        <w:rPr>
          <w:rFonts w:ascii="Segoe UI" w:hAnsi="Segoe UI" w:cs="Segoe UI"/>
          <w:sz w:val="18"/>
          <w:szCs w:val="18"/>
        </w:rPr>
      </w:pPr>
      <w:r>
        <w:t>Invasive plant (weeds)</w:t>
      </w:r>
    </w:p>
    <w:p w14:paraId="1AC5D7E9" w14:textId="2976085C" w:rsidR="00466BF6" w:rsidRDefault="00466BF6" w:rsidP="00466BF6">
      <w:pPr>
        <w:pStyle w:val="BodyText"/>
      </w:pPr>
      <w:r>
        <w:t xml:space="preserve">A current and future threat is weed invasion of stands supporting the </w:t>
      </w:r>
      <w:r w:rsidR="00C91800">
        <w:t>species</w:t>
      </w:r>
      <w:r>
        <w:t>, particularly by exotic annuals and perennials. The small remnant stands of native vegetation from which al</w:t>
      </w:r>
      <w:r w:rsidRPr="00277B1B">
        <w:t xml:space="preserve">l Victorian </w:t>
      </w:r>
      <w:r>
        <w:t xml:space="preserve">records of the </w:t>
      </w:r>
      <w:r w:rsidR="00C91800">
        <w:t>species</w:t>
      </w:r>
      <w:r>
        <w:t xml:space="preserve"> occur </w:t>
      </w:r>
      <w:r w:rsidRPr="00277B1B">
        <w:t xml:space="preserve">are </w:t>
      </w:r>
      <w:r>
        <w:t>in</w:t>
      </w:r>
      <w:r w:rsidRPr="00277B1B">
        <w:t xml:space="preserve"> highly fragmented rural landscapes which are severely degraded by edge effects. </w:t>
      </w:r>
      <w:r>
        <w:t xml:space="preserve">A wide array of invasive exotic weeds </w:t>
      </w:r>
      <w:r w:rsidR="00E85301">
        <w:t>has</w:t>
      </w:r>
      <w:r>
        <w:t xml:space="preserve"> been recorded in all </w:t>
      </w:r>
      <w:r w:rsidRPr="00277B1B">
        <w:t>quadrat samples</w:t>
      </w:r>
      <w:r>
        <w:t xml:space="preserve"> undertaken</w:t>
      </w:r>
      <w:r w:rsidR="00E85301">
        <w:t xml:space="preserve"> and</w:t>
      </w:r>
      <w:r>
        <w:t xml:space="preserve"> make up a large proportion of the recorded taxa.</w:t>
      </w:r>
      <w:r w:rsidRPr="00277B1B">
        <w:t xml:space="preserve"> The </w:t>
      </w:r>
      <w:r w:rsidR="00C91800">
        <w:t>species</w:t>
      </w:r>
      <w:r w:rsidRPr="00277B1B">
        <w:t xml:space="preserve"> is a habitat specialist restricted to sites of high fertility and deep, waterlogged soils which are amongst the most susceptible to weed invasion in the state</w:t>
      </w:r>
      <w:r>
        <w:t>. C</w:t>
      </w:r>
      <w:r w:rsidRPr="00277B1B">
        <w:t xml:space="preserve">limate change may increase the capacity of some introduced plant </w:t>
      </w:r>
      <w:r>
        <w:t>taxa t</w:t>
      </w:r>
      <w:r w:rsidRPr="00277B1B">
        <w:t xml:space="preserve">o competitively occupy the </w:t>
      </w:r>
      <w:r w:rsidR="007276C8" w:rsidRPr="00277B1B">
        <w:t>habitat and</w:t>
      </w:r>
      <w:r w:rsidRPr="00277B1B">
        <w:t xml:space="preserve"> increase the likelihood of attempted agricultural intensification </w:t>
      </w:r>
      <w:r>
        <w:t xml:space="preserve">such as </w:t>
      </w:r>
      <w:r w:rsidRPr="00277B1B">
        <w:t>ploughing</w:t>
      </w:r>
      <w:r>
        <w:t xml:space="preserve"> and </w:t>
      </w:r>
      <w:r w:rsidRPr="00277B1B">
        <w:t>cropping</w:t>
      </w:r>
      <w:r>
        <w:t xml:space="preserve">. </w:t>
      </w:r>
      <w:r w:rsidRPr="00277B1B">
        <w:t xml:space="preserve">Agricultural </w:t>
      </w:r>
      <w:r w:rsidR="00B66D3B">
        <w:t>p</w:t>
      </w:r>
      <w:r w:rsidR="00C803B7">
        <w:t>racti</w:t>
      </w:r>
      <w:r w:rsidR="00CF55B3">
        <w:t>c</w:t>
      </w:r>
      <w:r w:rsidR="00C803B7">
        <w:t>e</w:t>
      </w:r>
      <w:r w:rsidRPr="00277B1B">
        <w:t xml:space="preserve">s can </w:t>
      </w:r>
      <w:r>
        <w:t xml:space="preserve">also </w:t>
      </w:r>
      <w:r w:rsidRPr="00277B1B">
        <w:t>lead to elevated nutrient levels and introductions of very high threat species such as Tall Wheat-grass.</w:t>
      </w:r>
      <w:r>
        <w:t xml:space="preserve"> </w:t>
      </w:r>
      <w:r w:rsidRPr="003566BD">
        <w:rPr>
          <w:rStyle w:val="BodyTextChar"/>
        </w:rPr>
        <w:t xml:space="preserve">The </w:t>
      </w:r>
      <w:r w:rsidR="00C91800">
        <w:rPr>
          <w:rStyle w:val="BodyTextChar"/>
        </w:rPr>
        <w:t>species</w:t>
      </w:r>
      <w:r w:rsidRPr="003566BD">
        <w:rPr>
          <w:rStyle w:val="BodyTextChar"/>
        </w:rPr>
        <w:t xml:space="preserve"> is to some extent resilient to the effects of grazing by sheep but pugging by cattle can have a high impact on this low growing stoloniferous </w:t>
      </w:r>
      <w:r w:rsidR="00C91800">
        <w:rPr>
          <w:rStyle w:val="BodyTextChar"/>
        </w:rPr>
        <w:t>species</w:t>
      </w:r>
      <w:r w:rsidRPr="003566BD">
        <w:rPr>
          <w:rStyle w:val="BodyTextChar"/>
        </w:rPr>
        <w:t>.</w:t>
      </w:r>
      <w:r w:rsidRPr="00952D11">
        <w:t xml:space="preserve"> </w:t>
      </w:r>
    </w:p>
    <w:p w14:paraId="32F8C5DC" w14:textId="7354A4D9" w:rsidR="00466BF6" w:rsidRPr="005F5E15" w:rsidRDefault="00466BF6" w:rsidP="00466BF6">
      <w:pPr>
        <w:pStyle w:val="BodyText"/>
        <w:rPr>
          <w:rFonts w:ascii="Calibri" w:hAnsi="Calibri" w:cs="Calibri"/>
          <w:color w:val="000000"/>
          <w:sz w:val="22"/>
          <w:szCs w:val="22"/>
        </w:rPr>
      </w:pPr>
      <w:r>
        <w:t xml:space="preserve">This hazard extends across all the </w:t>
      </w:r>
      <w:r w:rsidR="00C91800">
        <w:t>species’</w:t>
      </w:r>
      <w:r>
        <w:t xml:space="preserve"> populations</w:t>
      </w:r>
      <w:r>
        <w:rPr>
          <w:rStyle w:val="BodyTextChar"/>
        </w:rPr>
        <w:t xml:space="preserve">, with </w:t>
      </w:r>
      <w:r w:rsidR="00DB2919">
        <w:rPr>
          <w:rStyle w:val="BodyTextChar"/>
        </w:rPr>
        <w:t>most of</w:t>
      </w:r>
      <w:r w:rsidRPr="003566BD">
        <w:rPr>
          <w:rStyle w:val="BodyTextChar"/>
        </w:rPr>
        <w:t xml:space="preserve"> the </w:t>
      </w:r>
      <w:r w:rsidR="00C91800">
        <w:rPr>
          <w:rStyle w:val="BodyTextChar"/>
        </w:rPr>
        <w:t>species</w:t>
      </w:r>
      <w:r w:rsidRPr="003566BD">
        <w:rPr>
          <w:rStyle w:val="BodyTextChar"/>
        </w:rPr>
        <w:t xml:space="preserve"> restricted to the </w:t>
      </w:r>
      <w:r>
        <w:rPr>
          <w:rStyle w:val="BodyTextChar"/>
        </w:rPr>
        <w:t>West</w:t>
      </w:r>
      <w:r w:rsidRPr="003566BD">
        <w:rPr>
          <w:rStyle w:val="BodyTextChar"/>
        </w:rPr>
        <w:t xml:space="preserve"> RFA</w:t>
      </w:r>
      <w:r w:rsidR="00F23EF8">
        <w:rPr>
          <w:rStyle w:val="BodyTextChar"/>
        </w:rPr>
        <w:t xml:space="preserve"> region</w:t>
      </w:r>
      <w:r>
        <w:rPr>
          <w:rStyle w:val="BodyTextChar"/>
        </w:rPr>
        <w:t>. T</w:t>
      </w:r>
      <w:r w:rsidRPr="003566BD">
        <w:rPr>
          <w:rStyle w:val="BodyTextChar"/>
        </w:rPr>
        <w:t>he only known occurrence in the Central Highlands RFA</w:t>
      </w:r>
      <w:r w:rsidR="00F23EF8">
        <w:rPr>
          <w:rStyle w:val="BodyTextChar"/>
        </w:rPr>
        <w:t xml:space="preserve"> region</w:t>
      </w:r>
      <w:r w:rsidRPr="003566BD">
        <w:rPr>
          <w:rStyle w:val="BodyTextChar"/>
        </w:rPr>
        <w:t xml:space="preserve"> </w:t>
      </w:r>
      <w:r>
        <w:rPr>
          <w:rStyle w:val="BodyTextChar"/>
        </w:rPr>
        <w:t xml:space="preserve">is </w:t>
      </w:r>
      <w:r w:rsidRPr="003566BD">
        <w:rPr>
          <w:rStyle w:val="BodyTextChar"/>
        </w:rPr>
        <w:t>from the Craigieburn Grasslands (in wetland habitat adjacent to Curly Sedge Creek)</w:t>
      </w:r>
      <w:r>
        <w:rPr>
          <w:rStyle w:val="BodyTextChar"/>
        </w:rPr>
        <w:t xml:space="preserve"> </w:t>
      </w:r>
      <w:r w:rsidRPr="003566BD">
        <w:rPr>
          <w:rStyle w:val="BodyTextChar"/>
        </w:rPr>
        <w:t xml:space="preserve">where its ongoing persistence requires confirmation due to the impacts of negligent management, notably major invasion by Spiny Rush </w:t>
      </w:r>
      <w:r>
        <w:rPr>
          <w:rStyle w:val="BodyTextChar"/>
        </w:rPr>
        <w:t>(</w:t>
      </w:r>
      <w:r>
        <w:rPr>
          <w:rStyle w:val="BodyTextChar"/>
          <w:i/>
          <w:iCs/>
        </w:rPr>
        <w:t xml:space="preserve">Juncus </w:t>
      </w:r>
      <w:r w:rsidRPr="00FB23E3">
        <w:rPr>
          <w:rStyle w:val="BodyTextChar"/>
          <w:i/>
          <w:iCs/>
        </w:rPr>
        <w:t>acutus</w:t>
      </w:r>
      <w:r>
        <w:rPr>
          <w:rStyle w:val="BodyTextChar"/>
        </w:rPr>
        <w:t xml:space="preserve">) </w:t>
      </w:r>
      <w:r w:rsidRPr="00FB23E3">
        <w:rPr>
          <w:rStyle w:val="BodyTextChar"/>
        </w:rPr>
        <w:t>and</w:t>
      </w:r>
      <w:r w:rsidRPr="003566BD">
        <w:rPr>
          <w:rStyle w:val="BodyTextChar"/>
        </w:rPr>
        <w:t xml:space="preserve"> modifications to surrounding land-use. Increased urbanisation of surrounding areas will reduce the chances of persistence of any remaining populations in the catchment of Curly Sedge Creek. In the Gippsland region it is of very restricted distribution, and only known with certainty from Lake Omeo.</w:t>
      </w:r>
    </w:p>
    <w:p w14:paraId="0CCB55F4" w14:textId="77777777" w:rsidR="00466BF6" w:rsidRPr="00277B1B" w:rsidRDefault="00466BF6" w:rsidP="00466BF6">
      <w:pPr>
        <w:pStyle w:val="BodyText"/>
      </w:pPr>
      <w:r w:rsidRPr="00277B1B">
        <w:t>Current existing controls for this hazard include:</w:t>
      </w:r>
    </w:p>
    <w:p w14:paraId="6FAD1AA0" w14:textId="77777777" w:rsidR="00466BF6" w:rsidRPr="00277B1B" w:rsidRDefault="00466BF6" w:rsidP="006670D2">
      <w:pPr>
        <w:pStyle w:val="PullOutBoxBullet"/>
      </w:pPr>
      <w:r>
        <w:t xml:space="preserve"> The </w:t>
      </w:r>
      <w:r w:rsidRPr="000735D7">
        <w:rPr>
          <w:i/>
        </w:rPr>
        <w:t>Catchment and Land Protection Act 1994</w:t>
      </w:r>
      <w:r w:rsidRPr="00277B1B">
        <w:t xml:space="preserve">. </w:t>
      </w:r>
      <w:r w:rsidRPr="00160F2E">
        <w:t>The effectiveness of this control for this species has been evaluated a</w:t>
      </w:r>
      <w:r>
        <w:t xml:space="preserve">s </w:t>
      </w:r>
      <w:r w:rsidRPr="00277B1B">
        <w:t>poor, as selective and effective control of ground-layer species such as introduced grasses is extremely difficult, especially over broader areas, and consequently outside of the scope and resources of most weed control programs.</w:t>
      </w:r>
    </w:p>
    <w:p w14:paraId="5EE353AD" w14:textId="50E9D60F" w:rsidR="00466BF6" w:rsidRPr="000735D7" w:rsidRDefault="00466BF6" w:rsidP="006670D2">
      <w:pPr>
        <w:pStyle w:val="PullOutBoxBullet"/>
        <w:rPr>
          <w:rFonts w:ascii="Arial" w:hAnsi="Arial"/>
          <w:color w:val="363534"/>
        </w:rPr>
      </w:pPr>
      <w:r w:rsidRPr="00277B1B">
        <w:t xml:space="preserve">Targeted pest and weed programs. </w:t>
      </w:r>
      <w:r w:rsidRPr="00160F2E">
        <w:t>The effectiveness of this control for this species has been evaluated as</w:t>
      </w:r>
      <w:r>
        <w:t xml:space="preserve"> </w:t>
      </w:r>
      <w:r w:rsidRPr="00277B1B">
        <w:t>poor, as selective and effective control of ground-layer species such as introduced grasses is extremely difficult and time consuming, especially over broader areas, and consequently outside of the scope and resources of most weed control programs</w:t>
      </w:r>
      <w:r>
        <w:t xml:space="preserve">. High-level plant identification skills are also needed to </w:t>
      </w:r>
      <w:r w:rsidRPr="00277B1B">
        <w:t>selectively treat the relevant weed species without eliminating the associated ground flora</w:t>
      </w:r>
      <w:r>
        <w:t xml:space="preserve">. </w:t>
      </w:r>
      <w:r w:rsidRPr="00277B1B">
        <w:t xml:space="preserve">Very few weed control programs are undertaken in wetland communities that support the </w:t>
      </w:r>
      <w:r w:rsidR="00C91800">
        <w:t>species</w:t>
      </w:r>
      <w:r w:rsidRPr="00277B1B">
        <w:t xml:space="preserve">, and many weeds impacting </w:t>
      </w:r>
      <w:r>
        <w:t xml:space="preserve">the </w:t>
      </w:r>
      <w:r w:rsidR="00C91800">
        <w:t>species</w:t>
      </w:r>
      <w:r w:rsidRPr="00277B1B">
        <w:t xml:space="preserve"> are rarely subject to control programs. </w:t>
      </w:r>
    </w:p>
    <w:p w14:paraId="520DEEE2" w14:textId="43F73A35"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60</w:t>
      </w:r>
      <w:r w:rsidR="000B6788" w:rsidRPr="00B6162A">
        <w:rPr>
          <w:bCs/>
          <w:noProof/>
        </w:rPr>
        <w:fldChar w:fldCharType="end"/>
      </w:r>
      <w:r w:rsidRPr="00FF310C">
        <w:t>. Brackish Plains Buttercup protection requirements and recommendations for invasive plant (weeds)</w:t>
      </w:r>
    </w:p>
    <w:tbl>
      <w:tblPr>
        <w:tblStyle w:val="TableGrid"/>
        <w:tblW w:w="0" w:type="auto"/>
        <w:tblLook w:val="04A0" w:firstRow="1" w:lastRow="0" w:firstColumn="1" w:lastColumn="0" w:noHBand="0" w:noVBand="1"/>
      </w:tblPr>
      <w:tblGrid>
        <w:gridCol w:w="2268"/>
        <w:gridCol w:w="7371"/>
      </w:tblGrid>
      <w:tr w:rsidR="00466BF6" w:rsidRPr="00867DAA" w14:paraId="2EF9635C" w14:textId="77777777" w:rsidTr="60664A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7B924889" w14:textId="77777777" w:rsidR="00466BF6" w:rsidRPr="00704719" w:rsidRDefault="00466BF6" w:rsidP="00296E0F">
            <w:pPr>
              <w:pStyle w:val="BodyText"/>
            </w:pPr>
            <w:r w:rsidRPr="00704719">
              <w:t>Requirement</w:t>
            </w:r>
          </w:p>
        </w:tc>
        <w:tc>
          <w:tcPr>
            <w:tcW w:w="7371" w:type="dxa"/>
            <w:vAlign w:val="center"/>
          </w:tcPr>
          <w:p w14:paraId="35F5BA50"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7156911B" w14:textId="77777777" w:rsidTr="60664A41">
        <w:tc>
          <w:tcPr>
            <w:tcW w:w="2268" w:type="dxa"/>
          </w:tcPr>
          <w:p w14:paraId="30658129" w14:textId="7023D88E" w:rsidR="00466BF6" w:rsidRPr="003566BD" w:rsidRDefault="00F50412" w:rsidP="005611CD">
            <w:pPr>
              <w:pStyle w:val="BodyText"/>
            </w:pPr>
            <w:r>
              <w:t>Priority management actions</w:t>
            </w:r>
          </w:p>
        </w:tc>
        <w:tc>
          <w:tcPr>
            <w:tcW w:w="7371" w:type="dxa"/>
          </w:tcPr>
          <w:p w14:paraId="4118D956" w14:textId="77777777" w:rsidR="00466BF6" w:rsidRPr="003566BD" w:rsidRDefault="00466BF6" w:rsidP="005611CD">
            <w:pPr>
              <w:pStyle w:val="BodyText"/>
            </w:pPr>
            <w:r w:rsidRPr="00200995">
              <w:t xml:space="preserve">Not required for this hazard </w:t>
            </w:r>
            <w:r>
              <w:t>as it is a longer-term threat.</w:t>
            </w:r>
          </w:p>
        </w:tc>
      </w:tr>
      <w:tr w:rsidR="00466BF6" w:rsidRPr="00867DAA" w14:paraId="3D391F09" w14:textId="77777777" w:rsidTr="60664A41">
        <w:tc>
          <w:tcPr>
            <w:tcW w:w="2268" w:type="dxa"/>
          </w:tcPr>
          <w:p w14:paraId="5A037EEF" w14:textId="7167D397" w:rsidR="00466BF6" w:rsidRPr="00867DAA" w:rsidRDefault="00F50412" w:rsidP="005611CD">
            <w:pPr>
              <w:pStyle w:val="BodyText"/>
            </w:pPr>
            <w:r>
              <w:t>Potential m</w:t>
            </w:r>
            <w:r w:rsidR="00466BF6" w:rsidRPr="00867DAA">
              <w:t>anagement actions</w:t>
            </w:r>
          </w:p>
        </w:tc>
        <w:tc>
          <w:tcPr>
            <w:tcW w:w="7371" w:type="dxa"/>
          </w:tcPr>
          <w:p w14:paraId="532988DD" w14:textId="77777777" w:rsidR="00466BF6" w:rsidRPr="00F26BEE" w:rsidRDefault="00466BF6" w:rsidP="006670D2">
            <w:pPr>
              <w:pStyle w:val="PullOutBoxBullet"/>
            </w:pPr>
            <w:r>
              <w:t>Cease the promotion and active dispersal of new and existing serious environmental weeds into saline areas on the Western Volcanics, such as Tall Wheat-grass, and create broader recognition of these plants as serious environmental weeds; and</w:t>
            </w:r>
          </w:p>
          <w:p w14:paraId="7B7471A7" w14:textId="77777777" w:rsidR="00466BF6" w:rsidRPr="009F2B89" w:rsidRDefault="00466BF6" w:rsidP="006670D2">
            <w:pPr>
              <w:pStyle w:val="PullOutBoxBullet"/>
            </w:pPr>
            <w:r>
              <w:t>M</w:t>
            </w:r>
            <w:r w:rsidRPr="00C04383">
              <w:t>onitor weeds and conduct weed control programs where needed.</w:t>
            </w:r>
          </w:p>
        </w:tc>
      </w:tr>
    </w:tbl>
    <w:p w14:paraId="5368706A" w14:textId="77777777" w:rsidR="00466BF6" w:rsidRDefault="00466BF6" w:rsidP="00466BF6">
      <w:pPr>
        <w:tabs>
          <w:tab w:val="left" w:pos="2505"/>
        </w:tabs>
      </w:pPr>
    </w:p>
    <w:p w14:paraId="68AD6BAC" w14:textId="77777777" w:rsidR="00466BF6" w:rsidRDefault="00466BF6" w:rsidP="00466BF6">
      <w:r>
        <w:br w:type="page"/>
      </w:r>
    </w:p>
    <w:p w14:paraId="6008852B" w14:textId="77777777" w:rsidR="00466BF6" w:rsidRPr="004523C2" w:rsidRDefault="00466BF6" w:rsidP="00FB5A2B">
      <w:pPr>
        <w:pStyle w:val="Heading2"/>
        <w:ind w:left="0"/>
      </w:pPr>
      <w:bookmarkStart w:id="178" w:name="_Toc88557991"/>
      <w:bookmarkStart w:id="179" w:name="_Toc88725534"/>
      <w:bookmarkStart w:id="180" w:name="_Toc95233344"/>
      <w:bookmarkStart w:id="181" w:name="_Toc113271035"/>
      <w:r>
        <w:t>Bristly Shield-fern </w:t>
      </w:r>
      <w:r w:rsidRPr="60664A41">
        <w:rPr>
          <w:i/>
          <w:iCs/>
        </w:rPr>
        <w:t>(Lastreopsis hispida)</w:t>
      </w:r>
      <w:bookmarkEnd w:id="178"/>
      <w:bookmarkEnd w:id="179"/>
      <w:bookmarkEnd w:id="180"/>
      <w:bookmarkEnd w:id="181"/>
      <w:r>
        <w:t> </w:t>
      </w:r>
    </w:p>
    <w:p w14:paraId="41E99ABD" w14:textId="11E9E74D" w:rsidR="00466BF6" w:rsidRPr="003E1225" w:rsidRDefault="00466BF6" w:rsidP="00466BF6">
      <w:pPr>
        <w:pStyle w:val="BodyText"/>
        <w:rPr>
          <w:rFonts w:ascii="Arial" w:hAnsi="Arial"/>
          <w:color w:val="363534"/>
        </w:rPr>
      </w:pPr>
      <w:r w:rsidRPr="00521CB4">
        <w:t xml:space="preserve">The </w:t>
      </w:r>
      <w:r>
        <w:t>Bristly Shield-fern</w:t>
      </w:r>
      <w:r w:rsidRPr="00521CB4">
        <w:t xml:space="preserve"> was listed</w:t>
      </w:r>
      <w:r>
        <w:t xml:space="preserve"> as </w:t>
      </w:r>
      <w:r w:rsidRPr="007935D4">
        <w:t>Endangered</w:t>
      </w:r>
      <w:r>
        <w:t xml:space="preserve"> in Victoria under the FFG Act in May 2021. The </w:t>
      </w:r>
      <w:r w:rsidR="00C91800">
        <w:t>species</w:t>
      </w:r>
      <w:r>
        <w:t xml:space="preserve"> has modelled habitat in the West (75% of modelled habitat) and Central Highlands (25% of modelled habitat) RFA regions, however it also occurs in the East Gippsland RFA</w:t>
      </w:r>
      <w:r w:rsidR="00F23EF8">
        <w:t xml:space="preserve"> region</w:t>
      </w:r>
      <w:r>
        <w:t>.</w:t>
      </w:r>
      <w:r w:rsidRPr="00B31978">
        <w:rPr>
          <w:rStyle w:val="BodyTextChar"/>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 </w:t>
      </w:r>
    </w:p>
    <w:p w14:paraId="39E20F84" w14:textId="77777777" w:rsidR="00466BF6" w:rsidRDefault="00466BF6" w:rsidP="007E5EBF">
      <w:pPr>
        <w:pStyle w:val="Heading3"/>
      </w:pPr>
      <w:bookmarkStart w:id="182" w:name="_Toc88725535"/>
      <w:bookmarkStart w:id="183" w:name="_Toc88725536"/>
      <w:bookmarkStart w:id="184" w:name="_Toc88725537"/>
      <w:bookmarkStart w:id="185" w:name="_Toc88725538"/>
      <w:bookmarkEnd w:id="182"/>
      <w:bookmarkEnd w:id="183"/>
      <w:bookmarkEnd w:id="184"/>
      <w:r>
        <w:t>Risk Assessment</w:t>
      </w:r>
      <w:bookmarkEnd w:id="185"/>
    </w:p>
    <w:p w14:paraId="307A000A" w14:textId="1855C9CA" w:rsidR="00466BF6" w:rsidRPr="00FF310C" w:rsidRDefault="00466BF6" w:rsidP="006670D2">
      <w:pPr>
        <w:pStyle w:val="Caption"/>
      </w:pPr>
      <w:r w:rsidRPr="00FF310C">
        <w:t xml:space="preserve">Table </w:t>
      </w:r>
      <w:r w:rsidRPr="00B6162A">
        <w:rPr>
          <w:bCs/>
        </w:rPr>
        <w:fldChar w:fldCharType="begin"/>
      </w:r>
      <w:r w:rsidRPr="00FF310C">
        <w:instrText>SEQ Table \* ARABIC</w:instrText>
      </w:r>
      <w:r w:rsidRPr="00B6162A">
        <w:rPr>
          <w:bCs/>
        </w:rPr>
        <w:fldChar w:fldCharType="separate"/>
      </w:r>
      <w:r w:rsidR="00692F0D">
        <w:rPr>
          <w:noProof/>
        </w:rPr>
        <w:t>61</w:t>
      </w:r>
      <w:r w:rsidRPr="00B6162A">
        <w:rPr>
          <w:bCs/>
        </w:rPr>
        <w:fldChar w:fldCharType="end"/>
      </w:r>
      <w:r w:rsidRPr="00FF310C">
        <w:t>. Bristly Shield-fern risk ratings in the Central Highlands, East Gippsland and West RFA regions:</w:t>
      </w:r>
    </w:p>
    <w:tbl>
      <w:tblPr>
        <w:tblStyle w:val="TableGrid"/>
        <w:tblW w:w="0" w:type="auto"/>
        <w:tblLook w:val="04A0" w:firstRow="1" w:lastRow="0" w:firstColumn="1" w:lastColumn="0" w:noHBand="0" w:noVBand="1"/>
      </w:tblPr>
      <w:tblGrid>
        <w:gridCol w:w="2410"/>
        <w:gridCol w:w="2410"/>
        <w:gridCol w:w="2410"/>
      </w:tblGrid>
      <w:tr w:rsidR="00466BF6" w14:paraId="2D33EC38" w14:textId="77777777" w:rsidTr="00225DD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vAlign w:val="center"/>
          </w:tcPr>
          <w:p w14:paraId="5360453E" w14:textId="77777777" w:rsidR="00466BF6" w:rsidRPr="00643008" w:rsidRDefault="00466BF6" w:rsidP="006670D2">
            <w:pPr>
              <w:pStyle w:val="CaptionImageorFigure"/>
            </w:pPr>
          </w:p>
        </w:tc>
        <w:tc>
          <w:tcPr>
            <w:tcW w:w="2410" w:type="dxa"/>
            <w:vAlign w:val="center"/>
          </w:tcPr>
          <w:p w14:paraId="2F4D2B8C" w14:textId="7451CA29" w:rsidR="00466BF6" w:rsidRPr="00643008"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2410" w:type="dxa"/>
            <w:vAlign w:val="center"/>
          </w:tcPr>
          <w:p w14:paraId="3E8C7366"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rsidRPr="00E30316">
              <w:t>Planned burning</w:t>
            </w:r>
          </w:p>
        </w:tc>
      </w:tr>
      <w:tr w:rsidR="00466BF6" w14:paraId="5F6B7A2B" w14:textId="77777777" w:rsidTr="00225DD6">
        <w:tc>
          <w:tcPr>
            <w:tcW w:w="2410" w:type="dxa"/>
            <w:vAlign w:val="center"/>
          </w:tcPr>
          <w:p w14:paraId="3BF9E3DB" w14:textId="77777777" w:rsidR="00466BF6" w:rsidRPr="006F1079" w:rsidRDefault="00466BF6" w:rsidP="00D215FB">
            <w:pPr>
              <w:pStyle w:val="BodyText"/>
              <w:jc w:val="center"/>
            </w:pPr>
            <w:r w:rsidRPr="006F1079">
              <w:t>Consequence</w:t>
            </w:r>
          </w:p>
        </w:tc>
        <w:tc>
          <w:tcPr>
            <w:tcW w:w="2410" w:type="dxa"/>
            <w:vAlign w:val="center"/>
          </w:tcPr>
          <w:p w14:paraId="7CA71548" w14:textId="77777777" w:rsidR="00466BF6" w:rsidRPr="006F1079" w:rsidRDefault="00466BF6" w:rsidP="00D215FB">
            <w:pPr>
              <w:pStyle w:val="BodyText"/>
              <w:jc w:val="center"/>
            </w:pPr>
            <w:r w:rsidRPr="006F1079">
              <w:t>Extreme</w:t>
            </w:r>
          </w:p>
        </w:tc>
        <w:tc>
          <w:tcPr>
            <w:tcW w:w="2410" w:type="dxa"/>
            <w:vAlign w:val="center"/>
          </w:tcPr>
          <w:p w14:paraId="30E86B5C" w14:textId="77777777" w:rsidR="00466BF6" w:rsidRPr="006F1079" w:rsidRDefault="00466BF6" w:rsidP="00D215FB">
            <w:pPr>
              <w:pStyle w:val="BodyText"/>
              <w:jc w:val="center"/>
            </w:pPr>
            <w:r w:rsidRPr="006F1079">
              <w:t>Moderate</w:t>
            </w:r>
          </w:p>
        </w:tc>
      </w:tr>
      <w:tr w:rsidR="00466BF6" w14:paraId="2E87C08C" w14:textId="77777777" w:rsidTr="00225DD6">
        <w:tc>
          <w:tcPr>
            <w:tcW w:w="2410" w:type="dxa"/>
            <w:vAlign w:val="center"/>
          </w:tcPr>
          <w:p w14:paraId="393AA3FB" w14:textId="77777777" w:rsidR="00466BF6" w:rsidRPr="006F1079" w:rsidRDefault="00466BF6" w:rsidP="00D215FB">
            <w:pPr>
              <w:pStyle w:val="BodyText"/>
              <w:jc w:val="center"/>
            </w:pPr>
            <w:r w:rsidRPr="006F1079">
              <w:t>Likelihood</w:t>
            </w:r>
          </w:p>
        </w:tc>
        <w:tc>
          <w:tcPr>
            <w:tcW w:w="2410" w:type="dxa"/>
            <w:vAlign w:val="center"/>
          </w:tcPr>
          <w:p w14:paraId="19B19E4A" w14:textId="77777777" w:rsidR="00466BF6" w:rsidRPr="006F1079" w:rsidRDefault="00466BF6" w:rsidP="00D215FB">
            <w:pPr>
              <w:pStyle w:val="BodyText"/>
              <w:jc w:val="center"/>
            </w:pPr>
            <w:r w:rsidRPr="006F1079">
              <w:t>Almost Certain</w:t>
            </w:r>
          </w:p>
        </w:tc>
        <w:tc>
          <w:tcPr>
            <w:tcW w:w="2410" w:type="dxa"/>
            <w:vAlign w:val="center"/>
          </w:tcPr>
          <w:p w14:paraId="4E124902" w14:textId="77777777" w:rsidR="00466BF6" w:rsidRPr="006F1079" w:rsidRDefault="00466BF6" w:rsidP="00D215FB">
            <w:pPr>
              <w:pStyle w:val="BodyText"/>
              <w:jc w:val="center"/>
            </w:pPr>
            <w:r w:rsidRPr="006F1079">
              <w:t>Possible</w:t>
            </w:r>
          </w:p>
        </w:tc>
      </w:tr>
      <w:tr w:rsidR="00466BF6" w14:paraId="45AA4665" w14:textId="77777777" w:rsidTr="00225DD6">
        <w:tc>
          <w:tcPr>
            <w:tcW w:w="2410" w:type="dxa"/>
            <w:vAlign w:val="center"/>
          </w:tcPr>
          <w:p w14:paraId="28F28723" w14:textId="77777777" w:rsidR="00466BF6" w:rsidRPr="006F1079" w:rsidRDefault="00466BF6" w:rsidP="00D215FB">
            <w:pPr>
              <w:pStyle w:val="BodyText"/>
              <w:jc w:val="center"/>
            </w:pPr>
            <w:r w:rsidRPr="006F1079">
              <w:t>Overall risk rating</w:t>
            </w:r>
          </w:p>
        </w:tc>
        <w:tc>
          <w:tcPr>
            <w:tcW w:w="2410" w:type="dxa"/>
            <w:shd w:val="clear" w:color="auto" w:fill="FF0000"/>
            <w:vAlign w:val="center"/>
          </w:tcPr>
          <w:p w14:paraId="7B37201B" w14:textId="77777777" w:rsidR="00466BF6" w:rsidRPr="006F1079" w:rsidRDefault="00466BF6" w:rsidP="00D215FB">
            <w:pPr>
              <w:pStyle w:val="BodyText"/>
              <w:jc w:val="center"/>
            </w:pPr>
            <w:r w:rsidRPr="006F1079">
              <w:t>High</w:t>
            </w:r>
          </w:p>
        </w:tc>
        <w:tc>
          <w:tcPr>
            <w:tcW w:w="2410" w:type="dxa"/>
            <w:shd w:val="clear" w:color="auto" w:fill="FFFF00"/>
            <w:vAlign w:val="center"/>
          </w:tcPr>
          <w:p w14:paraId="0CD79636" w14:textId="77777777" w:rsidR="00466BF6" w:rsidRPr="006F1079" w:rsidRDefault="00466BF6" w:rsidP="00D215FB">
            <w:pPr>
              <w:pStyle w:val="BodyText"/>
              <w:jc w:val="center"/>
            </w:pPr>
            <w:r w:rsidRPr="006F1079">
              <w:t>Medium</w:t>
            </w:r>
          </w:p>
        </w:tc>
      </w:tr>
    </w:tbl>
    <w:p w14:paraId="305B740C" w14:textId="5E152FC1" w:rsidR="00466BF6" w:rsidRPr="00FF310C" w:rsidRDefault="00466BF6" w:rsidP="006670D2">
      <w:pPr>
        <w:pStyle w:val="Caption"/>
      </w:pPr>
      <w:bookmarkStart w:id="186" w:name="_Toc88725539"/>
      <w:bookmarkStart w:id="187" w:name="_Toc88725540"/>
      <w:bookmarkStart w:id="188" w:name="_Toc88725541"/>
      <w:bookmarkStart w:id="189" w:name="_Toc88725543"/>
      <w:bookmarkStart w:id="190" w:name="_Toc88725542"/>
      <w:bookmarkEnd w:id="186"/>
      <w:bookmarkEnd w:id="187"/>
      <w:bookmarkEnd w:id="188"/>
      <w:r w:rsidRPr="00FF310C">
        <w:t xml:space="preserve">Table </w:t>
      </w:r>
      <w:r w:rsidRPr="00B6162A">
        <w:rPr>
          <w:bCs/>
        </w:rPr>
        <w:fldChar w:fldCharType="begin"/>
      </w:r>
      <w:r w:rsidRPr="00FF310C">
        <w:instrText>SEQ Table \* ARABIC</w:instrText>
      </w:r>
      <w:r w:rsidRPr="00B6162A">
        <w:rPr>
          <w:bCs/>
        </w:rPr>
        <w:fldChar w:fldCharType="separate"/>
      </w:r>
      <w:r w:rsidR="00692F0D">
        <w:rPr>
          <w:noProof/>
        </w:rPr>
        <w:t>62</w:t>
      </w:r>
      <w:r w:rsidRPr="00B6162A">
        <w:rPr>
          <w:bCs/>
        </w:rPr>
        <w:fldChar w:fldCharType="end"/>
      </w:r>
      <w:r w:rsidRPr="00FF310C">
        <w:t>. Bristly Shield-fern risk ratings in the Central Highlands and East Gippsland RFA regions only:</w:t>
      </w:r>
    </w:p>
    <w:tbl>
      <w:tblPr>
        <w:tblStyle w:val="TableGrid"/>
        <w:tblW w:w="0" w:type="auto"/>
        <w:tblLook w:val="04A0" w:firstRow="1" w:lastRow="0" w:firstColumn="1" w:lastColumn="0" w:noHBand="0" w:noVBand="1"/>
      </w:tblPr>
      <w:tblGrid>
        <w:gridCol w:w="2410"/>
        <w:gridCol w:w="2410"/>
        <w:gridCol w:w="2410"/>
      </w:tblGrid>
      <w:tr w:rsidR="00466BF6" w14:paraId="019DD798" w14:textId="77777777" w:rsidTr="00225DD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vAlign w:val="center"/>
          </w:tcPr>
          <w:p w14:paraId="3F7FC4A7" w14:textId="77777777" w:rsidR="00466BF6" w:rsidRPr="00643008" w:rsidRDefault="00466BF6" w:rsidP="006670D2">
            <w:pPr>
              <w:pStyle w:val="CaptionImageorFigure"/>
            </w:pPr>
          </w:p>
        </w:tc>
        <w:tc>
          <w:tcPr>
            <w:tcW w:w="2410" w:type="dxa"/>
            <w:vAlign w:val="center"/>
          </w:tcPr>
          <w:p w14:paraId="23A821C5" w14:textId="360EECDF" w:rsidR="00466BF6" w:rsidRPr="007935D4" w:rsidRDefault="00BC4502"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466BF6">
              <w:t>orestry operations</w:t>
            </w:r>
          </w:p>
        </w:tc>
        <w:tc>
          <w:tcPr>
            <w:tcW w:w="2410" w:type="dxa"/>
            <w:vAlign w:val="center"/>
          </w:tcPr>
          <w:p w14:paraId="04245A03"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466BF6" w14:paraId="1282C08B" w14:textId="77777777" w:rsidTr="00225DD6">
        <w:tc>
          <w:tcPr>
            <w:tcW w:w="2410" w:type="dxa"/>
            <w:vAlign w:val="center"/>
          </w:tcPr>
          <w:p w14:paraId="1F64A608" w14:textId="77777777" w:rsidR="00466BF6" w:rsidRPr="006F1079" w:rsidRDefault="00466BF6" w:rsidP="00D215FB">
            <w:pPr>
              <w:pStyle w:val="BodyText"/>
              <w:jc w:val="center"/>
            </w:pPr>
            <w:r w:rsidRPr="006F1079">
              <w:t>Consequence</w:t>
            </w:r>
          </w:p>
        </w:tc>
        <w:tc>
          <w:tcPr>
            <w:tcW w:w="2410" w:type="dxa"/>
            <w:vAlign w:val="center"/>
          </w:tcPr>
          <w:p w14:paraId="73424324" w14:textId="77777777" w:rsidR="00466BF6" w:rsidRPr="007935D4" w:rsidRDefault="00466BF6" w:rsidP="00D215FB">
            <w:pPr>
              <w:pStyle w:val="BodyText"/>
              <w:jc w:val="center"/>
            </w:pPr>
            <w:r w:rsidRPr="007935D4">
              <w:t>Moderate</w:t>
            </w:r>
          </w:p>
        </w:tc>
        <w:tc>
          <w:tcPr>
            <w:tcW w:w="2410" w:type="dxa"/>
            <w:vAlign w:val="center"/>
          </w:tcPr>
          <w:p w14:paraId="5016B74C" w14:textId="77777777" w:rsidR="00466BF6" w:rsidRPr="006F1079" w:rsidRDefault="00466BF6" w:rsidP="00D215FB">
            <w:pPr>
              <w:pStyle w:val="BodyText"/>
              <w:jc w:val="center"/>
            </w:pPr>
            <w:r w:rsidRPr="006F1079">
              <w:t>Moderate</w:t>
            </w:r>
          </w:p>
        </w:tc>
      </w:tr>
      <w:tr w:rsidR="00466BF6" w14:paraId="30FE0570" w14:textId="77777777" w:rsidTr="00225DD6">
        <w:tc>
          <w:tcPr>
            <w:tcW w:w="2410" w:type="dxa"/>
            <w:vAlign w:val="center"/>
          </w:tcPr>
          <w:p w14:paraId="3D21577C" w14:textId="77777777" w:rsidR="00466BF6" w:rsidRPr="006F1079" w:rsidRDefault="00466BF6" w:rsidP="00D215FB">
            <w:pPr>
              <w:pStyle w:val="BodyText"/>
              <w:jc w:val="center"/>
            </w:pPr>
            <w:r w:rsidRPr="006F1079">
              <w:t>Likelihood</w:t>
            </w:r>
          </w:p>
        </w:tc>
        <w:tc>
          <w:tcPr>
            <w:tcW w:w="2410" w:type="dxa"/>
            <w:vAlign w:val="center"/>
          </w:tcPr>
          <w:p w14:paraId="4325F25C" w14:textId="77777777" w:rsidR="00466BF6" w:rsidRPr="007935D4" w:rsidRDefault="00466BF6" w:rsidP="00D215FB">
            <w:pPr>
              <w:pStyle w:val="BodyText"/>
              <w:jc w:val="center"/>
            </w:pPr>
            <w:r w:rsidRPr="007935D4">
              <w:t>Likely</w:t>
            </w:r>
          </w:p>
        </w:tc>
        <w:tc>
          <w:tcPr>
            <w:tcW w:w="2410" w:type="dxa"/>
            <w:vAlign w:val="center"/>
          </w:tcPr>
          <w:p w14:paraId="21CF83BF" w14:textId="77777777" w:rsidR="00466BF6" w:rsidRPr="006F1079" w:rsidRDefault="00466BF6" w:rsidP="00D215FB">
            <w:pPr>
              <w:pStyle w:val="BodyText"/>
              <w:jc w:val="center"/>
            </w:pPr>
            <w:r w:rsidRPr="006F1079">
              <w:t>Likely</w:t>
            </w:r>
          </w:p>
        </w:tc>
      </w:tr>
      <w:tr w:rsidR="00466BF6" w14:paraId="320DBEEA" w14:textId="77777777" w:rsidTr="00225DD6">
        <w:tc>
          <w:tcPr>
            <w:tcW w:w="2410" w:type="dxa"/>
            <w:vAlign w:val="center"/>
          </w:tcPr>
          <w:p w14:paraId="1C23655E" w14:textId="77777777" w:rsidR="00466BF6" w:rsidRPr="006F1079" w:rsidRDefault="00466BF6" w:rsidP="00D215FB">
            <w:pPr>
              <w:pStyle w:val="BodyText"/>
              <w:jc w:val="center"/>
            </w:pPr>
            <w:r w:rsidRPr="006F1079">
              <w:t>Overall risk rating</w:t>
            </w:r>
          </w:p>
        </w:tc>
        <w:tc>
          <w:tcPr>
            <w:tcW w:w="2410" w:type="dxa"/>
            <w:shd w:val="clear" w:color="auto" w:fill="FFC000"/>
            <w:vAlign w:val="center"/>
          </w:tcPr>
          <w:p w14:paraId="14F48C29" w14:textId="77777777" w:rsidR="00466BF6" w:rsidRPr="007935D4" w:rsidRDefault="00466BF6" w:rsidP="00D215FB">
            <w:pPr>
              <w:pStyle w:val="BodyText"/>
              <w:jc w:val="center"/>
            </w:pPr>
            <w:r w:rsidRPr="007935D4">
              <w:t>Significant</w:t>
            </w:r>
          </w:p>
        </w:tc>
        <w:tc>
          <w:tcPr>
            <w:tcW w:w="2410" w:type="dxa"/>
            <w:shd w:val="clear" w:color="auto" w:fill="FFC000"/>
            <w:vAlign w:val="center"/>
          </w:tcPr>
          <w:p w14:paraId="04B1BF8A" w14:textId="77777777" w:rsidR="00466BF6" w:rsidRPr="006F1079" w:rsidRDefault="00466BF6" w:rsidP="00D215FB">
            <w:pPr>
              <w:pStyle w:val="BodyText"/>
              <w:jc w:val="center"/>
            </w:pPr>
            <w:r w:rsidRPr="006F1079">
              <w:t>Significant</w:t>
            </w:r>
          </w:p>
        </w:tc>
      </w:tr>
    </w:tbl>
    <w:p w14:paraId="5461F02C" w14:textId="77777777" w:rsidR="00466BF6" w:rsidRDefault="00466BF6" w:rsidP="007E5EBF">
      <w:pPr>
        <w:pStyle w:val="Heading3"/>
      </w:pPr>
      <w:r w:rsidRPr="00D55628">
        <w:rPr>
          <w:rFonts w:cs="Times New Roman"/>
          <w:noProof/>
          <w:lang w:eastAsia="en-US"/>
        </w:rPr>
        <mc:AlternateContent>
          <mc:Choice Requires="wps">
            <w:drawing>
              <wp:anchor distT="0" distB="0" distL="114300" distR="114300" simplePos="1" relativeHeight="251658280" behindDoc="1" locked="1" layoutInCell="1" allowOverlap="1" wp14:anchorId="305CA3E1" wp14:editId="6D07A97B">
                <wp:simplePos x="359410" y="9071610"/>
                <wp:positionH relativeFrom="page">
                  <wp:posOffset>359410</wp:posOffset>
                </wp:positionH>
                <wp:positionV relativeFrom="page">
                  <wp:posOffset>9071610</wp:posOffset>
                </wp:positionV>
                <wp:extent cx="6840001" cy="432000"/>
                <wp:effectExtent l="0" t="0" r="0" b="0"/>
                <wp:wrapNone/>
                <wp:docPr id="196"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E3D71"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A3E1" id="_x0000_s1053" type="#_x0000_t202" alt="Title: Decorative Cover Shape" style="position:absolute;left:0;text-align:left;margin-left:28.3pt;margin-top:714.3pt;width:538.6pt;height:34pt;z-index:-2516582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" fillcolor="#201547" stroked="f" strokeweight=".5pt">
                <v:textbox inset="10mm,0,10mm,0">
                  <w:txbxContent>
                    <w:p w14:paraId="12FE3D71"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79" behindDoc="0" locked="1" layoutInCell="1" allowOverlap="1" wp14:anchorId="59FDBD1B" wp14:editId="764CA486">
                <wp:simplePos x="0" y="0"/>
                <wp:positionH relativeFrom="page">
                  <wp:posOffset>360045</wp:posOffset>
                </wp:positionH>
                <wp:positionV relativeFrom="page">
                  <wp:posOffset>360045</wp:posOffset>
                </wp:positionV>
                <wp:extent cx="1864800" cy="1976400"/>
                <wp:effectExtent l="0" t="0" r="0" b="0"/>
                <wp:wrapNone/>
                <wp:docPr id="46"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E6FD2AC" id="TriangleTopACIMono" o:spid="_x0000_s1026" style="position:absolute;margin-left:28.35pt;margin-top:28.35pt;width:146.85pt;height:155.6pt;z-index:25165827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278" behindDoc="0" locked="1" layoutInCell="1" allowOverlap="1" wp14:anchorId="7550A236" wp14:editId="316BE36F">
                <wp:simplePos x="0" y="0"/>
                <wp:positionH relativeFrom="page">
                  <wp:posOffset>359410</wp:posOffset>
                </wp:positionH>
                <wp:positionV relativeFrom="page">
                  <wp:posOffset>359410</wp:posOffset>
                </wp:positionV>
                <wp:extent cx="1864800" cy="1976400"/>
                <wp:effectExtent l="0" t="0" r="0" b="0"/>
                <wp:wrapNone/>
                <wp:docPr id="48"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3A71FD9" id="TriangleTop" o:spid="_x0000_s1026" style="position:absolute;margin-left:28.3pt;margin-top:28.3pt;width:146.85pt;height:155.6pt;z-index:25165827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77" behindDoc="0" locked="1" layoutInCell="1" allowOverlap="1" wp14:anchorId="1300EFDF" wp14:editId="25FEE99F">
                <wp:simplePos x="0" y="0"/>
                <wp:positionH relativeFrom="page">
                  <wp:posOffset>0</wp:posOffset>
                </wp:positionH>
                <wp:positionV relativeFrom="page">
                  <wp:align>bottom</wp:align>
                </wp:positionV>
                <wp:extent cx="3848400" cy="720000"/>
                <wp:effectExtent l="0" t="0" r="0" b="0"/>
                <wp:wrapNone/>
                <wp:docPr id="199"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FA87A"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0EFDF" id="_x0000_s1054" type="#_x0000_t202" style="position:absolute;left:0;text-align:left;margin-left:0;margin-top:0;width:303pt;height:56.7pt;z-index:25165827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AgImm4bgIAAEYFAAAOAAAAAAAAAAAAAAAAAC4C&#10;AABkcnMvZTJvRG9jLnhtbFBLAQItABQABgAIAAAAIQD0ys+o2gAAAAUBAAAPAAAAAAAAAAAAAAAA&#10;AMgEAABkcnMvZG93bnJldi54bWxQSwUGAAAAAAQABADzAAAAzwUAAAAA&#10;" filled="f" stroked="f" strokeweight=".5pt">
                <v:textbox inset="20mm">
                  <w:txbxContent>
                    <w:p w14:paraId="7ADFA87A"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bookmarkStart w:id="191" w:name="_Toc88725544"/>
      <w:bookmarkStart w:id="192" w:name="_Toc88725545"/>
      <w:bookmarkStart w:id="193" w:name="_Toc88725546"/>
      <w:bookmarkStart w:id="194" w:name="_Toc88725547"/>
      <w:bookmarkStart w:id="195" w:name="_Toc88725548"/>
      <w:bookmarkStart w:id="196" w:name="_Toc88725549"/>
      <w:bookmarkStart w:id="197" w:name="_Toc88725550"/>
      <w:bookmarkStart w:id="198" w:name="_Toc88725551"/>
      <w:bookmarkStart w:id="199" w:name="_Toc88725552"/>
      <w:bookmarkStart w:id="200" w:name="_Toc88725553"/>
      <w:bookmarkStart w:id="201" w:name="_Toc88725554"/>
      <w:bookmarkStart w:id="202" w:name="_Toc88725555"/>
      <w:bookmarkStart w:id="203" w:name="_Toc88725557"/>
      <w:bookmarkStart w:id="204" w:name="_Toc88725558"/>
      <w:bookmarkStart w:id="205" w:name="_Toc88725560"/>
      <w:bookmarkStart w:id="206" w:name="_Toc88725561"/>
      <w:bookmarkStart w:id="207" w:name="_Toc88725563"/>
      <w:bookmarkStart w:id="208" w:name="_Toc88725564"/>
      <w:bookmarkStart w:id="209" w:name="_Toc88725566"/>
      <w:bookmarkStart w:id="210" w:name="_Toc88725567"/>
      <w:bookmarkStart w:id="211" w:name="_Toc88725568"/>
      <w:bookmarkStart w:id="212" w:name="_Toc88725569"/>
      <w:bookmarkStart w:id="213" w:name="_Toc88725570"/>
      <w:bookmarkEnd w:id="189"/>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t>Fire</w:t>
      </w:r>
      <w:bookmarkEnd w:id="213"/>
    </w:p>
    <w:p w14:paraId="4C47A7AB" w14:textId="324A5985" w:rsidR="00466BF6" w:rsidRPr="001C0DE0" w:rsidRDefault="00466BF6" w:rsidP="00466BF6">
      <w:pPr>
        <w:pStyle w:val="Heading5"/>
        <w:numPr>
          <w:ilvl w:val="0"/>
          <w:numId w:val="0"/>
        </w:numPr>
        <w:ind w:left="1008" w:hanging="1008"/>
      </w:pPr>
      <w:r>
        <w:t>Increased fire frequency and intensity</w:t>
      </w:r>
    </w:p>
    <w:p w14:paraId="73F8233C" w14:textId="14EB6CAD" w:rsidR="00466BF6" w:rsidRPr="00D95A46" w:rsidRDefault="00466BF6" w:rsidP="00466BF6">
      <w:pPr>
        <w:pStyle w:val="BodyText"/>
      </w:pPr>
      <w:r>
        <w:t xml:space="preserve">Altered fire regimes under climate change are projected to continue to threaten this </w:t>
      </w:r>
      <w:r w:rsidR="00C91800">
        <w:t>species</w:t>
      </w:r>
      <w:r>
        <w:t xml:space="preserve"> and its habitat. Many locations have already been severely burnt </w:t>
      </w:r>
      <w:r w:rsidRPr="007935D4">
        <w:t>as an early climate change signal</w:t>
      </w:r>
      <w:r>
        <w:t xml:space="preserve"> with </w:t>
      </w:r>
      <w:r w:rsidR="004B38F6">
        <w:t>many</w:t>
      </w:r>
      <w:r>
        <w:t xml:space="preserve"> sites in the Central Highlands and East Gippsland having been burnt in the last 40 years (e.g., 1983 Ash Wednesday fire</w:t>
      </w:r>
      <w:r w:rsidR="00247341">
        <w:t>,</w:t>
      </w:r>
      <w:r>
        <w:t xml:space="preserve"> 2009 Black Saturday fires and, most recently, the Black Summer fires of 2019</w:t>
      </w:r>
      <w:r w:rsidR="00792F93">
        <w:t>-</w:t>
      </w:r>
      <w:r>
        <w:t xml:space="preserve">20). The threat incorporates drought stress and includes increasing fire risk, with each catastrophic fire event resulting from incremental impacts which accrue over decades. The </w:t>
      </w:r>
      <w:r w:rsidR="00C91800">
        <w:t>species</w:t>
      </w:r>
      <w:r>
        <w:t xml:space="preserve"> is likely to have been significantly depleted </w:t>
      </w:r>
      <w:r w:rsidR="004B38F6">
        <w:t>because</w:t>
      </w:r>
      <w:r>
        <w:t xml:space="preserve"> of the documented contraction and elimination of Cool and Warm Temperate Rainforest stands, which is the critical habitat of the </w:t>
      </w:r>
      <w:r w:rsidR="00C91800">
        <w:t>species</w:t>
      </w:r>
      <w:r>
        <w:t xml:space="preserve">, across its range in response to decades of drought and high summer temperatures, and catastrophic bushfire. </w:t>
      </w:r>
      <w:r w:rsidRPr="00704719">
        <w:t xml:space="preserve">When a large fire hits a rainforest or rainforest margin with sufficient intensity to destroy the canopy there is a high chance of sclerophyll invasion (typically </w:t>
      </w:r>
      <w:r>
        <w:t>e</w:t>
      </w:r>
      <w:r w:rsidRPr="00704719">
        <w:t xml:space="preserve">ucalypts) and stand replacement by </w:t>
      </w:r>
      <w:r>
        <w:t>e</w:t>
      </w:r>
      <w:r w:rsidRPr="00704719">
        <w:t xml:space="preserve">ucalypt forest. Whilst the </w:t>
      </w:r>
      <w:r w:rsidR="00C91800">
        <w:t>species</w:t>
      </w:r>
      <w:r w:rsidRPr="00704719">
        <w:t xml:space="preserve"> has the capacity to resprout from established rhizomes immediately post-fire, clones of the </w:t>
      </w:r>
      <w:r w:rsidR="00C91800">
        <w:t>species</w:t>
      </w:r>
      <w:r>
        <w:t xml:space="preserve"> </w:t>
      </w:r>
      <w:r w:rsidRPr="00704719">
        <w:t xml:space="preserve">in sites which undergo succession to </w:t>
      </w:r>
      <w:r>
        <w:t>e</w:t>
      </w:r>
      <w:r w:rsidRPr="00704719">
        <w:t xml:space="preserve">ucalypt forest are projected to undergo significant drying out of the soil and dramatically increased insolation, both projected to result in the eventual decline and death of these clones. </w:t>
      </w:r>
      <w:r>
        <w:t xml:space="preserve">Vegetative regeneration of established mature stands post-fire </w:t>
      </w:r>
      <w:r w:rsidR="00D33F65">
        <w:t>is</w:t>
      </w:r>
      <w:r>
        <w:t xml:space="preserve"> also likely to be at elevated risk of trampling and, potentially also, targeted or incidental browsing by Sambar which tend to congregate in mesic habitats in gullies and on lower slopes, particularly following intense landscape-scale bushfires. This hazard extends across all the </w:t>
      </w:r>
      <w:r w:rsidR="00C91800">
        <w:t>species’</w:t>
      </w:r>
      <w:r>
        <w:t xml:space="preserve"> habitat.</w:t>
      </w:r>
    </w:p>
    <w:p w14:paraId="116CA604" w14:textId="77777777" w:rsidR="00466BF6" w:rsidRDefault="00466BF6" w:rsidP="00466BF6">
      <w:pPr>
        <w:pStyle w:val="BodyText"/>
      </w:pPr>
      <w:r w:rsidRPr="00660ABA">
        <w:t>Current existing controls for this hazard includ</w:t>
      </w:r>
      <w:r>
        <w:t>e:</w:t>
      </w:r>
    </w:p>
    <w:p w14:paraId="1029AC9D" w14:textId="2E100BEA" w:rsidR="00466BF6" w:rsidRPr="00F26BEE" w:rsidRDefault="00466BF6" w:rsidP="006670D2">
      <w:pPr>
        <w:pStyle w:val="PullOutBoxBullet"/>
        <w:rPr>
          <w:rFonts w:ascii="Arial" w:hAnsi="Arial"/>
          <w:color w:val="363534"/>
        </w:rPr>
      </w:pPr>
      <w:r w:rsidRPr="00F26BEE">
        <w:t>Planned Burning. This control is considered ineffective in this case as the species’ habitat is generally not suitable for planned burning. Strategic fuel</w:t>
      </w:r>
      <w:r w:rsidR="00312892">
        <w:t xml:space="preserve"> </w:t>
      </w:r>
      <w:r w:rsidRPr="00F26BEE">
        <w:t>breaks and associated backburning may however provide valuable protection in some cases for this species and its habitat from severe bushfires.</w:t>
      </w:r>
    </w:p>
    <w:p w14:paraId="29CFCF9D" w14:textId="76C94A9D"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63</w:t>
      </w:r>
      <w:r w:rsidR="000B6788" w:rsidRPr="00B6162A">
        <w:rPr>
          <w:bCs/>
          <w:noProof/>
        </w:rPr>
        <w:fldChar w:fldCharType="end"/>
      </w:r>
      <w:r w:rsidRPr="00FF310C">
        <w:t>. Bristly Shield-fern protection requirements and recommendations for increased fire frequency</w:t>
      </w:r>
      <w:r w:rsidR="00D215FB" w:rsidRPr="00FF310C">
        <w:t xml:space="preserve"> and </w:t>
      </w:r>
      <w:r w:rsidRPr="00FF310C">
        <w:t>intensity</w:t>
      </w:r>
    </w:p>
    <w:tbl>
      <w:tblPr>
        <w:tblStyle w:val="TableGrid"/>
        <w:tblW w:w="0" w:type="auto"/>
        <w:tblLook w:val="04A0" w:firstRow="1" w:lastRow="0" w:firstColumn="1" w:lastColumn="0" w:noHBand="0" w:noVBand="1"/>
      </w:tblPr>
      <w:tblGrid>
        <w:gridCol w:w="2268"/>
        <w:gridCol w:w="7371"/>
      </w:tblGrid>
      <w:tr w:rsidR="00466BF6" w:rsidRPr="00867DAA" w14:paraId="50A81816"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245C85F1" w14:textId="77777777" w:rsidR="00466BF6" w:rsidRPr="00704719" w:rsidRDefault="00466BF6" w:rsidP="00296E0F">
            <w:pPr>
              <w:pStyle w:val="BodyText"/>
            </w:pPr>
            <w:r w:rsidRPr="00704719">
              <w:t>Requirement</w:t>
            </w:r>
          </w:p>
        </w:tc>
        <w:tc>
          <w:tcPr>
            <w:tcW w:w="7371" w:type="dxa"/>
            <w:vAlign w:val="center"/>
          </w:tcPr>
          <w:p w14:paraId="0C8B221B"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4B9CBEC8" w14:textId="77777777" w:rsidTr="005611CD">
        <w:tc>
          <w:tcPr>
            <w:tcW w:w="2268" w:type="dxa"/>
          </w:tcPr>
          <w:p w14:paraId="5BB0D942" w14:textId="2B17E87B" w:rsidR="00466BF6" w:rsidRPr="003566BD" w:rsidRDefault="00F50412" w:rsidP="005611CD">
            <w:pPr>
              <w:pStyle w:val="BodyText"/>
            </w:pPr>
            <w:r>
              <w:t>Priority management actions</w:t>
            </w:r>
          </w:p>
        </w:tc>
        <w:tc>
          <w:tcPr>
            <w:tcW w:w="7371" w:type="dxa"/>
          </w:tcPr>
          <w:p w14:paraId="2A8BADF1" w14:textId="77777777" w:rsidR="00466BF6" w:rsidRPr="003566BD" w:rsidRDefault="00466BF6" w:rsidP="005611CD">
            <w:pPr>
              <w:pStyle w:val="BodyText"/>
            </w:pPr>
            <w:r w:rsidRPr="00200995">
              <w:t xml:space="preserve">Not required for this hazard </w:t>
            </w:r>
            <w:r>
              <w:t>as it is a longer-term threat.</w:t>
            </w:r>
          </w:p>
        </w:tc>
      </w:tr>
      <w:tr w:rsidR="00466BF6" w:rsidRPr="00867DAA" w14:paraId="6F5C3DC9" w14:textId="77777777" w:rsidTr="005611CD">
        <w:tc>
          <w:tcPr>
            <w:tcW w:w="2268" w:type="dxa"/>
          </w:tcPr>
          <w:p w14:paraId="7C0CF89F" w14:textId="5567272F" w:rsidR="00466BF6" w:rsidRPr="00867DAA" w:rsidRDefault="00F50412" w:rsidP="005611CD">
            <w:pPr>
              <w:pStyle w:val="BodyText"/>
            </w:pPr>
            <w:r>
              <w:t>Potential m</w:t>
            </w:r>
            <w:r w:rsidR="00466BF6" w:rsidRPr="00867DAA">
              <w:t>anagement actions</w:t>
            </w:r>
          </w:p>
        </w:tc>
        <w:tc>
          <w:tcPr>
            <w:tcW w:w="7371" w:type="dxa"/>
          </w:tcPr>
          <w:p w14:paraId="18AAE692" w14:textId="77777777" w:rsidR="00466BF6" w:rsidRPr="009F2B89" w:rsidRDefault="00466BF6" w:rsidP="006670D2">
            <w:pPr>
              <w:pStyle w:val="PullOutBoxBullet"/>
            </w:pPr>
            <w:r>
              <w:t xml:space="preserve">Undertake targeted removal of eucalypts invading former rainforest following intense bushfire. </w:t>
            </w:r>
          </w:p>
        </w:tc>
      </w:tr>
    </w:tbl>
    <w:p w14:paraId="40BB448D" w14:textId="77777777" w:rsidR="00466BF6" w:rsidRPr="001C0DE0" w:rsidRDefault="00466BF6" w:rsidP="00466BF6">
      <w:pPr>
        <w:pStyle w:val="Heading5"/>
        <w:numPr>
          <w:ilvl w:val="0"/>
          <w:numId w:val="0"/>
        </w:numPr>
        <w:ind w:left="1008" w:hanging="1008"/>
      </w:pPr>
      <w:bookmarkStart w:id="214" w:name="_Toc88725572"/>
      <w:bookmarkStart w:id="215" w:name="_Toc88725573"/>
      <w:bookmarkStart w:id="216" w:name="_Toc88725574"/>
      <w:bookmarkStart w:id="217" w:name="_Toc88725575"/>
      <w:bookmarkStart w:id="218" w:name="_Toc88725576"/>
      <w:bookmarkStart w:id="219" w:name="_Toc88725577"/>
      <w:bookmarkStart w:id="220" w:name="_Toc88725578"/>
      <w:bookmarkStart w:id="221" w:name="_Toc88725579"/>
      <w:bookmarkStart w:id="222" w:name="_Toc88725580"/>
      <w:bookmarkStart w:id="223" w:name="_Toc88725581"/>
      <w:bookmarkStart w:id="224" w:name="_Toc88725582"/>
      <w:bookmarkStart w:id="225" w:name="_Toc88725584"/>
      <w:bookmarkStart w:id="226" w:name="_Toc88725586"/>
      <w:bookmarkStart w:id="227" w:name="_Toc88725588"/>
      <w:bookmarkStart w:id="228" w:name="_Toc88725590"/>
      <w:bookmarkStart w:id="229" w:name="_Toc88725591"/>
      <w:bookmarkStart w:id="230" w:name="_Toc88725592"/>
      <w:bookmarkStart w:id="231" w:name="_Toc8872559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t>Planned burning</w:t>
      </w:r>
    </w:p>
    <w:p w14:paraId="6D409CBB" w14:textId="0C2F654E" w:rsidR="000F6FFC" w:rsidRDefault="00466BF6" w:rsidP="00466BF6">
      <w:pPr>
        <w:pStyle w:val="BodyText"/>
      </w:pPr>
      <w:r w:rsidRPr="00F26BEE">
        <w:t>Traditionally, planned burns in the general vicinity of rainforest and other riparian vegetation have been reliant on differential moisture gradients to reduce the intensity and impact of fire on all fire-sensitive vegetation types in the riparian environment. Whilst this approach has often worked satisfactorily in the past, recent experience and climate change projections (</w:t>
      </w:r>
      <w:r w:rsidR="00B70255">
        <w:t>CSIRO &amp; Bureau of Meteorology 2020</w:t>
      </w:r>
      <w:r w:rsidRPr="00F26BEE">
        <w:t xml:space="preserve">) demonstrate the increasing risk of even well-controlled </w:t>
      </w:r>
      <w:r w:rsidR="001C49E0">
        <w:t>planned</w:t>
      </w:r>
      <w:r w:rsidR="001C49E0" w:rsidRPr="00F26BEE">
        <w:t xml:space="preserve"> </w:t>
      </w:r>
      <w:r w:rsidRPr="00F26BEE">
        <w:t xml:space="preserve">burns entering rainforest and its buffers. </w:t>
      </w:r>
    </w:p>
    <w:p w14:paraId="6B41AADD" w14:textId="4EC98D0C" w:rsidR="00466BF6" w:rsidRDefault="00466BF6" w:rsidP="00466BF6">
      <w:pPr>
        <w:pStyle w:val="BodyText"/>
      </w:pPr>
      <w:r w:rsidRPr="00F26BEE">
        <w:t>All fire in the ecotonal environment threatens to expose fire-sensitive plants to mortality and local extinction. At greatest risk are elevated epiphytes such as filmy ferns and fork ferns which can be killed even by exposure to sun and wind, however the precise impact on the Bristly Shield-fern is unclear since the</w:t>
      </w:r>
      <w:r>
        <w:t xml:space="preserve"> plant is observed both in intense shade and in the protection of small canopy gaps within mature rainforest stands. Fire in the ecotonal environment, with the risk of fire ingress into the mature rainforest stand, risks the destruction of the closed canopy and invasion of sclerophyll species such as eucalypts and acacias. Although the </w:t>
      </w:r>
      <w:r w:rsidR="00C91800">
        <w:t>species</w:t>
      </w:r>
      <w:r>
        <w:t xml:space="preserve"> can recover vegetatively from established rhizomes immediately post-fire, such stands are likely to decline in health and extent as the maturing eucalypts draw moisture out of the soil, open the understorey to light and drying winds and shed highly flammable leaf and small woody litter which increases the risk of intense future fire. Planned burning acts synergistically with increasing drought stress to increase the risk of mortality or crown death of fire-sensitive plants. This hazard extends across 10-25% of the </w:t>
      </w:r>
      <w:r w:rsidR="00C91800">
        <w:t>species’</w:t>
      </w:r>
      <w:r>
        <w:t xml:space="preserve"> populations. </w:t>
      </w:r>
    </w:p>
    <w:p w14:paraId="5144D1BA" w14:textId="77777777" w:rsidR="00466BF6" w:rsidRDefault="00466BF6" w:rsidP="00466BF6">
      <w:pPr>
        <w:pStyle w:val="BodyText"/>
      </w:pPr>
      <w:r w:rsidRPr="00660ABA">
        <w:t>Current existing controls for this hazard includ</w:t>
      </w:r>
      <w:r>
        <w:t>e:</w:t>
      </w:r>
    </w:p>
    <w:p w14:paraId="582EA6B5" w14:textId="6901320F" w:rsidR="00466BF6" w:rsidRDefault="00704B24" w:rsidP="006670D2">
      <w:pPr>
        <w:pStyle w:val="PullOutBoxBullet"/>
      </w:pPr>
      <w:r w:rsidRPr="00F26BEE">
        <w:t xml:space="preserve">Values checking and strategic bushfire management planning. </w:t>
      </w:r>
      <w:r w:rsidRPr="00BB09D4">
        <w:t xml:space="preserve">The effectiveness of these measures has been evaluated as poor at mitigating risk to this species. Values checking relies on existing site records and modelled distribution, and for some </w:t>
      </w:r>
      <w:r w:rsidR="009430A5">
        <w:t>taxa</w:t>
      </w:r>
      <w:r w:rsidRPr="00BB09D4">
        <w:t xml:space="preserve"> site records are not comprehensive. Habitat modelling may also exaggerate actual distributions, particularly for poorly-know</w:t>
      </w:r>
      <w:r w:rsidR="000E687D">
        <w:t>n</w:t>
      </w:r>
      <w:r w:rsidRPr="00BB09D4">
        <w:t xml:space="preserve"> </w:t>
      </w:r>
      <w:r w:rsidR="009430A5">
        <w:t>taxa</w:t>
      </w:r>
      <w:r w:rsidR="00466BF6" w:rsidRPr="00DB7B28">
        <w:t>.</w:t>
      </w:r>
      <w:r w:rsidR="00466BF6">
        <w:t xml:space="preserve">   </w:t>
      </w:r>
    </w:p>
    <w:p w14:paraId="10BE5B4D" w14:textId="3A377A64"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64</w:t>
      </w:r>
      <w:r w:rsidR="000B6788" w:rsidRPr="00B6162A">
        <w:rPr>
          <w:bCs/>
          <w:noProof/>
        </w:rPr>
        <w:fldChar w:fldCharType="end"/>
      </w:r>
      <w:r w:rsidRPr="00FF310C">
        <w:t>. Bristly Shield-fern protection requirements and recommendations for planned burning</w:t>
      </w:r>
    </w:p>
    <w:tbl>
      <w:tblPr>
        <w:tblStyle w:val="TableGrid"/>
        <w:tblW w:w="0" w:type="auto"/>
        <w:tblLook w:val="04A0" w:firstRow="1" w:lastRow="0" w:firstColumn="1" w:lastColumn="0" w:noHBand="0" w:noVBand="1"/>
      </w:tblPr>
      <w:tblGrid>
        <w:gridCol w:w="2268"/>
        <w:gridCol w:w="7371"/>
      </w:tblGrid>
      <w:tr w:rsidR="00466BF6" w:rsidRPr="00867DAA" w14:paraId="5781C6E5"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71C161E0" w14:textId="77777777" w:rsidR="00466BF6" w:rsidRPr="00704719" w:rsidRDefault="00466BF6" w:rsidP="00296E0F">
            <w:pPr>
              <w:pStyle w:val="BodyText"/>
            </w:pPr>
            <w:r w:rsidRPr="00704719">
              <w:t>Requirement</w:t>
            </w:r>
          </w:p>
        </w:tc>
        <w:tc>
          <w:tcPr>
            <w:tcW w:w="7371" w:type="dxa"/>
            <w:vAlign w:val="center"/>
          </w:tcPr>
          <w:p w14:paraId="22D4C477"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2CDCEEB7" w14:textId="77777777" w:rsidTr="005611CD">
        <w:tc>
          <w:tcPr>
            <w:tcW w:w="2268" w:type="dxa"/>
          </w:tcPr>
          <w:p w14:paraId="28B82BD7" w14:textId="369C9811" w:rsidR="00466BF6" w:rsidRPr="003566BD" w:rsidRDefault="00F50412" w:rsidP="005611CD">
            <w:pPr>
              <w:pStyle w:val="BodyText"/>
            </w:pPr>
            <w:r>
              <w:t>Priority management actions</w:t>
            </w:r>
          </w:p>
        </w:tc>
        <w:tc>
          <w:tcPr>
            <w:tcW w:w="7371" w:type="dxa"/>
          </w:tcPr>
          <w:p w14:paraId="3C76991E" w14:textId="77777777" w:rsidR="00466BF6" w:rsidRPr="003566BD" w:rsidRDefault="00466BF6" w:rsidP="005611CD">
            <w:pPr>
              <w:pStyle w:val="BodyText"/>
            </w:pPr>
            <w:r w:rsidRPr="00200995">
              <w:t>Not required for this hazard based on the overall risk level of medium</w:t>
            </w:r>
            <w:r>
              <w:t>.</w:t>
            </w:r>
          </w:p>
        </w:tc>
      </w:tr>
      <w:tr w:rsidR="00466BF6" w:rsidRPr="00867DAA" w14:paraId="28B8C8E9" w14:textId="77777777" w:rsidTr="005611CD">
        <w:tc>
          <w:tcPr>
            <w:tcW w:w="2268" w:type="dxa"/>
          </w:tcPr>
          <w:p w14:paraId="48A460CC" w14:textId="4FC18672" w:rsidR="00466BF6" w:rsidRPr="00867DAA" w:rsidRDefault="00F50412" w:rsidP="005611CD">
            <w:pPr>
              <w:pStyle w:val="BodyText"/>
            </w:pPr>
            <w:r>
              <w:t>Potential m</w:t>
            </w:r>
            <w:r w:rsidR="00466BF6" w:rsidRPr="00867DAA">
              <w:t>anagement actions</w:t>
            </w:r>
          </w:p>
        </w:tc>
        <w:tc>
          <w:tcPr>
            <w:tcW w:w="7371" w:type="dxa"/>
          </w:tcPr>
          <w:p w14:paraId="65223EC2" w14:textId="77777777" w:rsidR="00466BF6" w:rsidRDefault="00466BF6" w:rsidP="006670D2">
            <w:pPr>
              <w:pStyle w:val="PullOutBoxBullet"/>
            </w:pPr>
            <w:r>
              <w:t xml:space="preserve">Provide a generous exclusion zone in all planned burning corridors in the vicinity of all Cool and Warm Temperate Rainforest stands; and </w:t>
            </w:r>
          </w:p>
          <w:p w14:paraId="6DCE91B5" w14:textId="00983DAA" w:rsidR="00466BF6" w:rsidRPr="009F2B89" w:rsidRDefault="00466BF6" w:rsidP="006670D2">
            <w:pPr>
              <w:pStyle w:val="PullOutBoxBullet"/>
            </w:pPr>
            <w:r>
              <w:t xml:space="preserve">Continue to expand and improve on rainforest mapping for use in burn planning, aiming to update mapping </w:t>
            </w:r>
            <w:r w:rsidR="00462D86">
              <w:t>considering</w:t>
            </w:r>
            <w:r>
              <w:t xml:space="preserve"> rainforest loss through destruction of closed canopy and invasion by sclerophyll species.</w:t>
            </w:r>
          </w:p>
        </w:tc>
      </w:tr>
    </w:tbl>
    <w:p w14:paraId="54006BBC" w14:textId="551C703D" w:rsidR="00466BF6" w:rsidRDefault="00466BF6" w:rsidP="007E5EBF">
      <w:pPr>
        <w:pStyle w:val="Heading3"/>
      </w:pPr>
      <w:r>
        <w:t>Forestry operations</w:t>
      </w:r>
      <w:bookmarkEnd w:id="190"/>
    </w:p>
    <w:p w14:paraId="2F31E403" w14:textId="772F126A" w:rsidR="00466BF6" w:rsidRPr="001C0DE0" w:rsidRDefault="00BC4502" w:rsidP="00BC4502">
      <w:pPr>
        <w:pStyle w:val="Heading5"/>
        <w:numPr>
          <w:ilvl w:val="0"/>
          <w:numId w:val="0"/>
        </w:numPr>
      </w:pPr>
      <w:r>
        <w:t>Fo</w:t>
      </w:r>
      <w:r w:rsidR="00466BF6">
        <w:t>restry operations</w:t>
      </w:r>
    </w:p>
    <w:p w14:paraId="3FB4F15C" w14:textId="0EFB7728" w:rsidR="001F13AE" w:rsidRDefault="001F13AE" w:rsidP="001F13AE">
      <w:pPr>
        <w:pStyle w:val="BodyText"/>
      </w:pPr>
      <w:r w:rsidRPr="00FD57DB">
        <w:t xml:space="preserve">This </w:t>
      </w:r>
      <w:r w:rsidR="00C91800">
        <w:t>species</w:t>
      </w:r>
      <w:r w:rsidRPr="00FD57DB">
        <w:t xml:space="preserve"> generally occurs in association with rainforest. An analysis of VBA records showed that ~</w:t>
      </w:r>
      <w:r w:rsidR="00636430">
        <w:t>54</w:t>
      </w:r>
      <w:r w:rsidRPr="00FD57DB">
        <w:t>% occurred within mapped rainforest or its buffers. In this situation, occurrences should be adequately protected from forestry operations due to the requirements of the Code. The risk to this species from forestry operations in the East Gippsland RFA region was re-assessed in light of new information about the exposure to forestry operations. The experts concluded that, where the species occurred on the margins or outside rainforest and/or its buffers, and especially where the rainforest habitat might have been burnt by bushfires or otherwise disturbed, protection could not be assumed. The experts emphasised the need for additional protections that targeted both the known occurrences and the rainforest habitat where it had been disturbed</w:t>
      </w:r>
      <w:r w:rsidR="0014097B" w:rsidRPr="00FD57DB">
        <w:t xml:space="preserve"> and</w:t>
      </w:r>
      <w:r w:rsidRPr="00FD57DB">
        <w:t xml:space="preserve"> stressed the importance of greater survey effort to improve understanding of the distribution and abundance of this </w:t>
      </w:r>
      <w:r w:rsidR="00C91800">
        <w:t>species</w:t>
      </w:r>
      <w:r w:rsidRPr="00FD57DB">
        <w:t>.</w:t>
      </w:r>
    </w:p>
    <w:p w14:paraId="682917FE" w14:textId="710A0E86" w:rsidR="00466BF6" w:rsidRDefault="00466BF6" w:rsidP="00466BF6">
      <w:pPr>
        <w:pStyle w:val="BodyText"/>
      </w:pPr>
      <w:r>
        <w:t>This hazard is sporadic across the range of the species within state forest, with 45% of important populations and 20% of the habitat distribution model in the Central Highlands potentially available to forestry operations</w:t>
      </w:r>
      <w:r w:rsidR="00AA65CC">
        <w:t xml:space="preserve">, </w:t>
      </w:r>
      <w:r w:rsidR="00AA65CC" w:rsidRPr="00FD57DB">
        <w:t>based on the 20</w:t>
      </w:r>
      <w:r w:rsidR="00BA0643" w:rsidRPr="00FD57DB">
        <w:t>1</w:t>
      </w:r>
      <w:r w:rsidR="00AA65CC" w:rsidRPr="00FD57DB">
        <w:t>5 net harvest area layer</w:t>
      </w:r>
      <w:r w:rsidRPr="00FD57DB">
        <w:t xml:space="preserve">. </w:t>
      </w:r>
      <w:r w:rsidR="00AA65CC" w:rsidRPr="00FD57DB">
        <w:t xml:space="preserve">Using the revised operable area layer, this is reduced to 11% of important populations and 10% of the </w:t>
      </w:r>
      <w:r w:rsidR="00C91800">
        <w:t>species’</w:t>
      </w:r>
      <w:r w:rsidR="00AA65CC" w:rsidRPr="00FD57DB">
        <w:t xml:space="preserve"> modelled habitat. </w:t>
      </w:r>
      <w:r>
        <w:t>This model does not take account of the 2015 Kuark record in East Gippsland which was identified in a coupe, which is why the East Gippsland RFA</w:t>
      </w:r>
      <w:r w:rsidR="00F23EF8">
        <w:t xml:space="preserve"> region</w:t>
      </w:r>
      <w:r>
        <w:t xml:space="preserve"> is included for this hazard. </w:t>
      </w:r>
    </w:p>
    <w:p w14:paraId="0B8A5A3F" w14:textId="77777777" w:rsidR="00466BF6" w:rsidRDefault="00466BF6" w:rsidP="00466BF6">
      <w:pPr>
        <w:pStyle w:val="BodyText"/>
      </w:pPr>
      <w:r w:rsidRPr="00660ABA">
        <w:t>Current existing controls for this hazard includ</w:t>
      </w:r>
      <w:r>
        <w:t>e:</w:t>
      </w:r>
    </w:p>
    <w:p w14:paraId="55B4D6BC" w14:textId="4D38A8C5" w:rsidR="00466BF6" w:rsidRDefault="00466BF6" w:rsidP="006670D2">
      <w:pPr>
        <w:pStyle w:val="PullOutBoxBullet"/>
        <w:rPr>
          <w:rFonts w:eastAsiaTheme="minorEastAsia" w:cstheme="minorBidi"/>
          <w:sz w:val="22"/>
          <w:szCs w:val="22"/>
        </w:rPr>
      </w:pPr>
      <w:r w:rsidRPr="4F453272">
        <w:t xml:space="preserve">The </w:t>
      </w:r>
      <w:r w:rsidRPr="4F453272">
        <w:rPr>
          <w:i/>
          <w:iCs/>
        </w:rPr>
        <w:t xml:space="preserve">Code of Practice for Timber Production 2014. </w:t>
      </w:r>
      <w:r w:rsidR="00777D06" w:rsidRPr="00C02DCA">
        <w:t xml:space="preserve">The effectiveness of this control for this species was rated as poor. Concerns regarding the accurate field identification of rainforest following disturbance warrants a more reliable approach to its protection. There is no species-specific prescription for this </w:t>
      </w:r>
      <w:r w:rsidR="00C91800">
        <w:t>species</w:t>
      </w:r>
      <w:r w:rsidR="00777D06" w:rsidRPr="00C02DCA">
        <w:t xml:space="preserve"> in the Code, however the Code includes general protections for waterways and rainforest including a prohibition on harvesting, the application of buffers and </w:t>
      </w:r>
      <w:r w:rsidR="004F30F6" w:rsidRPr="00C02DCA">
        <w:t>design standards for roads, crossings</w:t>
      </w:r>
      <w:r w:rsidR="00AE3203" w:rsidRPr="00C02DCA">
        <w:t>,</w:t>
      </w:r>
      <w:r w:rsidR="004F30F6" w:rsidRPr="00C02DCA">
        <w:t xml:space="preserve"> and coupe infrastructure</w:t>
      </w:r>
      <w:r w:rsidR="004F30F6" w:rsidRPr="4F453272">
        <w:t>.</w:t>
      </w:r>
      <w:r w:rsidR="004F30F6" w:rsidRPr="4F453272">
        <w:rPr>
          <w:rFonts w:eastAsiaTheme="minorHAnsi"/>
        </w:rPr>
        <w:t xml:space="preserve"> </w:t>
      </w:r>
    </w:p>
    <w:p w14:paraId="159EDED0" w14:textId="4D1736FA" w:rsidR="00466BF6" w:rsidRDefault="00466BF6" w:rsidP="006670D2">
      <w:pPr>
        <w:pStyle w:val="PullOutBoxBullet"/>
        <w:rPr>
          <w:rFonts w:eastAsiaTheme="minorEastAsia" w:cstheme="minorBidi"/>
          <w:sz w:val="22"/>
          <w:szCs w:val="22"/>
        </w:rPr>
      </w:pPr>
      <w:r w:rsidRPr="4F453272">
        <w:t>The CAR reserve system. Th</w:t>
      </w:r>
      <w:r>
        <w:t xml:space="preserve">e effectiveness of this control for this species has been evaluated as </w:t>
      </w:r>
      <w:r w:rsidRPr="4F453272">
        <w:t>satisfactory as 5</w:t>
      </w:r>
      <w:r>
        <w:t>0</w:t>
      </w:r>
      <w:r w:rsidRPr="4F453272">
        <w:t xml:space="preserve">% of the </w:t>
      </w:r>
      <w:r w:rsidR="00C91800">
        <w:t>species’</w:t>
      </w:r>
      <w:r w:rsidRPr="4F453272">
        <w:t xml:space="preserve"> modelled distribution and 8</w:t>
      </w:r>
      <w:r>
        <w:t>2</w:t>
      </w:r>
      <w:r w:rsidRPr="4F453272">
        <w:t>% of important populations are within the reserve system</w:t>
      </w:r>
      <w:r w:rsidR="00A53D38">
        <w:t>.</w:t>
      </w:r>
    </w:p>
    <w:p w14:paraId="0AD6965A" w14:textId="689D2FAD"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65</w:t>
      </w:r>
      <w:r w:rsidR="000B6788" w:rsidRPr="00B6162A">
        <w:rPr>
          <w:bCs/>
          <w:noProof/>
        </w:rPr>
        <w:fldChar w:fldCharType="end"/>
      </w:r>
      <w:r w:rsidRPr="00FF310C">
        <w:t xml:space="preserve">. Bristly Shield-fern protection requirements and recommendations for </w:t>
      </w:r>
      <w:r w:rsidR="00BC4502" w:rsidRPr="00FF310C">
        <w:t>f</w:t>
      </w:r>
      <w:r w:rsidRPr="00FF310C">
        <w:t xml:space="preserve">orestry operations </w:t>
      </w:r>
    </w:p>
    <w:tbl>
      <w:tblPr>
        <w:tblStyle w:val="TableGrid"/>
        <w:tblW w:w="0" w:type="auto"/>
        <w:tblLook w:val="04A0" w:firstRow="1" w:lastRow="0" w:firstColumn="1" w:lastColumn="0" w:noHBand="0" w:noVBand="1"/>
      </w:tblPr>
      <w:tblGrid>
        <w:gridCol w:w="2268"/>
        <w:gridCol w:w="7371"/>
      </w:tblGrid>
      <w:tr w:rsidR="00466BF6" w:rsidRPr="00867DAA" w14:paraId="3D6803A3" w14:textId="77777777" w:rsidTr="0045799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vAlign w:val="center"/>
          </w:tcPr>
          <w:p w14:paraId="6552A46E" w14:textId="77777777" w:rsidR="00466BF6" w:rsidRPr="007B5B86" w:rsidRDefault="00466BF6" w:rsidP="00296E0F">
            <w:pPr>
              <w:pStyle w:val="BodyText"/>
            </w:pPr>
            <w:r w:rsidRPr="007B5B86">
              <w:t>Requirement</w:t>
            </w:r>
          </w:p>
        </w:tc>
        <w:tc>
          <w:tcPr>
            <w:tcW w:w="0" w:type="dxa"/>
            <w:vAlign w:val="center"/>
          </w:tcPr>
          <w:p w14:paraId="2E7AF078" w14:textId="77777777" w:rsidR="00466BF6" w:rsidRPr="007B5B86"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466BF6" w:rsidRPr="00867DAA" w14:paraId="4ABC3676" w14:textId="77777777" w:rsidTr="0045799B">
        <w:tc>
          <w:tcPr>
            <w:tcW w:w="0" w:type="dxa"/>
          </w:tcPr>
          <w:p w14:paraId="5A604819" w14:textId="77777777" w:rsidR="00466BF6" w:rsidRPr="00867DAA" w:rsidRDefault="00466BF6" w:rsidP="005611CD">
            <w:pPr>
              <w:pStyle w:val="BodyText"/>
            </w:pPr>
            <w:r w:rsidRPr="00867DAA">
              <w:t>Interim protections</w:t>
            </w:r>
          </w:p>
        </w:tc>
        <w:tc>
          <w:tcPr>
            <w:tcW w:w="0" w:type="dxa"/>
          </w:tcPr>
          <w:p w14:paraId="4D73726B" w14:textId="395224C6" w:rsidR="00307BF7" w:rsidRPr="00307BF7" w:rsidRDefault="00307BF7" w:rsidP="00307BF7">
            <w:pPr>
              <w:pStyle w:val="BodyText"/>
              <w:rPr>
                <w:rFonts w:eastAsia="Calibri"/>
              </w:rPr>
            </w:pPr>
            <w:r w:rsidRPr="00307BF7">
              <w:rPr>
                <w:rFonts w:eastAsia="Calibri"/>
              </w:rPr>
              <w:t xml:space="preserve">Within the </w:t>
            </w:r>
            <w:r w:rsidRPr="00FD57DB">
              <w:rPr>
                <w:rFonts w:eastAsia="Calibri"/>
              </w:rPr>
              <w:t>East Gippsland RFA region</w:t>
            </w:r>
            <w:r w:rsidRPr="00307BF7">
              <w:rPr>
                <w:rFonts w:eastAsia="Calibri"/>
              </w:rPr>
              <w:t>, the Secretary will establish Special Protection Zone(s) to protect Warm Temperate Rainforest</w:t>
            </w:r>
            <w:r w:rsidR="00CF4FB0">
              <w:rPr>
                <w:rFonts w:eastAsia="Calibri"/>
              </w:rPr>
              <w:t xml:space="preserve"> and Cool Temperate Rainforest</w:t>
            </w:r>
            <w:r w:rsidRPr="00307BF7">
              <w:rPr>
                <w:rFonts w:eastAsia="Calibri"/>
              </w:rPr>
              <w:t xml:space="preserve"> communities including relevant buffers based on </w:t>
            </w:r>
            <w:r w:rsidR="00350F6A">
              <w:rPr>
                <w:rFonts w:eastAsia="Calibri"/>
              </w:rPr>
              <w:t xml:space="preserve">the </w:t>
            </w:r>
            <w:r w:rsidRPr="00307BF7">
              <w:rPr>
                <w:rFonts w:eastAsia="Calibri"/>
              </w:rPr>
              <w:t xml:space="preserve">Department’s corporate spatial dataset RAINFOR where the rainforest extent has been impacted by high severity fire in the last 10 years (since 2012) (DELWP 2019-20 Fire Severity: Crown Burn and High Crown Scorch). This is to provide protection for the habitat of unrecorded populations of this </w:t>
            </w:r>
            <w:r w:rsidR="00C91800">
              <w:rPr>
                <w:rFonts w:eastAsia="Calibri"/>
              </w:rPr>
              <w:t>species</w:t>
            </w:r>
            <w:r w:rsidRPr="00307BF7">
              <w:rPr>
                <w:rFonts w:eastAsia="Calibri"/>
              </w:rPr>
              <w:t xml:space="preserve"> where it has been recently disturbed</w:t>
            </w:r>
            <w:r w:rsidR="00182011">
              <w:rPr>
                <w:rFonts w:eastAsia="Calibri"/>
              </w:rPr>
              <w:t xml:space="preserve"> (See Map 4)</w:t>
            </w:r>
            <w:r w:rsidRPr="00307BF7">
              <w:rPr>
                <w:rFonts w:eastAsia="Calibri"/>
              </w:rPr>
              <w:t>.</w:t>
            </w:r>
          </w:p>
          <w:p w14:paraId="60F93F12" w14:textId="381DA455" w:rsidR="00307BF7" w:rsidRPr="00307BF7" w:rsidRDefault="00307BF7" w:rsidP="00307BF7">
            <w:pPr>
              <w:pStyle w:val="BodyText"/>
              <w:rPr>
                <w:rFonts w:eastAsia="Calibri"/>
              </w:rPr>
            </w:pPr>
            <w:r w:rsidRPr="00FD57DB">
              <w:rPr>
                <w:rFonts w:eastAsia="Calibri"/>
              </w:rPr>
              <w:t xml:space="preserve">Within the </w:t>
            </w:r>
            <w:r>
              <w:rPr>
                <w:rFonts w:eastAsia="Calibri"/>
              </w:rPr>
              <w:t xml:space="preserve">Central Highlands, </w:t>
            </w:r>
            <w:r w:rsidRPr="00FD57DB">
              <w:rPr>
                <w:rFonts w:eastAsia="Calibri"/>
              </w:rPr>
              <w:t xml:space="preserve">East Gippsland </w:t>
            </w:r>
            <w:r>
              <w:rPr>
                <w:rFonts w:eastAsia="Calibri"/>
              </w:rPr>
              <w:t xml:space="preserve">and West </w:t>
            </w:r>
            <w:r w:rsidRPr="00FD57DB">
              <w:rPr>
                <w:rFonts w:eastAsia="Calibri"/>
              </w:rPr>
              <w:t>RFA region</w:t>
            </w:r>
            <w:r>
              <w:rPr>
                <w:rFonts w:eastAsia="Calibri"/>
              </w:rPr>
              <w:t>s</w:t>
            </w:r>
            <w:r w:rsidRPr="00FD57DB">
              <w:rPr>
                <w:rFonts w:eastAsia="Calibri"/>
              </w:rPr>
              <w:t xml:space="preserve">, the Secretary will establish Special Management Zone(s) of 200 m radius around post-1970 VBA records of this </w:t>
            </w:r>
            <w:r w:rsidR="00C91800">
              <w:rPr>
                <w:rFonts w:eastAsia="Calibri"/>
              </w:rPr>
              <w:t>species</w:t>
            </w:r>
            <w:r w:rsidRPr="00FD57DB">
              <w:rPr>
                <w:rFonts w:eastAsia="Calibri"/>
              </w:rPr>
              <w:t xml:space="preserve"> with 100 m or better accuracy and any new records</w:t>
            </w:r>
            <w:r w:rsidR="00182011">
              <w:rPr>
                <w:rFonts w:eastAsia="Calibri"/>
              </w:rPr>
              <w:t xml:space="preserve"> (See Map</w:t>
            </w:r>
            <w:r w:rsidR="00E346F9">
              <w:rPr>
                <w:rFonts w:eastAsia="Calibri"/>
              </w:rPr>
              <w:t>s</w:t>
            </w:r>
            <w:r w:rsidR="00182011">
              <w:rPr>
                <w:rFonts w:eastAsia="Calibri"/>
              </w:rPr>
              <w:t xml:space="preserve"> 5a</w:t>
            </w:r>
            <w:r w:rsidR="00E346F9">
              <w:rPr>
                <w:rFonts w:eastAsia="Calibri"/>
              </w:rPr>
              <w:t xml:space="preserve"> and 5b</w:t>
            </w:r>
            <w:r w:rsidR="00182011">
              <w:rPr>
                <w:rFonts w:eastAsia="Calibri"/>
              </w:rPr>
              <w:t>).</w:t>
            </w:r>
          </w:p>
          <w:p w14:paraId="2CC989E7" w14:textId="37B97BFA" w:rsidR="00466BF6" w:rsidRPr="00867DAA" w:rsidRDefault="00307BF7" w:rsidP="005611CD">
            <w:pPr>
              <w:pStyle w:val="BodyText"/>
            </w:pPr>
            <w:r w:rsidRPr="00307BF7">
              <w:rPr>
                <w:rFonts w:eastAsia="Calibri"/>
              </w:rPr>
              <w:t>Note that permanent protections have been recommended for two Warm Temperate Rainforest communities in East Gippsland (</w:t>
            </w:r>
            <w:r w:rsidRPr="00307BF7">
              <w:t>Warm Temperate Rainforest - East Gippsland Alluvial Terraces and Warm Temperate Rainforest - Far East Gippsland)</w:t>
            </w:r>
            <w:r w:rsidRPr="00307BF7">
              <w:rPr>
                <w:rFonts w:eastAsia="Calibri"/>
              </w:rPr>
              <w:t>. This measure may also provide additional protection and may overlap with areas identified above.</w:t>
            </w:r>
          </w:p>
        </w:tc>
      </w:tr>
      <w:tr w:rsidR="002C4786" w:rsidRPr="00867DAA" w14:paraId="0A69D286" w14:textId="77777777" w:rsidTr="005611CD">
        <w:tc>
          <w:tcPr>
            <w:tcW w:w="2268" w:type="dxa"/>
          </w:tcPr>
          <w:p w14:paraId="01D9EE50" w14:textId="5CAD9298" w:rsidR="002C4786" w:rsidRPr="00867DAA" w:rsidRDefault="002C4786" w:rsidP="005611CD">
            <w:pPr>
              <w:pStyle w:val="BodyText"/>
            </w:pPr>
            <w:r>
              <w:t>Priority management actions</w:t>
            </w:r>
          </w:p>
        </w:tc>
        <w:tc>
          <w:tcPr>
            <w:tcW w:w="7371" w:type="dxa"/>
          </w:tcPr>
          <w:p w14:paraId="758858F2" w14:textId="77777777" w:rsidR="00A400D6" w:rsidRPr="00E31362" w:rsidRDefault="00A400D6" w:rsidP="006670D2">
            <w:pPr>
              <w:pStyle w:val="PullOutBoxBullet"/>
            </w:pPr>
            <w:r w:rsidRPr="00E31362">
              <w:t>Comprehensively search likely habitat and map important populations; and</w:t>
            </w:r>
          </w:p>
          <w:p w14:paraId="2098365A" w14:textId="5BCBDAA8" w:rsidR="002C4786" w:rsidRDefault="00A400D6" w:rsidP="006670D2">
            <w:pPr>
              <w:pStyle w:val="PullOutBoxBullet"/>
            </w:pPr>
            <w:r w:rsidRPr="00E31362">
              <w:t>Establish monitoring sites and collect baseline data.</w:t>
            </w:r>
          </w:p>
        </w:tc>
      </w:tr>
      <w:tr w:rsidR="002C4786" w:rsidRPr="00867DAA" w14:paraId="722DAA5B" w14:textId="77777777" w:rsidTr="0045799B">
        <w:tc>
          <w:tcPr>
            <w:tcW w:w="0" w:type="dxa"/>
          </w:tcPr>
          <w:p w14:paraId="31823B03" w14:textId="77777777" w:rsidR="002C4786" w:rsidRPr="00867DAA" w:rsidRDefault="002C4786" w:rsidP="005611CD">
            <w:pPr>
              <w:pStyle w:val="BodyText"/>
            </w:pPr>
            <w:r w:rsidRPr="00867DAA">
              <w:t>Permanent protections</w:t>
            </w:r>
          </w:p>
        </w:tc>
        <w:tc>
          <w:tcPr>
            <w:tcW w:w="0" w:type="dxa"/>
          </w:tcPr>
          <w:p w14:paraId="6C1EBC60" w14:textId="77777777" w:rsidR="002C4786" w:rsidRPr="00867DAA" w:rsidRDefault="002C4786" w:rsidP="005611CD">
            <w:pPr>
              <w:pStyle w:val="BodyText"/>
            </w:pPr>
            <w:r>
              <w:t>Additional permanent protections for the rainforest habitat of this species are likely to be required in the longer-term.</w:t>
            </w:r>
          </w:p>
        </w:tc>
      </w:tr>
      <w:tr w:rsidR="002C4786" w:rsidRPr="00867DAA" w14:paraId="5E416ACC" w14:textId="77777777" w:rsidTr="0045799B">
        <w:tc>
          <w:tcPr>
            <w:tcW w:w="0" w:type="dxa"/>
          </w:tcPr>
          <w:p w14:paraId="5CED4C15" w14:textId="6BB68077" w:rsidR="002C4786" w:rsidRPr="00867DAA" w:rsidRDefault="002C4786" w:rsidP="005611CD">
            <w:pPr>
              <w:pStyle w:val="BodyText"/>
            </w:pPr>
            <w:r>
              <w:t>Potential m</w:t>
            </w:r>
            <w:r w:rsidRPr="00867DAA">
              <w:t>anagement actions</w:t>
            </w:r>
          </w:p>
        </w:tc>
        <w:tc>
          <w:tcPr>
            <w:tcW w:w="0" w:type="dxa"/>
          </w:tcPr>
          <w:p w14:paraId="168CB88B" w14:textId="11423D96" w:rsidR="002C4786" w:rsidRPr="00CA4A1D" w:rsidRDefault="002C4786" w:rsidP="006670D2">
            <w:pPr>
              <w:pStyle w:val="PullOutBoxBullet"/>
            </w:pPr>
            <w:r w:rsidRPr="00CA4A1D">
              <w:t>Consider introducing a species-specific code prescription as part of any future Code amendments</w:t>
            </w:r>
            <w:r>
              <w:t>;</w:t>
            </w:r>
          </w:p>
          <w:p w14:paraId="2F906A17" w14:textId="77777777" w:rsidR="002C4786" w:rsidRDefault="002C4786" w:rsidP="006670D2">
            <w:pPr>
              <w:pStyle w:val="PullOutBoxBullet"/>
            </w:pPr>
            <w:r>
              <w:t xml:space="preserve">Improve information on the location of important populations in State Forest; </w:t>
            </w:r>
          </w:p>
          <w:p w14:paraId="5242B3AB" w14:textId="77777777" w:rsidR="002C4786" w:rsidRDefault="002C4786" w:rsidP="006670D2">
            <w:pPr>
              <w:pStyle w:val="PullOutBoxBullet"/>
            </w:pPr>
            <w:r>
              <w:t xml:space="preserve">Monitor population size and health of individuals and assess threats; </w:t>
            </w:r>
          </w:p>
          <w:p w14:paraId="63F3939E" w14:textId="7F7223C4" w:rsidR="002C4786" w:rsidRDefault="002C4786" w:rsidP="006670D2">
            <w:pPr>
              <w:pStyle w:val="PullOutBoxBullet"/>
            </w:pPr>
            <w:r>
              <w:t xml:space="preserve">Investigate the </w:t>
            </w:r>
            <w:r w:rsidR="00C91800">
              <w:t xml:space="preserve">species’ </w:t>
            </w:r>
            <w:r>
              <w:t>response to disturbance; and</w:t>
            </w:r>
          </w:p>
          <w:p w14:paraId="1272EED7" w14:textId="02137B74" w:rsidR="002C4786" w:rsidRPr="00867DAA" w:rsidRDefault="002C4786" w:rsidP="006670D2">
            <w:pPr>
              <w:pStyle w:val="PullOutBoxBullet"/>
            </w:pPr>
            <w:r>
              <w:t>Provide training and support to field staff in rainforest recognition and management.</w:t>
            </w:r>
          </w:p>
        </w:tc>
      </w:tr>
    </w:tbl>
    <w:p w14:paraId="0EAAF2E6" w14:textId="77777777" w:rsidR="00466BF6" w:rsidRDefault="00466BF6" w:rsidP="007E5EBF">
      <w:pPr>
        <w:pStyle w:val="Heading3"/>
      </w:pPr>
      <w:r w:rsidRPr="00D55628">
        <w:rPr>
          <w:noProof/>
        </w:rPr>
        <mc:AlternateContent>
          <mc:Choice Requires="wps">
            <w:drawing>
              <wp:anchor distT="0" distB="0" distL="114300" distR="114300" simplePos="1" relativeHeight="251658276" behindDoc="1" locked="1" layoutInCell="1" allowOverlap="1" wp14:anchorId="3F5547A9" wp14:editId="45AB0280">
                <wp:simplePos x="359410" y="9071610"/>
                <wp:positionH relativeFrom="page">
                  <wp:posOffset>359410</wp:posOffset>
                </wp:positionH>
                <wp:positionV relativeFrom="page">
                  <wp:posOffset>9071610</wp:posOffset>
                </wp:positionV>
                <wp:extent cx="6840001" cy="432000"/>
                <wp:effectExtent l="0" t="0" r="0" b="0"/>
                <wp:wrapNone/>
                <wp:docPr id="151"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E8276"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47A9" id="_x0000_s1055" type="#_x0000_t202" alt="Title: Decorative Cover Shape" style="position:absolute;left:0;text-align:left;margin-left:28.3pt;margin-top:714.3pt;width:538.6pt;height:34pt;z-index:-2516582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" fillcolor="#201547" stroked="f" strokeweight=".5pt">
                <v:textbox inset="10mm,0,10mm,0">
                  <w:txbxContent>
                    <w:p w14:paraId="0C8E8276"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658275" behindDoc="0" locked="1" layoutInCell="1" allowOverlap="1" wp14:anchorId="4C8BB5C0" wp14:editId="26C86B02">
                <wp:simplePos x="0" y="0"/>
                <wp:positionH relativeFrom="page">
                  <wp:posOffset>360045</wp:posOffset>
                </wp:positionH>
                <wp:positionV relativeFrom="page">
                  <wp:posOffset>360045</wp:posOffset>
                </wp:positionV>
                <wp:extent cx="1864800" cy="1976400"/>
                <wp:effectExtent l="0" t="0" r="0" b="0"/>
                <wp:wrapNone/>
                <wp:docPr id="51"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1593395" id="TriangleTopACIMono" o:spid="_x0000_s1026" style="position:absolute;margin-left:28.35pt;margin-top:28.35pt;width:146.85pt;height:155.6pt;z-index:25165827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noProof/>
        </w:rPr>
        <mc:AlternateContent>
          <mc:Choice Requires="wps">
            <w:drawing>
              <wp:anchor distT="0" distB="0" distL="114300" distR="114300" simplePos="0" relativeHeight="251658274" behindDoc="0" locked="1" layoutInCell="1" allowOverlap="1" wp14:anchorId="71BDE08C" wp14:editId="1C5C5D3D">
                <wp:simplePos x="0" y="0"/>
                <wp:positionH relativeFrom="page">
                  <wp:posOffset>359410</wp:posOffset>
                </wp:positionH>
                <wp:positionV relativeFrom="page">
                  <wp:posOffset>359410</wp:posOffset>
                </wp:positionV>
                <wp:extent cx="1864800" cy="1976400"/>
                <wp:effectExtent l="0" t="0" r="0" b="0"/>
                <wp:wrapNone/>
                <wp:docPr id="52"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4BF9A3" id="TriangleTop" o:spid="_x0000_s1026" style="position:absolute;margin-left:28.3pt;margin-top:28.3pt;width:146.85pt;height:155.6pt;z-index:25165827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noProof/>
        </w:rPr>
        <mc:AlternateContent>
          <mc:Choice Requires="wps">
            <w:drawing>
              <wp:anchor distT="0" distB="0" distL="114300" distR="114300" simplePos="0" relativeHeight="251658273" behindDoc="0" locked="1" layoutInCell="1" allowOverlap="1" wp14:anchorId="1E71A2BC" wp14:editId="087CDB45">
                <wp:simplePos x="0" y="0"/>
                <wp:positionH relativeFrom="page">
                  <wp:posOffset>0</wp:posOffset>
                </wp:positionH>
                <wp:positionV relativeFrom="page">
                  <wp:align>bottom</wp:align>
                </wp:positionV>
                <wp:extent cx="3848400" cy="720000"/>
                <wp:effectExtent l="0" t="0" r="0" b="0"/>
                <wp:wrapNone/>
                <wp:docPr id="20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8C14D"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1A2BC" id="_x0000_s1056" type="#_x0000_t202" style="position:absolute;left:0;text-align:left;margin-left:0;margin-top:0;width:303pt;height:56.7pt;z-index:25165827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" filled="f" stroked="f" strokeweight=".5pt">
                <v:textbox inset="20mm">
                  <w:txbxContent>
                    <w:p w14:paraId="05D8C14D"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bookmarkStart w:id="232" w:name="_Toc88725595"/>
      <w:bookmarkStart w:id="233" w:name="_Toc88725596"/>
      <w:bookmarkStart w:id="234" w:name="_Toc88725597"/>
      <w:bookmarkStart w:id="235" w:name="_Toc88725598"/>
      <w:bookmarkStart w:id="236" w:name="_Toc88725599"/>
      <w:bookmarkStart w:id="237" w:name="_Toc88725600"/>
      <w:bookmarkStart w:id="238" w:name="_Toc88725601"/>
      <w:bookmarkStart w:id="239" w:name="_Toc88725602"/>
      <w:bookmarkStart w:id="240" w:name="_Toc88725603"/>
      <w:bookmarkStart w:id="241" w:name="_Toc88725604"/>
      <w:bookmarkStart w:id="242" w:name="_Toc88725605"/>
      <w:bookmarkStart w:id="243" w:name="_Toc88725607"/>
      <w:bookmarkStart w:id="244" w:name="_Toc88725609"/>
      <w:bookmarkStart w:id="245" w:name="_Toc88725611"/>
      <w:bookmarkStart w:id="246" w:name="_Toc88725613"/>
      <w:bookmarkStart w:id="247" w:name="_Toc88725614"/>
      <w:bookmarkStart w:id="248" w:name="_Toc88725615"/>
      <w:bookmarkStart w:id="249" w:name="_Toc88725616"/>
      <w:bookmarkStart w:id="250" w:name="_Toc88725617"/>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t>Invasive species</w:t>
      </w:r>
      <w:bookmarkEnd w:id="250"/>
    </w:p>
    <w:p w14:paraId="4F350C6A" w14:textId="77777777" w:rsidR="00466BF6" w:rsidRPr="001C0DE0" w:rsidRDefault="00466BF6" w:rsidP="00466BF6">
      <w:pPr>
        <w:pStyle w:val="Heading5"/>
        <w:numPr>
          <w:ilvl w:val="0"/>
          <w:numId w:val="0"/>
        </w:numPr>
        <w:ind w:left="1008" w:hanging="1008"/>
      </w:pPr>
      <w:r>
        <w:t>Invasive vertebrate (deer)</w:t>
      </w:r>
    </w:p>
    <w:p w14:paraId="412A1473" w14:textId="35C24604" w:rsidR="00466BF6" w:rsidRDefault="00466BF6" w:rsidP="00466BF6">
      <w:pPr>
        <w:pStyle w:val="BodyText"/>
        <w:rPr>
          <w:rFonts w:ascii="Arial" w:hAnsi="Arial"/>
        </w:rPr>
      </w:pPr>
      <w:r w:rsidRPr="00F75077">
        <w:t xml:space="preserve">Sambar </w:t>
      </w:r>
      <w:r w:rsidR="00A87ECB">
        <w:t xml:space="preserve">deer </w:t>
      </w:r>
      <w:r w:rsidRPr="00F75077">
        <w:t xml:space="preserve">have been increasing in population across the East Gippsland region in the last decade (Watter et al. 2020), infiltrating all districts and forest types, often observed congregating in damper habitats including </w:t>
      </w:r>
      <w:r>
        <w:rPr>
          <w:rFonts w:ascii="Arial" w:hAnsi="Arial"/>
        </w:rPr>
        <w:t xml:space="preserve">Cool and Warm Temperate Rainforest. Although it is unclear whether Sambar actively target </w:t>
      </w:r>
      <w:r w:rsidRPr="00D95A46">
        <w:rPr>
          <w:rFonts w:ascii="Arial" w:hAnsi="Arial"/>
        </w:rPr>
        <w:t xml:space="preserve">the </w:t>
      </w:r>
      <w:r w:rsidR="00C91800">
        <w:rPr>
          <w:rFonts w:ascii="Arial" w:hAnsi="Arial"/>
        </w:rPr>
        <w:t>species</w:t>
      </w:r>
      <w:r w:rsidRPr="00D95A46">
        <w:rPr>
          <w:rFonts w:ascii="Arial" w:hAnsi="Arial"/>
        </w:rPr>
        <w:t>,</w:t>
      </w:r>
      <w:r>
        <w:rPr>
          <w:rFonts w:ascii="Arial" w:hAnsi="Arial"/>
        </w:rPr>
        <w:t xml:space="preserve"> they have been documented to impact lowland and coastal rainforest communities, targeting a wide range of obligate rainforest taxa either by browsing, antler rubbing, trampling</w:t>
      </w:r>
      <w:r w:rsidR="006533D5">
        <w:rPr>
          <w:rFonts w:ascii="Arial" w:hAnsi="Arial"/>
        </w:rPr>
        <w:t>,</w:t>
      </w:r>
      <w:r>
        <w:rPr>
          <w:rFonts w:ascii="Arial" w:hAnsi="Arial"/>
        </w:rPr>
        <w:t xml:space="preserve"> or wallowing which will likely result in the reduction of current populations and their local extinction. While it is unclear whether Sambar are likely to browse ground ferns such as</w:t>
      </w:r>
      <w:r w:rsidRPr="00704719">
        <w:rPr>
          <w:rFonts w:ascii="Arial" w:hAnsi="Arial"/>
          <w:i/>
          <w:iCs/>
        </w:rPr>
        <w:t xml:space="preserve"> Lastreopsis, </w:t>
      </w:r>
      <w:r>
        <w:rPr>
          <w:rFonts w:ascii="Arial" w:hAnsi="Arial"/>
        </w:rPr>
        <w:t xml:space="preserve">they have the capacity to trample understorey vegetation and wallow in the dampest sites which are often the critical habitat of obligate rainforest ground ferns. Sambar often target regenerating stands following bushfire, planned burns and regenerating </w:t>
      </w:r>
      <w:r w:rsidR="00FF6B44">
        <w:rPr>
          <w:rFonts w:ascii="Arial" w:hAnsi="Arial"/>
        </w:rPr>
        <w:t>timber harvesting</w:t>
      </w:r>
      <w:r>
        <w:rPr>
          <w:rFonts w:ascii="Arial" w:hAnsi="Arial"/>
        </w:rPr>
        <w:t xml:space="preserve"> coupes, resulting in recruitment failure of seed recruits or resprouting individuals at their most vulnerable stage of development. This hazard extends across all the </w:t>
      </w:r>
      <w:r w:rsidR="00C91800">
        <w:rPr>
          <w:rFonts w:ascii="Arial" w:hAnsi="Arial"/>
        </w:rPr>
        <w:t>species’</w:t>
      </w:r>
      <w:r>
        <w:rPr>
          <w:rFonts w:ascii="Arial" w:hAnsi="Arial"/>
        </w:rPr>
        <w:t xml:space="preserve"> populations. </w:t>
      </w:r>
    </w:p>
    <w:p w14:paraId="065F66BC" w14:textId="77777777" w:rsidR="00466BF6" w:rsidRDefault="00466BF6" w:rsidP="00466BF6">
      <w:pPr>
        <w:pStyle w:val="BodyText"/>
      </w:pPr>
      <w:r w:rsidRPr="00660ABA">
        <w:t>Current existing controls for this hazard includ</w:t>
      </w:r>
      <w:r>
        <w:t>e:</w:t>
      </w:r>
    </w:p>
    <w:p w14:paraId="14F4DD71" w14:textId="72E94CCA" w:rsidR="00466BF6" w:rsidRDefault="00466BF6" w:rsidP="006670D2">
      <w:pPr>
        <w:pStyle w:val="PullOutBoxBullet"/>
      </w:pPr>
      <w:r w:rsidRPr="00D95A46">
        <w:rPr>
          <w:rStyle w:val="normaltextrun"/>
        </w:rPr>
        <w:t xml:space="preserve">Targeted deer control. </w:t>
      </w:r>
      <w:r w:rsidRPr="00CB51DA">
        <w:rPr>
          <w:rStyle w:val="normaltextrun"/>
        </w:rPr>
        <w:t>The effectiveness of this control for this species has been evaluated as poor</w:t>
      </w:r>
      <w:r>
        <w:rPr>
          <w:rStyle w:val="normaltextrun"/>
        </w:rPr>
        <w:t xml:space="preserve"> </w:t>
      </w:r>
      <w:r w:rsidRPr="00D95A46">
        <w:rPr>
          <w:rStyle w:val="normaltextrun"/>
        </w:rPr>
        <w:t xml:space="preserve">because targeted culling is patchy, expensive, and </w:t>
      </w:r>
      <w:r w:rsidRPr="003E5B31">
        <w:rPr>
          <w:rStyle w:val="normaltextrun"/>
        </w:rPr>
        <w:t>challenging</w:t>
      </w:r>
      <w:r w:rsidRPr="00D95A46">
        <w:rPr>
          <w:rStyle w:val="normaltextrun"/>
        </w:rPr>
        <w:t xml:space="preserve"> to target in remote forest areas. Sambar deer occur across a large area so there is a reservoir of other areas to recolonise from.</w:t>
      </w:r>
      <w:r w:rsidRPr="00D95A46">
        <w:rPr>
          <w:rStyle w:val="eop"/>
        </w:rPr>
        <w:t> </w:t>
      </w:r>
      <w:r w:rsidR="003D2B80" w:rsidRPr="00F05594">
        <w:t xml:space="preserve">It is important to note, however, that </w:t>
      </w:r>
      <w:r w:rsidR="003D2B80" w:rsidRPr="00F05594">
        <w:rPr>
          <w:rStyle w:val="eop"/>
          <w:rFonts w:ascii="Arial" w:hAnsi="Arial"/>
          <w:color w:val="363534"/>
        </w:rPr>
        <w:t>recent deer control programs carried out throughout East Gippsland show significant advances in ground-based shooting by using thermal imaging, after-dark hunting and in some cases the use of silencers. Targeted control programs should not be considered inappropriate if program funding is sustainable and the target flora species for protection face significant threat from deer activity.</w:t>
      </w:r>
    </w:p>
    <w:p w14:paraId="10DFF2CC" w14:textId="265EB232"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66</w:t>
      </w:r>
      <w:r w:rsidR="000B6788" w:rsidRPr="00B6162A">
        <w:rPr>
          <w:bCs/>
          <w:noProof/>
        </w:rPr>
        <w:fldChar w:fldCharType="end"/>
      </w:r>
      <w:r w:rsidRPr="00FF310C">
        <w:t xml:space="preserve">. Bristly Shield-fern protection requirements and recommendations for invasive vertebrate (deer) </w:t>
      </w:r>
    </w:p>
    <w:tbl>
      <w:tblPr>
        <w:tblStyle w:val="TableGrid"/>
        <w:tblW w:w="0" w:type="auto"/>
        <w:tblLayout w:type="fixed"/>
        <w:tblLook w:val="04A0" w:firstRow="1" w:lastRow="0" w:firstColumn="1" w:lastColumn="0" w:noHBand="0" w:noVBand="1"/>
      </w:tblPr>
      <w:tblGrid>
        <w:gridCol w:w="2268"/>
        <w:gridCol w:w="7371"/>
      </w:tblGrid>
      <w:tr w:rsidR="00187A7D" w:rsidRPr="00867DAA" w14:paraId="4EBDB10E" w14:textId="77777777" w:rsidTr="00187A7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7A723F2B" w14:textId="77777777" w:rsidR="00466BF6" w:rsidRPr="007B5B86" w:rsidRDefault="00466BF6" w:rsidP="00296E0F">
            <w:pPr>
              <w:pStyle w:val="BodyText"/>
            </w:pPr>
            <w:r w:rsidRPr="007B5B86">
              <w:t>Requirement</w:t>
            </w:r>
          </w:p>
        </w:tc>
        <w:tc>
          <w:tcPr>
            <w:tcW w:w="7371" w:type="dxa"/>
            <w:vAlign w:val="center"/>
          </w:tcPr>
          <w:p w14:paraId="0BEE4445" w14:textId="77777777" w:rsidR="00466BF6" w:rsidRPr="007B5B86"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466BF6" w:rsidRPr="00867DAA" w14:paraId="5BA727D1" w14:textId="77777777" w:rsidTr="0045799B">
        <w:tc>
          <w:tcPr>
            <w:tcW w:w="0" w:type="dxa"/>
          </w:tcPr>
          <w:p w14:paraId="5E3E4372" w14:textId="54FBF4A0" w:rsidR="00466BF6" w:rsidRPr="00867DAA" w:rsidRDefault="00F50412" w:rsidP="005611CD">
            <w:pPr>
              <w:pStyle w:val="BodyText"/>
            </w:pPr>
            <w:r>
              <w:t>Priority management actions</w:t>
            </w:r>
          </w:p>
        </w:tc>
        <w:tc>
          <w:tcPr>
            <w:tcW w:w="0" w:type="dxa"/>
          </w:tcPr>
          <w:p w14:paraId="15AE52B2" w14:textId="77777777" w:rsidR="00466BF6" w:rsidRPr="00867DAA" w:rsidRDefault="00466BF6" w:rsidP="005611CD">
            <w:pPr>
              <w:pStyle w:val="BodyText"/>
            </w:pPr>
            <w:r>
              <w:t>Not required for this hazard.</w:t>
            </w:r>
          </w:p>
        </w:tc>
      </w:tr>
      <w:tr w:rsidR="00466BF6" w:rsidRPr="00867DAA" w14:paraId="1BD71717" w14:textId="77777777" w:rsidTr="0045799B">
        <w:tc>
          <w:tcPr>
            <w:tcW w:w="0" w:type="dxa"/>
          </w:tcPr>
          <w:p w14:paraId="1EC81DA7" w14:textId="2BBCCD7D" w:rsidR="00466BF6" w:rsidRPr="00867DAA" w:rsidRDefault="00F50412" w:rsidP="005611CD">
            <w:pPr>
              <w:pStyle w:val="BodyText"/>
            </w:pPr>
            <w:r>
              <w:t>Potential m</w:t>
            </w:r>
            <w:r w:rsidR="00466BF6" w:rsidRPr="00867DAA">
              <w:t>anagement actions</w:t>
            </w:r>
          </w:p>
        </w:tc>
        <w:tc>
          <w:tcPr>
            <w:tcW w:w="0" w:type="dxa"/>
          </w:tcPr>
          <w:p w14:paraId="7E2659B2" w14:textId="04ED0F97" w:rsidR="00466BF6" w:rsidRPr="00F26BEE" w:rsidRDefault="00466BF6" w:rsidP="006670D2">
            <w:pPr>
              <w:pStyle w:val="PullOutBoxBullet"/>
              <w:rPr>
                <w:rFonts w:ascii="Arial" w:hAnsi="Arial"/>
                <w:color w:val="363534"/>
              </w:rPr>
            </w:pPr>
            <w:r>
              <w:t xml:space="preserve">Monitor representative populations following </w:t>
            </w:r>
            <w:r w:rsidR="00FF6B44">
              <w:t>timber harvesting</w:t>
            </w:r>
            <w:r>
              <w:t xml:space="preserve">, planned burning and bushfire, as well as in healthy mature stands, to see evidence of browsing or the impact of trampling and wallowing on the </w:t>
            </w:r>
            <w:r w:rsidR="00C91800">
              <w:t>species</w:t>
            </w:r>
            <w:r>
              <w:t xml:space="preserve">; and </w:t>
            </w:r>
          </w:p>
          <w:p w14:paraId="204BED30" w14:textId="77777777" w:rsidR="00466BF6" w:rsidRPr="007935D4" w:rsidRDefault="00466BF6" w:rsidP="006670D2">
            <w:pPr>
              <w:pStyle w:val="PullOutBoxBullet"/>
              <w:rPr>
                <w:rFonts w:ascii="Arial" w:hAnsi="Arial"/>
                <w:color w:val="363534"/>
              </w:rPr>
            </w:pPr>
            <w:r>
              <w:t>Target Sambar for control particularly after major decline events such as fire or extremely severe drought.</w:t>
            </w:r>
          </w:p>
        </w:tc>
      </w:tr>
    </w:tbl>
    <w:p w14:paraId="259DA03A" w14:textId="5061C37B" w:rsidR="007B60AB" w:rsidRPr="00A92E0A" w:rsidRDefault="00466BF6" w:rsidP="00A33527">
      <w:pPr>
        <w:pStyle w:val="BodyText"/>
      </w:pPr>
      <w:r>
        <w:br w:type="page"/>
      </w:r>
      <w:bookmarkStart w:id="251" w:name="_Toc88557993"/>
      <w:bookmarkStart w:id="252" w:name="_Toc88725619"/>
      <w:bookmarkStart w:id="253" w:name="_Toc95233346"/>
    </w:p>
    <w:p w14:paraId="7FF4FA0A" w14:textId="76A2208D" w:rsidR="00466BF6" w:rsidRPr="008A722C" w:rsidRDefault="00466BF6" w:rsidP="00FB5A2B">
      <w:pPr>
        <w:pStyle w:val="Heading2"/>
        <w:ind w:left="0"/>
      </w:pPr>
      <w:bookmarkStart w:id="254" w:name="_Toc113271036"/>
      <w:r>
        <w:t>Creeping Shield-fern </w:t>
      </w:r>
      <w:r w:rsidRPr="60664A41">
        <w:rPr>
          <w:i/>
          <w:iCs/>
        </w:rPr>
        <w:t xml:space="preserve">(Lastreopsis microsora </w:t>
      </w:r>
      <w:r>
        <w:t xml:space="preserve">subsp. </w:t>
      </w:r>
      <w:r w:rsidRPr="60664A41">
        <w:rPr>
          <w:i/>
          <w:iCs/>
        </w:rPr>
        <w:t>microsora)</w:t>
      </w:r>
      <w:bookmarkEnd w:id="251"/>
      <w:bookmarkEnd w:id="252"/>
      <w:bookmarkEnd w:id="253"/>
      <w:bookmarkEnd w:id="254"/>
      <w:r>
        <w:t> </w:t>
      </w:r>
    </w:p>
    <w:p w14:paraId="74295C19" w14:textId="2A6C8553" w:rsidR="00466BF6" w:rsidRPr="003E1225" w:rsidRDefault="00466BF6" w:rsidP="001E733F">
      <w:pPr>
        <w:pStyle w:val="BodyText"/>
        <w:rPr>
          <w:rFonts w:ascii="Arial" w:hAnsi="Arial"/>
          <w:color w:val="363534"/>
        </w:rPr>
      </w:pPr>
      <w:r w:rsidRPr="00521CB4">
        <w:t xml:space="preserve">The </w:t>
      </w:r>
      <w:r>
        <w:t>Creeping Shield-fern</w:t>
      </w:r>
      <w:r w:rsidRPr="00521CB4">
        <w:t xml:space="preserve"> was listed</w:t>
      </w:r>
      <w:r>
        <w:t xml:space="preserve"> as </w:t>
      </w:r>
      <w:r w:rsidRPr="007935D4">
        <w:t>Endangered</w:t>
      </w:r>
      <w:r>
        <w:t xml:space="preserve"> in Victoria under the FFG Act in May 2021. The </w:t>
      </w:r>
      <w:r w:rsidR="00D51603">
        <w:t>sub</w:t>
      </w:r>
      <w:r w:rsidR="00C91800">
        <w:t>species</w:t>
      </w:r>
      <w:r>
        <w:t xml:space="preserve"> has modelled habitat in the East Gippsland (100% of modelled habitat) RFA region.</w:t>
      </w:r>
      <w:r w:rsidRPr="008131B2">
        <w:rPr>
          <w:rStyle w:val="BodyTextChar"/>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 </w:t>
      </w:r>
    </w:p>
    <w:p w14:paraId="71BF1EB2" w14:textId="77777777" w:rsidR="00466BF6" w:rsidRDefault="00466BF6" w:rsidP="007E5EBF">
      <w:pPr>
        <w:pStyle w:val="Heading3"/>
      </w:pPr>
      <w:bookmarkStart w:id="255" w:name="_Toc88725620"/>
      <w:r>
        <w:t>Risk Assessment</w:t>
      </w:r>
      <w:bookmarkEnd w:id="255"/>
    </w:p>
    <w:p w14:paraId="4C0976FE" w14:textId="04140DA0" w:rsidR="00466BF6" w:rsidRPr="00FF310C" w:rsidRDefault="00466BF6" w:rsidP="006670D2">
      <w:pPr>
        <w:pStyle w:val="Caption"/>
        <w:rPr>
          <w:rFonts w:ascii="Arial" w:hAnsi="Arial"/>
          <w:color w:val="auto"/>
        </w:rPr>
      </w:pPr>
      <w:r w:rsidRPr="00FF310C">
        <w:t xml:space="preserve">Table </w:t>
      </w:r>
      <w:r w:rsidRPr="00B6162A">
        <w:rPr>
          <w:bCs/>
        </w:rPr>
        <w:fldChar w:fldCharType="begin"/>
      </w:r>
      <w:r w:rsidRPr="00FF310C">
        <w:instrText>SEQ Table \* ARABIC</w:instrText>
      </w:r>
      <w:r w:rsidRPr="00B6162A">
        <w:rPr>
          <w:bCs/>
        </w:rPr>
        <w:fldChar w:fldCharType="separate"/>
      </w:r>
      <w:r w:rsidR="00692F0D">
        <w:rPr>
          <w:noProof/>
        </w:rPr>
        <w:t>67</w:t>
      </w:r>
      <w:r w:rsidRPr="00B6162A">
        <w:rPr>
          <w:bCs/>
        </w:rPr>
        <w:fldChar w:fldCharType="end"/>
      </w:r>
      <w:r w:rsidRPr="00FF310C">
        <w:t>. Creeping Shield-fern risk ratings in the East Gippsland RFA region:</w:t>
      </w:r>
    </w:p>
    <w:tbl>
      <w:tblPr>
        <w:tblStyle w:val="TableGrid"/>
        <w:tblW w:w="9639" w:type="dxa"/>
        <w:tblLook w:val="04A0" w:firstRow="1" w:lastRow="0" w:firstColumn="1" w:lastColumn="0" w:noHBand="0" w:noVBand="1"/>
      </w:tblPr>
      <w:tblGrid>
        <w:gridCol w:w="1935"/>
        <w:gridCol w:w="1925"/>
        <w:gridCol w:w="1925"/>
        <w:gridCol w:w="1927"/>
        <w:gridCol w:w="1927"/>
      </w:tblGrid>
      <w:tr w:rsidR="00466BF6" w14:paraId="03ABC961" w14:textId="77777777" w:rsidTr="00E738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56" w:type="dxa"/>
            <w:vAlign w:val="center"/>
          </w:tcPr>
          <w:p w14:paraId="2226D082" w14:textId="77777777" w:rsidR="00466BF6" w:rsidRPr="00643008" w:rsidRDefault="00466BF6" w:rsidP="006670D2">
            <w:pPr>
              <w:pStyle w:val="CaptionImageorFigure"/>
            </w:pPr>
          </w:p>
        </w:tc>
        <w:tc>
          <w:tcPr>
            <w:tcW w:w="1956" w:type="dxa"/>
            <w:vAlign w:val="center"/>
          </w:tcPr>
          <w:p w14:paraId="4619C3B9" w14:textId="77777777" w:rsidR="00466BF6" w:rsidRPr="00643008"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956" w:type="dxa"/>
            <w:vAlign w:val="center"/>
          </w:tcPr>
          <w:p w14:paraId="65766865"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Planned burning</w:t>
            </w:r>
          </w:p>
        </w:tc>
        <w:tc>
          <w:tcPr>
            <w:tcW w:w="1956" w:type="dxa"/>
            <w:vAlign w:val="center"/>
          </w:tcPr>
          <w:p w14:paraId="0A8FE2E1" w14:textId="1D2F6D79" w:rsidR="00466BF6" w:rsidDel="000164DE" w:rsidRDefault="00BC4502"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466BF6">
              <w:t>orestry operations</w:t>
            </w:r>
          </w:p>
        </w:tc>
        <w:tc>
          <w:tcPr>
            <w:tcW w:w="1956" w:type="dxa"/>
            <w:vAlign w:val="center"/>
          </w:tcPr>
          <w:p w14:paraId="4CFF92B3"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466BF6" w14:paraId="3687AA14" w14:textId="77777777" w:rsidTr="00E73893">
        <w:tc>
          <w:tcPr>
            <w:tcW w:w="1956" w:type="dxa"/>
            <w:vAlign w:val="center"/>
          </w:tcPr>
          <w:p w14:paraId="70593460" w14:textId="77777777" w:rsidR="00466BF6" w:rsidRPr="0053677B" w:rsidRDefault="00466BF6" w:rsidP="004E2316">
            <w:pPr>
              <w:pStyle w:val="BodyText"/>
              <w:jc w:val="center"/>
            </w:pPr>
            <w:r w:rsidRPr="0053677B">
              <w:t>Consequence</w:t>
            </w:r>
          </w:p>
        </w:tc>
        <w:tc>
          <w:tcPr>
            <w:tcW w:w="1956" w:type="dxa"/>
            <w:vAlign w:val="center"/>
          </w:tcPr>
          <w:p w14:paraId="293B322D" w14:textId="77777777" w:rsidR="00466BF6" w:rsidRDefault="00466BF6" w:rsidP="004E2316">
            <w:pPr>
              <w:pStyle w:val="BodyText"/>
              <w:jc w:val="center"/>
            </w:pPr>
            <w:r>
              <w:t>Extreme</w:t>
            </w:r>
          </w:p>
        </w:tc>
        <w:tc>
          <w:tcPr>
            <w:tcW w:w="1956" w:type="dxa"/>
            <w:vAlign w:val="center"/>
          </w:tcPr>
          <w:p w14:paraId="5F00A005" w14:textId="77777777" w:rsidR="00466BF6" w:rsidRDefault="00466BF6" w:rsidP="004E2316">
            <w:pPr>
              <w:pStyle w:val="BodyText"/>
              <w:jc w:val="center"/>
            </w:pPr>
            <w:r>
              <w:t>Moderate</w:t>
            </w:r>
          </w:p>
        </w:tc>
        <w:tc>
          <w:tcPr>
            <w:tcW w:w="1956" w:type="dxa"/>
            <w:vAlign w:val="center"/>
          </w:tcPr>
          <w:p w14:paraId="3607B815" w14:textId="77777777" w:rsidR="00466BF6" w:rsidRDefault="00466BF6" w:rsidP="004E2316">
            <w:pPr>
              <w:pStyle w:val="BodyText"/>
              <w:jc w:val="center"/>
            </w:pPr>
            <w:r>
              <w:t>Moderate</w:t>
            </w:r>
          </w:p>
        </w:tc>
        <w:tc>
          <w:tcPr>
            <w:tcW w:w="1956" w:type="dxa"/>
            <w:vAlign w:val="center"/>
          </w:tcPr>
          <w:p w14:paraId="612DD66B" w14:textId="77777777" w:rsidR="00466BF6" w:rsidRDefault="00466BF6" w:rsidP="004E2316">
            <w:pPr>
              <w:pStyle w:val="BodyText"/>
              <w:jc w:val="center"/>
            </w:pPr>
            <w:r>
              <w:t>Moderate</w:t>
            </w:r>
          </w:p>
        </w:tc>
      </w:tr>
      <w:tr w:rsidR="00466BF6" w14:paraId="51556D66" w14:textId="77777777" w:rsidTr="00E73893">
        <w:tc>
          <w:tcPr>
            <w:tcW w:w="1956" w:type="dxa"/>
            <w:vAlign w:val="center"/>
          </w:tcPr>
          <w:p w14:paraId="0D9487A0" w14:textId="77777777" w:rsidR="00466BF6" w:rsidRPr="0053677B" w:rsidRDefault="00466BF6" w:rsidP="004E2316">
            <w:pPr>
              <w:pStyle w:val="BodyText"/>
              <w:jc w:val="center"/>
            </w:pPr>
            <w:r w:rsidRPr="0053677B">
              <w:t>Likelihood</w:t>
            </w:r>
          </w:p>
        </w:tc>
        <w:tc>
          <w:tcPr>
            <w:tcW w:w="1956" w:type="dxa"/>
            <w:vAlign w:val="center"/>
          </w:tcPr>
          <w:p w14:paraId="1623CE1C" w14:textId="77777777" w:rsidR="00466BF6" w:rsidRDefault="00466BF6" w:rsidP="004E2316">
            <w:pPr>
              <w:pStyle w:val="BodyText"/>
              <w:jc w:val="center"/>
            </w:pPr>
            <w:r>
              <w:t>Almost Certain</w:t>
            </w:r>
          </w:p>
        </w:tc>
        <w:tc>
          <w:tcPr>
            <w:tcW w:w="1956" w:type="dxa"/>
            <w:vAlign w:val="center"/>
          </w:tcPr>
          <w:p w14:paraId="76A6B87F" w14:textId="77777777" w:rsidR="00466BF6" w:rsidRDefault="00466BF6" w:rsidP="004E2316">
            <w:pPr>
              <w:pStyle w:val="BodyText"/>
              <w:jc w:val="center"/>
            </w:pPr>
            <w:r>
              <w:t>Possible</w:t>
            </w:r>
          </w:p>
        </w:tc>
        <w:tc>
          <w:tcPr>
            <w:tcW w:w="1956" w:type="dxa"/>
            <w:vAlign w:val="center"/>
          </w:tcPr>
          <w:p w14:paraId="7500E668" w14:textId="77777777" w:rsidR="00466BF6" w:rsidRDefault="00466BF6" w:rsidP="004E2316">
            <w:pPr>
              <w:pStyle w:val="BodyText"/>
              <w:jc w:val="center"/>
            </w:pPr>
            <w:r>
              <w:t>Likely</w:t>
            </w:r>
          </w:p>
        </w:tc>
        <w:tc>
          <w:tcPr>
            <w:tcW w:w="1956" w:type="dxa"/>
            <w:vAlign w:val="center"/>
          </w:tcPr>
          <w:p w14:paraId="3E9410CD" w14:textId="77777777" w:rsidR="00466BF6" w:rsidRDefault="00466BF6" w:rsidP="004E2316">
            <w:pPr>
              <w:pStyle w:val="BodyText"/>
              <w:jc w:val="center"/>
            </w:pPr>
            <w:r>
              <w:t>Likely</w:t>
            </w:r>
          </w:p>
        </w:tc>
      </w:tr>
      <w:tr w:rsidR="00466BF6" w14:paraId="7899B8EA" w14:textId="77777777" w:rsidTr="00E73893">
        <w:tc>
          <w:tcPr>
            <w:tcW w:w="0" w:type="dxa"/>
            <w:vAlign w:val="center"/>
          </w:tcPr>
          <w:p w14:paraId="5552D598" w14:textId="77777777" w:rsidR="00466BF6" w:rsidRPr="0053677B" w:rsidRDefault="00466BF6" w:rsidP="004E2316">
            <w:pPr>
              <w:pStyle w:val="BodyText"/>
              <w:jc w:val="center"/>
            </w:pPr>
            <w:r w:rsidRPr="0053677B">
              <w:t>Overall risk rating</w:t>
            </w:r>
          </w:p>
        </w:tc>
        <w:tc>
          <w:tcPr>
            <w:tcW w:w="0" w:type="dxa"/>
            <w:shd w:val="clear" w:color="auto" w:fill="FF0000"/>
            <w:vAlign w:val="center"/>
          </w:tcPr>
          <w:p w14:paraId="65D90581" w14:textId="77777777" w:rsidR="00466BF6" w:rsidRDefault="00466BF6" w:rsidP="004E2316">
            <w:pPr>
              <w:pStyle w:val="BodyText"/>
              <w:jc w:val="center"/>
            </w:pPr>
            <w:r>
              <w:t>High</w:t>
            </w:r>
          </w:p>
        </w:tc>
        <w:tc>
          <w:tcPr>
            <w:tcW w:w="0" w:type="dxa"/>
            <w:shd w:val="clear" w:color="auto" w:fill="FFFF00"/>
            <w:vAlign w:val="center"/>
          </w:tcPr>
          <w:p w14:paraId="51B5052C" w14:textId="77777777" w:rsidR="00466BF6" w:rsidRDefault="00466BF6" w:rsidP="004E2316">
            <w:pPr>
              <w:pStyle w:val="BodyText"/>
              <w:jc w:val="center"/>
            </w:pPr>
            <w:r>
              <w:t>Medium</w:t>
            </w:r>
          </w:p>
        </w:tc>
        <w:tc>
          <w:tcPr>
            <w:tcW w:w="0" w:type="dxa"/>
            <w:shd w:val="clear" w:color="auto" w:fill="FFC000"/>
            <w:vAlign w:val="center"/>
          </w:tcPr>
          <w:p w14:paraId="289444A0" w14:textId="77777777" w:rsidR="00466BF6" w:rsidRDefault="00466BF6" w:rsidP="004E2316">
            <w:pPr>
              <w:pStyle w:val="BodyText"/>
              <w:jc w:val="center"/>
            </w:pPr>
            <w:r>
              <w:t>Significant</w:t>
            </w:r>
          </w:p>
        </w:tc>
        <w:tc>
          <w:tcPr>
            <w:tcW w:w="0" w:type="dxa"/>
            <w:shd w:val="clear" w:color="auto" w:fill="FFC000"/>
            <w:vAlign w:val="center"/>
          </w:tcPr>
          <w:p w14:paraId="5B196738" w14:textId="77777777" w:rsidR="00466BF6" w:rsidRDefault="00466BF6" w:rsidP="004E2316">
            <w:pPr>
              <w:pStyle w:val="BodyText"/>
              <w:jc w:val="center"/>
            </w:pPr>
            <w:r>
              <w:t>Significant</w:t>
            </w:r>
          </w:p>
        </w:tc>
      </w:tr>
    </w:tbl>
    <w:p w14:paraId="3C57E697" w14:textId="77777777" w:rsidR="00466BF6" w:rsidRDefault="00466BF6" w:rsidP="007E5EBF">
      <w:pPr>
        <w:pStyle w:val="Heading3"/>
      </w:pPr>
      <w:bookmarkStart w:id="256" w:name="_Toc88725621"/>
      <w:bookmarkStart w:id="257" w:name="_Toc88725622"/>
      <w:bookmarkStart w:id="258" w:name="_Toc88725623"/>
      <w:bookmarkStart w:id="259" w:name="_Toc88725624"/>
      <w:bookmarkStart w:id="260" w:name="_Toc88725625"/>
      <w:bookmarkEnd w:id="256"/>
      <w:bookmarkEnd w:id="257"/>
      <w:bookmarkEnd w:id="258"/>
      <w:bookmarkEnd w:id="259"/>
      <w:r>
        <w:t>Fire</w:t>
      </w:r>
      <w:bookmarkEnd w:id="260"/>
    </w:p>
    <w:p w14:paraId="1335F2D2" w14:textId="77777777" w:rsidR="00466BF6" w:rsidRPr="001C0DE0" w:rsidRDefault="00466BF6" w:rsidP="00466BF6">
      <w:pPr>
        <w:pStyle w:val="Heading5"/>
        <w:numPr>
          <w:ilvl w:val="0"/>
          <w:numId w:val="0"/>
        </w:numPr>
        <w:ind w:left="1008" w:hanging="1008"/>
      </w:pPr>
      <w:r>
        <w:t>Increased fire frequency and intensity</w:t>
      </w:r>
    </w:p>
    <w:p w14:paraId="17B10C1A" w14:textId="715AD0B8" w:rsidR="00466BF6" w:rsidRPr="00F26BEE" w:rsidRDefault="00466BF6" w:rsidP="00466BF6">
      <w:pPr>
        <w:pStyle w:val="BodyText"/>
      </w:pPr>
      <w:r>
        <w:t xml:space="preserve">Altered fire regimes under climate change are likely to continue to threaten this </w:t>
      </w:r>
      <w:r w:rsidR="00D51603">
        <w:t>sub</w:t>
      </w:r>
      <w:r w:rsidR="001B07BE">
        <w:t>species</w:t>
      </w:r>
      <w:r>
        <w:t xml:space="preserve"> and its habitat. Many locations have already been severely burnt as an </w:t>
      </w:r>
      <w:r w:rsidRPr="00F26BEE">
        <w:t>early climate change signal with a</w:t>
      </w:r>
      <w:r>
        <w:t xml:space="preserve"> vast majority of sites likely burnt in the last 40 years (e.g., Ash Wednesday fire 1983). The threat incorporates drought stress and includes increasing fire risk, with each catastrophic fire event resulting from incremental impacts which accrue over decades. The </w:t>
      </w:r>
      <w:r w:rsidR="00D51603">
        <w:t>sub</w:t>
      </w:r>
      <w:r w:rsidR="001B07BE">
        <w:t>species</w:t>
      </w:r>
      <w:r>
        <w:t xml:space="preserve"> is likely to have been significantly depleted </w:t>
      </w:r>
      <w:r w:rsidR="00B612EE">
        <w:t>because of</w:t>
      </w:r>
      <w:r>
        <w:t xml:space="preserve"> the documented contraction and elimination of Warm Temperate Rainforest stands, the critical habitat of the </w:t>
      </w:r>
      <w:r w:rsidR="00D51603">
        <w:t>sub</w:t>
      </w:r>
      <w:r w:rsidR="001B07BE">
        <w:t>species</w:t>
      </w:r>
      <w:r>
        <w:t xml:space="preserve">, across its range in response to catastrophic bushfire. This threat extends across all the </w:t>
      </w:r>
      <w:r w:rsidR="00D51603">
        <w:t>sub</w:t>
      </w:r>
      <w:r w:rsidR="001B07BE">
        <w:t>species’</w:t>
      </w:r>
      <w:r>
        <w:t xml:space="preserve"> population, and results in habitat loss from an accrued impact of decades of drought and high summer temperatures resulting in sudden quantum decline in the extent of structurally mature Warm Temperate Rainforest. Vegetative regeneration of established mature stands from extensive rhizome systems post-fire are likely to be at elevated risk of trampling and, potentially targeted or incidental browsing </w:t>
      </w:r>
      <w:r w:rsidRPr="00F26BEE">
        <w:t>by Sambar which tend to congregate in mesic habitats in gullies and on lower slopes, particularly following intense landscape-scale bushfires.</w:t>
      </w:r>
    </w:p>
    <w:p w14:paraId="7E2A028E" w14:textId="77777777" w:rsidR="00466BF6" w:rsidRPr="00F26BEE" w:rsidRDefault="00466BF6" w:rsidP="00466BF6">
      <w:pPr>
        <w:pStyle w:val="BodyText"/>
      </w:pPr>
      <w:r w:rsidRPr="00F26BEE">
        <w:t>Current existing controls for this hazard include:</w:t>
      </w:r>
    </w:p>
    <w:p w14:paraId="2CB0FBDF" w14:textId="44209AED" w:rsidR="00466BF6" w:rsidRPr="00F26BEE" w:rsidRDefault="00466BF6" w:rsidP="006670D2">
      <w:pPr>
        <w:pStyle w:val="PullOutBoxBullet"/>
      </w:pPr>
      <w:r>
        <w:t xml:space="preserve">Planned Burning. This control is considered ineffective in this case as the </w:t>
      </w:r>
      <w:r w:rsidR="00D51603">
        <w:t>sub</w:t>
      </w:r>
      <w:r>
        <w:t>species’ habitat is generally not suitable for planned burning. Strategic fuel</w:t>
      </w:r>
      <w:r w:rsidR="00312892">
        <w:t xml:space="preserve"> </w:t>
      </w:r>
      <w:r>
        <w:t xml:space="preserve">breaks and associated backburning may however provide valuable protection in some cases for this </w:t>
      </w:r>
      <w:r w:rsidR="00D51603">
        <w:t>sub</w:t>
      </w:r>
      <w:r>
        <w:t>species and its habitat from severe bushfires.</w:t>
      </w:r>
    </w:p>
    <w:p w14:paraId="1CBB5E46" w14:textId="6D01A67C"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68</w:t>
      </w:r>
      <w:r w:rsidR="000B6788" w:rsidRPr="00B6162A">
        <w:rPr>
          <w:bCs/>
          <w:noProof/>
        </w:rPr>
        <w:fldChar w:fldCharType="end"/>
      </w:r>
      <w:r w:rsidRPr="00FF310C">
        <w:t>. Creeping Shield-fern protection requirements and recommendations for increased fire frequency</w:t>
      </w:r>
      <w:r w:rsidR="00B048A7" w:rsidRPr="00FF310C">
        <w:t xml:space="preserve"> and </w:t>
      </w:r>
      <w:r w:rsidRPr="00FF310C">
        <w:t>intensity</w:t>
      </w:r>
    </w:p>
    <w:tbl>
      <w:tblPr>
        <w:tblStyle w:val="TableGrid"/>
        <w:tblW w:w="0" w:type="auto"/>
        <w:tblLayout w:type="fixed"/>
        <w:tblLook w:val="04A0" w:firstRow="1" w:lastRow="0" w:firstColumn="1" w:lastColumn="0" w:noHBand="0" w:noVBand="1"/>
      </w:tblPr>
      <w:tblGrid>
        <w:gridCol w:w="2268"/>
        <w:gridCol w:w="7371"/>
      </w:tblGrid>
      <w:tr w:rsidR="00187A7D" w:rsidRPr="00867DAA" w14:paraId="572C9476" w14:textId="77777777" w:rsidTr="00187A7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5B1C691D" w14:textId="77777777" w:rsidR="00466BF6" w:rsidRPr="007B5B86" w:rsidRDefault="00466BF6" w:rsidP="00296E0F">
            <w:pPr>
              <w:pStyle w:val="BodyText"/>
            </w:pPr>
            <w:r w:rsidRPr="007B5B86">
              <w:t>Requirement</w:t>
            </w:r>
          </w:p>
        </w:tc>
        <w:tc>
          <w:tcPr>
            <w:tcW w:w="7371" w:type="dxa"/>
            <w:vAlign w:val="center"/>
          </w:tcPr>
          <w:p w14:paraId="6BF95486" w14:textId="77777777" w:rsidR="00466BF6" w:rsidRPr="007B5B86"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466BF6" w:rsidRPr="00867DAA" w14:paraId="392C4C0D" w14:textId="77777777" w:rsidTr="0045799B">
        <w:tc>
          <w:tcPr>
            <w:tcW w:w="0" w:type="dxa"/>
          </w:tcPr>
          <w:p w14:paraId="64484F67" w14:textId="1A3589E1" w:rsidR="00466BF6" w:rsidRPr="00867DAA" w:rsidRDefault="00F50412" w:rsidP="005611CD">
            <w:pPr>
              <w:pStyle w:val="BodyText"/>
            </w:pPr>
            <w:r>
              <w:t>Priority management actions</w:t>
            </w:r>
          </w:p>
        </w:tc>
        <w:tc>
          <w:tcPr>
            <w:tcW w:w="0" w:type="dxa"/>
          </w:tcPr>
          <w:p w14:paraId="451B08C5" w14:textId="77777777" w:rsidR="00466BF6" w:rsidRPr="00867DAA" w:rsidRDefault="00466BF6" w:rsidP="005611CD">
            <w:pPr>
              <w:pStyle w:val="BodyText"/>
            </w:pPr>
            <w:r>
              <w:t>Not required for this hazard as it is a longer-term threat.</w:t>
            </w:r>
          </w:p>
        </w:tc>
      </w:tr>
      <w:tr w:rsidR="00466BF6" w:rsidRPr="00867DAA" w14:paraId="485429BE" w14:textId="77777777" w:rsidTr="0045799B">
        <w:tc>
          <w:tcPr>
            <w:tcW w:w="0" w:type="dxa"/>
          </w:tcPr>
          <w:p w14:paraId="1A2C7B6E" w14:textId="5CD6A8ED" w:rsidR="00466BF6" w:rsidRPr="00867DAA" w:rsidRDefault="00F50412" w:rsidP="005611CD">
            <w:pPr>
              <w:pStyle w:val="BodyText"/>
            </w:pPr>
            <w:r>
              <w:t>Potential m</w:t>
            </w:r>
            <w:r w:rsidR="00466BF6" w:rsidRPr="00867DAA">
              <w:t>anagement actions</w:t>
            </w:r>
          </w:p>
        </w:tc>
        <w:tc>
          <w:tcPr>
            <w:tcW w:w="0" w:type="dxa"/>
          </w:tcPr>
          <w:p w14:paraId="3787EE3F" w14:textId="77777777" w:rsidR="00466BF6" w:rsidRDefault="00466BF6" w:rsidP="006670D2">
            <w:pPr>
              <w:pStyle w:val="PullOutBoxBullet"/>
            </w:pPr>
            <w:r>
              <w:t xml:space="preserve">The overall risk would need to be addressed to mitigate this hazard, such as trying to keep climate change below certain thresholds; and </w:t>
            </w:r>
          </w:p>
          <w:p w14:paraId="74CBC512" w14:textId="77777777" w:rsidR="00466BF6" w:rsidRPr="006F1079" w:rsidRDefault="00466BF6" w:rsidP="006670D2">
            <w:pPr>
              <w:pStyle w:val="PullOutBoxBullet"/>
            </w:pPr>
            <w:r>
              <w:t xml:space="preserve">Undertake targeted removal of eucalypts invading former rainforest following intense bushfire. </w:t>
            </w:r>
          </w:p>
        </w:tc>
      </w:tr>
    </w:tbl>
    <w:p w14:paraId="5FD22E92" w14:textId="77777777" w:rsidR="00466BF6" w:rsidRPr="001C0DE0" w:rsidRDefault="00466BF6" w:rsidP="007E5EBF">
      <w:pPr>
        <w:pStyle w:val="Heading5"/>
      </w:pPr>
      <w:bookmarkStart w:id="261" w:name="_Toc88725626"/>
      <w:bookmarkStart w:id="262" w:name="_Toc88725627"/>
      <w:bookmarkStart w:id="263" w:name="_Toc88725654"/>
      <w:bookmarkStart w:id="264" w:name="_Toc88725655"/>
      <w:bookmarkStart w:id="265" w:name="_Toc88725656"/>
      <w:bookmarkStart w:id="266" w:name="_Toc88725657"/>
      <w:bookmarkStart w:id="267" w:name="_Toc88725658"/>
      <w:bookmarkStart w:id="268" w:name="_Toc88725659"/>
      <w:bookmarkStart w:id="269" w:name="_Toc88725660"/>
      <w:bookmarkStart w:id="270" w:name="_Toc88725661"/>
      <w:bookmarkStart w:id="271" w:name="_Toc88725662"/>
      <w:bookmarkStart w:id="272" w:name="_Toc88725663"/>
      <w:bookmarkStart w:id="273" w:name="_Toc88725664"/>
      <w:bookmarkStart w:id="274" w:name="_Toc88725666"/>
      <w:bookmarkStart w:id="275" w:name="_Toc88725668"/>
      <w:bookmarkStart w:id="276" w:name="_Toc88725670"/>
      <w:bookmarkStart w:id="277" w:name="_Toc88725672"/>
      <w:bookmarkStart w:id="278" w:name="_Toc88725673"/>
      <w:bookmarkStart w:id="279" w:name="_Toc88725674"/>
      <w:bookmarkStart w:id="280" w:name="_Toc88725675"/>
      <w:bookmarkStart w:id="281" w:name="_Toc88725628"/>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t>Planned burning</w:t>
      </w:r>
    </w:p>
    <w:p w14:paraId="1D517AFF" w14:textId="5D3176E6" w:rsidR="00466BF6" w:rsidRDefault="00466BF6" w:rsidP="00466BF6">
      <w:pPr>
        <w:pStyle w:val="BodyText"/>
      </w:pPr>
      <w:r>
        <w:t xml:space="preserve">Traditionally, planned burns in the general vicinity of rainforest and other riparian vegetation have been reliant on differential moisture gradients to reduce the intensity and impact of fire on all fire-sensitive vegetation types in the riparian environment. </w:t>
      </w:r>
      <w:r w:rsidRPr="00F26BEE">
        <w:t>Whilst this approach has often worked satisfactorily in the past, recent experience and climate change projections (</w:t>
      </w:r>
      <w:r w:rsidR="00B70255">
        <w:t>CSIRO &amp; Bureau of Meteorology 2020</w:t>
      </w:r>
      <w:r w:rsidRPr="00F26BEE">
        <w:t>) demonstrate the increasing risk of even well-controlled planned burns entering rainforest and its buffers. All fire in the ecoton</w:t>
      </w:r>
      <w:r>
        <w:t xml:space="preserve">al environment threatens to expose fire-sensitive plants to mortality and local extinction. At greatest risk are elevated epiphytes such as filmy ferns and fork ferns which can be killed even by exposure to sun and wind, however the precise impact on the Creeping Shield-fern is unclear since the plant is observed both in intense shade and in the protection of small canopy gaps within mature rainforest stands. Fire in the ecotonal environment, with the risk of fire ingress into the mature rainforest stand, risks the destruction of the closed canopy and invasion of sclerophyll species such as eucalypts and acacias. Although the </w:t>
      </w:r>
      <w:r w:rsidR="00114151">
        <w:t>sub</w:t>
      </w:r>
      <w:r w:rsidR="001B07BE">
        <w:t>species</w:t>
      </w:r>
      <w:r>
        <w:t xml:space="preserve"> can recover vegetatively from established rhizomes immediately post-fire, such stands are likely to decline in health and extent as the maturing eucalypts draw moisture out of the soil, open the understorey to light and drying winds and shed highly flammable leaf and small woody litter which increases the risk of intense future fire. Planned burning acts synergistically with increasing drought stress to increase the risk of mortality or crown death of fire-sensitive plants. This hazard extends across 10-25% of the </w:t>
      </w:r>
      <w:r w:rsidR="00114151">
        <w:t>sub</w:t>
      </w:r>
      <w:r w:rsidR="001B07BE">
        <w:t>species’</w:t>
      </w:r>
      <w:r>
        <w:t xml:space="preserve"> populations. </w:t>
      </w:r>
    </w:p>
    <w:p w14:paraId="59E847F3" w14:textId="77777777" w:rsidR="00466BF6" w:rsidRDefault="00466BF6" w:rsidP="00466BF6">
      <w:pPr>
        <w:pStyle w:val="BodyText"/>
      </w:pPr>
      <w:r w:rsidRPr="00660ABA">
        <w:t>Current existing controls for this hazard includ</w:t>
      </w:r>
      <w:r>
        <w:t>e:</w:t>
      </w:r>
    </w:p>
    <w:p w14:paraId="3F1D21C6" w14:textId="1590AF82" w:rsidR="00466BF6" w:rsidRDefault="00B91459" w:rsidP="006670D2">
      <w:pPr>
        <w:pStyle w:val="PullOutBoxBullet"/>
      </w:pPr>
      <w:r w:rsidRPr="00F26BEE">
        <w:t xml:space="preserve">Values checking and strategic bushfire management planning. </w:t>
      </w:r>
      <w:r w:rsidRPr="00BB09D4">
        <w:t xml:space="preserve">The effectiveness of these measures has been evaluated as poor at mitigating risk to this </w:t>
      </w:r>
      <w:r w:rsidR="00114151">
        <w:t>sub</w:t>
      </w:r>
      <w:r w:rsidRPr="00BB09D4">
        <w:t xml:space="preserve">species. Values checking relies on existing site records and modelled distribution, and for some </w:t>
      </w:r>
      <w:r w:rsidR="00114151">
        <w:t>sub</w:t>
      </w:r>
      <w:r w:rsidRPr="00BB09D4">
        <w:t>species site records are not comprehensive. Habitat modelling may also exaggerate actual distributions, particularly for poorly-know</w:t>
      </w:r>
      <w:r w:rsidR="008E4A72">
        <w:t>n</w:t>
      </w:r>
      <w:r w:rsidRPr="00BB09D4">
        <w:t xml:space="preserve"> species</w:t>
      </w:r>
      <w:r w:rsidR="00466BF6" w:rsidRPr="00DB7B28">
        <w:t>.</w:t>
      </w:r>
      <w:r w:rsidR="00466BF6">
        <w:t xml:space="preserve">   </w:t>
      </w:r>
    </w:p>
    <w:p w14:paraId="5BA5835E" w14:textId="2BDF6A42"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69</w:t>
      </w:r>
      <w:r w:rsidR="000B6788" w:rsidRPr="00B6162A">
        <w:rPr>
          <w:bCs/>
          <w:noProof/>
        </w:rPr>
        <w:fldChar w:fldCharType="end"/>
      </w:r>
      <w:r w:rsidRPr="00FF310C">
        <w:t>. Creeping Shield-fern protection requirements and recommendations for planned burning</w:t>
      </w:r>
    </w:p>
    <w:tbl>
      <w:tblPr>
        <w:tblStyle w:val="TableGrid"/>
        <w:tblW w:w="0" w:type="auto"/>
        <w:tblLayout w:type="fixed"/>
        <w:tblLook w:val="04A0" w:firstRow="1" w:lastRow="0" w:firstColumn="1" w:lastColumn="0" w:noHBand="0" w:noVBand="1"/>
      </w:tblPr>
      <w:tblGrid>
        <w:gridCol w:w="2268"/>
        <w:gridCol w:w="7371"/>
      </w:tblGrid>
      <w:tr w:rsidR="00187A7D" w:rsidRPr="00867DAA" w14:paraId="0D543326" w14:textId="77777777" w:rsidTr="00187A7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77AD9033" w14:textId="77777777" w:rsidR="00466BF6" w:rsidRPr="007B5B86" w:rsidRDefault="00466BF6" w:rsidP="00296E0F">
            <w:pPr>
              <w:pStyle w:val="BodyText"/>
            </w:pPr>
            <w:r w:rsidRPr="007B5B86">
              <w:t>Requirement</w:t>
            </w:r>
          </w:p>
        </w:tc>
        <w:tc>
          <w:tcPr>
            <w:tcW w:w="7371" w:type="dxa"/>
            <w:vAlign w:val="center"/>
          </w:tcPr>
          <w:p w14:paraId="5881F9AC" w14:textId="77777777" w:rsidR="00466BF6" w:rsidRPr="007B5B86"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466BF6" w:rsidRPr="00867DAA" w14:paraId="61882EFF" w14:textId="77777777" w:rsidTr="0045799B">
        <w:tc>
          <w:tcPr>
            <w:tcW w:w="0" w:type="dxa"/>
          </w:tcPr>
          <w:p w14:paraId="723AEF5A" w14:textId="79C13E16" w:rsidR="00466BF6" w:rsidRPr="00867DAA" w:rsidRDefault="00214B70" w:rsidP="005611CD">
            <w:pPr>
              <w:pStyle w:val="BodyText"/>
            </w:pPr>
            <w:r>
              <w:t>Priority management actions</w:t>
            </w:r>
          </w:p>
        </w:tc>
        <w:tc>
          <w:tcPr>
            <w:tcW w:w="0" w:type="dxa"/>
          </w:tcPr>
          <w:p w14:paraId="59FD3286" w14:textId="77777777" w:rsidR="00466BF6" w:rsidRPr="00867DAA" w:rsidRDefault="00466BF6" w:rsidP="005611CD">
            <w:pPr>
              <w:pStyle w:val="BodyText"/>
            </w:pPr>
            <w:r w:rsidRPr="00200995">
              <w:t>Not required for this hazard based on the overall risk level of medium</w:t>
            </w:r>
            <w:r>
              <w:t>.</w:t>
            </w:r>
          </w:p>
        </w:tc>
      </w:tr>
      <w:tr w:rsidR="00466BF6" w:rsidRPr="00867DAA" w14:paraId="1DFADCAF" w14:textId="77777777" w:rsidTr="0045799B">
        <w:tc>
          <w:tcPr>
            <w:tcW w:w="0" w:type="dxa"/>
          </w:tcPr>
          <w:p w14:paraId="11EA38FC" w14:textId="4F7E9E50" w:rsidR="00466BF6" w:rsidRPr="00867DAA" w:rsidRDefault="00214B70" w:rsidP="005611CD">
            <w:pPr>
              <w:pStyle w:val="BodyText"/>
            </w:pPr>
            <w:r>
              <w:t>Potential m</w:t>
            </w:r>
            <w:r w:rsidR="00466BF6" w:rsidRPr="00867DAA">
              <w:t>anagement actions</w:t>
            </w:r>
          </w:p>
        </w:tc>
        <w:tc>
          <w:tcPr>
            <w:tcW w:w="0" w:type="dxa"/>
          </w:tcPr>
          <w:p w14:paraId="6198D311" w14:textId="77777777" w:rsidR="00466BF6" w:rsidRDefault="00466BF6" w:rsidP="006670D2">
            <w:pPr>
              <w:pStyle w:val="PullOutBoxBullet"/>
            </w:pPr>
            <w:r>
              <w:t xml:space="preserve">Provide a generous exclusion zone in all planned burning corridors in the vicinity of all Warm Temperate Rainforest stands; and </w:t>
            </w:r>
          </w:p>
          <w:p w14:paraId="3EE623DE" w14:textId="58E37CF0" w:rsidR="00466BF6" w:rsidRPr="006F1079" w:rsidRDefault="00466BF6" w:rsidP="006670D2">
            <w:pPr>
              <w:pStyle w:val="PullOutBoxBullet"/>
            </w:pPr>
            <w:r>
              <w:t xml:space="preserve">Continue to expand and improve on rainforest mapping for use in burn planning with an aim to update mapping </w:t>
            </w:r>
            <w:r w:rsidR="00C2159A">
              <w:t>considering</w:t>
            </w:r>
            <w:r>
              <w:t xml:space="preserve"> rainforest loss through destruction of closed canopy and invasive by sclerophyll taxa.</w:t>
            </w:r>
          </w:p>
        </w:tc>
      </w:tr>
    </w:tbl>
    <w:p w14:paraId="3BF0E1AB" w14:textId="264255DC" w:rsidR="00466BF6" w:rsidRDefault="00466BF6" w:rsidP="007E5EBF">
      <w:pPr>
        <w:pStyle w:val="Heading3"/>
      </w:pPr>
      <w:r w:rsidRPr="00D55628">
        <w:rPr>
          <w:rFonts w:cs="Times New Roman"/>
          <w:noProof/>
          <w:lang w:eastAsia="en-US"/>
        </w:rPr>
        <mc:AlternateContent>
          <mc:Choice Requires="wps">
            <w:drawing>
              <wp:anchor distT="0" distB="0" distL="114300" distR="114300" simplePos="1" relativeHeight="251658284" behindDoc="1" locked="1" layoutInCell="1" allowOverlap="1" wp14:anchorId="0B8BF982" wp14:editId="13EFA774">
                <wp:simplePos x="359410" y="9071610"/>
                <wp:positionH relativeFrom="page">
                  <wp:posOffset>359410</wp:posOffset>
                </wp:positionH>
                <wp:positionV relativeFrom="page">
                  <wp:posOffset>9071610</wp:posOffset>
                </wp:positionV>
                <wp:extent cx="6840001" cy="432000"/>
                <wp:effectExtent l="0" t="0" r="0" b="0"/>
                <wp:wrapNone/>
                <wp:docPr id="191"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995BB"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F982" id="_x0000_s1057" type="#_x0000_t202" alt="Title: Decorative Cover Shape" style="position:absolute;left:0;text-align:left;margin-left:28.3pt;margin-top:714.3pt;width:538.6pt;height:34pt;z-index:-2516581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" fillcolor="#201547" stroked="f" strokeweight=".5pt">
                <v:textbox inset="10mm,0,10mm,0">
                  <w:txbxContent>
                    <w:p w14:paraId="7F1995BB"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83" behindDoc="0" locked="1" layoutInCell="1" allowOverlap="1" wp14:anchorId="6BF7BB98" wp14:editId="19E4A7BD">
                <wp:simplePos x="0" y="0"/>
                <wp:positionH relativeFrom="page">
                  <wp:posOffset>360045</wp:posOffset>
                </wp:positionH>
                <wp:positionV relativeFrom="page">
                  <wp:posOffset>360045</wp:posOffset>
                </wp:positionV>
                <wp:extent cx="1864800" cy="1976400"/>
                <wp:effectExtent l="0" t="0" r="0" b="0"/>
                <wp:wrapNone/>
                <wp:docPr id="59"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12D1D37" id="TriangleTopACIMono" o:spid="_x0000_s1026" style="position:absolute;margin-left:28.35pt;margin-top:28.35pt;width:146.85pt;height:155.6pt;z-index:25165828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282" behindDoc="0" locked="1" layoutInCell="1" allowOverlap="1" wp14:anchorId="7403B853" wp14:editId="4DC350F9">
                <wp:simplePos x="0" y="0"/>
                <wp:positionH relativeFrom="page">
                  <wp:posOffset>359410</wp:posOffset>
                </wp:positionH>
                <wp:positionV relativeFrom="page">
                  <wp:posOffset>359410</wp:posOffset>
                </wp:positionV>
                <wp:extent cx="1864800" cy="1976400"/>
                <wp:effectExtent l="0" t="0" r="0" b="0"/>
                <wp:wrapNone/>
                <wp:docPr id="60"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4BB6DE9" id="TriangleTop" o:spid="_x0000_s1026" style="position:absolute;margin-left:28.3pt;margin-top:28.3pt;width:146.85pt;height:155.6pt;z-index:25165828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81" behindDoc="0" locked="1" layoutInCell="1" allowOverlap="1" wp14:anchorId="59062E02" wp14:editId="5D1FDC7D">
                <wp:simplePos x="0" y="0"/>
                <wp:positionH relativeFrom="page">
                  <wp:posOffset>0</wp:posOffset>
                </wp:positionH>
                <wp:positionV relativeFrom="page">
                  <wp:align>bottom</wp:align>
                </wp:positionV>
                <wp:extent cx="3848400" cy="720000"/>
                <wp:effectExtent l="0" t="0" r="0" b="0"/>
                <wp:wrapNone/>
                <wp:docPr id="194"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00BBC"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62E02" id="_x0000_s1058" type="#_x0000_t202" style="position:absolute;left:0;text-align:left;margin-left:0;margin-top:0;width:303pt;height:56.7pt;z-index:25165828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DQHwtttAgAARgUAAA4AAAAAAAAAAAAAAAAALgIA&#10;AGRycy9lMm9Eb2MueG1sUEsBAi0AFAAGAAgAAAAhAPTKz6jaAAAABQEAAA8AAAAAAAAAAAAAAAAA&#10;xwQAAGRycy9kb3ducmV2LnhtbFBLBQYAAAAABAAEAPMAAADOBQAAAAA=&#10;" filled="f" stroked="f" strokeweight=".5pt">
                <v:textbox inset="20mm">
                  <w:txbxContent>
                    <w:p w14:paraId="6A500BBC"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bookmarkStart w:id="282" w:name="_Toc88725629"/>
      <w:bookmarkStart w:id="283" w:name="_Toc88725630"/>
      <w:bookmarkStart w:id="284" w:name="_Toc88725631"/>
      <w:bookmarkStart w:id="285" w:name="_Toc88725632"/>
      <w:bookmarkStart w:id="286" w:name="_Toc88725633"/>
      <w:bookmarkStart w:id="287" w:name="_Toc88725634"/>
      <w:bookmarkStart w:id="288" w:name="_Toc88725635"/>
      <w:bookmarkStart w:id="289" w:name="_Toc88725636"/>
      <w:bookmarkStart w:id="290" w:name="_Toc88725637"/>
      <w:bookmarkStart w:id="291" w:name="_Toc88725638"/>
      <w:bookmarkStart w:id="292" w:name="_Toc88725639"/>
      <w:bookmarkStart w:id="293" w:name="_Toc88725641"/>
      <w:bookmarkStart w:id="294" w:name="_Toc88725643"/>
      <w:bookmarkStart w:id="295" w:name="_Toc88725645"/>
      <w:bookmarkStart w:id="296" w:name="_Toc88725647"/>
      <w:bookmarkStart w:id="297" w:name="_Toc88725648"/>
      <w:bookmarkStart w:id="298" w:name="_Toc88725649"/>
      <w:bookmarkStart w:id="299" w:name="_Toc88725650"/>
      <w:bookmarkStart w:id="300" w:name="_Toc88725651"/>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t>Forestry operations</w:t>
      </w:r>
      <w:bookmarkEnd w:id="300"/>
    </w:p>
    <w:p w14:paraId="230E2A86" w14:textId="11986B67" w:rsidR="00466BF6" w:rsidRPr="001C0DE0" w:rsidRDefault="00BC4502" w:rsidP="00466BF6">
      <w:pPr>
        <w:pStyle w:val="Heading5"/>
        <w:numPr>
          <w:ilvl w:val="0"/>
          <w:numId w:val="0"/>
        </w:numPr>
        <w:ind w:left="1008" w:hanging="1008"/>
      </w:pPr>
      <w:r>
        <w:t>F</w:t>
      </w:r>
      <w:r w:rsidR="00466BF6">
        <w:t>orestry operations</w:t>
      </w:r>
    </w:p>
    <w:p w14:paraId="654885AF" w14:textId="55B5D37A" w:rsidR="00F00320" w:rsidRDefault="00F00320" w:rsidP="00F00320">
      <w:pPr>
        <w:pStyle w:val="BodyText"/>
      </w:pPr>
      <w:r w:rsidRPr="00FD57DB">
        <w:t xml:space="preserve">This </w:t>
      </w:r>
      <w:r w:rsidR="00E564B8">
        <w:t>sub</w:t>
      </w:r>
      <w:r w:rsidR="001B07BE">
        <w:t>species</w:t>
      </w:r>
      <w:r w:rsidRPr="00FD57DB">
        <w:t xml:space="preserve"> generally occurs in association with rainforest. An analysis of VBA records showed that ~</w:t>
      </w:r>
      <w:r w:rsidR="00C66414">
        <w:t>72</w:t>
      </w:r>
      <w:r w:rsidRPr="00FD57DB">
        <w:t xml:space="preserve">% occurred within mapped rainforest or its buffers. In this situation, occurrences should be adequately protected from forestry operations due to the requirements of the Code. The risk to this </w:t>
      </w:r>
      <w:r w:rsidR="00E564B8">
        <w:t>sub</w:t>
      </w:r>
      <w:r w:rsidRPr="00FD57DB">
        <w:t xml:space="preserve">species from forestry operations in the East Gippsland RFA region was re-assessed in light of new information about the exposure to forestry operations. The experts concluded that, where the </w:t>
      </w:r>
      <w:r w:rsidR="00E564B8">
        <w:t>sub</w:t>
      </w:r>
      <w:r w:rsidRPr="00FD57DB">
        <w:t>species occurred on the margins or outside rainforest and/or its buffers, and especially where the rainforest habitat might have been burnt by bushfires or otherwise disturbed, protection could not be assumed. The experts emphasised the need for additional protections that targeted both the known occurrences and the rainforest habitat where it had been disturbed</w:t>
      </w:r>
      <w:r w:rsidR="002F3D8D" w:rsidRPr="00FD57DB">
        <w:t xml:space="preserve"> and</w:t>
      </w:r>
      <w:r w:rsidRPr="00FD57DB">
        <w:t xml:space="preserve"> stressed the importance of greater survey effort to improve understanding of the distribution and abundance of this </w:t>
      </w:r>
      <w:r w:rsidR="00E564B8">
        <w:t>sub</w:t>
      </w:r>
      <w:r w:rsidR="001B07BE">
        <w:t>species</w:t>
      </w:r>
      <w:r w:rsidRPr="00FD57DB">
        <w:t>.</w:t>
      </w:r>
    </w:p>
    <w:p w14:paraId="2872A82D" w14:textId="5049347A" w:rsidR="00466BF6" w:rsidRDefault="00466BF6" w:rsidP="00466BF6">
      <w:pPr>
        <w:pStyle w:val="BodyText"/>
      </w:pPr>
      <w:r w:rsidRPr="007935D4">
        <w:t xml:space="preserve">The hazard is sporadic across the range of the </w:t>
      </w:r>
      <w:r w:rsidR="00E564B8">
        <w:t>sub</w:t>
      </w:r>
      <w:r w:rsidRPr="007935D4">
        <w:t xml:space="preserve">species within </w:t>
      </w:r>
      <w:r w:rsidR="007750A0">
        <w:t>S</w:t>
      </w:r>
      <w:r w:rsidR="007750A0" w:rsidRPr="007935D4">
        <w:t>tate Forest</w:t>
      </w:r>
      <w:r w:rsidRPr="007935D4">
        <w:t xml:space="preserve"> with 5% of VBA points and 15% of modelled habitat potentially available for harvesting</w:t>
      </w:r>
      <w:r w:rsidR="00CF3C5E">
        <w:t xml:space="preserve"> </w:t>
      </w:r>
      <w:r w:rsidR="00CF3C5E" w:rsidRPr="00FD57DB">
        <w:t xml:space="preserve">based on the 2015 net harvest area layer. </w:t>
      </w:r>
      <w:r w:rsidR="00664BE8" w:rsidRPr="00FD57DB">
        <w:t>Using the revised operable area layer</w:t>
      </w:r>
      <w:r w:rsidR="00CF3C5E" w:rsidRPr="00FD57DB">
        <w:t xml:space="preserve"> this is reduced to </w:t>
      </w:r>
      <w:r w:rsidR="00FE740A" w:rsidRPr="00FD57DB">
        <w:t>5</w:t>
      </w:r>
      <w:r w:rsidR="00664BE8" w:rsidRPr="00FD57DB">
        <w:t xml:space="preserve">% of the </w:t>
      </w:r>
      <w:r w:rsidR="00E564B8">
        <w:t>sub</w:t>
      </w:r>
      <w:r w:rsidR="001B07BE">
        <w:t>species’</w:t>
      </w:r>
      <w:r w:rsidR="00664BE8" w:rsidRPr="00FD57DB">
        <w:t xml:space="preserve"> modelled habitat </w:t>
      </w:r>
      <w:r w:rsidR="00FE740A" w:rsidRPr="00FD57DB">
        <w:t>and 2% of VBA points</w:t>
      </w:r>
      <w:r w:rsidR="00CF3C5E" w:rsidRPr="00FD57DB">
        <w:t xml:space="preserve">. </w:t>
      </w:r>
      <w:r w:rsidR="00CF3C5E">
        <w:t>VBA points could be biased by survey effort targeting rainforest in protected areas with greater access.</w:t>
      </w:r>
    </w:p>
    <w:p w14:paraId="51AA7CD2" w14:textId="77777777" w:rsidR="00466BF6" w:rsidRDefault="00466BF6" w:rsidP="00466BF6">
      <w:pPr>
        <w:pStyle w:val="BodyText"/>
      </w:pPr>
      <w:r w:rsidRPr="00660ABA">
        <w:t>Current existing controls for this hazard includ</w:t>
      </w:r>
      <w:r>
        <w:t>e:</w:t>
      </w:r>
    </w:p>
    <w:p w14:paraId="14836027" w14:textId="3D2F348D" w:rsidR="00466BF6" w:rsidRDefault="00466BF6" w:rsidP="006670D2">
      <w:pPr>
        <w:pStyle w:val="PullOutBoxBullet"/>
        <w:rPr>
          <w:rFonts w:eastAsiaTheme="minorEastAsia" w:cstheme="minorBidi"/>
          <w:sz w:val="22"/>
          <w:szCs w:val="22"/>
        </w:rPr>
      </w:pPr>
      <w:r w:rsidRPr="4F453272">
        <w:t xml:space="preserve">The </w:t>
      </w:r>
      <w:r w:rsidRPr="4F453272">
        <w:rPr>
          <w:i/>
          <w:iCs/>
        </w:rPr>
        <w:t xml:space="preserve">Code of Practice for Timber Production 2014. </w:t>
      </w:r>
      <w:r>
        <w:t xml:space="preserve">There is no species-specific prescription </w:t>
      </w:r>
      <w:r w:rsidRPr="4F453272">
        <w:t xml:space="preserve">for this </w:t>
      </w:r>
      <w:r w:rsidR="00E564B8">
        <w:t>sub</w:t>
      </w:r>
      <w:r w:rsidR="001B07BE">
        <w:t>species</w:t>
      </w:r>
      <w:r w:rsidRPr="4F453272">
        <w:t xml:space="preserve"> in the Code, however the Code includes general protections for rainforest including a prohibition on harvesting, the application of buffers and </w:t>
      </w:r>
      <w:r w:rsidR="004F30F6" w:rsidRPr="00C02DCA">
        <w:t>design standards for roads, crossings</w:t>
      </w:r>
      <w:r w:rsidR="002F3D8D" w:rsidRPr="00C02DCA">
        <w:t>,</w:t>
      </w:r>
      <w:r w:rsidR="004F30F6" w:rsidRPr="00C02DCA">
        <w:t xml:space="preserve"> and coupe infrastructure</w:t>
      </w:r>
      <w:r w:rsidRPr="4F453272">
        <w:t xml:space="preserve">. The lack of a specific prescription leads to the effectiveness of the Code being assessed as poor for this </w:t>
      </w:r>
      <w:r w:rsidR="00E564B8">
        <w:t>sub</w:t>
      </w:r>
      <w:r w:rsidR="001B07BE">
        <w:t>species</w:t>
      </w:r>
      <w:r w:rsidRPr="4F453272">
        <w:t>.</w:t>
      </w:r>
    </w:p>
    <w:p w14:paraId="0F0C862C" w14:textId="524834AB" w:rsidR="00466BF6" w:rsidRPr="00D829C5" w:rsidRDefault="00466BF6" w:rsidP="006670D2">
      <w:pPr>
        <w:pStyle w:val="PullOutBoxBullet"/>
        <w:rPr>
          <w:rFonts w:eastAsiaTheme="minorEastAsia" w:cstheme="minorBidi"/>
          <w:sz w:val="22"/>
          <w:szCs w:val="22"/>
        </w:rPr>
      </w:pPr>
      <w:r w:rsidRPr="4F453272">
        <w:t xml:space="preserve">The CAR reserve system. </w:t>
      </w:r>
      <w:r w:rsidRPr="00160F2E">
        <w:t xml:space="preserve">The effectiveness of this control for this </w:t>
      </w:r>
      <w:r w:rsidR="00E564B8">
        <w:t>sub</w:t>
      </w:r>
      <w:r w:rsidRPr="00160F2E">
        <w:t>species has been evaluated as</w:t>
      </w:r>
      <w:r>
        <w:t xml:space="preserve"> </w:t>
      </w:r>
      <w:r w:rsidRPr="4F453272">
        <w:t xml:space="preserve">satisfactory as </w:t>
      </w:r>
      <w:r>
        <w:t>73</w:t>
      </w:r>
      <w:r w:rsidRPr="4F453272">
        <w:t xml:space="preserve">% of the </w:t>
      </w:r>
      <w:r w:rsidR="00E564B8">
        <w:t>sub</w:t>
      </w:r>
      <w:r w:rsidR="001B07BE">
        <w:t xml:space="preserve">species’ </w:t>
      </w:r>
      <w:r w:rsidRPr="4F453272">
        <w:t>modelled distribution and 8</w:t>
      </w:r>
      <w:r>
        <w:t>6</w:t>
      </w:r>
      <w:r w:rsidRPr="4F453272">
        <w:t>% of important populations are within the reserve system</w:t>
      </w:r>
      <w:r w:rsidR="00A53D38">
        <w:t>.</w:t>
      </w:r>
    </w:p>
    <w:p w14:paraId="6E83FCD4" w14:textId="6879238A"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70</w:t>
      </w:r>
      <w:r w:rsidR="000B6788" w:rsidRPr="00B6162A">
        <w:rPr>
          <w:bCs/>
          <w:noProof/>
        </w:rPr>
        <w:fldChar w:fldCharType="end"/>
      </w:r>
      <w:r w:rsidRPr="00FF310C">
        <w:t xml:space="preserve">. Creeping Shield-fern protection requirements and recommendations for forestry operations </w:t>
      </w:r>
    </w:p>
    <w:tbl>
      <w:tblPr>
        <w:tblStyle w:val="TableGrid"/>
        <w:tblW w:w="9638" w:type="dxa"/>
        <w:tblLayout w:type="fixed"/>
        <w:tblLook w:val="04A0" w:firstRow="1" w:lastRow="0" w:firstColumn="1" w:lastColumn="0" w:noHBand="0" w:noVBand="1"/>
      </w:tblPr>
      <w:tblGrid>
        <w:gridCol w:w="2268"/>
        <w:gridCol w:w="7370"/>
      </w:tblGrid>
      <w:tr w:rsidR="005611CD" w:rsidRPr="00867DAA" w14:paraId="525443E6" w14:textId="77777777" w:rsidTr="009E6DA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58874FB8" w14:textId="77777777" w:rsidR="00466BF6" w:rsidRPr="007B5B86" w:rsidRDefault="00466BF6" w:rsidP="00296E0F">
            <w:pPr>
              <w:pStyle w:val="BodyText"/>
            </w:pPr>
            <w:r w:rsidRPr="007B5B86">
              <w:t>Requirement</w:t>
            </w:r>
          </w:p>
        </w:tc>
        <w:tc>
          <w:tcPr>
            <w:tcW w:w="7370" w:type="dxa"/>
            <w:vAlign w:val="center"/>
          </w:tcPr>
          <w:p w14:paraId="5A0A25AD" w14:textId="77777777" w:rsidR="00466BF6" w:rsidRPr="007B5B86"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5611CD" w:rsidRPr="00867DAA" w14:paraId="3FE6B688" w14:textId="77777777" w:rsidTr="009E6DAF">
        <w:tc>
          <w:tcPr>
            <w:tcW w:w="2268" w:type="dxa"/>
          </w:tcPr>
          <w:p w14:paraId="05BDB788" w14:textId="77777777" w:rsidR="00466BF6" w:rsidRPr="00867DAA" w:rsidRDefault="00466BF6" w:rsidP="005611CD">
            <w:pPr>
              <w:pStyle w:val="BodyText"/>
            </w:pPr>
            <w:r w:rsidRPr="00867DAA">
              <w:t>Interim protections</w:t>
            </w:r>
          </w:p>
        </w:tc>
        <w:tc>
          <w:tcPr>
            <w:tcW w:w="7370" w:type="dxa"/>
          </w:tcPr>
          <w:p w14:paraId="7EB8B064" w14:textId="3595ED83" w:rsidR="004730FA" w:rsidRPr="00013BFB" w:rsidRDefault="004730FA" w:rsidP="004730FA">
            <w:pPr>
              <w:pStyle w:val="BodyText"/>
              <w:rPr>
                <w:rFonts w:eastAsia="Calibri"/>
              </w:rPr>
            </w:pPr>
            <w:r w:rsidRPr="00013BFB">
              <w:rPr>
                <w:rFonts w:eastAsia="Calibri"/>
              </w:rPr>
              <w:t xml:space="preserve">Within the East Gippsland RFA region, the Secretary will establish Special Protection Zone(s) to protect Warm Temperate Rainforest </w:t>
            </w:r>
            <w:r w:rsidR="00CF4FB0">
              <w:rPr>
                <w:rFonts w:eastAsia="Calibri"/>
              </w:rPr>
              <w:t xml:space="preserve">and Cool Temperate Rainforest </w:t>
            </w:r>
            <w:r w:rsidRPr="00013BFB">
              <w:rPr>
                <w:rFonts w:eastAsia="Calibri"/>
              </w:rPr>
              <w:t xml:space="preserve">communities including relevant buffers based on </w:t>
            </w:r>
            <w:r w:rsidR="00D858CB">
              <w:rPr>
                <w:rFonts w:eastAsia="Calibri"/>
              </w:rPr>
              <w:t xml:space="preserve">the </w:t>
            </w:r>
            <w:r w:rsidRPr="00013BFB">
              <w:rPr>
                <w:rFonts w:eastAsia="Calibri"/>
              </w:rPr>
              <w:t xml:space="preserve">Department’s corporate spatial dataset RAINFOR where the rainforest extent has been impacted by high severity fire in the last 10 years (since 2012) (DELWP 2019-20 Fire Severity: Crown Burn and High Crown Scorch). This is to provide protection for the habitat of unrecorded populations of this </w:t>
            </w:r>
            <w:r w:rsidR="00E564B8">
              <w:rPr>
                <w:rFonts w:eastAsia="Calibri"/>
              </w:rPr>
              <w:t>sub</w:t>
            </w:r>
            <w:r w:rsidR="001B07BE">
              <w:rPr>
                <w:rFonts w:eastAsia="Calibri"/>
              </w:rPr>
              <w:t>species</w:t>
            </w:r>
            <w:r w:rsidRPr="00013BFB">
              <w:rPr>
                <w:rFonts w:eastAsia="Calibri"/>
              </w:rPr>
              <w:t xml:space="preserve"> where it has been recently disturbed</w:t>
            </w:r>
            <w:r w:rsidR="00182011">
              <w:rPr>
                <w:rFonts w:eastAsia="Calibri"/>
              </w:rPr>
              <w:t xml:space="preserve"> (See Map 4).</w:t>
            </w:r>
          </w:p>
          <w:p w14:paraId="0E53F06E" w14:textId="6ECD569B" w:rsidR="004730FA" w:rsidRPr="00013BFB" w:rsidRDefault="004730FA" w:rsidP="004730FA">
            <w:pPr>
              <w:pStyle w:val="BodyText"/>
              <w:rPr>
                <w:rFonts w:eastAsia="Calibri"/>
              </w:rPr>
            </w:pPr>
            <w:r w:rsidRPr="00013BFB">
              <w:rPr>
                <w:rFonts w:eastAsia="Calibri"/>
              </w:rPr>
              <w:t xml:space="preserve">Within </w:t>
            </w:r>
            <w:r>
              <w:rPr>
                <w:rFonts w:eastAsia="Calibri"/>
              </w:rPr>
              <w:t xml:space="preserve">the </w:t>
            </w:r>
            <w:r w:rsidRPr="00013BFB">
              <w:rPr>
                <w:rFonts w:eastAsia="Calibri"/>
              </w:rPr>
              <w:t xml:space="preserve">East Gippsland RFA region, the Secretary will establish Special Management Zone(s) of 200 m radius around post-1970 VBA records of this </w:t>
            </w:r>
            <w:r w:rsidR="00E564B8">
              <w:rPr>
                <w:rFonts w:eastAsia="Calibri"/>
              </w:rPr>
              <w:t>sub</w:t>
            </w:r>
            <w:r w:rsidR="001B07BE">
              <w:rPr>
                <w:rFonts w:eastAsia="Calibri"/>
              </w:rPr>
              <w:t>species</w:t>
            </w:r>
            <w:r w:rsidRPr="00013BFB">
              <w:rPr>
                <w:rFonts w:eastAsia="Calibri"/>
              </w:rPr>
              <w:t xml:space="preserve"> with 100 m or better accuracy and any new records</w:t>
            </w:r>
            <w:r w:rsidR="00182011">
              <w:rPr>
                <w:rFonts w:eastAsia="Calibri"/>
              </w:rPr>
              <w:t xml:space="preserve"> (See Map 5a).</w:t>
            </w:r>
          </w:p>
          <w:p w14:paraId="7CFAE316" w14:textId="39AA5E3A" w:rsidR="00466BF6" w:rsidRPr="00867DAA" w:rsidRDefault="004730FA" w:rsidP="005611CD">
            <w:pPr>
              <w:pStyle w:val="BodyText"/>
            </w:pPr>
            <w:r w:rsidRPr="00013BFB">
              <w:rPr>
                <w:rFonts w:eastAsia="Calibri"/>
              </w:rPr>
              <w:t>Note that permanent protections have been recommended for two Warm Temperate Rainforest communities in East Gippsland (</w:t>
            </w:r>
            <w:r w:rsidRPr="00013BFB">
              <w:t>Warm Temperate Rainforest - East Gippsland Alluvial Terraces and Warm Temperate Rainforest - Far East Gippsland)</w:t>
            </w:r>
            <w:r w:rsidRPr="00013BFB">
              <w:rPr>
                <w:rFonts w:eastAsia="Calibri"/>
              </w:rPr>
              <w:t>. This measure may also provide additional protection and may overlap with areas identified above.</w:t>
            </w:r>
          </w:p>
        </w:tc>
      </w:tr>
      <w:tr w:rsidR="005611CD" w:rsidRPr="00867DAA" w14:paraId="65B971A4" w14:textId="77777777" w:rsidTr="009E6DAF">
        <w:tc>
          <w:tcPr>
            <w:tcW w:w="2268" w:type="dxa"/>
          </w:tcPr>
          <w:p w14:paraId="673F95AC" w14:textId="15CC19B1" w:rsidR="00BF5D12" w:rsidRPr="00867DAA" w:rsidRDefault="00BF5D12" w:rsidP="005611CD">
            <w:pPr>
              <w:pStyle w:val="BodyText"/>
            </w:pPr>
            <w:r>
              <w:t>Priority management actions</w:t>
            </w:r>
          </w:p>
        </w:tc>
        <w:tc>
          <w:tcPr>
            <w:tcW w:w="7370" w:type="dxa"/>
          </w:tcPr>
          <w:p w14:paraId="12F157C0" w14:textId="77777777" w:rsidR="00A400D6" w:rsidRPr="00E31362" w:rsidRDefault="00A400D6" w:rsidP="006670D2">
            <w:pPr>
              <w:pStyle w:val="PullOutBoxBullet"/>
            </w:pPr>
            <w:r w:rsidRPr="00E31362">
              <w:t>Comprehensively search likely habitat and map important populations; and</w:t>
            </w:r>
          </w:p>
          <w:p w14:paraId="0D5DE226" w14:textId="1D263D4A" w:rsidR="00BF5D12" w:rsidRDefault="00A400D6" w:rsidP="006670D2">
            <w:pPr>
              <w:pStyle w:val="PullOutBoxBullet"/>
            </w:pPr>
            <w:r w:rsidRPr="00E31362">
              <w:t>Establish monitoring sites and collect baseline data.</w:t>
            </w:r>
          </w:p>
        </w:tc>
      </w:tr>
      <w:tr w:rsidR="005611CD" w:rsidRPr="00867DAA" w14:paraId="478FFD17" w14:textId="77777777" w:rsidTr="009E6DAF">
        <w:tc>
          <w:tcPr>
            <w:tcW w:w="2268" w:type="dxa"/>
          </w:tcPr>
          <w:p w14:paraId="10F55CD8" w14:textId="77777777" w:rsidR="00466BF6" w:rsidRPr="00867DAA" w:rsidRDefault="00466BF6" w:rsidP="005611CD">
            <w:pPr>
              <w:pStyle w:val="BodyText"/>
            </w:pPr>
            <w:r w:rsidRPr="00867DAA">
              <w:t>Permanent protections</w:t>
            </w:r>
          </w:p>
        </w:tc>
        <w:tc>
          <w:tcPr>
            <w:tcW w:w="7370" w:type="dxa"/>
          </w:tcPr>
          <w:p w14:paraId="2FF7915A" w14:textId="385E848C" w:rsidR="00466BF6" w:rsidRPr="00867DAA" w:rsidRDefault="00466BF6" w:rsidP="005611CD">
            <w:pPr>
              <w:pStyle w:val="BodyText"/>
            </w:pPr>
            <w:r>
              <w:t xml:space="preserve">Additional permanent protections for the rainforest habitat of this </w:t>
            </w:r>
            <w:r w:rsidR="00E564B8">
              <w:t>sub</w:t>
            </w:r>
            <w:r>
              <w:t>species are likely to be required in the longer-term.</w:t>
            </w:r>
          </w:p>
        </w:tc>
      </w:tr>
      <w:tr w:rsidR="005611CD" w:rsidRPr="00867DAA" w14:paraId="0B415269" w14:textId="77777777" w:rsidTr="009E6DAF">
        <w:tc>
          <w:tcPr>
            <w:tcW w:w="2268" w:type="dxa"/>
          </w:tcPr>
          <w:p w14:paraId="79ED3B8F" w14:textId="7653775E" w:rsidR="00466BF6" w:rsidRPr="00867DAA" w:rsidRDefault="000C75BF" w:rsidP="005611CD">
            <w:pPr>
              <w:pStyle w:val="BodyText"/>
            </w:pPr>
            <w:r>
              <w:t>Potential m</w:t>
            </w:r>
            <w:r w:rsidR="00466BF6" w:rsidRPr="00867DAA">
              <w:t>anagement actions</w:t>
            </w:r>
          </w:p>
        </w:tc>
        <w:tc>
          <w:tcPr>
            <w:tcW w:w="7370" w:type="dxa"/>
          </w:tcPr>
          <w:p w14:paraId="1D12E5D8" w14:textId="624FADA5" w:rsidR="00466BF6" w:rsidRPr="00CA4A1D" w:rsidRDefault="00466BF6" w:rsidP="006670D2">
            <w:pPr>
              <w:pStyle w:val="PullOutBoxBullet"/>
            </w:pPr>
            <w:r w:rsidRPr="00CA4A1D">
              <w:t>Consider introducing a species-specific code prescription as part of any future Code amendments</w:t>
            </w:r>
            <w:r w:rsidR="00935F6F">
              <w:t>;</w:t>
            </w:r>
          </w:p>
          <w:p w14:paraId="790863E9" w14:textId="25C5788C" w:rsidR="00466BF6" w:rsidRDefault="00466BF6" w:rsidP="006670D2">
            <w:pPr>
              <w:pStyle w:val="PullOutBoxBullet"/>
            </w:pPr>
            <w:r>
              <w:t>Improve information the location of important populations in State Forest</w:t>
            </w:r>
            <w:r w:rsidR="00935F6F">
              <w:t>;</w:t>
            </w:r>
          </w:p>
          <w:p w14:paraId="51EDD6AF" w14:textId="23AE5207" w:rsidR="00466BF6" w:rsidRDefault="00466BF6" w:rsidP="006670D2">
            <w:pPr>
              <w:pStyle w:val="PullOutBoxBullet"/>
            </w:pPr>
            <w:r>
              <w:t>Monitor population size and health of individuals and assess threats</w:t>
            </w:r>
            <w:r w:rsidR="00935F6F">
              <w:t>;</w:t>
            </w:r>
          </w:p>
          <w:p w14:paraId="2C51C6ED" w14:textId="2A97AC82" w:rsidR="00466BF6" w:rsidRDefault="00466BF6" w:rsidP="006670D2">
            <w:pPr>
              <w:pStyle w:val="PullOutBoxBullet"/>
            </w:pPr>
            <w:r>
              <w:t xml:space="preserve">Investigate the </w:t>
            </w:r>
            <w:r w:rsidR="00E564B8">
              <w:t>sub</w:t>
            </w:r>
            <w:r w:rsidR="001B07BE">
              <w:t>species’</w:t>
            </w:r>
            <w:r>
              <w:t xml:space="preserve"> response to disturbance</w:t>
            </w:r>
            <w:r w:rsidR="00935F6F">
              <w:t>; and</w:t>
            </w:r>
          </w:p>
          <w:p w14:paraId="58493349" w14:textId="77777777" w:rsidR="00466BF6" w:rsidRPr="00867DAA" w:rsidRDefault="00466BF6" w:rsidP="006670D2">
            <w:pPr>
              <w:pStyle w:val="PullOutBoxBullet"/>
            </w:pPr>
            <w:r>
              <w:t>Provide training and support to field staff in rainforest recognition and management.</w:t>
            </w:r>
          </w:p>
        </w:tc>
      </w:tr>
    </w:tbl>
    <w:p w14:paraId="64034648" w14:textId="77777777" w:rsidR="00466BF6" w:rsidRDefault="00466BF6" w:rsidP="007E5EBF">
      <w:pPr>
        <w:pStyle w:val="Heading3"/>
      </w:pPr>
      <w:bookmarkStart w:id="301" w:name="_Toc88725652"/>
      <w:bookmarkStart w:id="302" w:name="_Toc88725677"/>
      <w:bookmarkStart w:id="303" w:name="_Toc88725678"/>
      <w:bookmarkStart w:id="304" w:name="_Toc88725679"/>
      <w:bookmarkStart w:id="305" w:name="_Toc88725680"/>
      <w:bookmarkStart w:id="306" w:name="_Toc88725681"/>
      <w:bookmarkStart w:id="307" w:name="_Toc88725682"/>
      <w:bookmarkStart w:id="308" w:name="_Toc88725683"/>
      <w:bookmarkStart w:id="309" w:name="_Toc88725684"/>
      <w:bookmarkStart w:id="310" w:name="_Toc88725685"/>
      <w:bookmarkStart w:id="311" w:name="_Toc88725686"/>
      <w:bookmarkStart w:id="312" w:name="_Toc88725687"/>
      <w:bookmarkStart w:id="313" w:name="_Toc88725688"/>
      <w:bookmarkStart w:id="314" w:name="_Toc88725689"/>
      <w:bookmarkStart w:id="315" w:name="_Toc88725690"/>
      <w:bookmarkStart w:id="316" w:name="_Toc88725692"/>
      <w:bookmarkStart w:id="317" w:name="_Toc88725694"/>
      <w:bookmarkStart w:id="318" w:name="_Toc88725696"/>
      <w:bookmarkStart w:id="319" w:name="_Toc88725698"/>
      <w:bookmarkStart w:id="320" w:name="_Toc88725699"/>
      <w:bookmarkStart w:id="321" w:name="_Toc88725700"/>
      <w:bookmarkStart w:id="322" w:name="_Toc88725701"/>
      <w:bookmarkStart w:id="323" w:name="_Toc88725702"/>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t>Invasive species</w:t>
      </w:r>
      <w:bookmarkEnd w:id="323"/>
    </w:p>
    <w:p w14:paraId="6CAC2493" w14:textId="77777777" w:rsidR="00466BF6" w:rsidRPr="00F26BEE" w:rsidRDefault="00466BF6" w:rsidP="00466BF6">
      <w:pPr>
        <w:pStyle w:val="Heading5"/>
        <w:numPr>
          <w:ilvl w:val="0"/>
          <w:numId w:val="0"/>
        </w:numPr>
        <w:ind w:left="1008" w:hanging="1008"/>
      </w:pPr>
      <w:r w:rsidRPr="00F26BEE">
        <w:t>Invasive vertebrate (deer)</w:t>
      </w:r>
    </w:p>
    <w:p w14:paraId="2304153D" w14:textId="435930E6" w:rsidR="00466BF6" w:rsidRDefault="00466BF6" w:rsidP="00466BF6">
      <w:pPr>
        <w:pStyle w:val="BodyText"/>
        <w:rPr>
          <w:rFonts w:ascii="Arial" w:hAnsi="Arial"/>
          <w:color w:val="363534"/>
        </w:rPr>
      </w:pPr>
      <w:r w:rsidRPr="00F26BEE">
        <w:t xml:space="preserve">Sambar </w:t>
      </w:r>
      <w:r w:rsidR="000A639F">
        <w:t xml:space="preserve">deer </w:t>
      </w:r>
      <w:r w:rsidRPr="00F26BEE">
        <w:t xml:space="preserve">have been increasing in population across the East Gippsland region in the last decade (Watter et al. 2020), infiltrating all districts and forest types, often observed congregating in damper habitats including </w:t>
      </w:r>
      <w:r w:rsidRPr="00F26BEE">
        <w:rPr>
          <w:rFonts w:ascii="Arial" w:hAnsi="Arial"/>
          <w:color w:val="363534"/>
        </w:rPr>
        <w:t xml:space="preserve">Warm Temperate Rainforest. Although it is unclear whether Sambar actively target the </w:t>
      </w:r>
      <w:r w:rsidR="001D4452">
        <w:rPr>
          <w:rFonts w:ascii="Arial" w:hAnsi="Arial"/>
          <w:color w:val="363534"/>
        </w:rPr>
        <w:t>sub</w:t>
      </w:r>
      <w:r w:rsidR="001B07BE">
        <w:rPr>
          <w:rFonts w:ascii="Arial" w:hAnsi="Arial"/>
          <w:color w:val="363534"/>
        </w:rPr>
        <w:t>species</w:t>
      </w:r>
      <w:r w:rsidRPr="00F26BEE">
        <w:rPr>
          <w:rFonts w:ascii="Arial" w:hAnsi="Arial"/>
          <w:color w:val="363534"/>
        </w:rPr>
        <w:t>, they have been documented to impact lowland and coastal rainforest communities, targeting a wide range of obligate rainforest taxa. Numerous plant species have been documented to be targeted by Sambar, either by browsing, antler rubbing, trampling</w:t>
      </w:r>
      <w:r w:rsidR="002F3D8D" w:rsidRPr="00F26BEE">
        <w:rPr>
          <w:rFonts w:ascii="Arial" w:hAnsi="Arial"/>
          <w:color w:val="363534"/>
        </w:rPr>
        <w:t>,</w:t>
      </w:r>
      <w:r w:rsidRPr="00F26BEE">
        <w:rPr>
          <w:rFonts w:ascii="Arial" w:hAnsi="Arial"/>
          <w:color w:val="363534"/>
        </w:rPr>
        <w:t xml:space="preserve"> or wallowing, with targeted browsing of juveniles or resprouts which has eliminated all recruits or transgressive individuals which will inevitably result in the demise of current populations and their local extinction. This hazard extends across all the </w:t>
      </w:r>
      <w:r w:rsidR="001D4452">
        <w:rPr>
          <w:rFonts w:ascii="Arial" w:hAnsi="Arial"/>
          <w:color w:val="363534"/>
        </w:rPr>
        <w:t>sub</w:t>
      </w:r>
      <w:r w:rsidR="001B07BE">
        <w:rPr>
          <w:rFonts w:ascii="Arial" w:hAnsi="Arial"/>
          <w:color w:val="363534"/>
        </w:rPr>
        <w:t>species’</w:t>
      </w:r>
      <w:r w:rsidRPr="00F26BEE">
        <w:rPr>
          <w:rFonts w:ascii="Arial" w:hAnsi="Arial"/>
          <w:color w:val="363534"/>
        </w:rPr>
        <w:t xml:space="preserve"> populations, and while it is unclear whether Sambar are likely to browse ground ferns</w:t>
      </w:r>
      <w:r w:rsidRPr="00F26BEE">
        <w:rPr>
          <w:rFonts w:ascii="Arial" w:hAnsi="Arial"/>
          <w:i/>
          <w:iCs/>
          <w:color w:val="363534"/>
        </w:rPr>
        <w:t>,</w:t>
      </w:r>
      <w:r w:rsidRPr="00F26BEE">
        <w:rPr>
          <w:rFonts w:ascii="Arial" w:hAnsi="Arial"/>
          <w:color w:val="363534"/>
        </w:rPr>
        <w:t xml:space="preserve"> they have the capacity</w:t>
      </w:r>
      <w:r>
        <w:rPr>
          <w:rFonts w:ascii="Arial" w:hAnsi="Arial"/>
          <w:color w:val="363534"/>
        </w:rPr>
        <w:t xml:space="preserve"> to trample understorey vegetation and wallow in the dampest sites which are often the critical habitat of obligate rainforest ground ferns. Sambar often target regenerating stands following bushfire, </w:t>
      </w:r>
      <w:r w:rsidR="000A639F">
        <w:rPr>
          <w:rFonts w:ascii="Arial" w:hAnsi="Arial"/>
          <w:color w:val="363534"/>
        </w:rPr>
        <w:t>planned</w:t>
      </w:r>
      <w:r>
        <w:rPr>
          <w:rFonts w:ascii="Arial" w:hAnsi="Arial"/>
          <w:color w:val="363534"/>
        </w:rPr>
        <w:t xml:space="preserve"> burns and regenerating </w:t>
      </w:r>
      <w:r w:rsidR="00FF6B44">
        <w:rPr>
          <w:rFonts w:ascii="Arial" w:hAnsi="Arial"/>
          <w:color w:val="363534"/>
        </w:rPr>
        <w:t>timber harvesting</w:t>
      </w:r>
      <w:r>
        <w:rPr>
          <w:rFonts w:ascii="Arial" w:hAnsi="Arial"/>
          <w:color w:val="363534"/>
        </w:rPr>
        <w:t xml:space="preserve"> coupes, resulting in recruitment failure of seed recruits or resprouting individuals at their most vulnerable stage of development. </w:t>
      </w:r>
    </w:p>
    <w:p w14:paraId="6EAF861F" w14:textId="77777777" w:rsidR="00466BF6" w:rsidRDefault="00466BF6" w:rsidP="00466BF6">
      <w:pPr>
        <w:pStyle w:val="BodyText"/>
      </w:pPr>
      <w:r w:rsidRPr="00660ABA">
        <w:t>Current existing controls for this hazard includ</w:t>
      </w:r>
      <w:r>
        <w:t>e:</w:t>
      </w:r>
    </w:p>
    <w:p w14:paraId="5EB93F9B" w14:textId="290B856F" w:rsidR="00466BF6" w:rsidRDefault="00466BF6" w:rsidP="006670D2">
      <w:pPr>
        <w:pStyle w:val="PullOutBoxBullet"/>
        <w:rPr>
          <w:rStyle w:val="normaltextrun"/>
          <w:lang w:eastAsia="en-US"/>
        </w:rPr>
      </w:pPr>
      <w:r w:rsidRPr="00D95A46">
        <w:rPr>
          <w:rStyle w:val="normaltextrun"/>
        </w:rPr>
        <w:t xml:space="preserve">Targeted deer control. </w:t>
      </w:r>
      <w:r w:rsidRPr="00CB51DA">
        <w:rPr>
          <w:rStyle w:val="normaltextrun"/>
        </w:rPr>
        <w:t xml:space="preserve">The effectiveness of this control for this </w:t>
      </w:r>
      <w:r w:rsidR="001D4452">
        <w:rPr>
          <w:rStyle w:val="normaltextrun"/>
        </w:rPr>
        <w:t>sub</w:t>
      </w:r>
      <w:r w:rsidRPr="00CB51DA">
        <w:rPr>
          <w:rStyle w:val="normaltextrun"/>
        </w:rPr>
        <w:t>species has been evaluated as poor</w:t>
      </w:r>
      <w:r>
        <w:rPr>
          <w:rStyle w:val="normaltextrun"/>
        </w:rPr>
        <w:t xml:space="preserve"> </w:t>
      </w:r>
      <w:r w:rsidRPr="00D95A46">
        <w:rPr>
          <w:rStyle w:val="normaltextrun"/>
        </w:rPr>
        <w:t xml:space="preserve">because targeted </w:t>
      </w:r>
      <w:r w:rsidRPr="00D829C5">
        <w:rPr>
          <w:rStyle w:val="normaltextrun"/>
        </w:rPr>
        <w:t>culling</w:t>
      </w:r>
      <w:r w:rsidRPr="00D95A46">
        <w:rPr>
          <w:rStyle w:val="normaltextrun"/>
        </w:rPr>
        <w:t xml:space="preserve"> is patchy, expensive, and challenging to target in remote forest areas. Sambar deer occur across a large area so there is a reservoir of other areas to recolonise from.</w:t>
      </w:r>
      <w:r w:rsidR="003D2B80" w:rsidRPr="003D2B80">
        <w:t xml:space="preserve"> </w:t>
      </w:r>
      <w:r w:rsidR="003D2B80" w:rsidRPr="00F05594">
        <w:t xml:space="preserve">It is important to note, however, that </w:t>
      </w:r>
      <w:r w:rsidR="003D2B80" w:rsidRPr="00F05594">
        <w:rPr>
          <w:rStyle w:val="eop"/>
          <w:rFonts w:ascii="Arial" w:hAnsi="Arial"/>
          <w:color w:val="363534"/>
        </w:rPr>
        <w:t xml:space="preserve">recent deer control programs carried out throughout East Gippsland show significant advances in ground-based shooting by using thermal imaging, after-dark hunting and in some cases the use of silencers. Targeted control programs should not be considered inappropriate if program funding is sustainable and the target flora </w:t>
      </w:r>
      <w:r w:rsidR="001D4452">
        <w:rPr>
          <w:rStyle w:val="eop"/>
          <w:rFonts w:ascii="Arial" w:hAnsi="Arial"/>
          <w:color w:val="363534"/>
        </w:rPr>
        <w:t>sub</w:t>
      </w:r>
      <w:r w:rsidR="003D2B80" w:rsidRPr="00F05594">
        <w:rPr>
          <w:rStyle w:val="eop"/>
          <w:rFonts w:ascii="Arial" w:hAnsi="Arial"/>
          <w:color w:val="363534"/>
        </w:rPr>
        <w:t>species for protection face significant threat from deer activity.</w:t>
      </w:r>
    </w:p>
    <w:p w14:paraId="03CA1054" w14:textId="3AD1BE7C"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71</w:t>
      </w:r>
      <w:r w:rsidR="000B6788" w:rsidRPr="00B6162A">
        <w:rPr>
          <w:bCs/>
          <w:noProof/>
        </w:rPr>
        <w:fldChar w:fldCharType="end"/>
      </w:r>
      <w:r w:rsidRPr="00FF310C">
        <w:t>. Creeping Shield-fern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466BF6" w:rsidRPr="00867DAA" w14:paraId="02B0038D"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79E11305" w14:textId="77777777" w:rsidR="00466BF6" w:rsidRPr="007B5B86" w:rsidRDefault="00466BF6" w:rsidP="00296E0F">
            <w:pPr>
              <w:pStyle w:val="BodyText"/>
            </w:pPr>
            <w:r w:rsidRPr="007B5B86">
              <w:t>Requirement</w:t>
            </w:r>
          </w:p>
        </w:tc>
        <w:tc>
          <w:tcPr>
            <w:tcW w:w="7371" w:type="dxa"/>
            <w:vAlign w:val="center"/>
          </w:tcPr>
          <w:p w14:paraId="4AA3A2F9" w14:textId="77777777" w:rsidR="00466BF6" w:rsidRPr="007B5B86"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466BF6" w:rsidRPr="00867DAA" w14:paraId="60A1A60F" w14:textId="77777777" w:rsidTr="009E6DAF">
        <w:tc>
          <w:tcPr>
            <w:tcW w:w="2268" w:type="dxa"/>
          </w:tcPr>
          <w:p w14:paraId="3584EA93" w14:textId="2B87FCC1" w:rsidR="00466BF6" w:rsidRPr="00867DAA" w:rsidRDefault="000C75BF" w:rsidP="009E6DAF">
            <w:pPr>
              <w:pStyle w:val="BodyText"/>
            </w:pPr>
            <w:r>
              <w:t>Priority management actions</w:t>
            </w:r>
          </w:p>
        </w:tc>
        <w:tc>
          <w:tcPr>
            <w:tcW w:w="7371" w:type="dxa"/>
          </w:tcPr>
          <w:p w14:paraId="4727E5A4" w14:textId="77777777" w:rsidR="00466BF6" w:rsidRPr="00867DAA" w:rsidRDefault="00466BF6" w:rsidP="009E6DAF">
            <w:pPr>
              <w:pStyle w:val="BodyText"/>
            </w:pPr>
            <w:r>
              <w:t>Not required for this hazard.</w:t>
            </w:r>
          </w:p>
        </w:tc>
      </w:tr>
      <w:tr w:rsidR="00466BF6" w:rsidRPr="00867DAA" w14:paraId="67D41756" w14:textId="77777777" w:rsidTr="009E6DAF">
        <w:tc>
          <w:tcPr>
            <w:tcW w:w="2268" w:type="dxa"/>
          </w:tcPr>
          <w:p w14:paraId="39F980B1" w14:textId="2252E87C" w:rsidR="00466BF6" w:rsidRPr="00867DAA" w:rsidRDefault="000C75BF" w:rsidP="009E6DAF">
            <w:pPr>
              <w:pStyle w:val="BodyText"/>
            </w:pPr>
            <w:r>
              <w:t>Potential m</w:t>
            </w:r>
            <w:r w:rsidR="00466BF6" w:rsidRPr="00867DAA">
              <w:t>anagement actions</w:t>
            </w:r>
          </w:p>
        </w:tc>
        <w:tc>
          <w:tcPr>
            <w:tcW w:w="7371" w:type="dxa"/>
          </w:tcPr>
          <w:p w14:paraId="33CADA85" w14:textId="6B0A25D4" w:rsidR="00466BF6" w:rsidRDefault="00466BF6" w:rsidP="006670D2">
            <w:pPr>
              <w:pStyle w:val="PullOutBoxBullet"/>
            </w:pPr>
            <w:r>
              <w:t xml:space="preserve">Monitor representative populations following </w:t>
            </w:r>
            <w:r w:rsidR="00FF6B44">
              <w:t>timber harvesting</w:t>
            </w:r>
            <w:r>
              <w:t xml:space="preserve">, planned burning and bushfire, as well as in healthy mature stands, to see evidence of browsing or the impact of trampling and wallowing on the </w:t>
            </w:r>
            <w:r w:rsidR="00443564">
              <w:t>sub</w:t>
            </w:r>
            <w:r w:rsidR="001B07BE">
              <w:t>species</w:t>
            </w:r>
            <w:r>
              <w:t xml:space="preserve">; and </w:t>
            </w:r>
          </w:p>
          <w:p w14:paraId="082E0074" w14:textId="77777777" w:rsidR="00466BF6" w:rsidRPr="006F1079" w:rsidRDefault="00466BF6" w:rsidP="006670D2">
            <w:pPr>
              <w:pStyle w:val="PullOutBoxBullet"/>
            </w:pPr>
            <w:r>
              <w:t xml:space="preserve">Target Sambar for control particularly after major decline events such as fire or extremely severe drought.  </w:t>
            </w:r>
          </w:p>
        </w:tc>
      </w:tr>
    </w:tbl>
    <w:p w14:paraId="1C51FE94" w14:textId="3E41A08A" w:rsidR="00466BF6" w:rsidRDefault="00466BF6" w:rsidP="00A33527">
      <w:pPr>
        <w:pStyle w:val="BodyText"/>
      </w:pPr>
      <w:r>
        <w:br w:type="page"/>
      </w:r>
    </w:p>
    <w:p w14:paraId="10A02E23" w14:textId="77777777" w:rsidR="00466BF6" w:rsidRPr="00A33527" w:rsidRDefault="00466BF6" w:rsidP="00FB5A2B">
      <w:pPr>
        <w:pStyle w:val="Heading2"/>
        <w:ind w:left="0"/>
        <w:rPr>
          <w:i/>
          <w:iCs/>
        </w:rPr>
      </w:pPr>
      <w:bookmarkStart w:id="324" w:name="_Toc95233348"/>
      <w:bookmarkStart w:id="325" w:name="_Toc113271037"/>
      <w:r w:rsidRPr="00A33527">
        <w:t>Eastern Pomaderris</w:t>
      </w:r>
      <w:r>
        <w:t xml:space="preserve"> </w:t>
      </w:r>
      <w:r w:rsidRPr="00A33527">
        <w:rPr>
          <w:i/>
          <w:iCs/>
        </w:rPr>
        <w:t>(Pomaderris discolor)</w:t>
      </w:r>
      <w:bookmarkEnd w:id="324"/>
      <w:bookmarkEnd w:id="325"/>
    </w:p>
    <w:p w14:paraId="6C16BB4C" w14:textId="34D14C82" w:rsidR="00466BF6" w:rsidRDefault="00466BF6" w:rsidP="00466BF6">
      <w:pPr>
        <w:pStyle w:val="BodyText"/>
      </w:pPr>
      <w:r>
        <w:t xml:space="preserve">The </w:t>
      </w:r>
      <w:r w:rsidRPr="00120B7E">
        <w:t>Eastern Pomaderris</w:t>
      </w:r>
      <w:r>
        <w:t xml:space="preserve"> was listed as Endangered in Victoria under the FFG Act in May 2021. The </w:t>
      </w:r>
      <w:r w:rsidR="001B07BE">
        <w:t>species</w:t>
      </w:r>
      <w:r>
        <w:t xml:space="preserve"> has modelled habitat in </w:t>
      </w:r>
      <w:r w:rsidRPr="00D05A3B">
        <w:t xml:space="preserve">the </w:t>
      </w:r>
      <w:r w:rsidRPr="008F703F">
        <w:t>East Gippsland (</w:t>
      </w:r>
      <w:r>
        <w:t>91</w:t>
      </w:r>
      <w:r w:rsidRPr="008F703F">
        <w:t>%</w:t>
      </w:r>
      <w:r>
        <w:t xml:space="preserve"> of modelled habitat</w:t>
      </w:r>
      <w:r w:rsidRPr="008F703F">
        <w:t>)</w:t>
      </w:r>
      <w:r>
        <w:t xml:space="preserve"> and</w:t>
      </w:r>
      <w:r w:rsidRPr="008F703F">
        <w:t xml:space="preserve"> Gippsland (</w:t>
      </w:r>
      <w:r>
        <w:t>9</w:t>
      </w:r>
      <w:r w:rsidRPr="008F703F">
        <w:t>%</w:t>
      </w:r>
      <w:r>
        <w:t xml:space="preserve"> of modelled habitat</w:t>
      </w:r>
      <w:r w:rsidRPr="008F703F">
        <w:t>) RFA regions</w:t>
      </w:r>
      <w: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 </w:t>
      </w:r>
    </w:p>
    <w:p w14:paraId="3F1C307F" w14:textId="77777777" w:rsidR="00466BF6" w:rsidRDefault="00466BF6" w:rsidP="007E5EBF">
      <w:pPr>
        <w:pStyle w:val="Heading3"/>
      </w:pPr>
      <w:r>
        <w:t>Risk Assessment</w:t>
      </w:r>
    </w:p>
    <w:p w14:paraId="377D428B" w14:textId="08B38BC3"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72</w:t>
      </w:r>
      <w:r w:rsidR="000B6788" w:rsidRPr="00B6162A">
        <w:rPr>
          <w:bCs/>
          <w:noProof/>
        </w:rPr>
        <w:fldChar w:fldCharType="end"/>
      </w:r>
      <w:r w:rsidRPr="00FF310C">
        <w:t>. Eastern Pomaderris risk ratings in East Gippsland RFA</w:t>
      </w:r>
      <w:r w:rsidR="00F23EF8">
        <w:t xml:space="preserve"> region:</w:t>
      </w:r>
    </w:p>
    <w:tbl>
      <w:tblPr>
        <w:tblStyle w:val="TableGrid"/>
        <w:tblW w:w="0" w:type="auto"/>
        <w:tblLook w:val="04A0" w:firstRow="1" w:lastRow="0" w:firstColumn="1" w:lastColumn="0" w:noHBand="0" w:noVBand="1"/>
      </w:tblPr>
      <w:tblGrid>
        <w:gridCol w:w="2410"/>
        <w:gridCol w:w="2410"/>
        <w:gridCol w:w="2410"/>
      </w:tblGrid>
      <w:tr w:rsidR="00466BF6" w14:paraId="307283CA" w14:textId="77777777" w:rsidTr="00E738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vAlign w:val="center"/>
          </w:tcPr>
          <w:p w14:paraId="5B6E9022" w14:textId="77777777" w:rsidR="00466BF6" w:rsidRPr="00643008" w:rsidRDefault="00466BF6" w:rsidP="006670D2">
            <w:pPr>
              <w:pStyle w:val="CaptionImageorFigure"/>
            </w:pPr>
          </w:p>
        </w:tc>
        <w:tc>
          <w:tcPr>
            <w:tcW w:w="2410" w:type="dxa"/>
            <w:vAlign w:val="center"/>
          </w:tcPr>
          <w:p w14:paraId="3B9C46B0"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Drought</w:t>
            </w:r>
          </w:p>
        </w:tc>
        <w:tc>
          <w:tcPr>
            <w:tcW w:w="2410" w:type="dxa"/>
            <w:vAlign w:val="center"/>
          </w:tcPr>
          <w:p w14:paraId="75509BB6" w14:textId="26F972D1" w:rsidR="00466BF6" w:rsidRDefault="00BC4502"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466BF6">
              <w:t>orestry operations</w:t>
            </w:r>
          </w:p>
        </w:tc>
      </w:tr>
      <w:tr w:rsidR="00466BF6" w14:paraId="3F7BA880" w14:textId="77777777" w:rsidTr="00E73893">
        <w:tc>
          <w:tcPr>
            <w:tcW w:w="2410" w:type="dxa"/>
            <w:vAlign w:val="center"/>
          </w:tcPr>
          <w:p w14:paraId="34369ACD" w14:textId="77777777" w:rsidR="00466BF6" w:rsidRPr="0053677B" w:rsidRDefault="00466BF6" w:rsidP="00935F6F">
            <w:pPr>
              <w:pStyle w:val="BodyText"/>
              <w:jc w:val="center"/>
            </w:pPr>
            <w:r w:rsidRPr="0053677B">
              <w:t>Consequence</w:t>
            </w:r>
          </w:p>
        </w:tc>
        <w:tc>
          <w:tcPr>
            <w:tcW w:w="2410" w:type="dxa"/>
            <w:vAlign w:val="center"/>
          </w:tcPr>
          <w:p w14:paraId="2DDD69B7" w14:textId="77777777" w:rsidR="00466BF6" w:rsidRDefault="00466BF6" w:rsidP="00935F6F">
            <w:pPr>
              <w:pStyle w:val="BodyText"/>
              <w:jc w:val="center"/>
            </w:pPr>
            <w:r>
              <w:t>Moderate</w:t>
            </w:r>
          </w:p>
        </w:tc>
        <w:tc>
          <w:tcPr>
            <w:tcW w:w="2410" w:type="dxa"/>
            <w:vAlign w:val="center"/>
          </w:tcPr>
          <w:p w14:paraId="222D50A6" w14:textId="77777777" w:rsidR="00466BF6" w:rsidRDefault="00466BF6" w:rsidP="00935F6F">
            <w:pPr>
              <w:pStyle w:val="BodyText"/>
              <w:jc w:val="center"/>
            </w:pPr>
            <w:r>
              <w:t>Moderate</w:t>
            </w:r>
          </w:p>
        </w:tc>
      </w:tr>
      <w:tr w:rsidR="00466BF6" w14:paraId="71BF7D39" w14:textId="77777777" w:rsidTr="00E73893">
        <w:tc>
          <w:tcPr>
            <w:tcW w:w="2410" w:type="dxa"/>
            <w:vAlign w:val="center"/>
          </w:tcPr>
          <w:p w14:paraId="05FC192F" w14:textId="77777777" w:rsidR="00466BF6" w:rsidRPr="0053677B" w:rsidRDefault="00466BF6" w:rsidP="00935F6F">
            <w:pPr>
              <w:pStyle w:val="BodyText"/>
              <w:jc w:val="center"/>
            </w:pPr>
            <w:r w:rsidRPr="0053677B">
              <w:t>Likelihood</w:t>
            </w:r>
          </w:p>
        </w:tc>
        <w:tc>
          <w:tcPr>
            <w:tcW w:w="2410" w:type="dxa"/>
            <w:vAlign w:val="center"/>
          </w:tcPr>
          <w:p w14:paraId="335EDC05" w14:textId="77777777" w:rsidR="00466BF6" w:rsidRDefault="00466BF6" w:rsidP="00935F6F">
            <w:pPr>
              <w:pStyle w:val="BodyText"/>
              <w:jc w:val="center"/>
            </w:pPr>
            <w:r>
              <w:t>Possible</w:t>
            </w:r>
          </w:p>
        </w:tc>
        <w:tc>
          <w:tcPr>
            <w:tcW w:w="2410" w:type="dxa"/>
            <w:vAlign w:val="center"/>
          </w:tcPr>
          <w:p w14:paraId="592B6B48" w14:textId="77777777" w:rsidR="00466BF6" w:rsidRDefault="00466BF6" w:rsidP="00935F6F">
            <w:pPr>
              <w:pStyle w:val="BodyText"/>
              <w:jc w:val="center"/>
            </w:pPr>
            <w:r>
              <w:t>Possible</w:t>
            </w:r>
          </w:p>
        </w:tc>
      </w:tr>
      <w:tr w:rsidR="00466BF6" w14:paraId="42A87C5C" w14:textId="77777777" w:rsidTr="00E73893">
        <w:tc>
          <w:tcPr>
            <w:tcW w:w="2410" w:type="dxa"/>
            <w:vAlign w:val="center"/>
          </w:tcPr>
          <w:p w14:paraId="5A33EC44" w14:textId="77777777" w:rsidR="00466BF6" w:rsidRPr="0053677B" w:rsidRDefault="00466BF6" w:rsidP="00935F6F">
            <w:pPr>
              <w:pStyle w:val="BodyText"/>
              <w:jc w:val="center"/>
            </w:pPr>
            <w:r w:rsidRPr="0053677B">
              <w:t>Overall risk rating</w:t>
            </w:r>
          </w:p>
        </w:tc>
        <w:tc>
          <w:tcPr>
            <w:tcW w:w="2410" w:type="dxa"/>
            <w:shd w:val="clear" w:color="auto" w:fill="FFFF00"/>
            <w:vAlign w:val="center"/>
          </w:tcPr>
          <w:p w14:paraId="14FBD096" w14:textId="77777777" w:rsidR="00466BF6" w:rsidRDefault="00466BF6" w:rsidP="00935F6F">
            <w:pPr>
              <w:pStyle w:val="BodyText"/>
              <w:jc w:val="center"/>
            </w:pPr>
            <w:r>
              <w:t>Medium</w:t>
            </w:r>
          </w:p>
        </w:tc>
        <w:tc>
          <w:tcPr>
            <w:tcW w:w="2410" w:type="dxa"/>
            <w:shd w:val="clear" w:color="auto" w:fill="FFFF00"/>
            <w:vAlign w:val="center"/>
          </w:tcPr>
          <w:p w14:paraId="1B7DC2D7" w14:textId="77777777" w:rsidR="00466BF6" w:rsidRDefault="00466BF6" w:rsidP="00935F6F">
            <w:pPr>
              <w:pStyle w:val="BodyText"/>
              <w:jc w:val="center"/>
            </w:pPr>
            <w:r>
              <w:t>Medium</w:t>
            </w:r>
          </w:p>
        </w:tc>
      </w:tr>
    </w:tbl>
    <w:p w14:paraId="54B7AF7C" w14:textId="77777777" w:rsidR="00466BF6" w:rsidRPr="0077027B" w:rsidRDefault="00466BF6" w:rsidP="007E5EBF">
      <w:pPr>
        <w:pStyle w:val="Heading3"/>
        <w:jc w:val="both"/>
      </w:pPr>
      <w:r>
        <w:t>Climate change</w:t>
      </w:r>
    </w:p>
    <w:p w14:paraId="25D40EA0" w14:textId="77777777" w:rsidR="00466BF6" w:rsidRDefault="00466BF6" w:rsidP="00466BF6">
      <w:pPr>
        <w:pStyle w:val="Heading5"/>
        <w:numPr>
          <w:ilvl w:val="0"/>
          <w:numId w:val="0"/>
        </w:numPr>
        <w:ind w:left="1008" w:hanging="1008"/>
      </w:pPr>
      <w:r w:rsidRPr="000E6F18">
        <w:t>Drought</w:t>
      </w:r>
    </w:p>
    <w:p w14:paraId="5341DD27" w14:textId="170802BA" w:rsidR="00466BF6" w:rsidRPr="00F26BEE" w:rsidRDefault="00466BF6" w:rsidP="00466BF6">
      <w:pPr>
        <w:pStyle w:val="BodyText"/>
      </w:pPr>
      <w:r w:rsidRPr="000E6F18">
        <w:t xml:space="preserve">The </w:t>
      </w:r>
      <w:r w:rsidR="001B07BE">
        <w:t>species</w:t>
      </w:r>
      <w:r w:rsidRPr="000E6F18">
        <w:t xml:space="preserve"> is threatened </w:t>
      </w:r>
      <w:r>
        <w:t>by extreme drought stress across its range caused by</w:t>
      </w:r>
      <w:r w:rsidRPr="000E6F18">
        <w:t xml:space="preserve"> </w:t>
      </w:r>
      <w:r>
        <w:t xml:space="preserve">climatic </w:t>
      </w:r>
      <w:r w:rsidRPr="000E6F18">
        <w:t>warming and drying</w:t>
      </w:r>
      <w:r>
        <w:t xml:space="preserve">, which works synergistically with </w:t>
      </w:r>
      <w:r w:rsidR="00793F90">
        <w:t>bushfire management regimes</w:t>
      </w:r>
      <w:r>
        <w:t xml:space="preserve"> to </w:t>
      </w:r>
      <w:r w:rsidRPr="000E6F18">
        <w:t>increase the risk of recruitment failure</w:t>
      </w:r>
      <w:r w:rsidRPr="00F26BEE">
        <w:t xml:space="preserve">. Increased drought will likely increase fire risk, which may reduce the extent of mesic vegetation types and rainforest ecotones which this </w:t>
      </w:r>
      <w:r w:rsidR="001B07BE">
        <w:t>species</w:t>
      </w:r>
      <w:r w:rsidRPr="00F26BEE">
        <w:t xml:space="preserve"> occupies. The </w:t>
      </w:r>
      <w:r w:rsidR="001B07BE">
        <w:t>species</w:t>
      </w:r>
      <w:r w:rsidRPr="00F26BEE">
        <w:t xml:space="preserve"> is classified as having obligate pyrogenic dormancy (Ooi et al. 2014) as is the case for some other species of </w:t>
      </w:r>
      <w:r w:rsidRPr="00F26BEE">
        <w:rPr>
          <w:i/>
          <w:iCs/>
        </w:rPr>
        <w:t>Pomaderris</w:t>
      </w:r>
      <w:r w:rsidRPr="00F26BEE">
        <w:t>. Given its habitat preferences, it is likely to require recruitment where fire allows enough heating for seed imbibition, which requires sufficient rainfall to follow and allow germination and recruitment of seedlings into mature plants. The persistence of significant populations</w:t>
      </w:r>
      <w:r w:rsidR="00496C2C">
        <w:t xml:space="preserve"> of the </w:t>
      </w:r>
      <w:r w:rsidR="001B07BE">
        <w:t>species</w:t>
      </w:r>
      <w:r w:rsidRPr="00F26BEE">
        <w:t xml:space="preserve"> is possibly maintained by a low fire frequency and generally cool climate. It may have low water use efficiency and would be limited as such by droughts rather than impacts from occasional fire. Heat wave conditions do not significantly affect seed germination (Ooi et al. 2014).  </w:t>
      </w:r>
    </w:p>
    <w:p w14:paraId="20CDF085" w14:textId="4C90E3E3" w:rsidR="00466BF6" w:rsidRPr="00F26BEE" w:rsidRDefault="00466BF6" w:rsidP="00466BF6">
      <w:pPr>
        <w:pStyle w:val="BodyText"/>
      </w:pPr>
      <w:r w:rsidRPr="00F26BEE">
        <w:t xml:space="preserve">Current control measures for this hazard are not effective in managing the risk to this </w:t>
      </w:r>
      <w:r w:rsidR="001B07BE">
        <w:t>species</w:t>
      </w:r>
      <w:r w:rsidRPr="00F26BEE">
        <w:t xml:space="preserve"> at the scale relevant to its conservation.</w:t>
      </w:r>
    </w:p>
    <w:p w14:paraId="1790DF82" w14:textId="250E9047"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73</w:t>
      </w:r>
      <w:r w:rsidR="000B6788" w:rsidRPr="00B6162A">
        <w:rPr>
          <w:bCs/>
          <w:noProof/>
        </w:rPr>
        <w:fldChar w:fldCharType="end"/>
      </w:r>
      <w:r w:rsidRPr="00FF310C">
        <w:t>. Eastern Pomaderris protection requirements and recommendations for drought</w:t>
      </w:r>
    </w:p>
    <w:tbl>
      <w:tblPr>
        <w:tblStyle w:val="TableGrid"/>
        <w:tblW w:w="0" w:type="auto"/>
        <w:tblLook w:val="04A0" w:firstRow="1" w:lastRow="0" w:firstColumn="1" w:lastColumn="0" w:noHBand="0" w:noVBand="1"/>
      </w:tblPr>
      <w:tblGrid>
        <w:gridCol w:w="2268"/>
        <w:gridCol w:w="7371"/>
      </w:tblGrid>
      <w:tr w:rsidR="00466BF6" w:rsidRPr="00867DAA" w14:paraId="39C641AC"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2BDB32C1" w14:textId="77777777" w:rsidR="00466BF6" w:rsidRPr="00704719" w:rsidRDefault="00466BF6" w:rsidP="00296E0F">
            <w:pPr>
              <w:pStyle w:val="BodyText"/>
            </w:pPr>
            <w:r w:rsidRPr="00704719">
              <w:t>Requirement</w:t>
            </w:r>
          </w:p>
        </w:tc>
        <w:tc>
          <w:tcPr>
            <w:tcW w:w="7371" w:type="dxa"/>
            <w:vAlign w:val="center"/>
          </w:tcPr>
          <w:p w14:paraId="1336D641"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61B8D155" w14:textId="77777777" w:rsidTr="009E6DAF">
        <w:tc>
          <w:tcPr>
            <w:tcW w:w="2268" w:type="dxa"/>
          </w:tcPr>
          <w:p w14:paraId="05D236F5" w14:textId="0C59B082" w:rsidR="00466BF6" w:rsidRPr="003566BD" w:rsidRDefault="000C75BF" w:rsidP="009E6DAF">
            <w:pPr>
              <w:pStyle w:val="BodyText"/>
            </w:pPr>
            <w:r>
              <w:t>Priority management actions</w:t>
            </w:r>
          </w:p>
        </w:tc>
        <w:tc>
          <w:tcPr>
            <w:tcW w:w="7371" w:type="dxa"/>
          </w:tcPr>
          <w:p w14:paraId="6C9315D1" w14:textId="2E37947E" w:rsidR="00466BF6" w:rsidRPr="003566BD" w:rsidRDefault="00466BF6" w:rsidP="009E6DAF">
            <w:pPr>
              <w:pStyle w:val="BodyText"/>
            </w:pPr>
            <w:r w:rsidRPr="00200995">
              <w:t xml:space="preserve">Not required for this hazard </w:t>
            </w:r>
            <w:r>
              <w:t>as it is a longer-term threat</w:t>
            </w:r>
            <w:r w:rsidR="00B45BCE">
              <w:t>,</w:t>
            </w:r>
            <w:r>
              <w:t xml:space="preserve"> and </w:t>
            </w:r>
            <w:r w:rsidRPr="00200995">
              <w:t xml:space="preserve">the overall risk level </w:t>
            </w:r>
            <w:r w:rsidR="00AF71E9">
              <w:t>is</w:t>
            </w:r>
            <w:r w:rsidR="00AF71E9" w:rsidRPr="00200995">
              <w:t xml:space="preserve"> </w:t>
            </w:r>
            <w:r w:rsidRPr="00200995">
              <w:t>medium</w:t>
            </w:r>
            <w:r>
              <w:t>.</w:t>
            </w:r>
          </w:p>
        </w:tc>
      </w:tr>
      <w:tr w:rsidR="00466BF6" w:rsidRPr="00867DAA" w14:paraId="0A4FAD5C" w14:textId="77777777" w:rsidTr="009E6DAF">
        <w:tc>
          <w:tcPr>
            <w:tcW w:w="2268" w:type="dxa"/>
          </w:tcPr>
          <w:p w14:paraId="3169A839" w14:textId="58BDC591" w:rsidR="00466BF6" w:rsidRPr="00867DAA" w:rsidRDefault="000C75BF" w:rsidP="009E6DAF">
            <w:pPr>
              <w:pStyle w:val="BodyText"/>
            </w:pPr>
            <w:r>
              <w:t>Potential m</w:t>
            </w:r>
            <w:r w:rsidR="00466BF6" w:rsidRPr="00867DAA">
              <w:t>anagement actions</w:t>
            </w:r>
          </w:p>
        </w:tc>
        <w:tc>
          <w:tcPr>
            <w:tcW w:w="7371" w:type="dxa"/>
          </w:tcPr>
          <w:p w14:paraId="3D6767C0" w14:textId="77777777" w:rsidR="00466BF6" w:rsidRDefault="00466BF6" w:rsidP="006670D2">
            <w:pPr>
              <w:pStyle w:val="PullOutBoxBullet"/>
            </w:pPr>
            <w:r w:rsidRPr="0010577C">
              <w:t>Propagate plants and establish in new areas of habitat to increase population size and area of occupancy</w:t>
            </w:r>
            <w:r>
              <w:t xml:space="preserve">; </w:t>
            </w:r>
          </w:p>
          <w:p w14:paraId="430410CF" w14:textId="54DD7AD1" w:rsidR="00466BF6" w:rsidRDefault="00466BF6" w:rsidP="006670D2">
            <w:pPr>
              <w:pStyle w:val="PullOutBoxBullet"/>
            </w:pPr>
            <w:r>
              <w:t>M</w:t>
            </w:r>
            <w:r w:rsidRPr="0010577C">
              <w:t xml:space="preserve">aintain environmental watering into drainage lines and creeks to improve resilience of rainforest stands and ecotones which are occupied by </w:t>
            </w:r>
            <w:r w:rsidRPr="003F628E">
              <w:t xml:space="preserve">the </w:t>
            </w:r>
            <w:r w:rsidR="001B07BE">
              <w:t>species</w:t>
            </w:r>
            <w:r w:rsidRPr="003F628E">
              <w:t>;</w:t>
            </w:r>
            <w:r>
              <w:t xml:space="preserve"> and </w:t>
            </w:r>
          </w:p>
          <w:p w14:paraId="0E05A9CC" w14:textId="77777777" w:rsidR="00466BF6" w:rsidRPr="009F2B89" w:rsidRDefault="00466BF6" w:rsidP="006670D2">
            <w:pPr>
              <w:pStyle w:val="PullOutBoxBullet"/>
            </w:pPr>
            <w:r>
              <w:t>U</w:t>
            </w:r>
            <w:r w:rsidRPr="00CF440F">
              <w:t>ndertake low intensity burns within part of a population during non-drought cycles, to allow increased germination and establishment of additional mature stands.</w:t>
            </w:r>
          </w:p>
        </w:tc>
      </w:tr>
    </w:tbl>
    <w:p w14:paraId="2DBA6961" w14:textId="77777777" w:rsidR="00466BF6" w:rsidRPr="0077027B" w:rsidRDefault="00466BF6" w:rsidP="007E5EBF">
      <w:pPr>
        <w:pStyle w:val="Heading3"/>
        <w:jc w:val="both"/>
      </w:pPr>
      <w:r>
        <w:t>Forestry operations</w:t>
      </w:r>
    </w:p>
    <w:p w14:paraId="6369889A" w14:textId="38203BE9" w:rsidR="00466BF6" w:rsidRDefault="00BC4502" w:rsidP="00466BF6">
      <w:pPr>
        <w:pStyle w:val="Heading5"/>
        <w:numPr>
          <w:ilvl w:val="0"/>
          <w:numId w:val="0"/>
        </w:numPr>
        <w:ind w:left="1008" w:hanging="1008"/>
      </w:pPr>
      <w:r>
        <w:t>F</w:t>
      </w:r>
      <w:r w:rsidR="00466BF6">
        <w:t>orestry operations</w:t>
      </w:r>
    </w:p>
    <w:p w14:paraId="62AA5808" w14:textId="25262F41" w:rsidR="00466BF6" w:rsidRDefault="00284756" w:rsidP="00466BF6">
      <w:pPr>
        <w:pStyle w:val="BodyText"/>
      </w:pPr>
      <w:r w:rsidRPr="00915D82">
        <w:t xml:space="preserve">Where plants are not detected pre-harvest due to limited survey efforts, forestry operations can lead to direct mortality or recruitment failure of the </w:t>
      </w:r>
      <w:r w:rsidR="001B07BE">
        <w:t>species</w:t>
      </w:r>
      <w:r w:rsidRPr="00915D82">
        <w:t>. Where it is a component of the understorey, loss of part or all the population can occur through harvesting itself or if regeneration burns impact on protection area</w:t>
      </w:r>
      <w:r w:rsidRPr="00B6162A">
        <w:t>s.</w:t>
      </w:r>
      <w:r w:rsidRPr="00FD57DB">
        <w:t xml:space="preserve"> </w:t>
      </w:r>
      <w:r w:rsidR="00385707" w:rsidRPr="00FD57DB">
        <w:t>Based on the 2015 net harvest area layer, the modelled habitat contains 14-22%</w:t>
      </w:r>
      <w:r w:rsidR="002C6986" w:rsidRPr="00FD57DB">
        <w:t xml:space="preserve"> of merchantable timber. Using the revised operable layer, </w:t>
      </w:r>
      <w:r w:rsidR="00CD794D" w:rsidRPr="00FD57DB">
        <w:t xml:space="preserve">this is reduced to 7%. </w:t>
      </w:r>
    </w:p>
    <w:p w14:paraId="3C000DD0" w14:textId="1FA78872" w:rsidR="00466BF6" w:rsidRDefault="00466BF6" w:rsidP="00466BF6">
      <w:pPr>
        <w:pStyle w:val="BodyText"/>
      </w:pPr>
      <w:r>
        <w:t xml:space="preserve">The </w:t>
      </w:r>
      <w:r w:rsidR="001B07BE">
        <w:t>species</w:t>
      </w:r>
      <w:r>
        <w:t xml:space="preserve"> </w:t>
      </w:r>
      <w:r w:rsidRPr="00195BBA">
        <w:t>tend</w:t>
      </w:r>
      <w:r>
        <w:t>s</w:t>
      </w:r>
      <w:r w:rsidRPr="00195BBA">
        <w:t xml:space="preserve"> to require fire and then rainfall for recruitment</w:t>
      </w:r>
      <w:r>
        <w:t>, therefore i</w:t>
      </w:r>
      <w:r w:rsidRPr="00195BBA">
        <w:t xml:space="preserve">ncreased fire frequency, or burning </w:t>
      </w:r>
      <w:r>
        <w:t xml:space="preserve">during a </w:t>
      </w:r>
      <w:r w:rsidRPr="00195BBA">
        <w:t>drought period</w:t>
      </w:r>
      <w:r>
        <w:t>,</w:t>
      </w:r>
      <w:r w:rsidRPr="00195BBA">
        <w:t xml:space="preserve"> </w:t>
      </w:r>
      <w:r>
        <w:t xml:space="preserve">may </w:t>
      </w:r>
      <w:r w:rsidRPr="00195BBA">
        <w:t>creat</w:t>
      </w:r>
      <w:r>
        <w:t>e</w:t>
      </w:r>
      <w:r w:rsidRPr="00195BBA">
        <w:t xml:space="preserve"> </w:t>
      </w:r>
      <w:r>
        <w:t xml:space="preserve">an </w:t>
      </w:r>
      <w:r w:rsidRPr="00195BBA">
        <w:t xml:space="preserve">unsuitable fire regime which makes </w:t>
      </w:r>
      <w:r w:rsidR="001B07BE">
        <w:t>species</w:t>
      </w:r>
      <w:r w:rsidRPr="00195BBA">
        <w:t xml:space="preserve"> unable to persist</w:t>
      </w:r>
      <w:r>
        <w:t xml:space="preserve"> post-harvesting. </w:t>
      </w:r>
    </w:p>
    <w:p w14:paraId="691EB568" w14:textId="77777777" w:rsidR="00466BF6" w:rsidRDefault="00466BF6" w:rsidP="00466BF6">
      <w:pPr>
        <w:pStyle w:val="BodyText"/>
      </w:pPr>
      <w:r>
        <w:t>Current existing controls for this hazard include:</w:t>
      </w:r>
    </w:p>
    <w:p w14:paraId="5A22569C" w14:textId="6F9DE0DB" w:rsidR="00466BF6" w:rsidRDefault="00466BF6" w:rsidP="006670D2">
      <w:pPr>
        <w:pStyle w:val="PullOutBoxBullet"/>
      </w:pPr>
      <w:r>
        <w:t xml:space="preserve">The </w:t>
      </w:r>
      <w:r w:rsidRPr="00D829C5">
        <w:rPr>
          <w:i/>
          <w:iCs/>
        </w:rPr>
        <w:t>Code of Practice for Timber Production 2014</w:t>
      </w:r>
      <w:r>
        <w:t xml:space="preserve">. </w:t>
      </w:r>
      <w:r w:rsidRPr="00160F2E">
        <w:t>The effectiveness of this control for this species has been evaluated as</w:t>
      </w:r>
      <w:r>
        <w:t xml:space="preserve"> good as a </w:t>
      </w:r>
      <w:r w:rsidRPr="00C53B18">
        <w:t xml:space="preserve">200m radius is effective to buffer </w:t>
      </w:r>
      <w:r>
        <w:t>the</w:t>
      </w:r>
      <w:r w:rsidRPr="00C53B18">
        <w:t xml:space="preserve"> impacts of forestry</w:t>
      </w:r>
      <w:r>
        <w:t xml:space="preserve"> operations on the </w:t>
      </w:r>
      <w:r w:rsidR="001B07BE">
        <w:t>species</w:t>
      </w:r>
      <w:r w:rsidRPr="001D1CCD">
        <w:t>.</w:t>
      </w:r>
    </w:p>
    <w:p w14:paraId="726173DD" w14:textId="19D14E49" w:rsidR="00466BF6" w:rsidRDefault="00466BF6" w:rsidP="006670D2">
      <w:pPr>
        <w:pStyle w:val="PullOutBoxBullet"/>
      </w:pPr>
      <w:r w:rsidRPr="00753DF7">
        <w:t>Pre-harvest surveys</w:t>
      </w:r>
      <w:r w:rsidRPr="00F22C5B">
        <w:t>.</w:t>
      </w:r>
      <w:r>
        <w:t xml:space="preserve"> </w:t>
      </w:r>
      <w:r w:rsidRPr="00160F2E">
        <w:t>The effectiveness of this control for this species has been evaluated as</w:t>
      </w:r>
      <w:r>
        <w:t xml:space="preserve"> good, provided</w:t>
      </w:r>
      <w:r w:rsidRPr="00753DF7">
        <w:t xml:space="preserve"> </w:t>
      </w:r>
      <w:r>
        <w:t xml:space="preserve">surveyors can accurately identify the </w:t>
      </w:r>
      <w:r w:rsidR="001B07BE">
        <w:t>species</w:t>
      </w:r>
      <w:r>
        <w:t xml:space="preserve"> and</w:t>
      </w:r>
      <w:r w:rsidRPr="00753DF7">
        <w:t xml:space="preserve"> gather </w:t>
      </w:r>
      <w:r>
        <w:t>appropriate</w:t>
      </w:r>
      <w:r w:rsidRPr="00753DF7">
        <w:t xml:space="preserve"> data.</w:t>
      </w:r>
    </w:p>
    <w:p w14:paraId="1FA6D348" w14:textId="288C5678" w:rsidR="00466BF6" w:rsidRPr="008566FD" w:rsidRDefault="00466BF6" w:rsidP="006670D2">
      <w:pPr>
        <w:pStyle w:val="PullOutBoxBullet"/>
      </w:pPr>
      <w:r w:rsidRPr="4F453272">
        <w:t xml:space="preserve">The CAR reserve system. </w:t>
      </w:r>
      <w:r w:rsidRPr="00160F2E">
        <w:t>The effectiveness of this control for this species has been evaluated a</w:t>
      </w:r>
      <w:r>
        <w:t xml:space="preserve">s </w:t>
      </w:r>
      <w:r w:rsidRPr="4F453272">
        <w:t>satisfactory as 5</w:t>
      </w:r>
      <w:r>
        <w:t>2</w:t>
      </w:r>
      <w:r w:rsidRPr="4F453272">
        <w:t xml:space="preserve">% of the </w:t>
      </w:r>
      <w:r w:rsidR="001B07BE">
        <w:t>species’</w:t>
      </w:r>
      <w:r w:rsidRPr="4F453272">
        <w:t xml:space="preserve"> modelled distribution and </w:t>
      </w:r>
      <w:r>
        <w:t>6</w:t>
      </w:r>
      <w:r w:rsidRPr="4F453272">
        <w:t>0% of important populations are within the reserve system</w:t>
      </w:r>
      <w:r w:rsidR="00A53D38">
        <w:t>.</w:t>
      </w:r>
    </w:p>
    <w:p w14:paraId="5E043D82" w14:textId="7211FA97"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74</w:t>
      </w:r>
      <w:r w:rsidR="000B6788" w:rsidRPr="00B6162A">
        <w:rPr>
          <w:bCs/>
          <w:noProof/>
        </w:rPr>
        <w:fldChar w:fldCharType="end"/>
      </w:r>
      <w:r w:rsidRPr="00FF310C">
        <w:t>. Eastern Pomaderris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466BF6" w:rsidRPr="00867DAA" w14:paraId="795E8614"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63B88196" w14:textId="77777777" w:rsidR="00466BF6" w:rsidRPr="00704719" w:rsidRDefault="00466BF6" w:rsidP="00296E0F">
            <w:pPr>
              <w:pStyle w:val="BodyText"/>
            </w:pPr>
            <w:r w:rsidRPr="00704719">
              <w:t>Requirement</w:t>
            </w:r>
          </w:p>
        </w:tc>
        <w:tc>
          <w:tcPr>
            <w:tcW w:w="7371" w:type="dxa"/>
            <w:vAlign w:val="center"/>
          </w:tcPr>
          <w:p w14:paraId="38503DC5"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77144F37" w14:textId="77777777" w:rsidTr="009E6DAF">
        <w:tc>
          <w:tcPr>
            <w:tcW w:w="2268" w:type="dxa"/>
          </w:tcPr>
          <w:p w14:paraId="3A4AB376" w14:textId="257B8123" w:rsidR="00466BF6" w:rsidRPr="003566BD" w:rsidRDefault="00466BF6" w:rsidP="009E6DAF">
            <w:pPr>
              <w:pStyle w:val="BodyText"/>
            </w:pPr>
            <w:r w:rsidRPr="003566BD">
              <w:t>Interim protections</w:t>
            </w:r>
            <w:r w:rsidR="00BF5D12">
              <w:t xml:space="preserve"> </w:t>
            </w:r>
          </w:p>
        </w:tc>
        <w:tc>
          <w:tcPr>
            <w:tcW w:w="7371" w:type="dxa"/>
          </w:tcPr>
          <w:p w14:paraId="5ED39BFE" w14:textId="77777777" w:rsidR="00466BF6" w:rsidRPr="003566BD" w:rsidRDefault="00466BF6" w:rsidP="009E6DAF">
            <w:pPr>
              <w:pStyle w:val="BodyText"/>
            </w:pPr>
            <w:r w:rsidRPr="00200995">
              <w:t>Not required for this hazard based on the overall risk level of medium</w:t>
            </w:r>
            <w:r>
              <w:t>.</w:t>
            </w:r>
          </w:p>
        </w:tc>
      </w:tr>
      <w:tr w:rsidR="00AF71E9" w:rsidRPr="00867DAA" w14:paraId="74F2BF1C" w14:textId="77777777" w:rsidTr="009E6DAF">
        <w:tc>
          <w:tcPr>
            <w:tcW w:w="2268" w:type="dxa"/>
          </w:tcPr>
          <w:p w14:paraId="1D644450" w14:textId="6361CEA0" w:rsidR="00AF71E9" w:rsidRPr="003566BD" w:rsidRDefault="003E764C" w:rsidP="009E6DAF">
            <w:pPr>
              <w:pStyle w:val="BodyText"/>
            </w:pPr>
            <w:r>
              <w:t>Priority management actions</w:t>
            </w:r>
          </w:p>
        </w:tc>
        <w:tc>
          <w:tcPr>
            <w:tcW w:w="7371" w:type="dxa"/>
            <w:shd w:val="clear" w:color="auto" w:fill="auto"/>
          </w:tcPr>
          <w:p w14:paraId="115CC84D" w14:textId="77777777" w:rsidR="00FB08C4" w:rsidRPr="00E31362" w:rsidRDefault="00FB08C4" w:rsidP="006670D2">
            <w:pPr>
              <w:pStyle w:val="PullOutBoxBullet"/>
            </w:pPr>
            <w:r w:rsidRPr="00E31362">
              <w:t>Comprehensively search likely habitat and map important populations; and</w:t>
            </w:r>
          </w:p>
          <w:p w14:paraId="2A9D7087" w14:textId="38254787" w:rsidR="00AF71E9" w:rsidRPr="003566BD" w:rsidRDefault="00FB08C4" w:rsidP="006670D2">
            <w:pPr>
              <w:pStyle w:val="PullOutBoxBullet"/>
            </w:pPr>
            <w:r w:rsidRPr="00E31362">
              <w:t>Establish monitoring sites and collect baseline data.</w:t>
            </w:r>
          </w:p>
        </w:tc>
      </w:tr>
      <w:tr w:rsidR="00466BF6" w:rsidRPr="00867DAA" w14:paraId="320B4CDB" w14:textId="77777777" w:rsidTr="009E6DAF">
        <w:tc>
          <w:tcPr>
            <w:tcW w:w="2268" w:type="dxa"/>
          </w:tcPr>
          <w:p w14:paraId="612FD90E" w14:textId="77777777" w:rsidR="00466BF6" w:rsidRPr="003566BD" w:rsidRDefault="00466BF6" w:rsidP="009E6DAF">
            <w:pPr>
              <w:pStyle w:val="BodyText"/>
            </w:pPr>
            <w:r w:rsidRPr="003566BD">
              <w:t>Permanent protections</w:t>
            </w:r>
          </w:p>
        </w:tc>
        <w:tc>
          <w:tcPr>
            <w:tcW w:w="7371" w:type="dxa"/>
            <w:shd w:val="clear" w:color="auto" w:fill="auto"/>
          </w:tcPr>
          <w:p w14:paraId="03A6D378" w14:textId="77777777" w:rsidR="00466BF6" w:rsidRPr="003566BD" w:rsidRDefault="00466BF6" w:rsidP="009E6DAF">
            <w:pPr>
              <w:pStyle w:val="BodyText"/>
            </w:pPr>
            <w:r w:rsidRPr="003566BD">
              <w:t>Additional permanent protections may be required in the longer-term</w:t>
            </w:r>
            <w:r>
              <w:t>.</w:t>
            </w:r>
          </w:p>
        </w:tc>
      </w:tr>
      <w:tr w:rsidR="00466BF6" w:rsidRPr="00867DAA" w14:paraId="573516BF" w14:textId="77777777" w:rsidTr="009E6DAF">
        <w:tc>
          <w:tcPr>
            <w:tcW w:w="2268" w:type="dxa"/>
          </w:tcPr>
          <w:p w14:paraId="7690321D" w14:textId="0E15F0D7" w:rsidR="00466BF6" w:rsidRPr="00867DAA" w:rsidRDefault="000C75BF" w:rsidP="009E6DAF">
            <w:pPr>
              <w:pStyle w:val="BodyText"/>
            </w:pPr>
            <w:r>
              <w:t>Potential m</w:t>
            </w:r>
            <w:r w:rsidR="00466BF6" w:rsidRPr="00867DAA">
              <w:t>anagement actions</w:t>
            </w:r>
          </w:p>
        </w:tc>
        <w:tc>
          <w:tcPr>
            <w:tcW w:w="7371" w:type="dxa"/>
          </w:tcPr>
          <w:p w14:paraId="14DF8A75" w14:textId="52028455" w:rsidR="00466BF6" w:rsidRDefault="00E55BE2" w:rsidP="006670D2">
            <w:pPr>
              <w:pStyle w:val="PullOutBoxBullet"/>
            </w:pPr>
            <w:r>
              <w:t>Where possible, i</w:t>
            </w:r>
            <w:r w:rsidR="00466BF6" w:rsidRPr="00F136A4">
              <w:t xml:space="preserve">ncorporate planning for </w:t>
            </w:r>
            <w:r w:rsidR="00466BF6">
              <w:t xml:space="preserve">the </w:t>
            </w:r>
            <w:r w:rsidR="001B07BE">
              <w:t>species</w:t>
            </w:r>
            <w:r w:rsidR="00466BF6" w:rsidRPr="00F136A4">
              <w:t xml:space="preserve"> in regeneration burns</w:t>
            </w:r>
            <w:r>
              <w:t xml:space="preserve"> so that they</w:t>
            </w:r>
            <w:r w:rsidR="00466BF6">
              <w:t xml:space="preserve"> occur</w:t>
            </w:r>
            <w:r w:rsidR="00466BF6" w:rsidRPr="00F136A4">
              <w:t xml:space="preserve"> in a </w:t>
            </w:r>
            <w:r w:rsidR="00466BF6">
              <w:t>manner that</w:t>
            </w:r>
            <w:r w:rsidR="00466BF6" w:rsidRPr="00F136A4">
              <w:t xml:space="preserve"> increase</w:t>
            </w:r>
            <w:r w:rsidR="00466BF6">
              <w:t>s</w:t>
            </w:r>
            <w:r w:rsidR="00466BF6" w:rsidRPr="00F136A4">
              <w:t xml:space="preserve"> recruitment</w:t>
            </w:r>
            <w:r w:rsidR="00466BF6">
              <w:t xml:space="preserve">; and </w:t>
            </w:r>
          </w:p>
          <w:p w14:paraId="5ECF7129" w14:textId="17D97CA6" w:rsidR="00466BF6" w:rsidRPr="000152F8" w:rsidRDefault="00466BF6" w:rsidP="006670D2">
            <w:pPr>
              <w:pStyle w:val="PullOutBoxBullet"/>
            </w:pPr>
            <w:r>
              <w:t xml:space="preserve">Propagate </w:t>
            </w:r>
            <w:r w:rsidR="001B07BE">
              <w:t>species</w:t>
            </w:r>
            <w:r>
              <w:t xml:space="preserve"> </w:t>
            </w:r>
            <w:r w:rsidRPr="00C428E5">
              <w:t>and plant in other areas (</w:t>
            </w:r>
            <w:r w:rsidRPr="000152F8">
              <w:rPr>
                <w:i/>
                <w:iCs/>
              </w:rPr>
              <w:t>ex-situ</w:t>
            </w:r>
            <w:r w:rsidRPr="00C428E5">
              <w:t>)</w:t>
            </w:r>
            <w:r>
              <w:t>.</w:t>
            </w:r>
          </w:p>
        </w:tc>
      </w:tr>
    </w:tbl>
    <w:p w14:paraId="2AB689F6" w14:textId="77777777" w:rsidR="00466BF6" w:rsidRDefault="00466BF6" w:rsidP="00466BF6">
      <w:pPr>
        <w:pStyle w:val="BodyText"/>
      </w:pPr>
    </w:p>
    <w:p w14:paraId="37D75D69" w14:textId="77777777" w:rsidR="00466BF6" w:rsidRDefault="00466BF6" w:rsidP="00466BF6">
      <w:pPr>
        <w:rPr>
          <w:rFonts w:cs="Times New Roman"/>
          <w:lang w:eastAsia="en-US"/>
        </w:rPr>
      </w:pPr>
      <w:r>
        <w:br w:type="page"/>
      </w:r>
    </w:p>
    <w:p w14:paraId="5C276414" w14:textId="77777777" w:rsidR="00466BF6" w:rsidRPr="00C50AA1" w:rsidRDefault="00466BF6" w:rsidP="00FB5A2B">
      <w:pPr>
        <w:pStyle w:val="Heading2"/>
        <w:ind w:left="0"/>
        <w:rPr>
          <w:i/>
          <w:iCs/>
        </w:rPr>
      </w:pPr>
      <w:bookmarkStart w:id="326" w:name="_Toc88557996"/>
      <w:bookmarkStart w:id="327" w:name="_Toc95233349"/>
      <w:bookmarkStart w:id="328" w:name="_Toc113271038"/>
      <w:r w:rsidRPr="00A92E0A">
        <w:t>Errinundra Pepper</w:t>
      </w:r>
      <w:r w:rsidRPr="0085773C">
        <w:t> </w:t>
      </w:r>
      <w:r w:rsidRPr="00C50AA1">
        <w:rPr>
          <w:i/>
          <w:iCs/>
        </w:rPr>
        <w:t>(Tasmannia xerophila</w:t>
      </w:r>
      <w:r w:rsidRPr="0085773C">
        <w:t xml:space="preserve"> </w:t>
      </w:r>
      <w:r w:rsidRPr="00A92E0A">
        <w:t>subsp</w:t>
      </w:r>
      <w:r w:rsidRPr="00C50AA1">
        <w:rPr>
          <w:i/>
          <w:iCs/>
        </w:rPr>
        <w:t>. robusta)</w:t>
      </w:r>
      <w:bookmarkEnd w:id="326"/>
      <w:bookmarkEnd w:id="327"/>
      <w:bookmarkEnd w:id="328"/>
      <w:r w:rsidRPr="00C50AA1">
        <w:rPr>
          <w:i/>
          <w:iCs/>
        </w:rPr>
        <w:t> </w:t>
      </w:r>
    </w:p>
    <w:p w14:paraId="6E37326C" w14:textId="2F4B05E1" w:rsidR="00466BF6" w:rsidRPr="00813827" w:rsidRDefault="00466BF6" w:rsidP="00466BF6">
      <w:pPr>
        <w:pStyle w:val="BodyText"/>
        <w:rPr>
          <w:rFonts w:ascii="Calibri" w:hAnsi="Calibri" w:cs="Calibri"/>
          <w:color w:val="000000"/>
          <w:sz w:val="22"/>
          <w:szCs w:val="22"/>
        </w:rPr>
      </w:pPr>
      <w:r w:rsidRPr="00CC7A45">
        <w:t xml:space="preserve">The </w:t>
      </w:r>
      <w:r>
        <w:t>Errinundra Pepper</w:t>
      </w:r>
      <w:r w:rsidRPr="00CC7A45">
        <w:t xml:space="preserve"> was listed as</w:t>
      </w:r>
      <w:r>
        <w:t xml:space="preserve"> </w:t>
      </w:r>
      <w:r w:rsidRPr="007935D4">
        <w:t>Endangered</w:t>
      </w:r>
      <w:r>
        <w:t xml:space="preserve"> in Australia</w:t>
      </w:r>
      <w:r w:rsidRPr="00E1184A">
        <w:t xml:space="preserve"> under the FFG Act in May 2021</w:t>
      </w:r>
      <w:r w:rsidRPr="00CC7A45">
        <w:t xml:space="preserve">. The </w:t>
      </w:r>
      <w:r w:rsidR="00E05FF4">
        <w:t>sub</w:t>
      </w:r>
      <w:r w:rsidR="001B07BE">
        <w:t>species</w:t>
      </w:r>
      <w:r w:rsidRPr="00CC7A45">
        <w:t xml:space="preserve"> has </w:t>
      </w:r>
      <w:r>
        <w:t>modelled habitat</w:t>
      </w:r>
      <w:r w:rsidRPr="00CC7A45">
        <w:t xml:space="preserve"> in the </w:t>
      </w:r>
      <w:r>
        <w:t xml:space="preserve">East Gippsland (60% of modelled habitat), Gippsland (29% of modelled habitat) and North East (10% of modelled habitat) </w:t>
      </w:r>
      <w:r w:rsidRPr="00CC7A45">
        <w:t xml:space="preserve">RFA </w:t>
      </w:r>
      <w:r w:rsidRPr="00704719">
        <w:rPr>
          <w:rStyle w:val="BodyTextChar"/>
        </w:rPr>
        <w:t>regions, however the modelled habitat in the North East, Gippsland and Upper Snowy in the East Gippsland RFA regions are not supported by any specimen records or confirmed site records</w:t>
      </w:r>
      <w:r>
        <w:rPr>
          <w:rStyle w:val="BodyTextChar"/>
        </w:rPr>
        <w:t xml:space="preserve">, so have not been included in this assessment.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 </w:t>
      </w:r>
    </w:p>
    <w:p w14:paraId="56964D4C" w14:textId="77777777" w:rsidR="00466BF6" w:rsidRDefault="00466BF6" w:rsidP="007E5EBF">
      <w:pPr>
        <w:pStyle w:val="Heading3"/>
      </w:pPr>
      <w:r>
        <w:t>Risk Assessment</w:t>
      </w:r>
    </w:p>
    <w:p w14:paraId="5F204462" w14:textId="52BFF779" w:rsidR="00466BF6" w:rsidRPr="00FF310C" w:rsidRDefault="00466BF6" w:rsidP="006670D2">
      <w:pPr>
        <w:pStyle w:val="Caption"/>
      </w:pPr>
      <w:r w:rsidRPr="00FF310C">
        <w:t xml:space="preserve">Table </w:t>
      </w:r>
      <w:r w:rsidRPr="00B6162A">
        <w:rPr>
          <w:bCs/>
        </w:rPr>
        <w:fldChar w:fldCharType="begin"/>
      </w:r>
      <w:r w:rsidRPr="00FF310C">
        <w:instrText>SEQ Table \* ARABIC</w:instrText>
      </w:r>
      <w:r w:rsidRPr="00B6162A">
        <w:rPr>
          <w:bCs/>
        </w:rPr>
        <w:fldChar w:fldCharType="separate"/>
      </w:r>
      <w:r w:rsidR="00692F0D">
        <w:rPr>
          <w:noProof/>
        </w:rPr>
        <w:t>75</w:t>
      </w:r>
      <w:r w:rsidRPr="00B6162A">
        <w:rPr>
          <w:bCs/>
        </w:rPr>
        <w:fldChar w:fldCharType="end"/>
      </w:r>
      <w:r w:rsidRPr="00FF310C">
        <w:t>. Errinundra Pepper risk ratings in the East Gippsland RFA Region:</w:t>
      </w:r>
    </w:p>
    <w:tbl>
      <w:tblPr>
        <w:tblStyle w:val="TableGrid"/>
        <w:tblW w:w="0" w:type="auto"/>
        <w:tblLook w:val="04A0" w:firstRow="1" w:lastRow="0" w:firstColumn="1" w:lastColumn="0" w:noHBand="0" w:noVBand="1"/>
      </w:tblPr>
      <w:tblGrid>
        <w:gridCol w:w="2410"/>
        <w:gridCol w:w="2410"/>
        <w:gridCol w:w="2410"/>
      </w:tblGrid>
      <w:tr w:rsidR="00466BF6" w14:paraId="60486216" w14:textId="77777777" w:rsidTr="000B1B5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vAlign w:val="center"/>
          </w:tcPr>
          <w:p w14:paraId="73EC5364" w14:textId="77777777" w:rsidR="00466BF6" w:rsidRPr="00643008" w:rsidRDefault="00466BF6" w:rsidP="006670D2">
            <w:pPr>
              <w:pStyle w:val="CaptionImageorFigure"/>
            </w:pPr>
          </w:p>
        </w:tc>
        <w:tc>
          <w:tcPr>
            <w:tcW w:w="2410" w:type="dxa"/>
            <w:vAlign w:val="center"/>
          </w:tcPr>
          <w:p w14:paraId="4C4823D4" w14:textId="579D2F04"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 Increased fire frequency and intensity</w:t>
            </w:r>
          </w:p>
        </w:tc>
        <w:tc>
          <w:tcPr>
            <w:tcW w:w="2410" w:type="dxa"/>
            <w:vAlign w:val="center"/>
          </w:tcPr>
          <w:p w14:paraId="069369A4" w14:textId="7087D8B7" w:rsidR="00466BF6" w:rsidRPr="00643008" w:rsidRDefault="00BC4502"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466BF6">
              <w:t>orestry operations</w:t>
            </w:r>
          </w:p>
        </w:tc>
      </w:tr>
      <w:tr w:rsidR="00466BF6" w14:paraId="461E440D" w14:textId="77777777" w:rsidTr="000B1B55">
        <w:tc>
          <w:tcPr>
            <w:tcW w:w="2410" w:type="dxa"/>
            <w:vAlign w:val="center"/>
          </w:tcPr>
          <w:p w14:paraId="53E7D7F5" w14:textId="77777777" w:rsidR="00466BF6" w:rsidRPr="006F1079" w:rsidRDefault="00466BF6" w:rsidP="00935F6F">
            <w:pPr>
              <w:pStyle w:val="BodyText"/>
              <w:jc w:val="center"/>
            </w:pPr>
            <w:r w:rsidRPr="006F1079">
              <w:t>Consequence</w:t>
            </w:r>
          </w:p>
        </w:tc>
        <w:tc>
          <w:tcPr>
            <w:tcW w:w="2410" w:type="dxa"/>
            <w:vAlign w:val="center"/>
          </w:tcPr>
          <w:p w14:paraId="0054B669" w14:textId="442193B4" w:rsidR="00466BF6" w:rsidRPr="006F1079" w:rsidRDefault="00466BF6" w:rsidP="00935F6F">
            <w:pPr>
              <w:pStyle w:val="BodyText"/>
              <w:jc w:val="center"/>
            </w:pPr>
            <w:r w:rsidRPr="006F1079">
              <w:t>Extreme</w:t>
            </w:r>
          </w:p>
        </w:tc>
        <w:tc>
          <w:tcPr>
            <w:tcW w:w="2410" w:type="dxa"/>
            <w:vAlign w:val="center"/>
          </w:tcPr>
          <w:p w14:paraId="4CE69CE8" w14:textId="572C45C4" w:rsidR="00466BF6" w:rsidRPr="006F1079" w:rsidRDefault="00466BF6" w:rsidP="00935F6F">
            <w:pPr>
              <w:pStyle w:val="BodyText"/>
              <w:jc w:val="center"/>
            </w:pPr>
            <w:r w:rsidRPr="006F1079">
              <w:t>Moderate</w:t>
            </w:r>
          </w:p>
        </w:tc>
      </w:tr>
      <w:tr w:rsidR="00466BF6" w14:paraId="2A994D0D" w14:textId="77777777" w:rsidTr="000B1B55">
        <w:tc>
          <w:tcPr>
            <w:tcW w:w="2410" w:type="dxa"/>
            <w:vAlign w:val="center"/>
          </w:tcPr>
          <w:p w14:paraId="122591CC" w14:textId="77777777" w:rsidR="00466BF6" w:rsidRPr="006F1079" w:rsidRDefault="00466BF6" w:rsidP="00935F6F">
            <w:pPr>
              <w:pStyle w:val="BodyText"/>
              <w:jc w:val="center"/>
            </w:pPr>
            <w:r w:rsidRPr="006F1079">
              <w:t>Likelihood</w:t>
            </w:r>
          </w:p>
        </w:tc>
        <w:tc>
          <w:tcPr>
            <w:tcW w:w="2410" w:type="dxa"/>
            <w:vAlign w:val="center"/>
          </w:tcPr>
          <w:p w14:paraId="4657083D" w14:textId="587D6730" w:rsidR="00466BF6" w:rsidRPr="006F1079" w:rsidRDefault="00466BF6" w:rsidP="00935F6F">
            <w:pPr>
              <w:pStyle w:val="BodyText"/>
              <w:jc w:val="center"/>
            </w:pPr>
            <w:r w:rsidRPr="006F1079">
              <w:t>Almost Certain</w:t>
            </w:r>
          </w:p>
        </w:tc>
        <w:tc>
          <w:tcPr>
            <w:tcW w:w="2410" w:type="dxa"/>
            <w:vAlign w:val="center"/>
          </w:tcPr>
          <w:p w14:paraId="13E3F0CB" w14:textId="5DEC875C" w:rsidR="00466BF6" w:rsidRPr="006F1079" w:rsidRDefault="00466BF6" w:rsidP="00935F6F">
            <w:pPr>
              <w:pStyle w:val="BodyText"/>
              <w:jc w:val="center"/>
            </w:pPr>
            <w:r w:rsidRPr="006F1079">
              <w:t>Likely</w:t>
            </w:r>
          </w:p>
        </w:tc>
      </w:tr>
      <w:tr w:rsidR="00466BF6" w14:paraId="31C58589" w14:textId="77777777" w:rsidTr="000B1B55">
        <w:tc>
          <w:tcPr>
            <w:tcW w:w="2410" w:type="dxa"/>
            <w:vAlign w:val="center"/>
          </w:tcPr>
          <w:p w14:paraId="562DB321" w14:textId="77777777" w:rsidR="00466BF6" w:rsidRPr="006F1079" w:rsidRDefault="00466BF6" w:rsidP="00935F6F">
            <w:pPr>
              <w:pStyle w:val="BodyText"/>
              <w:jc w:val="center"/>
            </w:pPr>
            <w:r w:rsidRPr="006F1079">
              <w:t>Overall risk rating</w:t>
            </w:r>
          </w:p>
        </w:tc>
        <w:tc>
          <w:tcPr>
            <w:tcW w:w="2410" w:type="dxa"/>
            <w:shd w:val="clear" w:color="auto" w:fill="FF0000"/>
            <w:vAlign w:val="center"/>
          </w:tcPr>
          <w:p w14:paraId="323DD6CD" w14:textId="5611B5FA" w:rsidR="00466BF6" w:rsidRPr="006F1079" w:rsidRDefault="00466BF6" w:rsidP="00935F6F">
            <w:pPr>
              <w:pStyle w:val="BodyText"/>
              <w:jc w:val="center"/>
            </w:pPr>
            <w:r w:rsidRPr="006F1079">
              <w:t>High</w:t>
            </w:r>
          </w:p>
        </w:tc>
        <w:tc>
          <w:tcPr>
            <w:tcW w:w="2410" w:type="dxa"/>
            <w:shd w:val="clear" w:color="auto" w:fill="FFC000"/>
            <w:vAlign w:val="center"/>
          </w:tcPr>
          <w:p w14:paraId="096639D6" w14:textId="007F24B2" w:rsidR="00466BF6" w:rsidRPr="006F1079" w:rsidRDefault="00466BF6" w:rsidP="00935F6F">
            <w:pPr>
              <w:pStyle w:val="BodyText"/>
              <w:jc w:val="center"/>
            </w:pPr>
            <w:r w:rsidRPr="006F1079">
              <w:t>Significant</w:t>
            </w:r>
          </w:p>
        </w:tc>
      </w:tr>
    </w:tbl>
    <w:p w14:paraId="01A0947E" w14:textId="77777777" w:rsidR="00466BF6" w:rsidRDefault="00466BF6" w:rsidP="007E5EBF">
      <w:pPr>
        <w:pStyle w:val="Heading3"/>
      </w:pPr>
      <w:r w:rsidRPr="00D55628">
        <w:rPr>
          <w:rFonts w:cs="Times New Roman"/>
          <w:noProof/>
          <w:lang w:eastAsia="en-US"/>
        </w:rPr>
        <mc:AlternateContent>
          <mc:Choice Requires="wps">
            <w:drawing>
              <wp:anchor distT="0" distB="0" distL="114300" distR="114300" simplePos="1" relativeHeight="251658288" behindDoc="1" locked="1" layoutInCell="1" allowOverlap="1" wp14:anchorId="71E69198" wp14:editId="356C6031">
                <wp:simplePos x="359410" y="9071610"/>
                <wp:positionH relativeFrom="page">
                  <wp:posOffset>359410</wp:posOffset>
                </wp:positionH>
                <wp:positionV relativeFrom="page">
                  <wp:posOffset>9071610</wp:posOffset>
                </wp:positionV>
                <wp:extent cx="6840001" cy="432000"/>
                <wp:effectExtent l="0" t="0" r="0" b="0"/>
                <wp:wrapNone/>
                <wp:docPr id="504"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9F406"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69198" id="_x0000_s1059" type="#_x0000_t202" alt="Title: Decorative Cover Shape" style="position:absolute;left:0;text-align:left;margin-left:28.3pt;margin-top:714.3pt;width:538.6pt;height:34pt;z-index:-251658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" fillcolor="#201547" stroked="f" strokeweight=".5pt">
                <v:textbox inset="10mm,0,10mm,0">
                  <w:txbxContent>
                    <w:p w14:paraId="4499F406"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87" behindDoc="0" locked="1" layoutInCell="1" allowOverlap="1" wp14:anchorId="19B307E7" wp14:editId="0442E311">
                <wp:simplePos x="0" y="0"/>
                <wp:positionH relativeFrom="page">
                  <wp:posOffset>360045</wp:posOffset>
                </wp:positionH>
                <wp:positionV relativeFrom="page">
                  <wp:posOffset>360045</wp:posOffset>
                </wp:positionV>
                <wp:extent cx="1864800" cy="1976400"/>
                <wp:effectExtent l="0" t="0" r="0" b="0"/>
                <wp:wrapNone/>
                <wp:docPr id="1603"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B51E799" id="TriangleTopACIMono" o:spid="_x0000_s1026" style="position:absolute;margin-left:28.35pt;margin-top:28.35pt;width:146.85pt;height:155.6pt;z-index:25165828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286" behindDoc="0" locked="1" layoutInCell="1" allowOverlap="1" wp14:anchorId="150DB4DB" wp14:editId="49DFF971">
                <wp:simplePos x="0" y="0"/>
                <wp:positionH relativeFrom="page">
                  <wp:posOffset>359410</wp:posOffset>
                </wp:positionH>
                <wp:positionV relativeFrom="page">
                  <wp:posOffset>359410</wp:posOffset>
                </wp:positionV>
                <wp:extent cx="1864800" cy="1976400"/>
                <wp:effectExtent l="0" t="0" r="0" b="0"/>
                <wp:wrapNone/>
                <wp:docPr id="1604"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94548CF" id="TriangleTop" o:spid="_x0000_s1026" style="position:absolute;margin-left:28.3pt;margin-top:28.3pt;width:146.85pt;height:155.6pt;z-index:25165828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85" behindDoc="0" locked="1" layoutInCell="1" allowOverlap="1" wp14:anchorId="3071539F" wp14:editId="06A1C000">
                <wp:simplePos x="0" y="0"/>
                <wp:positionH relativeFrom="page">
                  <wp:posOffset>0</wp:posOffset>
                </wp:positionH>
                <wp:positionV relativeFrom="page">
                  <wp:align>bottom</wp:align>
                </wp:positionV>
                <wp:extent cx="3848400" cy="720000"/>
                <wp:effectExtent l="0" t="0" r="0" b="0"/>
                <wp:wrapNone/>
                <wp:docPr id="507"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2BC0D"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1539F" id="_x0000_s1060" type="#_x0000_t202" style="position:absolute;left:0;text-align:left;margin-left:0;margin-top:0;width:303pt;height:56.7pt;z-index:25165828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LXHMzdtAgAARgUAAA4AAAAAAAAAAAAAAAAALgIA&#10;AGRycy9lMm9Eb2MueG1sUEsBAi0AFAAGAAgAAAAhAPTKz6jaAAAABQEAAA8AAAAAAAAAAAAAAAAA&#10;xwQAAGRycy9kb3ducmV2LnhtbFBLBQYAAAAABAAEAPMAAADOBQAAAAA=&#10;" filled="f" stroked="f" strokeweight=".5pt">
                <v:textbox inset="20mm">
                  <w:txbxContent>
                    <w:p w14:paraId="0C62BC0D"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r>
        <w:t>Climate change; Fire</w:t>
      </w:r>
    </w:p>
    <w:p w14:paraId="086D5056" w14:textId="77777777" w:rsidR="00466BF6" w:rsidRPr="001C0DE0" w:rsidRDefault="00466BF6" w:rsidP="00466BF6">
      <w:pPr>
        <w:pStyle w:val="Heading5"/>
        <w:numPr>
          <w:ilvl w:val="0"/>
          <w:numId w:val="0"/>
        </w:numPr>
        <w:ind w:left="1008" w:hanging="1008"/>
      </w:pPr>
      <w:r>
        <w:t>Drying climate and increased fire frequency and intensity</w:t>
      </w:r>
    </w:p>
    <w:p w14:paraId="64AFAD50" w14:textId="3A1AC0A5" w:rsidR="00466BF6" w:rsidRPr="00FB4CAD" w:rsidRDefault="00466BF6" w:rsidP="00466BF6">
      <w:pPr>
        <w:pStyle w:val="BodyText"/>
        <w:rPr>
          <w:rFonts w:ascii="Arial" w:hAnsi="Arial"/>
          <w:color w:val="363534"/>
        </w:rPr>
      </w:pPr>
      <w:r>
        <w:t xml:space="preserve">Drying climate and increased fire frequency and intensity have been combined here due to the close relationship between the two hazards. </w:t>
      </w:r>
      <w:r>
        <w:rPr>
          <w:rFonts w:ascii="Arial" w:hAnsi="Arial"/>
          <w:color w:val="363534"/>
        </w:rPr>
        <w:t xml:space="preserve">Climatic warming and drying increases the risk of extreme drought stress resulting in recruitment failure following </w:t>
      </w:r>
      <w:r w:rsidR="009C20F9">
        <w:rPr>
          <w:rFonts w:ascii="Arial" w:hAnsi="Arial"/>
          <w:color w:val="363534"/>
        </w:rPr>
        <w:t>timber harvesting</w:t>
      </w:r>
      <w:r>
        <w:rPr>
          <w:rFonts w:ascii="Arial" w:hAnsi="Arial"/>
          <w:color w:val="363534"/>
        </w:rPr>
        <w:t xml:space="preserve">, slash burning, planned burns or high intensity bushfire. </w:t>
      </w:r>
      <w:r w:rsidR="00945075">
        <w:rPr>
          <w:rFonts w:ascii="Arial" w:hAnsi="Arial"/>
          <w:color w:val="363534"/>
        </w:rPr>
        <w:t>A warmer and drier climate</w:t>
      </w:r>
      <w:r>
        <w:rPr>
          <w:rFonts w:ascii="Arial" w:hAnsi="Arial"/>
          <w:color w:val="363534"/>
        </w:rPr>
        <w:t xml:space="preserve"> also increase</w:t>
      </w:r>
      <w:r w:rsidR="00945075">
        <w:rPr>
          <w:rFonts w:ascii="Arial" w:hAnsi="Arial"/>
          <w:color w:val="363534"/>
        </w:rPr>
        <w:t>s</w:t>
      </w:r>
      <w:r>
        <w:rPr>
          <w:rFonts w:ascii="Arial" w:hAnsi="Arial"/>
          <w:color w:val="363534"/>
        </w:rPr>
        <w:t xml:space="preserve"> fire risk resulting in increasing frequency, intensity</w:t>
      </w:r>
      <w:r w:rsidR="008F1744">
        <w:rPr>
          <w:rFonts w:ascii="Arial" w:hAnsi="Arial"/>
          <w:color w:val="363534"/>
        </w:rPr>
        <w:t>,</w:t>
      </w:r>
      <w:r>
        <w:rPr>
          <w:rFonts w:ascii="Arial" w:hAnsi="Arial"/>
          <w:color w:val="363534"/>
        </w:rPr>
        <w:t xml:space="preserve"> and landscape scale of uncontrolled bushfires at intervals shorter than the tolerable fire interval for the </w:t>
      </w:r>
      <w:r w:rsidR="00E05FF4">
        <w:rPr>
          <w:rFonts w:ascii="Arial" w:hAnsi="Arial"/>
          <w:color w:val="363534"/>
        </w:rPr>
        <w:t>sub</w:t>
      </w:r>
      <w:r w:rsidR="001B07BE">
        <w:rPr>
          <w:rFonts w:ascii="Arial" w:hAnsi="Arial"/>
          <w:color w:val="363534"/>
        </w:rPr>
        <w:t>species</w:t>
      </w:r>
      <w:r>
        <w:rPr>
          <w:rFonts w:ascii="Arial" w:hAnsi="Arial"/>
          <w:color w:val="363534"/>
        </w:rPr>
        <w:t xml:space="preserve">, which is inferred to be in the 50–80-year range or more. Although the </w:t>
      </w:r>
      <w:r w:rsidR="00E05FF4">
        <w:rPr>
          <w:rFonts w:ascii="Arial" w:hAnsi="Arial"/>
          <w:color w:val="363534"/>
        </w:rPr>
        <w:t>sub</w:t>
      </w:r>
      <w:r w:rsidR="001B07BE">
        <w:rPr>
          <w:rFonts w:ascii="Arial" w:hAnsi="Arial"/>
          <w:color w:val="363534"/>
        </w:rPr>
        <w:t>species</w:t>
      </w:r>
      <w:r>
        <w:rPr>
          <w:rFonts w:ascii="Arial" w:hAnsi="Arial"/>
          <w:color w:val="363534"/>
        </w:rPr>
        <w:t xml:space="preserve"> can recruit vegetatively by resprouting and root suckering following a single fire event of moderate intensity, high intensity repeat fire events and extreme drought stress are likely to increase the risk of adult mortality and recruitment failure, resulting in a progressive decline in population density. Both vegetative resprouts and seed-based recruits are exposed to the risk of targeted browsing by Sambar. The </w:t>
      </w:r>
      <w:r w:rsidR="00E05FF4">
        <w:rPr>
          <w:rFonts w:ascii="Arial" w:hAnsi="Arial"/>
          <w:color w:val="363534"/>
        </w:rPr>
        <w:t>sub</w:t>
      </w:r>
      <w:r w:rsidR="001B07BE">
        <w:rPr>
          <w:rFonts w:ascii="Arial" w:hAnsi="Arial"/>
          <w:color w:val="363534"/>
        </w:rPr>
        <w:t>species</w:t>
      </w:r>
      <w:r>
        <w:rPr>
          <w:rFonts w:ascii="Arial" w:hAnsi="Arial"/>
          <w:color w:val="363534"/>
        </w:rPr>
        <w:t xml:space="preserve"> occupies an ecologically comparable habitat range to the Forest Geebung since both taxa occur in Cool Temperate Rainforest, including most notably the state’s most extensive surviving stands of mature Cool Temperate Mixed Forest, both FFG-Listed threatened communities, and Wet Forest or Montane Wet Forest, attaining full maturity in unique old-growth stands of Montane Rainforest thicket dominated by Errinundra Plum-pine (</w:t>
      </w:r>
      <w:r w:rsidRPr="00704719">
        <w:rPr>
          <w:rFonts w:ascii="Arial" w:hAnsi="Arial"/>
          <w:i/>
          <w:iCs/>
          <w:color w:val="363534"/>
        </w:rPr>
        <w:t>Podocarpus lawrencei</w:t>
      </w:r>
      <w:r>
        <w:rPr>
          <w:rFonts w:ascii="Arial" w:hAnsi="Arial"/>
          <w:color w:val="363534"/>
        </w:rPr>
        <w:t xml:space="preserve">). The two taxa are therefore at comparably high risk of seedbank depletion and local extinction through the </w:t>
      </w:r>
      <w:r w:rsidRPr="009468B3">
        <w:rPr>
          <w:rFonts w:ascii="Arial" w:hAnsi="Arial"/>
          <w:color w:val="363534"/>
        </w:rPr>
        <w:t>elimination</w:t>
      </w:r>
      <w:r w:rsidRPr="00AD3BEB">
        <w:rPr>
          <w:rFonts w:ascii="Arial" w:hAnsi="Arial"/>
          <w:color w:val="363534"/>
        </w:rPr>
        <w:t xml:space="preserve"> of old-growth forest in response to the collective impacts of climatic warming and drying. This hazard extends across all t</w:t>
      </w:r>
      <w:r w:rsidRPr="00BE1712">
        <w:rPr>
          <w:rFonts w:ascii="Arial" w:hAnsi="Arial"/>
          <w:color w:val="363534"/>
        </w:rPr>
        <w:t xml:space="preserve">he </w:t>
      </w:r>
      <w:r w:rsidR="00E05FF4">
        <w:rPr>
          <w:rFonts w:ascii="Arial" w:hAnsi="Arial"/>
          <w:color w:val="363534"/>
        </w:rPr>
        <w:t>sub</w:t>
      </w:r>
      <w:r w:rsidR="001B07BE">
        <w:rPr>
          <w:rFonts w:ascii="Arial" w:hAnsi="Arial"/>
          <w:color w:val="363534"/>
        </w:rPr>
        <w:t>species’</w:t>
      </w:r>
      <w:r w:rsidRPr="00BE1712">
        <w:rPr>
          <w:rFonts w:ascii="Arial" w:hAnsi="Arial"/>
          <w:color w:val="363534"/>
        </w:rPr>
        <w:t xml:space="preserve"> distribution.</w:t>
      </w:r>
    </w:p>
    <w:p w14:paraId="4298B2A3" w14:textId="77777777" w:rsidR="00466BF6" w:rsidRPr="00FB4CAD" w:rsidRDefault="00466BF6" w:rsidP="00466BF6">
      <w:pPr>
        <w:pStyle w:val="BodyText"/>
      </w:pPr>
      <w:r w:rsidRPr="00FB4CAD">
        <w:t>Current existing controls for this hazard include:</w:t>
      </w:r>
    </w:p>
    <w:p w14:paraId="7709EDD4" w14:textId="27D503E1" w:rsidR="00466BF6" w:rsidRPr="00CA4A1D" w:rsidRDefault="00466BF6" w:rsidP="006670D2">
      <w:pPr>
        <w:pStyle w:val="PullOutBoxBullet"/>
      </w:pPr>
      <w:r>
        <w:rPr>
          <w:rFonts w:ascii="Arial" w:hAnsi="Arial"/>
        </w:rPr>
        <w:t>C</w:t>
      </w:r>
      <w:r w:rsidRPr="00DC1751">
        <w:rPr>
          <w:rFonts w:ascii="Arial" w:hAnsi="Arial"/>
        </w:rPr>
        <w:t>limate change</w:t>
      </w:r>
      <w:r w:rsidR="00FF3D3D">
        <w:rPr>
          <w:rFonts w:ascii="Arial" w:hAnsi="Arial"/>
        </w:rPr>
        <w:t xml:space="preserve"> </w:t>
      </w:r>
      <w:r w:rsidR="00FF3D3D" w:rsidRPr="00F26BEE">
        <w:t>mitigation</w:t>
      </w:r>
      <w:r>
        <w:rPr>
          <w:rFonts w:ascii="Arial" w:hAnsi="Arial"/>
        </w:rPr>
        <w:t>.</w:t>
      </w:r>
      <w:r>
        <w:t xml:space="preserve"> </w:t>
      </w:r>
      <w:r w:rsidRPr="00CA4A1D">
        <w:t xml:space="preserve">Current control measures for this hazard are strategic in nature and are not considered effective in managing the risk to this </w:t>
      </w:r>
      <w:r w:rsidR="00E05FF4">
        <w:t>sub</w:t>
      </w:r>
      <w:r w:rsidR="001B07BE">
        <w:t>species</w:t>
      </w:r>
      <w:r w:rsidRPr="00CA4A1D">
        <w:t xml:space="preserve"> at the scale relevant to its conservation at this stage.</w:t>
      </w:r>
    </w:p>
    <w:p w14:paraId="52F5DD51" w14:textId="01F468FE" w:rsidR="00466BF6" w:rsidRDefault="00466BF6" w:rsidP="006670D2">
      <w:pPr>
        <w:pStyle w:val="PullOutBoxBullet"/>
      </w:pPr>
      <w:r>
        <w:t xml:space="preserve">Planned burning. This control is considered ineffective in this case as the </w:t>
      </w:r>
      <w:r w:rsidR="00FB2CFC">
        <w:t>sub</w:t>
      </w:r>
      <w:r>
        <w:t>species’ habitat is generally not suitable for planned burning. Strategic fuel</w:t>
      </w:r>
      <w:r w:rsidR="00DF761D">
        <w:t xml:space="preserve"> </w:t>
      </w:r>
      <w:r>
        <w:t xml:space="preserve">breaks and associated backburning may however provide valuable protection in some cases for this </w:t>
      </w:r>
      <w:r w:rsidR="00FB2CFC">
        <w:t>sub</w:t>
      </w:r>
      <w:r>
        <w:t>species and its habitat from severe bushfires.</w:t>
      </w:r>
    </w:p>
    <w:p w14:paraId="3D385DA5" w14:textId="77777777" w:rsidR="00466BF6" w:rsidRDefault="00466BF6" w:rsidP="00466BF6">
      <w:pPr>
        <w:rPr>
          <w:b/>
          <w:bCs/>
          <w:sz w:val="16"/>
        </w:rPr>
      </w:pPr>
      <w:r>
        <w:br w:type="page"/>
      </w:r>
    </w:p>
    <w:p w14:paraId="366D4807" w14:textId="5E6B0524"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76</w:t>
      </w:r>
      <w:r w:rsidR="000B6788" w:rsidRPr="00B6162A">
        <w:rPr>
          <w:bCs/>
          <w:noProof/>
        </w:rPr>
        <w:fldChar w:fldCharType="end"/>
      </w:r>
      <w:r w:rsidRPr="00FF310C">
        <w:t>. Errinundra Pepper protection requirements and recommendations for drying climate and increased fire frequency</w:t>
      </w:r>
      <w:r w:rsidR="006D429F" w:rsidRPr="00FF310C">
        <w:t xml:space="preserve"> and </w:t>
      </w:r>
      <w:r w:rsidRPr="00FF310C">
        <w:t>intensity</w:t>
      </w:r>
    </w:p>
    <w:tbl>
      <w:tblPr>
        <w:tblStyle w:val="TableGrid"/>
        <w:tblW w:w="0" w:type="auto"/>
        <w:tblLook w:val="04A0" w:firstRow="1" w:lastRow="0" w:firstColumn="1" w:lastColumn="0" w:noHBand="0" w:noVBand="1"/>
      </w:tblPr>
      <w:tblGrid>
        <w:gridCol w:w="2268"/>
        <w:gridCol w:w="7371"/>
      </w:tblGrid>
      <w:tr w:rsidR="00466BF6" w:rsidRPr="00867DAA" w14:paraId="1E118358"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1970FA27" w14:textId="77777777" w:rsidR="00466BF6" w:rsidRPr="00704719" w:rsidRDefault="00466BF6" w:rsidP="00296E0F">
            <w:pPr>
              <w:pStyle w:val="BodyText"/>
            </w:pPr>
            <w:r w:rsidRPr="00704719">
              <w:t>Requirement</w:t>
            </w:r>
          </w:p>
        </w:tc>
        <w:tc>
          <w:tcPr>
            <w:tcW w:w="7371" w:type="dxa"/>
            <w:vAlign w:val="center"/>
          </w:tcPr>
          <w:p w14:paraId="1E397A32"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3E57ACFE" w14:textId="77777777" w:rsidTr="009E6DAF">
        <w:tc>
          <w:tcPr>
            <w:tcW w:w="2268" w:type="dxa"/>
          </w:tcPr>
          <w:p w14:paraId="20E87CC5" w14:textId="751CDFC7" w:rsidR="00466BF6" w:rsidRPr="003566BD" w:rsidRDefault="006D429F" w:rsidP="009E6DAF">
            <w:pPr>
              <w:pStyle w:val="BodyText"/>
            </w:pPr>
            <w:r>
              <w:t>Priority management actions</w:t>
            </w:r>
          </w:p>
        </w:tc>
        <w:tc>
          <w:tcPr>
            <w:tcW w:w="7371" w:type="dxa"/>
          </w:tcPr>
          <w:p w14:paraId="12075514" w14:textId="77777777" w:rsidR="00466BF6" w:rsidRPr="003566BD" w:rsidRDefault="00466BF6" w:rsidP="009E6DAF">
            <w:pPr>
              <w:pStyle w:val="BodyText"/>
            </w:pPr>
            <w:r w:rsidRPr="00200995">
              <w:t xml:space="preserve">Not required for this hazard </w:t>
            </w:r>
            <w:r>
              <w:t xml:space="preserve">as it is a longer-term threat. </w:t>
            </w:r>
          </w:p>
        </w:tc>
      </w:tr>
      <w:tr w:rsidR="00466BF6" w:rsidRPr="00867DAA" w14:paraId="1A599115" w14:textId="77777777" w:rsidTr="009E6DAF">
        <w:tc>
          <w:tcPr>
            <w:tcW w:w="2268" w:type="dxa"/>
          </w:tcPr>
          <w:p w14:paraId="22C0E22B" w14:textId="5F8DF6D9" w:rsidR="00466BF6" w:rsidRPr="00867DAA" w:rsidRDefault="006D429F" w:rsidP="009E6DAF">
            <w:pPr>
              <w:pStyle w:val="BodyText"/>
            </w:pPr>
            <w:r>
              <w:t>Potential m</w:t>
            </w:r>
            <w:r w:rsidR="00466BF6" w:rsidRPr="00867DAA">
              <w:t>anagement actions</w:t>
            </w:r>
          </w:p>
        </w:tc>
        <w:tc>
          <w:tcPr>
            <w:tcW w:w="7371" w:type="dxa"/>
          </w:tcPr>
          <w:p w14:paraId="5CB1575F" w14:textId="57CE157C" w:rsidR="00466BF6" w:rsidRPr="00CA4A1D" w:rsidRDefault="00466BF6" w:rsidP="006670D2">
            <w:pPr>
              <w:pStyle w:val="PullOutBoxBullet"/>
            </w:pPr>
            <w:r w:rsidRPr="00CA4A1D">
              <w:t xml:space="preserve">Collect seed for the </w:t>
            </w:r>
            <w:r w:rsidR="000B671C">
              <w:t>VCS</w:t>
            </w:r>
            <w:r w:rsidRPr="00CA4A1D">
              <w:t xml:space="preserve"> from across the </w:t>
            </w:r>
            <w:r w:rsidR="00FB2CFC">
              <w:t>sub</w:t>
            </w:r>
            <w:r w:rsidR="001B07BE">
              <w:t>species’</w:t>
            </w:r>
            <w:r w:rsidRPr="00CA4A1D">
              <w:t xml:space="preserve"> range</w:t>
            </w:r>
            <w:r>
              <w:t xml:space="preserve"> as insurance against catastrophic loss</w:t>
            </w:r>
            <w:r w:rsidR="00D05AF3">
              <w:t xml:space="preserve">; and </w:t>
            </w:r>
          </w:p>
          <w:p w14:paraId="1A71C9DB" w14:textId="12B41299" w:rsidR="00466BF6" w:rsidRPr="000152F8" w:rsidRDefault="00466BF6" w:rsidP="006670D2">
            <w:pPr>
              <w:pStyle w:val="PullOutBoxBullet"/>
            </w:pPr>
            <w:r w:rsidRPr="00AD3BEB">
              <w:t>C</w:t>
            </w:r>
            <w:r w:rsidRPr="00104E77">
              <w:t xml:space="preserve">onsider options to conserve this </w:t>
            </w:r>
            <w:r w:rsidR="00FB2CFC">
              <w:t>sub</w:t>
            </w:r>
            <w:r w:rsidR="001B07BE">
              <w:t>species</w:t>
            </w:r>
            <w:r w:rsidRPr="00104E77">
              <w:t xml:space="preserve"> under climate change, including </w:t>
            </w:r>
            <w:r w:rsidRPr="00F26BEE">
              <w:t>protection</w:t>
            </w:r>
            <w:r w:rsidRPr="00104E77">
              <w:t xml:space="preserve"> of refuges, maintenance of hydrological regimes, translocation to more secure sites and gene mixing to improve its adaptability</w:t>
            </w:r>
            <w:r w:rsidRPr="00AD3BEB">
              <w:t>.</w:t>
            </w:r>
          </w:p>
        </w:tc>
      </w:tr>
    </w:tbl>
    <w:p w14:paraId="791F80C8" w14:textId="77777777" w:rsidR="00466BF6" w:rsidRDefault="00466BF6" w:rsidP="007E5EBF">
      <w:pPr>
        <w:pStyle w:val="Heading3"/>
      </w:pPr>
      <w:r>
        <w:t>Forestry operations</w:t>
      </w:r>
    </w:p>
    <w:p w14:paraId="489C74AA" w14:textId="6ECD9AFD" w:rsidR="00466BF6" w:rsidRPr="001C0DE0" w:rsidRDefault="00BC4502" w:rsidP="00466BF6">
      <w:pPr>
        <w:pStyle w:val="Heading5"/>
        <w:numPr>
          <w:ilvl w:val="0"/>
          <w:numId w:val="0"/>
        </w:numPr>
        <w:ind w:left="1008" w:hanging="1008"/>
      </w:pPr>
      <w:r>
        <w:t>F</w:t>
      </w:r>
      <w:r w:rsidR="00466BF6">
        <w:t>orestry operations</w:t>
      </w:r>
    </w:p>
    <w:p w14:paraId="353468E9" w14:textId="6056DD18" w:rsidR="00466BF6" w:rsidRDefault="00466BF6" w:rsidP="00466BF6">
      <w:pPr>
        <w:pStyle w:val="BodyText"/>
      </w:pPr>
      <w:r w:rsidRPr="007935D4">
        <w:rPr>
          <w:iCs/>
        </w:rPr>
        <w:t xml:space="preserve">The </w:t>
      </w:r>
      <w:r w:rsidR="00FB2CFC">
        <w:rPr>
          <w:iCs/>
        </w:rPr>
        <w:t>sub</w:t>
      </w:r>
      <w:r w:rsidR="001B07BE">
        <w:rPr>
          <w:iCs/>
        </w:rPr>
        <w:t>species</w:t>
      </w:r>
      <w:r w:rsidRPr="005C53A0">
        <w:rPr>
          <w:i/>
        </w:rPr>
        <w:t xml:space="preserve"> </w:t>
      </w:r>
      <w:r w:rsidRPr="005C53A0">
        <w:t xml:space="preserve">is threatened by forestry operations in parts of its range, including the disturbance and removal of understorey species and invasion by weeds. </w:t>
      </w:r>
      <w:r w:rsidR="0025233F" w:rsidRPr="00915D82">
        <w:t xml:space="preserve">Forestry operations in high elevation native forests in high rainfall zones have generally involved the seed-tree silvicultural system </w:t>
      </w:r>
      <w:r w:rsidR="00F5180E" w:rsidRPr="00915D82">
        <w:t>to</w:t>
      </w:r>
      <w:r w:rsidR="0025233F" w:rsidRPr="00915D82">
        <w:t xml:space="preserve"> maximise regeneration success. This is increasingly being replaced by various forms of retention harvesting</w:t>
      </w:r>
      <w:r w:rsidRPr="005C48FF">
        <w:t xml:space="preserve">. </w:t>
      </w:r>
      <w:r>
        <w:t>Such o</w:t>
      </w:r>
      <w:r w:rsidRPr="005C48FF">
        <w:t xml:space="preserve">perations </w:t>
      </w:r>
      <w:r>
        <w:t>are likely to have a significant impact on</w:t>
      </w:r>
      <w:r w:rsidRPr="005C53A0">
        <w:t xml:space="preserve"> understorey trees and shrubs, including mature stands </w:t>
      </w:r>
      <w:r w:rsidRPr="005C48FF">
        <w:t xml:space="preserve">of </w:t>
      </w:r>
      <w:r>
        <w:rPr>
          <w:iCs/>
        </w:rPr>
        <w:t>Errinundra Pepper.</w:t>
      </w:r>
      <w:r w:rsidRPr="005C53A0">
        <w:t xml:space="preserve"> Although the </w:t>
      </w:r>
      <w:r w:rsidR="00FB2CFC">
        <w:t>sub</w:t>
      </w:r>
      <w:r w:rsidR="001B07BE">
        <w:t>species</w:t>
      </w:r>
      <w:r w:rsidRPr="005C53A0">
        <w:t xml:space="preserve"> is capable of root-suckering and resprouting from surviving rootstocks, the </w:t>
      </w:r>
      <w:r w:rsidR="00FB2CFC">
        <w:t>sub</w:t>
      </w:r>
      <w:r w:rsidR="001B07BE">
        <w:t>species</w:t>
      </w:r>
      <w:r w:rsidRPr="005C53A0">
        <w:t xml:space="preserve"> also responds by copious germination of soil-stored seed</w:t>
      </w:r>
      <w:r>
        <w:t xml:space="preserve">. </w:t>
      </w:r>
      <w:r w:rsidRPr="009F2ADE">
        <w:t>Both resprouting and newly germi</w:t>
      </w:r>
      <w:r w:rsidRPr="0014018A">
        <w:t xml:space="preserve">nated juveniles are at elevated risk of recruitment failure </w:t>
      </w:r>
      <w:r w:rsidRPr="00C7754C">
        <w:t xml:space="preserve">through </w:t>
      </w:r>
      <w:r w:rsidRPr="00987E9D">
        <w:t>extreme drought stress, intense competition by fire-</w:t>
      </w:r>
      <w:r w:rsidRPr="00EA46D9">
        <w:t>adapted sclerophyll species and exotic weeds, most notably Forest Blackberry (</w:t>
      </w:r>
      <w:r w:rsidRPr="00704719">
        <w:rPr>
          <w:i/>
          <w:iCs/>
        </w:rPr>
        <w:t>Rubus polyanthemus</w:t>
      </w:r>
      <w:r w:rsidRPr="00915D82">
        <w:t>)</w:t>
      </w:r>
      <w:r w:rsidRPr="009F2ADE">
        <w:t xml:space="preserve"> and, potentially, targeted browsing by</w:t>
      </w:r>
      <w:r w:rsidRPr="00E544AC">
        <w:t xml:space="preserve"> Sambar </w:t>
      </w:r>
      <w:r w:rsidR="004F59B6">
        <w:t xml:space="preserve">deer </w:t>
      </w:r>
      <w:r w:rsidRPr="00E544AC">
        <w:t>or Black-tailed Wallaby</w:t>
      </w:r>
      <w:r w:rsidR="00371DC8">
        <w:t>.</w:t>
      </w:r>
      <w:r w:rsidR="004F59B6">
        <w:t xml:space="preserve"> </w:t>
      </w:r>
      <w:r>
        <w:t>T</w:t>
      </w:r>
      <w:r w:rsidRPr="005C48FF">
        <w:t>he</w:t>
      </w:r>
      <w:r w:rsidRPr="005C53A0">
        <w:t xml:space="preserve"> </w:t>
      </w:r>
      <w:r w:rsidR="00FB2CFC">
        <w:t>sub</w:t>
      </w:r>
      <w:r w:rsidR="001B07BE">
        <w:t>species</w:t>
      </w:r>
      <w:r w:rsidRPr="005C53A0">
        <w:t xml:space="preserve"> is a highly localised endemic reliably recorded only on the Errinundra Plateau south of Bendoc in Far East </w:t>
      </w:r>
      <w:r w:rsidRPr="00B6162A">
        <w:t>Gippsland</w:t>
      </w:r>
      <w:r w:rsidRPr="00FD57DB">
        <w:t xml:space="preserve">. </w:t>
      </w:r>
      <w:r w:rsidR="00CD794D" w:rsidRPr="00FD57DB">
        <w:t xml:space="preserve">Based on the 2015 net harvest area layer, 11% of the </w:t>
      </w:r>
      <w:r w:rsidR="00826440">
        <w:t>sub</w:t>
      </w:r>
      <w:r w:rsidR="001B07BE">
        <w:t>species’</w:t>
      </w:r>
      <w:r w:rsidR="00CD794D" w:rsidRPr="00FD57DB">
        <w:t xml:space="preserve"> VBA points</w:t>
      </w:r>
      <w:r w:rsidR="00284303">
        <w:t xml:space="preserve">, </w:t>
      </w:r>
      <w:r w:rsidR="00CD794D" w:rsidRPr="00FD57DB">
        <w:t xml:space="preserve">23% of its important populations </w:t>
      </w:r>
      <w:r w:rsidR="00284303">
        <w:t xml:space="preserve">and 24% of its modelled habitat </w:t>
      </w:r>
      <w:r w:rsidR="00162FAA" w:rsidRPr="00FD57DB">
        <w:t xml:space="preserve">are potentially available for harvesting. </w:t>
      </w:r>
      <w:r w:rsidR="00CD794D" w:rsidRPr="00FD57DB">
        <w:t xml:space="preserve">Using the revised operable layer, this is reduced to </w:t>
      </w:r>
      <w:r w:rsidR="00162FAA" w:rsidRPr="00FD57DB">
        <w:t>1</w:t>
      </w:r>
      <w:r w:rsidR="00CD794D" w:rsidRPr="00FD57DB">
        <w:t>%</w:t>
      </w:r>
      <w:r w:rsidR="00162FAA" w:rsidRPr="00FD57DB">
        <w:t xml:space="preserve"> of VBA points</w:t>
      </w:r>
      <w:r w:rsidR="00284303">
        <w:t xml:space="preserve">, </w:t>
      </w:r>
      <w:r w:rsidR="00790656" w:rsidRPr="00FD57DB">
        <w:t>3</w:t>
      </w:r>
      <w:r w:rsidR="00162FAA" w:rsidRPr="00FD57DB">
        <w:t xml:space="preserve">% of </w:t>
      </w:r>
      <w:r w:rsidR="001E1592" w:rsidRPr="00FD57DB">
        <w:t>important populations</w:t>
      </w:r>
      <w:r w:rsidR="00284303">
        <w:t xml:space="preserve"> and 4% of modelled habitat</w:t>
      </w:r>
      <w:r w:rsidR="001E1592" w:rsidRPr="00FD57DB">
        <w:t xml:space="preserve">. </w:t>
      </w:r>
      <w:r w:rsidR="00D11414" w:rsidRPr="00FD57DB">
        <w:t xml:space="preserve"> </w:t>
      </w:r>
    </w:p>
    <w:p w14:paraId="36A9939A" w14:textId="77777777" w:rsidR="00466BF6" w:rsidRPr="00704719" w:rsidRDefault="00466BF6" w:rsidP="00466BF6">
      <w:pPr>
        <w:pStyle w:val="BodyText"/>
      </w:pPr>
      <w:r w:rsidRPr="00704719">
        <w:t>Current existing controls for this hazard include:</w:t>
      </w:r>
    </w:p>
    <w:p w14:paraId="2290566F" w14:textId="6385EFDF" w:rsidR="00466BF6" w:rsidRDefault="00466BF6" w:rsidP="006670D2">
      <w:pPr>
        <w:pStyle w:val="PullOutBoxBullet"/>
      </w:pPr>
      <w:r>
        <w:t xml:space="preserve">The </w:t>
      </w:r>
      <w:r w:rsidRPr="60664A41">
        <w:rPr>
          <w:i/>
          <w:iCs/>
        </w:rPr>
        <w:t>Code of Practice for Timber Production 2014.</w:t>
      </w:r>
      <w:r>
        <w:t xml:space="preserve"> The effectiveness of this control for this </w:t>
      </w:r>
      <w:r w:rsidR="00826440">
        <w:t>sub</w:t>
      </w:r>
      <w:r>
        <w:t>species has been evaluated as poor as the species-specific prescriptions are for the Gippsland RFA</w:t>
      </w:r>
      <w:r w:rsidR="00F23EF8">
        <w:t xml:space="preserve"> region</w:t>
      </w:r>
      <w:r>
        <w:t>, and not the East Gippsland RFA</w:t>
      </w:r>
      <w:r w:rsidR="00F23EF8">
        <w:t xml:space="preserve"> region</w:t>
      </w:r>
      <w:r>
        <w:t xml:space="preserve"> where the </w:t>
      </w:r>
      <w:r w:rsidR="00826440">
        <w:t>sub</w:t>
      </w:r>
      <w:r w:rsidR="001B07BE">
        <w:t>species</w:t>
      </w:r>
      <w:r>
        <w:t xml:space="preserve"> occurs. If it was to be applied in the East Gippsland region, it would rely on the ability of field staff to correctly identify the </w:t>
      </w:r>
      <w:r w:rsidR="00826440">
        <w:t>sub</w:t>
      </w:r>
      <w:r w:rsidR="001B07BE">
        <w:t>species</w:t>
      </w:r>
      <w:r>
        <w:t xml:space="preserve"> which can be easily confused by unskilled observers with the widespread and far more common Mountain Pepper (</w:t>
      </w:r>
      <w:r w:rsidRPr="60664A41">
        <w:rPr>
          <w:i/>
          <w:iCs/>
        </w:rPr>
        <w:t>Tasmannia lanceolata</w:t>
      </w:r>
      <w:r>
        <w:t>) which often abuts stands of Errinundra Pepper.</w:t>
      </w:r>
    </w:p>
    <w:p w14:paraId="1650B1D9" w14:textId="198BEA50" w:rsidR="00466BF6" w:rsidRPr="00AD3BEB" w:rsidRDefault="00466BF6" w:rsidP="006670D2">
      <w:pPr>
        <w:pStyle w:val="PullOutBoxBullet"/>
        <w:rPr>
          <w:rFonts w:eastAsiaTheme="minorEastAsia" w:cstheme="minorBidi"/>
          <w:sz w:val="22"/>
          <w:szCs w:val="22"/>
        </w:rPr>
      </w:pPr>
      <w:r w:rsidRPr="4F453272">
        <w:t xml:space="preserve">The CAR reserve system. </w:t>
      </w:r>
      <w:r w:rsidRPr="00160F2E">
        <w:t xml:space="preserve">The effectiveness of this control for this </w:t>
      </w:r>
      <w:r w:rsidR="00826440">
        <w:t>sub</w:t>
      </w:r>
      <w:r w:rsidRPr="00160F2E">
        <w:t>species has been evaluated as</w:t>
      </w:r>
      <w:r>
        <w:t xml:space="preserve"> </w:t>
      </w:r>
      <w:r w:rsidRPr="4F453272">
        <w:t xml:space="preserve">satisfactory as </w:t>
      </w:r>
      <w:r>
        <w:t>67</w:t>
      </w:r>
      <w:r w:rsidRPr="4F453272">
        <w:t xml:space="preserve">% of the </w:t>
      </w:r>
      <w:r w:rsidR="00826440">
        <w:t>sub</w:t>
      </w:r>
      <w:r w:rsidR="001B07BE">
        <w:t>species’</w:t>
      </w:r>
      <w:r w:rsidRPr="4F453272">
        <w:t xml:space="preserve"> modelled distribution and </w:t>
      </w:r>
      <w:r>
        <w:t>75</w:t>
      </w:r>
      <w:r w:rsidRPr="4F453272">
        <w:t>% of important populations are within the reserve system</w:t>
      </w:r>
      <w:r w:rsidR="00086160">
        <w:t>.</w:t>
      </w:r>
    </w:p>
    <w:p w14:paraId="30C39D49" w14:textId="77777777" w:rsidR="00466BF6" w:rsidRDefault="00466BF6" w:rsidP="00466BF6">
      <w:pPr>
        <w:rPr>
          <w:b/>
          <w:bCs/>
          <w:sz w:val="16"/>
        </w:rPr>
      </w:pPr>
      <w:r>
        <w:br w:type="page"/>
      </w:r>
    </w:p>
    <w:p w14:paraId="5B75CFFC" w14:textId="6E183511"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77</w:t>
      </w:r>
      <w:r w:rsidR="000B6788" w:rsidRPr="00B6162A">
        <w:rPr>
          <w:bCs/>
          <w:noProof/>
        </w:rPr>
        <w:fldChar w:fldCharType="end"/>
      </w:r>
      <w:r w:rsidRPr="00FF310C">
        <w:t>. Errinundra Pepper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466BF6" w:rsidRPr="00867DAA" w14:paraId="1D042346" w14:textId="77777777" w:rsidTr="00BF5D12">
        <w:trPr>
          <w:cnfStyle w:val="100000000000" w:firstRow="1" w:lastRow="0" w:firstColumn="0" w:lastColumn="0" w:oddVBand="0" w:evenVBand="0" w:oddHBand="0" w:evenHBand="0" w:firstRowFirstColumn="0" w:firstRowLastColumn="0" w:lastRowFirstColumn="0" w:lastRowLastColumn="0"/>
          <w:trHeight w:val="305"/>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51B8E7EA" w14:textId="77777777" w:rsidR="00466BF6" w:rsidRPr="00704719" w:rsidRDefault="00466BF6" w:rsidP="00296E0F">
            <w:pPr>
              <w:pStyle w:val="BodyText"/>
            </w:pPr>
            <w:r w:rsidRPr="00704719">
              <w:t>Requirement</w:t>
            </w:r>
          </w:p>
        </w:tc>
        <w:tc>
          <w:tcPr>
            <w:tcW w:w="7371" w:type="dxa"/>
            <w:vAlign w:val="center"/>
          </w:tcPr>
          <w:p w14:paraId="3DA5CF07"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6F128269" w14:textId="77777777" w:rsidTr="009E6DAF">
        <w:tc>
          <w:tcPr>
            <w:tcW w:w="2268" w:type="dxa"/>
          </w:tcPr>
          <w:p w14:paraId="42CA0534" w14:textId="77777777" w:rsidR="00466BF6" w:rsidRPr="00E1184A" w:rsidRDefault="00466BF6" w:rsidP="009E6DAF">
            <w:pPr>
              <w:pStyle w:val="BodyText"/>
            </w:pPr>
            <w:r w:rsidRPr="00E1184A">
              <w:t>Interim protections</w:t>
            </w:r>
          </w:p>
        </w:tc>
        <w:tc>
          <w:tcPr>
            <w:tcW w:w="7371" w:type="dxa"/>
          </w:tcPr>
          <w:p w14:paraId="5B366E63" w14:textId="02DBA9A8" w:rsidR="00466BF6" w:rsidRPr="00B07A1D" w:rsidRDefault="00466BF6" w:rsidP="009E6DAF">
            <w:pPr>
              <w:pStyle w:val="BodyText"/>
              <w:rPr>
                <w:rFonts w:eastAsia="Calibri"/>
              </w:rPr>
            </w:pPr>
            <w:r w:rsidRPr="00B07A1D">
              <w:rPr>
                <w:rFonts w:eastAsia="Calibri"/>
              </w:rPr>
              <w:t>Within the East Gippsland RFA</w:t>
            </w:r>
            <w:r w:rsidR="00F23EF8">
              <w:rPr>
                <w:rFonts w:eastAsia="Calibri"/>
              </w:rPr>
              <w:t xml:space="preserve"> region</w:t>
            </w:r>
            <w:r w:rsidRPr="00B07A1D">
              <w:rPr>
                <w:rFonts w:eastAsia="Calibri"/>
              </w:rPr>
              <w:t>, the Secretary will establish Special Management Zone(s) over individual or collections of post-1970 VBA records (records with an accuracy of 100</w:t>
            </w:r>
            <w:r w:rsidR="0058098D">
              <w:rPr>
                <w:rFonts w:eastAsia="Calibri"/>
              </w:rPr>
              <w:t> </w:t>
            </w:r>
            <w:r w:rsidRPr="00B07A1D">
              <w:rPr>
                <w:rFonts w:eastAsia="Calibri"/>
              </w:rPr>
              <w:t xml:space="preserve">m or </w:t>
            </w:r>
            <w:r w:rsidR="0058098D">
              <w:rPr>
                <w:rFonts w:eastAsia="Calibri"/>
              </w:rPr>
              <w:t>better</w:t>
            </w:r>
            <w:r w:rsidRPr="00B07A1D">
              <w:rPr>
                <w:rFonts w:eastAsia="Calibri"/>
              </w:rPr>
              <w:t>) with the following conditions:</w:t>
            </w:r>
          </w:p>
          <w:p w14:paraId="5235A547" w14:textId="32596421" w:rsidR="00466BF6" w:rsidRPr="00316878" w:rsidRDefault="00466BF6" w:rsidP="006670D2">
            <w:pPr>
              <w:pStyle w:val="PullOutBoxBullet"/>
            </w:pPr>
            <w:r w:rsidRPr="00B07A1D">
              <w:t>The managing authority is required to apply a management area of 200 m radius over individual or collections of post-1970 VBA records (</w:t>
            </w:r>
            <w:r w:rsidR="0058098D">
              <w:t>records with an accuracy of 100 m or better</w:t>
            </w:r>
            <w:r w:rsidR="009D030A">
              <w:t>, including new detections</w:t>
            </w:r>
            <w:r w:rsidRPr="00B07A1D">
              <w:t xml:space="preserve">). Conduct a site inspection and detailed planning in consultation with the Department to ensure the </w:t>
            </w:r>
            <w:r w:rsidR="00826440">
              <w:t>sub</w:t>
            </w:r>
            <w:r w:rsidRPr="00B07A1D">
              <w:t>species is adequately protected during timber harvesting operations</w:t>
            </w:r>
            <w:r w:rsidR="001059D9">
              <w:t xml:space="preserve"> (See Map 6a).</w:t>
            </w:r>
          </w:p>
        </w:tc>
      </w:tr>
      <w:tr w:rsidR="00BF5D12" w:rsidRPr="00867DAA" w14:paraId="0874DD27" w14:textId="77777777" w:rsidTr="0045799B">
        <w:tc>
          <w:tcPr>
            <w:tcW w:w="0" w:type="dxa"/>
          </w:tcPr>
          <w:p w14:paraId="253777BD" w14:textId="3C81CE47" w:rsidR="00BF5D12" w:rsidRPr="003566BD" w:rsidRDefault="00BF5D12" w:rsidP="009E6DAF">
            <w:pPr>
              <w:pStyle w:val="BodyText"/>
            </w:pPr>
            <w:r>
              <w:t>Priority management actions</w:t>
            </w:r>
          </w:p>
        </w:tc>
        <w:tc>
          <w:tcPr>
            <w:tcW w:w="0" w:type="dxa"/>
            <w:shd w:val="clear" w:color="auto" w:fill="auto"/>
          </w:tcPr>
          <w:p w14:paraId="665E133A" w14:textId="77777777" w:rsidR="005672B6" w:rsidRPr="00E31362" w:rsidRDefault="005672B6" w:rsidP="006670D2">
            <w:pPr>
              <w:pStyle w:val="PullOutBoxBullet"/>
            </w:pPr>
            <w:r w:rsidRPr="00E31362">
              <w:t>Comprehensively search likely habitat and map important populations; and</w:t>
            </w:r>
          </w:p>
          <w:p w14:paraId="5BF95D15" w14:textId="1FD79369" w:rsidR="00BF5D12" w:rsidRPr="003566BD" w:rsidRDefault="005672B6" w:rsidP="006670D2">
            <w:pPr>
              <w:pStyle w:val="PullOutBoxBullet"/>
            </w:pPr>
            <w:r w:rsidRPr="00E31362">
              <w:t>Establish monitoring sites and collect baseline data.</w:t>
            </w:r>
          </w:p>
        </w:tc>
      </w:tr>
      <w:tr w:rsidR="00466BF6" w:rsidRPr="00867DAA" w14:paraId="16366A0A" w14:textId="77777777" w:rsidTr="009E6DAF">
        <w:tc>
          <w:tcPr>
            <w:tcW w:w="2268" w:type="dxa"/>
          </w:tcPr>
          <w:p w14:paraId="3421EC62" w14:textId="77777777" w:rsidR="00466BF6" w:rsidRPr="003566BD" w:rsidRDefault="00466BF6" w:rsidP="009E6DAF">
            <w:pPr>
              <w:pStyle w:val="BodyText"/>
            </w:pPr>
            <w:r w:rsidRPr="003566BD">
              <w:t>Permanent protections</w:t>
            </w:r>
          </w:p>
        </w:tc>
        <w:tc>
          <w:tcPr>
            <w:tcW w:w="7371" w:type="dxa"/>
            <w:shd w:val="clear" w:color="auto" w:fill="auto"/>
          </w:tcPr>
          <w:p w14:paraId="1476375B" w14:textId="77777777" w:rsidR="00466BF6" w:rsidRPr="003566BD" w:rsidRDefault="00466BF6" w:rsidP="009E6DAF">
            <w:pPr>
              <w:pStyle w:val="BodyText"/>
            </w:pPr>
            <w:r w:rsidRPr="003566BD">
              <w:t>Additional permanent protections may be required in the longer-term</w:t>
            </w:r>
            <w:r>
              <w:t>.</w:t>
            </w:r>
          </w:p>
        </w:tc>
      </w:tr>
      <w:tr w:rsidR="00466BF6" w:rsidRPr="00867DAA" w14:paraId="628E1835" w14:textId="77777777" w:rsidTr="009E6DAF">
        <w:tc>
          <w:tcPr>
            <w:tcW w:w="2268" w:type="dxa"/>
          </w:tcPr>
          <w:p w14:paraId="408EBC27" w14:textId="3835ECB5" w:rsidR="00466BF6" w:rsidRPr="00867DAA" w:rsidRDefault="007003AA" w:rsidP="009E6DAF">
            <w:pPr>
              <w:pStyle w:val="BodyText"/>
            </w:pPr>
            <w:r>
              <w:t>Potential m</w:t>
            </w:r>
            <w:r w:rsidR="00466BF6" w:rsidRPr="00867DAA">
              <w:t>anagement actions</w:t>
            </w:r>
          </w:p>
        </w:tc>
        <w:tc>
          <w:tcPr>
            <w:tcW w:w="7371" w:type="dxa"/>
          </w:tcPr>
          <w:p w14:paraId="0B554D96" w14:textId="46BB764A" w:rsidR="00466BF6" w:rsidRPr="000152F8" w:rsidRDefault="00466BF6" w:rsidP="006670D2">
            <w:pPr>
              <w:pStyle w:val="PullOutBoxBullet"/>
            </w:pPr>
            <w:r>
              <w:t xml:space="preserve">Consider amending the Code to apply the current prescription for the </w:t>
            </w:r>
            <w:r w:rsidR="00826440">
              <w:t>sub</w:t>
            </w:r>
            <w:r w:rsidR="001B07BE">
              <w:t>species</w:t>
            </w:r>
            <w:r>
              <w:t xml:space="preserve"> to the East Gippsland F</w:t>
            </w:r>
            <w:r w:rsidR="006A4A51">
              <w:t xml:space="preserve">orest </w:t>
            </w:r>
            <w:r>
              <w:t>M</w:t>
            </w:r>
            <w:r w:rsidR="006A4A51">
              <w:t xml:space="preserve">anagement </w:t>
            </w:r>
            <w:r>
              <w:t>A</w:t>
            </w:r>
            <w:r w:rsidR="006A4A51">
              <w:t>rea (FMA)</w:t>
            </w:r>
            <w:r>
              <w:t xml:space="preserve">, to which the </w:t>
            </w:r>
            <w:r w:rsidR="00826440">
              <w:t>sub</w:t>
            </w:r>
            <w:r w:rsidR="001B07BE">
              <w:t>species</w:t>
            </w:r>
            <w:r>
              <w:t xml:space="preserve"> is endemic, and not to the Gippsland FMA which does not support the </w:t>
            </w:r>
            <w:r w:rsidR="00826440">
              <w:t>sub</w:t>
            </w:r>
            <w:r w:rsidR="001B07BE">
              <w:t>species</w:t>
            </w:r>
            <w:r>
              <w:t xml:space="preserve">. </w:t>
            </w:r>
          </w:p>
        </w:tc>
        <w:bookmarkStart w:id="329" w:name="_Toc88557997"/>
      </w:tr>
    </w:tbl>
    <w:p w14:paraId="0043833F" w14:textId="77777777" w:rsidR="00466BF6" w:rsidRDefault="00466BF6" w:rsidP="00466BF6">
      <w:pPr>
        <w:rPr>
          <w:rFonts w:cs="Times New Roman"/>
          <w:lang w:eastAsia="en-US"/>
        </w:rPr>
      </w:pPr>
      <w:r>
        <w:br w:type="page"/>
      </w:r>
    </w:p>
    <w:p w14:paraId="390EC122" w14:textId="10BBA491" w:rsidR="00466BF6" w:rsidRPr="00A35BB3" w:rsidRDefault="00466BF6" w:rsidP="00FB5A2B">
      <w:pPr>
        <w:pStyle w:val="Heading2"/>
        <w:ind w:left="0"/>
        <w:rPr>
          <w:i/>
        </w:rPr>
      </w:pPr>
      <w:bookmarkStart w:id="330" w:name="_Toc95233350"/>
      <w:bookmarkStart w:id="331" w:name="_Toc113271039"/>
      <w:r w:rsidRPr="0067774A">
        <w:t>Errinundra Shining Gum</w:t>
      </w:r>
      <w:r w:rsidRPr="00A35BB3">
        <w:t> </w:t>
      </w:r>
      <w:r w:rsidRPr="002D3DFF">
        <w:rPr>
          <w:i/>
          <w:iCs/>
        </w:rPr>
        <w:t>(Eucalyptus denticulata)</w:t>
      </w:r>
      <w:bookmarkEnd w:id="329"/>
      <w:bookmarkEnd w:id="330"/>
      <w:bookmarkEnd w:id="331"/>
      <w:r w:rsidRPr="002D3DFF">
        <w:rPr>
          <w:i/>
          <w:iCs/>
        </w:rPr>
        <w:t> </w:t>
      </w:r>
    </w:p>
    <w:p w14:paraId="06140681" w14:textId="5B2C0CD5" w:rsidR="00466BF6" w:rsidRPr="003E1225" w:rsidRDefault="00466BF6" w:rsidP="00C803B7">
      <w:pPr>
        <w:pStyle w:val="BodyText"/>
        <w:rPr>
          <w:rFonts w:ascii="Arial" w:hAnsi="Arial"/>
          <w:color w:val="363534"/>
        </w:rPr>
      </w:pPr>
      <w:r w:rsidRPr="00CC7A45">
        <w:t xml:space="preserve">The </w:t>
      </w:r>
      <w:r>
        <w:t>Errinundra Shining Gum</w:t>
      </w:r>
      <w:r w:rsidRPr="00CC7A45">
        <w:t xml:space="preserve"> was listed as</w:t>
      </w:r>
      <w:r>
        <w:t xml:space="preserve"> Endangered in Victoria</w:t>
      </w:r>
      <w:r w:rsidRPr="00CC7A45">
        <w:t xml:space="preserve"> under the FFG Act in May 2021. The </w:t>
      </w:r>
      <w:r w:rsidR="001B07BE">
        <w:t>species</w:t>
      </w:r>
      <w:r w:rsidRPr="00CC7A45">
        <w:t xml:space="preserve"> has </w:t>
      </w:r>
      <w:r>
        <w:t>modelled habitat</w:t>
      </w:r>
      <w:r w:rsidRPr="00CC7A45">
        <w:t xml:space="preserve"> in the </w:t>
      </w:r>
      <w:r>
        <w:t xml:space="preserve">East Gippsland (69% of modelled habitat) and Central Highlands (31% of modelled habitat) </w:t>
      </w:r>
      <w:r w:rsidRPr="00CC7A45">
        <w:t xml:space="preserve">RFA </w:t>
      </w:r>
      <w:r w:rsidRPr="005856B4">
        <w:rPr>
          <w:rStyle w:val="BodyTextChar"/>
        </w:rPr>
        <w:t>regions</w:t>
      </w:r>
      <w:r>
        <w:rPr>
          <w:rStyle w:val="BodyTextChar"/>
        </w:rPr>
        <w:t>.</w:t>
      </w:r>
      <w:r w:rsidRPr="009B5D49">
        <w:rPr>
          <w:rStyle w:val="BodyTextChar"/>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494A39DC" w14:textId="77777777" w:rsidR="00466BF6" w:rsidRDefault="00466BF6" w:rsidP="007E5EBF">
      <w:pPr>
        <w:pStyle w:val="Heading3"/>
      </w:pPr>
      <w:r>
        <w:t>Risk Assessment</w:t>
      </w:r>
    </w:p>
    <w:p w14:paraId="3F9A9333" w14:textId="463695A8"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78</w:t>
      </w:r>
      <w:r w:rsidR="000B6788" w:rsidRPr="00B6162A">
        <w:rPr>
          <w:bCs/>
          <w:noProof/>
        </w:rPr>
        <w:fldChar w:fldCharType="end"/>
      </w:r>
      <w:r w:rsidRPr="00FF310C">
        <w:t>. Errinundra Shining Gum risk ratings in the Central Highlands, East Gippsland and Gippsland RFA regions:</w:t>
      </w:r>
    </w:p>
    <w:tbl>
      <w:tblPr>
        <w:tblStyle w:val="TableGrid"/>
        <w:tblW w:w="7706" w:type="dxa"/>
        <w:tblLook w:val="04A0" w:firstRow="1" w:lastRow="0" w:firstColumn="1" w:lastColumn="0" w:noHBand="0" w:noVBand="1"/>
      </w:tblPr>
      <w:tblGrid>
        <w:gridCol w:w="1935"/>
        <w:gridCol w:w="1923"/>
        <w:gridCol w:w="1923"/>
        <w:gridCol w:w="1925"/>
      </w:tblGrid>
      <w:tr w:rsidR="00466BF6" w14:paraId="262C3AEE" w14:textId="77777777" w:rsidTr="00B00F8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35" w:type="dxa"/>
            <w:vAlign w:val="center"/>
          </w:tcPr>
          <w:p w14:paraId="280DE30C" w14:textId="77777777" w:rsidR="00466BF6" w:rsidRPr="00643008" w:rsidRDefault="00466BF6" w:rsidP="006670D2">
            <w:pPr>
              <w:pStyle w:val="CaptionImageorFigure"/>
            </w:pPr>
          </w:p>
        </w:tc>
        <w:tc>
          <w:tcPr>
            <w:tcW w:w="1923" w:type="dxa"/>
            <w:vAlign w:val="center"/>
          </w:tcPr>
          <w:p w14:paraId="37CBFCD5" w14:textId="77777777" w:rsidR="00466BF6" w:rsidRPr="00643008"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Habitat shifting and alteration</w:t>
            </w:r>
          </w:p>
        </w:tc>
        <w:tc>
          <w:tcPr>
            <w:tcW w:w="1923" w:type="dxa"/>
            <w:vAlign w:val="center"/>
          </w:tcPr>
          <w:p w14:paraId="27AF3712" w14:textId="77777777" w:rsidR="00466BF6" w:rsidDel="00977B89"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925" w:type="dxa"/>
            <w:vAlign w:val="center"/>
          </w:tcPr>
          <w:p w14:paraId="07E07027" w14:textId="58F4E574" w:rsidR="00466BF6" w:rsidRDefault="00BC4502"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466BF6">
              <w:t>orestry operations</w:t>
            </w:r>
          </w:p>
        </w:tc>
      </w:tr>
      <w:tr w:rsidR="00466BF6" w14:paraId="23B47B41" w14:textId="77777777" w:rsidTr="00B00F85">
        <w:tc>
          <w:tcPr>
            <w:tcW w:w="1935" w:type="dxa"/>
            <w:vAlign w:val="center"/>
          </w:tcPr>
          <w:p w14:paraId="09DD89A4" w14:textId="77777777" w:rsidR="00466BF6" w:rsidRPr="0053677B" w:rsidRDefault="00466BF6" w:rsidP="001B659B">
            <w:pPr>
              <w:pStyle w:val="BodyText"/>
              <w:jc w:val="center"/>
            </w:pPr>
            <w:r w:rsidRPr="0053677B">
              <w:t>Consequence</w:t>
            </w:r>
          </w:p>
        </w:tc>
        <w:tc>
          <w:tcPr>
            <w:tcW w:w="1923" w:type="dxa"/>
            <w:vAlign w:val="center"/>
          </w:tcPr>
          <w:p w14:paraId="12F60F81" w14:textId="77777777" w:rsidR="00466BF6" w:rsidRDefault="00466BF6" w:rsidP="001B659B">
            <w:pPr>
              <w:pStyle w:val="BodyText"/>
              <w:jc w:val="center"/>
            </w:pPr>
            <w:r>
              <w:t>Moderate</w:t>
            </w:r>
          </w:p>
        </w:tc>
        <w:tc>
          <w:tcPr>
            <w:tcW w:w="1923" w:type="dxa"/>
            <w:vAlign w:val="center"/>
          </w:tcPr>
          <w:p w14:paraId="04BD80D0" w14:textId="77777777" w:rsidR="00466BF6" w:rsidRDefault="00466BF6" w:rsidP="001B659B">
            <w:pPr>
              <w:pStyle w:val="BodyText"/>
              <w:jc w:val="center"/>
            </w:pPr>
            <w:r>
              <w:t>Moderate</w:t>
            </w:r>
          </w:p>
        </w:tc>
        <w:tc>
          <w:tcPr>
            <w:tcW w:w="1925" w:type="dxa"/>
            <w:vAlign w:val="center"/>
          </w:tcPr>
          <w:p w14:paraId="750360D5" w14:textId="77777777" w:rsidR="00466BF6" w:rsidRDefault="00466BF6" w:rsidP="001B659B">
            <w:pPr>
              <w:pStyle w:val="BodyText"/>
              <w:jc w:val="center"/>
            </w:pPr>
            <w:r>
              <w:t>Moderate</w:t>
            </w:r>
          </w:p>
        </w:tc>
      </w:tr>
      <w:tr w:rsidR="00466BF6" w14:paraId="5CB3052B" w14:textId="77777777" w:rsidTr="00B00F85">
        <w:tc>
          <w:tcPr>
            <w:tcW w:w="1935" w:type="dxa"/>
            <w:vAlign w:val="center"/>
          </w:tcPr>
          <w:p w14:paraId="5DE92B67" w14:textId="77777777" w:rsidR="00466BF6" w:rsidRPr="0053677B" w:rsidRDefault="00466BF6" w:rsidP="001B659B">
            <w:pPr>
              <w:pStyle w:val="BodyText"/>
              <w:jc w:val="center"/>
            </w:pPr>
            <w:r w:rsidRPr="0053677B">
              <w:t>Likelihood</w:t>
            </w:r>
          </w:p>
        </w:tc>
        <w:tc>
          <w:tcPr>
            <w:tcW w:w="1923" w:type="dxa"/>
            <w:vAlign w:val="center"/>
          </w:tcPr>
          <w:p w14:paraId="5532F080" w14:textId="77777777" w:rsidR="00466BF6" w:rsidRDefault="00466BF6" w:rsidP="001B659B">
            <w:pPr>
              <w:pStyle w:val="BodyText"/>
              <w:jc w:val="center"/>
            </w:pPr>
            <w:r>
              <w:t>Possible</w:t>
            </w:r>
          </w:p>
        </w:tc>
        <w:tc>
          <w:tcPr>
            <w:tcW w:w="1923" w:type="dxa"/>
            <w:vAlign w:val="center"/>
          </w:tcPr>
          <w:p w14:paraId="1E412F6D" w14:textId="77777777" w:rsidR="00466BF6" w:rsidRDefault="00466BF6" w:rsidP="001B659B">
            <w:pPr>
              <w:pStyle w:val="BodyText"/>
              <w:jc w:val="center"/>
            </w:pPr>
            <w:r>
              <w:t>Possible</w:t>
            </w:r>
          </w:p>
        </w:tc>
        <w:tc>
          <w:tcPr>
            <w:tcW w:w="1925" w:type="dxa"/>
            <w:vAlign w:val="center"/>
          </w:tcPr>
          <w:p w14:paraId="45C522AB" w14:textId="77777777" w:rsidR="00466BF6" w:rsidRDefault="00466BF6" w:rsidP="001B659B">
            <w:pPr>
              <w:pStyle w:val="BodyText"/>
              <w:jc w:val="center"/>
            </w:pPr>
            <w:r>
              <w:t>Possible</w:t>
            </w:r>
          </w:p>
        </w:tc>
      </w:tr>
      <w:tr w:rsidR="00466BF6" w14:paraId="6AC851DD" w14:textId="77777777" w:rsidTr="00B00F85">
        <w:tc>
          <w:tcPr>
            <w:tcW w:w="1935" w:type="dxa"/>
            <w:vAlign w:val="center"/>
          </w:tcPr>
          <w:p w14:paraId="5ADA31D0" w14:textId="77777777" w:rsidR="00466BF6" w:rsidRPr="0053677B" w:rsidRDefault="00466BF6" w:rsidP="001B659B">
            <w:pPr>
              <w:pStyle w:val="BodyText"/>
              <w:jc w:val="center"/>
            </w:pPr>
            <w:r w:rsidRPr="0053677B">
              <w:t>Overall risk rating</w:t>
            </w:r>
          </w:p>
        </w:tc>
        <w:tc>
          <w:tcPr>
            <w:tcW w:w="1923" w:type="dxa"/>
            <w:shd w:val="clear" w:color="auto" w:fill="FFFF00"/>
            <w:vAlign w:val="center"/>
          </w:tcPr>
          <w:p w14:paraId="7FB5E7AD" w14:textId="77777777" w:rsidR="00466BF6" w:rsidRDefault="00466BF6" w:rsidP="001B659B">
            <w:pPr>
              <w:pStyle w:val="BodyText"/>
              <w:jc w:val="center"/>
            </w:pPr>
            <w:r>
              <w:t>Medium</w:t>
            </w:r>
          </w:p>
        </w:tc>
        <w:tc>
          <w:tcPr>
            <w:tcW w:w="1923" w:type="dxa"/>
            <w:shd w:val="clear" w:color="auto" w:fill="FFFF00"/>
            <w:vAlign w:val="center"/>
          </w:tcPr>
          <w:p w14:paraId="0085E65E" w14:textId="77777777" w:rsidR="00466BF6" w:rsidRDefault="00466BF6" w:rsidP="001B659B">
            <w:pPr>
              <w:pStyle w:val="BodyText"/>
              <w:jc w:val="center"/>
            </w:pPr>
            <w:r>
              <w:t>Medium</w:t>
            </w:r>
          </w:p>
        </w:tc>
        <w:tc>
          <w:tcPr>
            <w:tcW w:w="1925" w:type="dxa"/>
            <w:shd w:val="clear" w:color="auto" w:fill="FFFF00"/>
            <w:vAlign w:val="center"/>
          </w:tcPr>
          <w:p w14:paraId="2BE343D8" w14:textId="77777777" w:rsidR="00466BF6" w:rsidRDefault="00466BF6" w:rsidP="001B659B">
            <w:pPr>
              <w:pStyle w:val="BodyText"/>
              <w:jc w:val="center"/>
            </w:pPr>
            <w:r>
              <w:t>Medium</w:t>
            </w:r>
          </w:p>
        </w:tc>
      </w:tr>
    </w:tbl>
    <w:p w14:paraId="21F97862" w14:textId="77777777" w:rsidR="00466BF6" w:rsidRPr="00CC5AD4" w:rsidRDefault="00466BF6" w:rsidP="00466BF6">
      <w:pPr>
        <w:spacing w:line="240" w:lineRule="auto"/>
        <w:textAlignment w:val="baseline"/>
        <w:rPr>
          <w:rFonts w:ascii="Arial" w:hAnsi="Arial"/>
          <w:i/>
          <w:iCs/>
          <w:color w:val="808080" w:themeColor="background1" w:themeShade="80"/>
        </w:rPr>
      </w:pPr>
    </w:p>
    <w:p w14:paraId="7A8C0D0F" w14:textId="77777777" w:rsidR="00466BF6" w:rsidRDefault="00466BF6" w:rsidP="007E5EBF">
      <w:pPr>
        <w:pStyle w:val="Heading3"/>
      </w:pPr>
      <w:r>
        <w:t>Climate change</w:t>
      </w:r>
    </w:p>
    <w:p w14:paraId="69DDE0E6" w14:textId="77777777" w:rsidR="00466BF6" w:rsidRPr="001C0DE0" w:rsidRDefault="00466BF6" w:rsidP="00466BF6">
      <w:pPr>
        <w:pStyle w:val="Heading5"/>
        <w:numPr>
          <w:ilvl w:val="0"/>
          <w:numId w:val="0"/>
        </w:numPr>
        <w:ind w:left="1008" w:hanging="1008"/>
      </w:pPr>
      <w:r>
        <w:t>Habitat shifting and alteration</w:t>
      </w:r>
    </w:p>
    <w:p w14:paraId="0009B97D" w14:textId="0081B366" w:rsidR="00466BF6" w:rsidRDefault="00466BF6" w:rsidP="00C803B7">
      <w:pPr>
        <w:pStyle w:val="BodyText"/>
      </w:pPr>
      <w:r>
        <w:t xml:space="preserve">The </w:t>
      </w:r>
      <w:r w:rsidR="001B07BE">
        <w:t>species’</w:t>
      </w:r>
      <w:r>
        <w:t xml:space="preserve"> unique adaptation to higher frost incidents is exemplified by slower growth rates and retention of juvenile foliage, compared with Shining Gum (</w:t>
      </w:r>
      <w:r w:rsidRPr="00BE6E6E">
        <w:rPr>
          <w:i/>
          <w:iCs/>
        </w:rPr>
        <w:t>E</w:t>
      </w:r>
      <w:r>
        <w:rPr>
          <w:i/>
          <w:iCs/>
        </w:rPr>
        <w:t>ucalyptus</w:t>
      </w:r>
      <w:r w:rsidRPr="00BE6E6E">
        <w:rPr>
          <w:i/>
          <w:iCs/>
        </w:rPr>
        <w:t xml:space="preserve"> nitens</w:t>
      </w:r>
      <w:r>
        <w:t xml:space="preserve">), and renders this </w:t>
      </w:r>
      <w:r w:rsidR="001B07BE">
        <w:t>species</w:t>
      </w:r>
      <w:r>
        <w:t xml:space="preserve"> potentially at competitive risk as temperature thresholds change. Increased temperatures are also considered likely to expose this </w:t>
      </w:r>
      <w:r w:rsidR="001B07BE">
        <w:t>species</w:t>
      </w:r>
      <w:r>
        <w:t xml:space="preserve"> to competitive risk from Shining Gum with episodic recruitment of hybrid individuals following fire. This hazard extends across all the </w:t>
      </w:r>
      <w:r w:rsidR="001B07BE">
        <w:t>species’</w:t>
      </w:r>
      <w:r>
        <w:t xml:space="preserve"> distribution.  </w:t>
      </w:r>
    </w:p>
    <w:p w14:paraId="101DB366" w14:textId="1EA1FADC" w:rsidR="00466BF6" w:rsidRPr="009773B1" w:rsidRDefault="00466BF6" w:rsidP="00C803B7">
      <w:pPr>
        <w:pStyle w:val="BodyText"/>
      </w:pPr>
      <w:r w:rsidRPr="009773B1">
        <w:t xml:space="preserve">Current control measures for this hazard are not effective in managing the risk to this </w:t>
      </w:r>
      <w:r w:rsidR="001B07BE">
        <w:t>species</w:t>
      </w:r>
      <w:r w:rsidRPr="009773B1">
        <w:t xml:space="preserve"> at the scale relevant to its conservation</w:t>
      </w:r>
      <w:r>
        <w:t>.</w:t>
      </w:r>
    </w:p>
    <w:p w14:paraId="5E78125E" w14:textId="49A64585"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79</w:t>
      </w:r>
      <w:r w:rsidR="000B6788" w:rsidRPr="00B6162A">
        <w:rPr>
          <w:bCs/>
          <w:noProof/>
        </w:rPr>
        <w:fldChar w:fldCharType="end"/>
      </w:r>
      <w:r w:rsidRPr="00FF310C">
        <w:t>. Errinundra Shining Gum protection requirements and recommendations for habitat shifting and alteration</w:t>
      </w:r>
    </w:p>
    <w:tbl>
      <w:tblPr>
        <w:tblStyle w:val="TableGrid"/>
        <w:tblW w:w="0" w:type="auto"/>
        <w:tblLook w:val="04A0" w:firstRow="1" w:lastRow="0" w:firstColumn="1" w:lastColumn="0" w:noHBand="0" w:noVBand="1"/>
      </w:tblPr>
      <w:tblGrid>
        <w:gridCol w:w="2268"/>
        <w:gridCol w:w="7371"/>
      </w:tblGrid>
      <w:tr w:rsidR="00466BF6" w:rsidRPr="00867DAA" w14:paraId="4905C002"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3F657E21" w14:textId="77777777" w:rsidR="00466BF6" w:rsidRPr="00704719" w:rsidRDefault="00466BF6" w:rsidP="00296E0F">
            <w:pPr>
              <w:pStyle w:val="BodyText"/>
            </w:pPr>
            <w:r w:rsidRPr="00704719">
              <w:t>Requirement</w:t>
            </w:r>
          </w:p>
        </w:tc>
        <w:tc>
          <w:tcPr>
            <w:tcW w:w="7371" w:type="dxa"/>
            <w:vAlign w:val="center"/>
          </w:tcPr>
          <w:p w14:paraId="33A4816B"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59436B0A" w14:textId="77777777" w:rsidTr="009E6DAF">
        <w:tc>
          <w:tcPr>
            <w:tcW w:w="2268" w:type="dxa"/>
          </w:tcPr>
          <w:p w14:paraId="7CA3FA45" w14:textId="1F96B923" w:rsidR="00466BF6" w:rsidRPr="003566BD" w:rsidRDefault="007003AA" w:rsidP="009E6DAF">
            <w:pPr>
              <w:pStyle w:val="BodyText"/>
            </w:pPr>
            <w:r>
              <w:t>Priority management actions</w:t>
            </w:r>
          </w:p>
        </w:tc>
        <w:tc>
          <w:tcPr>
            <w:tcW w:w="7371" w:type="dxa"/>
          </w:tcPr>
          <w:p w14:paraId="39C51856" w14:textId="77777777" w:rsidR="00466BF6" w:rsidRPr="003566BD" w:rsidRDefault="00466BF6" w:rsidP="009E6DAF">
            <w:pPr>
              <w:pStyle w:val="BodyText"/>
            </w:pPr>
            <w:r w:rsidRPr="00200995">
              <w:t xml:space="preserve">Not required for this hazard </w:t>
            </w:r>
            <w:r>
              <w:t>as it is a longer-term threat.</w:t>
            </w:r>
          </w:p>
        </w:tc>
      </w:tr>
      <w:tr w:rsidR="00466BF6" w:rsidRPr="00867DAA" w14:paraId="7AEDD5B8" w14:textId="77777777" w:rsidTr="009E6DAF">
        <w:tc>
          <w:tcPr>
            <w:tcW w:w="2268" w:type="dxa"/>
          </w:tcPr>
          <w:p w14:paraId="51719C65" w14:textId="4BEA38B2" w:rsidR="00466BF6" w:rsidRPr="00867DAA" w:rsidRDefault="007003AA" w:rsidP="009E6DAF">
            <w:pPr>
              <w:pStyle w:val="BodyText"/>
            </w:pPr>
            <w:r>
              <w:t>Potential m</w:t>
            </w:r>
            <w:r w:rsidR="00466BF6" w:rsidRPr="00867DAA">
              <w:t>anagement actions</w:t>
            </w:r>
          </w:p>
        </w:tc>
        <w:tc>
          <w:tcPr>
            <w:tcW w:w="7371" w:type="dxa"/>
          </w:tcPr>
          <w:p w14:paraId="0E89BFFC" w14:textId="77777777" w:rsidR="00466BF6" w:rsidRDefault="00466BF6" w:rsidP="006670D2">
            <w:pPr>
              <w:pStyle w:val="PullOutBoxBullet"/>
            </w:pPr>
            <w:r>
              <w:t xml:space="preserve">Enhance fire mitigation at early stages of fires; </w:t>
            </w:r>
          </w:p>
          <w:p w14:paraId="5596F299" w14:textId="738DE71F" w:rsidR="00466BF6" w:rsidRDefault="00466BF6" w:rsidP="006670D2">
            <w:pPr>
              <w:pStyle w:val="PullOutBoxBullet"/>
            </w:pPr>
            <w:r>
              <w:t xml:space="preserve">Undertake </w:t>
            </w:r>
            <w:r w:rsidR="000B671C">
              <w:t>VCS</w:t>
            </w:r>
            <w:r>
              <w:t xml:space="preserve"> seed collection, prioritising multiple sites from a wide geographic range for a variety of genes; and </w:t>
            </w:r>
          </w:p>
          <w:p w14:paraId="1AE5BF6F" w14:textId="77777777" w:rsidR="00466BF6" w:rsidRPr="000152F8" w:rsidRDefault="00466BF6" w:rsidP="006670D2">
            <w:pPr>
              <w:pStyle w:val="PullOutBoxBullet"/>
            </w:pPr>
            <w:r>
              <w:t>Review the use of Shining Gum when reseeding fire-affected or harvested areas that previously supported the Errinundra Shining Gum.</w:t>
            </w:r>
          </w:p>
        </w:tc>
      </w:tr>
    </w:tbl>
    <w:p w14:paraId="112CF03A" w14:textId="77777777" w:rsidR="00466BF6" w:rsidRDefault="00466BF6" w:rsidP="007E5EBF">
      <w:pPr>
        <w:pStyle w:val="Heading3"/>
      </w:pPr>
      <w:r w:rsidRPr="00D55628">
        <w:rPr>
          <w:rFonts w:cs="Times New Roman"/>
          <w:noProof/>
          <w:lang w:eastAsia="en-US"/>
        </w:rPr>
        <mc:AlternateContent>
          <mc:Choice Requires="wps">
            <w:drawing>
              <wp:anchor distT="0" distB="0" distL="114300" distR="114300" simplePos="1" relativeHeight="251658260" behindDoc="1" locked="1" layoutInCell="1" allowOverlap="1" wp14:anchorId="064F6D30" wp14:editId="301C6BDB">
                <wp:simplePos x="359410" y="9071610"/>
                <wp:positionH relativeFrom="page">
                  <wp:posOffset>359410</wp:posOffset>
                </wp:positionH>
                <wp:positionV relativeFrom="page">
                  <wp:posOffset>9071610</wp:posOffset>
                </wp:positionV>
                <wp:extent cx="6840001" cy="432000"/>
                <wp:effectExtent l="0" t="0" r="0" b="0"/>
                <wp:wrapNone/>
                <wp:docPr id="1538"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3F67F"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6D30" id="_x0000_s1061" type="#_x0000_t202" alt="Title: Decorative Cover Shape" style="position:absolute;left:0;text-align:left;margin-left:28.3pt;margin-top:714.3pt;width:538.6pt;height:34pt;z-index:-2516582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M2gVud/AgAA&#10;agUAAA4AAAAAAAAAAAAAAAAALgIAAGRycy9lMm9Eb2MueG1sUEsBAi0AFAAGAAgAAAAhAJFrJtfd&#10;AAAADQEAAA8AAAAAAAAAAAAAAAAA2QQAAGRycy9kb3ducmV2LnhtbFBLBQYAAAAABAAEAPMAAADj&#10;BQAAAAA=&#10;" fillcolor="#201547" stroked="f" strokeweight=".5pt">
                <v:textbox inset="10mm,0,10mm,0">
                  <w:txbxContent>
                    <w:p w14:paraId="7F33F67F"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59" behindDoc="0" locked="1" layoutInCell="1" allowOverlap="1" wp14:anchorId="4D628AD9" wp14:editId="58757BF3">
                <wp:simplePos x="0" y="0"/>
                <wp:positionH relativeFrom="page">
                  <wp:posOffset>360045</wp:posOffset>
                </wp:positionH>
                <wp:positionV relativeFrom="page">
                  <wp:posOffset>360045</wp:posOffset>
                </wp:positionV>
                <wp:extent cx="1864800" cy="1976400"/>
                <wp:effectExtent l="0" t="0" r="0" b="0"/>
                <wp:wrapNone/>
                <wp:docPr id="1607"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E49EECF" id="TriangleTopACIMono" o:spid="_x0000_s1026" style="position:absolute;margin-left:28.35pt;margin-top:28.35pt;width:146.85pt;height:155.6pt;z-index:2516582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258" behindDoc="0" locked="1" layoutInCell="1" allowOverlap="1" wp14:anchorId="2E21004E" wp14:editId="431580CF">
                <wp:simplePos x="0" y="0"/>
                <wp:positionH relativeFrom="page">
                  <wp:posOffset>359410</wp:posOffset>
                </wp:positionH>
                <wp:positionV relativeFrom="page">
                  <wp:posOffset>359410</wp:posOffset>
                </wp:positionV>
                <wp:extent cx="1864800" cy="1976400"/>
                <wp:effectExtent l="0" t="0" r="0" b="0"/>
                <wp:wrapNone/>
                <wp:docPr id="1608"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E84B36" id="TriangleTop" o:spid="_x0000_s1026" style="position:absolute;margin-left:28.3pt;margin-top:28.3pt;width:146.85pt;height:155.6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57" behindDoc="0" locked="1" layoutInCell="1" allowOverlap="1" wp14:anchorId="2AFB6230" wp14:editId="08F28EE0">
                <wp:simplePos x="0" y="0"/>
                <wp:positionH relativeFrom="page">
                  <wp:posOffset>0</wp:posOffset>
                </wp:positionH>
                <wp:positionV relativeFrom="page">
                  <wp:align>bottom</wp:align>
                </wp:positionV>
                <wp:extent cx="3848400" cy="720000"/>
                <wp:effectExtent l="0" t="0" r="0" b="0"/>
                <wp:wrapNone/>
                <wp:docPr id="154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24DCD"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B6230" id="_x0000_s1062" type="#_x0000_t202" style="position:absolute;left:0;text-align:left;margin-left:0;margin-top:0;width:303pt;height:56.7pt;z-index:25165825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MqHnGxtAgAARgUAAA4AAAAAAAAAAAAAAAAALgIA&#10;AGRycy9lMm9Eb2MueG1sUEsBAi0AFAAGAAgAAAAhAPTKz6jaAAAABQEAAA8AAAAAAAAAAAAAAAAA&#10;xwQAAGRycy9kb3ducmV2LnhtbFBLBQYAAAAABAAEAPMAAADOBQAAAAA=&#10;" filled="f" stroked="f" strokeweight=".5pt">
                <v:textbox inset="20mm">
                  <w:txbxContent>
                    <w:p w14:paraId="7CF24DCD"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r>
        <w:t>Fire</w:t>
      </w:r>
    </w:p>
    <w:p w14:paraId="0408A8A1" w14:textId="77777777" w:rsidR="00466BF6" w:rsidRPr="001C0DE0" w:rsidRDefault="00466BF6" w:rsidP="00466BF6">
      <w:pPr>
        <w:pStyle w:val="Heading5"/>
        <w:numPr>
          <w:ilvl w:val="0"/>
          <w:numId w:val="0"/>
        </w:numPr>
        <w:ind w:left="1008" w:hanging="1008"/>
      </w:pPr>
      <w:r>
        <w:t>Increased fire frequency and intensity</w:t>
      </w:r>
    </w:p>
    <w:p w14:paraId="5B39EDDF" w14:textId="0E15CC4A" w:rsidR="00466BF6" w:rsidRDefault="00466BF6" w:rsidP="00466BF6">
      <w:pPr>
        <w:pStyle w:val="BodyText"/>
      </w:pPr>
      <w:r>
        <w:t xml:space="preserve">The </w:t>
      </w:r>
      <w:r w:rsidR="001B07BE">
        <w:t>species</w:t>
      </w:r>
      <w:r>
        <w:t xml:space="preserve"> occurs in two main areas, one being in East Gippsland, the other in the Central Highlands. Climate change acts synchronously on the entire range, or alternatively if fire events are seen as a trigger for climate change impact, only two discrete fire events will be able to affect the bulk of the population. There has been a decline of the </w:t>
      </w:r>
      <w:r w:rsidR="001B07BE">
        <w:t>specie’s</w:t>
      </w:r>
      <w:r>
        <w:t xml:space="preserve"> </w:t>
      </w:r>
      <w:r w:rsidR="00FC7AC4">
        <w:t>because</w:t>
      </w:r>
      <w:r>
        <w:t xml:space="preserve"> of the past and current threats, and this has been exacerbated by the 2019-20 bushfires where 21% of its HDM was burned with high severity fire. The chance of repeat major fires would appear low</w:t>
      </w:r>
      <w:r w:rsidR="00351FC6">
        <w:t xml:space="preserve"> in the short term</w:t>
      </w:r>
      <w:r>
        <w:t>, particularly during La Ni</w:t>
      </w:r>
      <w:r>
        <w:rPr>
          <w:rFonts w:cstheme="minorHAnsi"/>
        </w:rPr>
        <w:t>ñ</w:t>
      </w:r>
      <w:r>
        <w:t xml:space="preserve">a conditions, however if conditions are sufficiently severe to burn into montane wet forest, then control of bushfires becomes highly problematic until weather conditions become more favourable. Due to increased fire frequency and intensity the </w:t>
      </w:r>
      <w:r w:rsidR="001B07BE">
        <w:t>species</w:t>
      </w:r>
      <w:r>
        <w:t xml:space="preserve"> will not disappear immediately but there will be an incremental decrease in the distribution over the long-term. Occurrences on the Errinundra Plateau are in a fire refugia and if the refugia becomes more accessible over time to fire, then there could be very little habitat remaining and the </w:t>
      </w:r>
      <w:r w:rsidR="001B07BE">
        <w:t>species</w:t>
      </w:r>
      <w:r>
        <w:t xml:space="preserve"> may become restricted to deeper gullies. The interaction between fire and timber harvesting can exacerbate recruitment failure, as well as browsing by animals. Browsing animals are often implicated in recruitment failure which is part of the overall risk of regeneration failure.</w:t>
      </w:r>
    </w:p>
    <w:p w14:paraId="5867657E" w14:textId="77777777" w:rsidR="00466BF6" w:rsidRDefault="00466BF6" w:rsidP="00466BF6">
      <w:pPr>
        <w:pStyle w:val="BodyText"/>
      </w:pPr>
      <w:r w:rsidRPr="00660ABA">
        <w:t>Current existing controls for this hazard includ</w:t>
      </w:r>
      <w:r>
        <w:t>e:</w:t>
      </w:r>
    </w:p>
    <w:p w14:paraId="11AD78AE" w14:textId="43E84CF2" w:rsidR="00466BF6" w:rsidRDefault="00466BF6" w:rsidP="006670D2">
      <w:pPr>
        <w:pStyle w:val="PullOutBoxBullet"/>
      </w:pPr>
      <w:r>
        <w:t>Bushfire suppression. This has been evaluated as satisfactory under less severe fire conditions</w:t>
      </w:r>
      <w:r w:rsidR="00314423">
        <w:t>;</w:t>
      </w:r>
      <w:r>
        <w:t xml:space="preserve"> </w:t>
      </w:r>
      <w:r w:rsidR="00314423">
        <w:t>however,</w:t>
      </w:r>
      <w:r>
        <w:t xml:space="preserve"> </w:t>
      </w:r>
      <w:r w:rsidRPr="000F6BBE">
        <w:t xml:space="preserve">the scale and intensity of recent bushfires means that, despite the frameworks and available resources, emergency response does not always </w:t>
      </w:r>
      <w:r w:rsidR="00AD6095">
        <w:t>mitigate</w:t>
      </w:r>
      <w:r w:rsidRPr="000F6BBE">
        <w:t xml:space="preserve"> impacts on </w:t>
      </w:r>
      <w:r w:rsidR="008845CE">
        <w:t>Errinundra Shining Gum</w:t>
      </w:r>
      <w:r>
        <w:t xml:space="preserve"> during more severe bushfires.</w:t>
      </w:r>
    </w:p>
    <w:p w14:paraId="3AA26FBC" w14:textId="77777777" w:rsidR="00E55236" w:rsidRPr="003B519D" w:rsidRDefault="00466BF6" w:rsidP="006670D2">
      <w:pPr>
        <w:pStyle w:val="PullOutBoxBullet"/>
      </w:pPr>
      <w:r w:rsidRPr="007B7F10">
        <w:t xml:space="preserve">Planned burning and strategic bushfire management program. </w:t>
      </w:r>
      <w:r w:rsidR="00E55236" w:rsidRPr="00DD4C49">
        <w:t xml:space="preserve">This has </w:t>
      </w:r>
      <w:r w:rsidR="00E55236" w:rsidRPr="002229FF">
        <w:t>been evaluated as poor to satisfactory in mitigating risk to Errinundra Shining Gum. It is likely that bushfires would increase without planned burning, particularly around the edges of its distribution. However, fuel management is more challenging to achi</w:t>
      </w:r>
      <w:r w:rsidR="00E55236" w:rsidRPr="0069600B">
        <w:t>eve in montane wet forest. </w:t>
      </w:r>
    </w:p>
    <w:p w14:paraId="349A558B" w14:textId="660B10D3" w:rsidR="00466BF6" w:rsidRPr="00A67A21" w:rsidRDefault="00466BF6" w:rsidP="006670D2">
      <w:pPr>
        <w:pStyle w:val="Caption"/>
      </w:pPr>
      <w:r w:rsidRPr="00A67A21">
        <w:t xml:space="preserve">Table </w:t>
      </w:r>
      <w:fldSimple w:instr=" SEQ Table \* ARABIC ">
        <w:r w:rsidR="00692F0D">
          <w:rPr>
            <w:noProof/>
          </w:rPr>
          <w:t>80</w:t>
        </w:r>
      </w:fldSimple>
      <w:r w:rsidRPr="007B7F10">
        <w:t>. Errinundra Shining Gum protection requirements and recommendati</w:t>
      </w:r>
      <w:r w:rsidRPr="00A67A21">
        <w:t>ons for increased fire frequency and intensity</w:t>
      </w:r>
    </w:p>
    <w:tbl>
      <w:tblPr>
        <w:tblStyle w:val="TableGrid"/>
        <w:tblW w:w="0" w:type="auto"/>
        <w:tblLook w:val="04A0" w:firstRow="1" w:lastRow="0" w:firstColumn="1" w:lastColumn="0" w:noHBand="0" w:noVBand="1"/>
      </w:tblPr>
      <w:tblGrid>
        <w:gridCol w:w="2268"/>
        <w:gridCol w:w="7371"/>
      </w:tblGrid>
      <w:tr w:rsidR="00466BF6" w:rsidRPr="00867DAA" w14:paraId="4EB2E24A" w14:textId="77777777" w:rsidTr="60664A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1FD07350" w14:textId="77777777" w:rsidR="00466BF6" w:rsidRPr="00704719" w:rsidRDefault="00466BF6" w:rsidP="00296E0F">
            <w:pPr>
              <w:pStyle w:val="BodyText"/>
            </w:pPr>
            <w:r w:rsidRPr="00704719">
              <w:t>Requirement</w:t>
            </w:r>
          </w:p>
        </w:tc>
        <w:tc>
          <w:tcPr>
            <w:tcW w:w="7371" w:type="dxa"/>
            <w:vAlign w:val="center"/>
          </w:tcPr>
          <w:p w14:paraId="1AE49849"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77C2109C" w14:textId="77777777" w:rsidTr="60664A41">
        <w:tc>
          <w:tcPr>
            <w:tcW w:w="2268" w:type="dxa"/>
          </w:tcPr>
          <w:p w14:paraId="3FA00C72" w14:textId="25E874AB" w:rsidR="00466BF6" w:rsidRPr="003566BD" w:rsidRDefault="007003AA" w:rsidP="009E6DAF">
            <w:pPr>
              <w:pStyle w:val="BodyText"/>
            </w:pPr>
            <w:r>
              <w:t>Priority management actions</w:t>
            </w:r>
          </w:p>
        </w:tc>
        <w:tc>
          <w:tcPr>
            <w:tcW w:w="7371" w:type="dxa"/>
          </w:tcPr>
          <w:p w14:paraId="7A0A49E7" w14:textId="77777777" w:rsidR="00466BF6" w:rsidRPr="003566BD" w:rsidRDefault="00466BF6" w:rsidP="009E6DAF">
            <w:pPr>
              <w:pStyle w:val="BodyText"/>
            </w:pPr>
            <w:r w:rsidRPr="00200995">
              <w:t xml:space="preserve">Not required for this hazard </w:t>
            </w:r>
            <w:r>
              <w:t>as it is a longer-term threat.</w:t>
            </w:r>
          </w:p>
        </w:tc>
      </w:tr>
      <w:tr w:rsidR="00466BF6" w:rsidRPr="00867DAA" w14:paraId="56E9917F" w14:textId="77777777" w:rsidTr="60664A41">
        <w:tc>
          <w:tcPr>
            <w:tcW w:w="2268" w:type="dxa"/>
          </w:tcPr>
          <w:p w14:paraId="666DF1A0" w14:textId="3D640591" w:rsidR="00466BF6" w:rsidRPr="00867DAA" w:rsidRDefault="007003AA" w:rsidP="009E6DAF">
            <w:pPr>
              <w:pStyle w:val="BodyText"/>
            </w:pPr>
            <w:r>
              <w:t>Potential m</w:t>
            </w:r>
            <w:r w:rsidR="00466BF6" w:rsidRPr="00867DAA">
              <w:t>anagement actions</w:t>
            </w:r>
          </w:p>
        </w:tc>
        <w:tc>
          <w:tcPr>
            <w:tcW w:w="7371" w:type="dxa"/>
          </w:tcPr>
          <w:p w14:paraId="7F1AE237" w14:textId="77777777" w:rsidR="00466BF6" w:rsidRDefault="00466BF6" w:rsidP="006670D2">
            <w:pPr>
              <w:pStyle w:val="PullOutBoxBullet"/>
            </w:pPr>
            <w:r>
              <w:t xml:space="preserve">Identify and manage refuges; </w:t>
            </w:r>
          </w:p>
          <w:p w14:paraId="45654DEB" w14:textId="398BDCC1" w:rsidR="00466BF6" w:rsidRPr="00F26BEE" w:rsidRDefault="00466BF6" w:rsidP="006670D2">
            <w:pPr>
              <w:pStyle w:val="PullOutBoxBullet"/>
            </w:pPr>
            <w:r>
              <w:t xml:space="preserve">Research recruitment levels and genetic purity of the </w:t>
            </w:r>
            <w:r w:rsidR="001B07BE">
              <w:t>species</w:t>
            </w:r>
            <w:r>
              <w:t xml:space="preserve"> within fire affected and </w:t>
            </w:r>
            <w:r w:rsidR="0021400A">
              <w:t>harvested</w:t>
            </w:r>
            <w:r>
              <w:t xml:space="preserve"> areas given the issues of potential seed bottlenecks and genetic introgression with Shining Gum;</w:t>
            </w:r>
            <w:r w:rsidRPr="60664A41">
              <w:rPr>
                <w:i/>
                <w:iCs/>
              </w:rPr>
              <w:t xml:space="preserve"> </w:t>
            </w:r>
            <w:r>
              <w:t>and</w:t>
            </w:r>
          </w:p>
          <w:p w14:paraId="5A6B069D" w14:textId="77777777" w:rsidR="00466BF6" w:rsidRPr="00FB23E3" w:rsidRDefault="00466BF6" w:rsidP="006670D2">
            <w:pPr>
              <w:pStyle w:val="PullOutBoxBullet"/>
            </w:pPr>
            <w:r>
              <w:t>Target fire prevention and suppression activities to prevent as far as possible high intensity bushfire on the Errinundra Plateau.</w:t>
            </w:r>
          </w:p>
        </w:tc>
      </w:tr>
    </w:tbl>
    <w:p w14:paraId="597F9485" w14:textId="77777777" w:rsidR="00466BF6" w:rsidRDefault="00466BF6" w:rsidP="007E5EBF">
      <w:pPr>
        <w:pStyle w:val="Heading3"/>
      </w:pPr>
      <w:r w:rsidRPr="00D55628">
        <w:rPr>
          <w:rFonts w:cs="Times New Roman"/>
          <w:noProof/>
          <w:lang w:eastAsia="en-US"/>
        </w:rPr>
        <mc:AlternateContent>
          <mc:Choice Requires="wps">
            <w:drawing>
              <wp:anchor distT="0" distB="0" distL="114300" distR="114300" simplePos="1" relativeHeight="251658264" behindDoc="1" locked="1" layoutInCell="1" allowOverlap="1" wp14:anchorId="5C5FED22" wp14:editId="67190F4F">
                <wp:simplePos x="359410" y="9071610"/>
                <wp:positionH relativeFrom="page">
                  <wp:posOffset>359410</wp:posOffset>
                </wp:positionH>
                <wp:positionV relativeFrom="page">
                  <wp:posOffset>9071610</wp:posOffset>
                </wp:positionV>
                <wp:extent cx="6840001" cy="432000"/>
                <wp:effectExtent l="0" t="0" r="0" b="0"/>
                <wp:wrapNone/>
                <wp:docPr id="1543"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D3C5A"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FED22" id="_x0000_s1063" type="#_x0000_t202" alt="Title: Decorative Cover Shape" style="position:absolute;left:0;text-align:left;margin-left:28.3pt;margin-top:714.3pt;width:538.6pt;height:34pt;z-index:-251658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" fillcolor="#201547" stroked="f" strokeweight=".5pt">
                <v:textbox inset="10mm,0,10mm,0">
                  <w:txbxContent>
                    <w:p w14:paraId="65FD3C5A"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63" behindDoc="0" locked="1" layoutInCell="1" allowOverlap="1" wp14:anchorId="476D415C" wp14:editId="45714355">
                <wp:simplePos x="0" y="0"/>
                <wp:positionH relativeFrom="page">
                  <wp:posOffset>360045</wp:posOffset>
                </wp:positionH>
                <wp:positionV relativeFrom="page">
                  <wp:posOffset>360045</wp:posOffset>
                </wp:positionV>
                <wp:extent cx="1864800" cy="1976400"/>
                <wp:effectExtent l="0" t="0" r="0" b="0"/>
                <wp:wrapNone/>
                <wp:docPr id="1609"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6871BC0" id="TriangleTopACIMono" o:spid="_x0000_s1026" style="position:absolute;margin-left:28.35pt;margin-top:28.35pt;width:146.85pt;height:155.6pt;z-index:25165826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262" behindDoc="0" locked="1" layoutInCell="1" allowOverlap="1" wp14:anchorId="2530F6B6" wp14:editId="62756DFF">
                <wp:simplePos x="0" y="0"/>
                <wp:positionH relativeFrom="page">
                  <wp:posOffset>359410</wp:posOffset>
                </wp:positionH>
                <wp:positionV relativeFrom="page">
                  <wp:posOffset>359410</wp:posOffset>
                </wp:positionV>
                <wp:extent cx="1864800" cy="1976400"/>
                <wp:effectExtent l="0" t="0" r="0" b="0"/>
                <wp:wrapNone/>
                <wp:docPr id="1610"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42E2D50" id="TriangleTop" o:spid="_x0000_s1026" style="position:absolute;margin-left:28.3pt;margin-top:28.3pt;width:146.85pt;height:155.6pt;z-index:25165826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61" behindDoc="0" locked="1" layoutInCell="1" allowOverlap="1" wp14:anchorId="4E09AD39" wp14:editId="64473886">
                <wp:simplePos x="0" y="0"/>
                <wp:positionH relativeFrom="page">
                  <wp:posOffset>0</wp:posOffset>
                </wp:positionH>
                <wp:positionV relativeFrom="page">
                  <wp:align>bottom</wp:align>
                </wp:positionV>
                <wp:extent cx="3848400" cy="720000"/>
                <wp:effectExtent l="0" t="0" r="0" b="0"/>
                <wp:wrapNone/>
                <wp:docPr id="1546"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D257A"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9AD39" id="_x0000_s1064" type="#_x0000_t202" style="position:absolute;left:0;text-align:left;margin-left:0;margin-top:0;width:303pt;height:56.7pt;z-index:25165826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" filled="f" stroked="f" strokeweight=".5pt">
                <v:textbox inset="20mm">
                  <w:txbxContent>
                    <w:p w14:paraId="2ACD257A"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r>
        <w:t>Forestry operations</w:t>
      </w:r>
    </w:p>
    <w:p w14:paraId="0E7194ED" w14:textId="35A8ABCB" w:rsidR="00466BF6" w:rsidRPr="001C0DE0" w:rsidRDefault="00BC4502" w:rsidP="00466BF6">
      <w:pPr>
        <w:pStyle w:val="Heading5"/>
        <w:numPr>
          <w:ilvl w:val="0"/>
          <w:numId w:val="0"/>
        </w:numPr>
        <w:ind w:left="1008" w:hanging="1008"/>
      </w:pPr>
      <w:r>
        <w:t>F</w:t>
      </w:r>
      <w:r w:rsidR="00466BF6">
        <w:t>orestry operations</w:t>
      </w:r>
    </w:p>
    <w:p w14:paraId="366AFD13" w14:textId="4843F83F" w:rsidR="00466BF6" w:rsidRDefault="00466BF6" w:rsidP="00466BF6">
      <w:pPr>
        <w:pStyle w:val="BodyText"/>
      </w:pPr>
      <w:r>
        <w:t>E</w:t>
      </w:r>
      <w:r w:rsidRPr="009F2ADE">
        <w:t xml:space="preserve">rrinundra Shining Gum may have declined to some degree </w:t>
      </w:r>
      <w:r w:rsidR="00C9498E" w:rsidRPr="009F2ADE">
        <w:t>because of</w:t>
      </w:r>
      <w:r w:rsidRPr="009F2ADE">
        <w:t xml:space="preserve"> historic forestry operations</w:t>
      </w:r>
      <w:r>
        <w:t>.</w:t>
      </w:r>
      <w:r w:rsidRPr="00941089">
        <w:t xml:space="preserve"> </w:t>
      </w:r>
      <w:r>
        <w:t xml:space="preserve">The </w:t>
      </w:r>
      <w:r w:rsidR="001B07BE">
        <w:t>species</w:t>
      </w:r>
      <w:r>
        <w:t xml:space="preserve"> is highly merchantable and is a forest timber product prioritised by the forestry sector</w:t>
      </w:r>
      <w:r w:rsidR="006475BC">
        <w:t>. I</w:t>
      </w:r>
      <w:r>
        <w:t xml:space="preserve">t is desirable and targeted for harvest where possible </w:t>
      </w:r>
      <w:r w:rsidR="006475BC">
        <w:t xml:space="preserve">and </w:t>
      </w:r>
      <w:r w:rsidR="00495AC5">
        <w:t xml:space="preserve">was </w:t>
      </w:r>
      <w:r>
        <w:t>previously confused with the commercially valuable Shining Gum. Recruitment is dependent on seedling regeneration so there is a risk of an inadequate seed source. If a severe bushfire occurs immediately following harvesting there will be little seed in the retained trees and regeneration burns down to the ground could result in very little epicormic growth, so there is an increased risk of recruitment failure from multiple disturbances. It is a very competitive species and not likely to be outcompeted by Brown-barrel (</w:t>
      </w:r>
      <w:r w:rsidRPr="005856B4">
        <w:rPr>
          <w:i/>
          <w:iCs/>
        </w:rPr>
        <w:t>E</w:t>
      </w:r>
      <w:r>
        <w:rPr>
          <w:i/>
          <w:iCs/>
        </w:rPr>
        <w:t>ucalyptus</w:t>
      </w:r>
      <w:r w:rsidRPr="005856B4">
        <w:rPr>
          <w:i/>
          <w:iCs/>
        </w:rPr>
        <w:t xml:space="preserve"> fastigata</w:t>
      </w:r>
      <w:r>
        <w:t>) or Messmate Stringybark (</w:t>
      </w:r>
      <w:r w:rsidRPr="005856B4">
        <w:rPr>
          <w:i/>
          <w:iCs/>
        </w:rPr>
        <w:t>E</w:t>
      </w:r>
      <w:r>
        <w:rPr>
          <w:i/>
          <w:iCs/>
        </w:rPr>
        <w:t>ucalyptus</w:t>
      </w:r>
      <w:r w:rsidRPr="005856B4">
        <w:rPr>
          <w:i/>
          <w:iCs/>
        </w:rPr>
        <w:t xml:space="preserve"> obliqua</w:t>
      </w:r>
      <w:r>
        <w:t>)</w:t>
      </w:r>
      <w:r w:rsidR="005A33A3">
        <w:t xml:space="preserve">. </w:t>
      </w:r>
      <w:r w:rsidR="007402A2" w:rsidRPr="00915D82">
        <w:t xml:space="preserve">Cumulative impacts on remaining harvestable areas and bushfires increase pressure on this </w:t>
      </w:r>
      <w:r w:rsidR="007402A2" w:rsidRPr="00B6162A">
        <w:t xml:space="preserve">species. </w:t>
      </w:r>
      <w:r w:rsidR="0080688C" w:rsidRPr="00FD57DB">
        <w:t>Based on the 2015 net harvest area layer</w:t>
      </w:r>
      <w:r w:rsidR="00712E93" w:rsidRPr="00FD57DB">
        <w:t>,</w:t>
      </w:r>
      <w:r w:rsidR="00756D4D" w:rsidRPr="00FD57DB">
        <w:t xml:space="preserve"> </w:t>
      </w:r>
      <w:r w:rsidR="0080688C" w:rsidRPr="00FD57DB">
        <w:t xml:space="preserve">20% of the </w:t>
      </w:r>
      <w:r w:rsidR="001B07BE">
        <w:t>species’</w:t>
      </w:r>
      <w:r w:rsidR="0080688C" w:rsidRPr="00FD57DB">
        <w:t xml:space="preserve"> modelled habitat</w:t>
      </w:r>
      <w:r w:rsidR="005929C4" w:rsidRPr="00FD57DB">
        <w:t xml:space="preserve"> is within</w:t>
      </w:r>
      <w:r w:rsidR="0080688C" w:rsidRPr="00FD57DB">
        <w:t xml:space="preserve"> merchantable </w:t>
      </w:r>
      <w:r w:rsidR="005929C4" w:rsidRPr="00FD57DB">
        <w:t>areas</w:t>
      </w:r>
      <w:r w:rsidR="00756D4D" w:rsidRPr="00FD57DB">
        <w:t>, including</w:t>
      </w:r>
      <w:r w:rsidR="005929C4" w:rsidRPr="00FD57DB">
        <w:t xml:space="preserve"> 18% in </w:t>
      </w:r>
      <w:r w:rsidR="00756D4D" w:rsidRPr="00FD57DB">
        <w:t xml:space="preserve">the </w:t>
      </w:r>
      <w:r w:rsidR="005929C4" w:rsidRPr="00FD57DB">
        <w:t>East Gippsland</w:t>
      </w:r>
      <w:r w:rsidR="00756D4D" w:rsidRPr="00FD57DB">
        <w:t xml:space="preserve"> RFA</w:t>
      </w:r>
      <w:r w:rsidR="00A457F3">
        <w:t xml:space="preserve"> region</w:t>
      </w:r>
      <w:r w:rsidR="008B0C1A" w:rsidRPr="00FD57DB">
        <w:t>,</w:t>
      </w:r>
      <w:r w:rsidR="005929C4" w:rsidRPr="00FD57DB">
        <w:t xml:space="preserve"> and higher in more restricted occurrences in Gippsland and Central Highlands RFA</w:t>
      </w:r>
      <w:r w:rsidR="00A457F3">
        <w:t xml:space="preserve"> region</w:t>
      </w:r>
      <w:r w:rsidR="00756D4D" w:rsidRPr="00FD57DB">
        <w:t>s</w:t>
      </w:r>
      <w:r w:rsidR="0080688C" w:rsidRPr="00FD57DB">
        <w:t xml:space="preserve">. Using the revised operable layer, this is reduced to </w:t>
      </w:r>
      <w:r w:rsidR="005929C4" w:rsidRPr="00FD57DB">
        <w:t>5% stat</w:t>
      </w:r>
      <w:r w:rsidR="00322BBE" w:rsidRPr="00FD57DB">
        <w:t>e</w:t>
      </w:r>
      <w:r w:rsidR="005929C4" w:rsidRPr="00FD57DB">
        <w:t>-wide, including 6% in the East Gippsland RFA</w:t>
      </w:r>
      <w:r w:rsidR="00A457F3">
        <w:t xml:space="preserve"> region</w:t>
      </w:r>
      <w:r w:rsidR="005929C4" w:rsidRPr="00FD57DB">
        <w:t xml:space="preserve">. </w:t>
      </w:r>
      <w:r w:rsidR="0080688C" w:rsidRPr="00FD57DB">
        <w:t xml:space="preserve"> </w:t>
      </w:r>
    </w:p>
    <w:p w14:paraId="417B857D" w14:textId="77777777" w:rsidR="00466BF6" w:rsidRDefault="00466BF6" w:rsidP="00466BF6">
      <w:pPr>
        <w:pStyle w:val="BodyText"/>
      </w:pPr>
      <w:r>
        <w:t>C</w:t>
      </w:r>
      <w:r w:rsidRPr="00660ABA">
        <w:t>urrent existing controls for this hazard includ</w:t>
      </w:r>
      <w:r>
        <w:t>e:</w:t>
      </w:r>
    </w:p>
    <w:p w14:paraId="3ABCE01B" w14:textId="16319CB9" w:rsidR="00466BF6" w:rsidRDefault="00466BF6" w:rsidP="006670D2">
      <w:pPr>
        <w:pStyle w:val="PullOutBoxBullet"/>
      </w:pPr>
      <w:r w:rsidRPr="003566BD">
        <w:t xml:space="preserve">The </w:t>
      </w:r>
      <w:r w:rsidRPr="003566BD">
        <w:rPr>
          <w:i/>
          <w:iCs/>
        </w:rPr>
        <w:t>Code of Practice for Timber Production 2014</w:t>
      </w:r>
      <w:r>
        <w:rPr>
          <w:i/>
          <w:iCs/>
        </w:rPr>
        <w:t>.</w:t>
      </w:r>
      <w:r w:rsidRPr="003566BD">
        <w:rPr>
          <w:i/>
          <w:iCs/>
        </w:rPr>
        <w:t xml:space="preserve"> </w:t>
      </w:r>
      <w:r>
        <w:t xml:space="preserve">There is no species-specific prescription </w:t>
      </w:r>
      <w:r w:rsidRPr="003566BD">
        <w:t xml:space="preserve">for this </w:t>
      </w:r>
      <w:r w:rsidR="001B07BE">
        <w:t>species</w:t>
      </w:r>
      <w:r>
        <w:t xml:space="preserve"> in the Code,</w:t>
      </w:r>
      <w:r w:rsidRPr="003566BD">
        <w:t xml:space="preserve"> </w:t>
      </w:r>
      <w:r>
        <w:t xml:space="preserve">however </w:t>
      </w:r>
      <w:r w:rsidRPr="003566BD">
        <w:t>the Code includes general protections for rainforest</w:t>
      </w:r>
      <w:r>
        <w:t xml:space="preserve"> and riparian areas, old-growth, other flora and fauna species occurring in the vicinity, and modified harvesting regimes to retain stags, hollow bearing trees and seed trees. These include</w:t>
      </w:r>
      <w:r w:rsidRPr="003566BD">
        <w:t xml:space="preserve"> a prohibition on harvesting, the application of buffers and </w:t>
      </w:r>
      <w:r w:rsidR="004F30F6" w:rsidRPr="00C02DCA">
        <w:t>design standards for roads, crossings</w:t>
      </w:r>
      <w:r w:rsidR="00FC08A3" w:rsidRPr="00C02DCA">
        <w:t>,</w:t>
      </w:r>
      <w:r w:rsidR="004F30F6" w:rsidRPr="00C02DCA">
        <w:t xml:space="preserve"> and coupe infrastructure</w:t>
      </w:r>
      <w:r w:rsidR="004F30F6" w:rsidRPr="4F453272">
        <w:t xml:space="preserve">. </w:t>
      </w:r>
      <w:r w:rsidRPr="003566BD">
        <w:t xml:space="preserve">The lack of a specific prescription leads to the effectiveness of the Code being assessed as poor for this </w:t>
      </w:r>
      <w:r w:rsidR="001B07BE">
        <w:t>species</w:t>
      </w:r>
      <w:r w:rsidRPr="003566BD">
        <w:t xml:space="preserve">. </w:t>
      </w:r>
    </w:p>
    <w:p w14:paraId="1AE15727" w14:textId="1C57319B" w:rsidR="00374735" w:rsidRDefault="00374735" w:rsidP="006670D2">
      <w:pPr>
        <w:pStyle w:val="PullOutBoxBullet"/>
      </w:pPr>
      <w:r w:rsidRPr="4F453272">
        <w:t xml:space="preserve">The CAR reserve system. </w:t>
      </w:r>
      <w:r w:rsidRPr="00160F2E">
        <w:t>The effectiveness of this control for this species has been evaluated as</w:t>
      </w:r>
      <w:r>
        <w:t xml:space="preserve"> satisfactory</w:t>
      </w:r>
      <w:r w:rsidR="00CC5C3F">
        <w:t>, as</w:t>
      </w:r>
      <w:r w:rsidRPr="4F453272">
        <w:t xml:space="preserve"> </w:t>
      </w:r>
      <w:r>
        <w:t>70</w:t>
      </w:r>
      <w:r w:rsidRPr="4F453272">
        <w:t xml:space="preserve">% of the </w:t>
      </w:r>
      <w:r w:rsidR="001D3902">
        <w:t>species’</w:t>
      </w:r>
      <w:r w:rsidRPr="4F453272">
        <w:t xml:space="preserve"> modelled distribution and </w:t>
      </w:r>
      <w:r>
        <w:t>74</w:t>
      </w:r>
      <w:r w:rsidRPr="4F453272">
        <w:t>% of important populations are within the reserve system</w:t>
      </w:r>
      <w:r w:rsidR="00CC5C3F">
        <w:t>.</w:t>
      </w:r>
    </w:p>
    <w:p w14:paraId="2154AA17" w14:textId="7C3EF4B9" w:rsidR="00466BF6" w:rsidRDefault="00466BF6" w:rsidP="006670D2">
      <w:pPr>
        <w:pStyle w:val="PullOutBoxBullet"/>
      </w:pPr>
      <w:r>
        <w:t xml:space="preserve">Direct seeding post-harvest. </w:t>
      </w:r>
      <w:r w:rsidRPr="00160F2E">
        <w:t>The effectiveness of this control for this species has been evaluated</w:t>
      </w:r>
      <w:r>
        <w:t xml:space="preserve"> as good</w:t>
      </w:r>
      <w:r w:rsidR="00830287">
        <w:t>,</w:t>
      </w:r>
      <w:r>
        <w:t xml:space="preserve"> as the </w:t>
      </w:r>
      <w:r w:rsidR="001D3902">
        <w:t>species</w:t>
      </w:r>
      <w:r>
        <w:t xml:space="preserve"> is part of the seed mix post-harvest. The regeneration failure rate on high-elevation mixed species has been high in the past, associated </w:t>
      </w:r>
      <w:r w:rsidR="00FC08A3">
        <w:t>with</w:t>
      </w:r>
      <w:r>
        <w:t xml:space="preserve"> drought years, and in some seasons up to 20% may fail</w:t>
      </w:r>
      <w:r w:rsidR="00830287">
        <w:t>;</w:t>
      </w:r>
      <w:r>
        <w:t xml:space="preserve"> however</w:t>
      </w:r>
      <w:r w:rsidR="0064022F">
        <w:t>,</w:t>
      </w:r>
      <w:r>
        <w:t xml:space="preserve"> there is a retreatment program to respon</w:t>
      </w:r>
      <w:r w:rsidR="002723E5">
        <w:t>d</w:t>
      </w:r>
      <w:r>
        <w:t xml:space="preserve"> to this. </w:t>
      </w:r>
    </w:p>
    <w:p w14:paraId="480E0A4C" w14:textId="60603980"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81</w:t>
      </w:r>
      <w:r w:rsidR="000B6788" w:rsidRPr="00B6162A">
        <w:rPr>
          <w:bCs/>
          <w:noProof/>
        </w:rPr>
        <w:fldChar w:fldCharType="end"/>
      </w:r>
      <w:r w:rsidRPr="00FF310C">
        <w:t>. Errinundra Shining Gum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466BF6" w:rsidRPr="00867DAA" w14:paraId="19404809"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5DADEC8F" w14:textId="77777777" w:rsidR="00466BF6" w:rsidRPr="00704719" w:rsidRDefault="00466BF6" w:rsidP="00296E0F">
            <w:pPr>
              <w:pStyle w:val="BodyText"/>
            </w:pPr>
            <w:r w:rsidRPr="00704719">
              <w:t>Requirement</w:t>
            </w:r>
          </w:p>
        </w:tc>
        <w:tc>
          <w:tcPr>
            <w:tcW w:w="7371" w:type="dxa"/>
            <w:vAlign w:val="center"/>
          </w:tcPr>
          <w:p w14:paraId="745919D0"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587E0318" w14:textId="77777777" w:rsidTr="009E6DAF">
        <w:tc>
          <w:tcPr>
            <w:tcW w:w="2268" w:type="dxa"/>
          </w:tcPr>
          <w:p w14:paraId="52184454" w14:textId="7E794CAC" w:rsidR="00466BF6" w:rsidRPr="003566BD" w:rsidRDefault="00466BF6" w:rsidP="009E6DAF">
            <w:pPr>
              <w:pStyle w:val="BodyText"/>
            </w:pPr>
            <w:r w:rsidRPr="003566BD">
              <w:t>Interim protections</w:t>
            </w:r>
            <w:r w:rsidR="00BF5D12">
              <w:t xml:space="preserve"> </w:t>
            </w:r>
          </w:p>
        </w:tc>
        <w:tc>
          <w:tcPr>
            <w:tcW w:w="7371" w:type="dxa"/>
          </w:tcPr>
          <w:p w14:paraId="08023A2A" w14:textId="77777777" w:rsidR="00466BF6" w:rsidRPr="003566BD" w:rsidRDefault="00466BF6" w:rsidP="009E6DAF">
            <w:pPr>
              <w:pStyle w:val="BodyText"/>
            </w:pPr>
            <w:r w:rsidRPr="00200995">
              <w:t>Not required for this hazard based on the overall risk level of medium</w:t>
            </w:r>
            <w:r>
              <w:t>.</w:t>
            </w:r>
          </w:p>
        </w:tc>
      </w:tr>
      <w:tr w:rsidR="00553876" w:rsidRPr="00867DAA" w14:paraId="24A86BED" w14:textId="77777777" w:rsidTr="009E6DAF">
        <w:tc>
          <w:tcPr>
            <w:tcW w:w="2268" w:type="dxa"/>
          </w:tcPr>
          <w:p w14:paraId="44164DC5" w14:textId="519E018C" w:rsidR="00553876" w:rsidRPr="003566BD" w:rsidRDefault="00C24B52" w:rsidP="009E6DAF">
            <w:pPr>
              <w:pStyle w:val="BodyText"/>
            </w:pPr>
            <w:r>
              <w:t>Priority management actions</w:t>
            </w:r>
          </w:p>
        </w:tc>
        <w:tc>
          <w:tcPr>
            <w:tcW w:w="7371" w:type="dxa"/>
            <w:shd w:val="clear" w:color="auto" w:fill="auto"/>
          </w:tcPr>
          <w:p w14:paraId="26B263B9" w14:textId="42DA8399" w:rsidR="00553876" w:rsidRPr="003566BD" w:rsidRDefault="00C24B52" w:rsidP="009E6DAF">
            <w:pPr>
              <w:pStyle w:val="BodyText"/>
            </w:pPr>
            <w:r w:rsidRPr="00200995">
              <w:t>Not required for this hazard based on the overall risk level of medium</w:t>
            </w:r>
            <w:r>
              <w:t>.</w:t>
            </w:r>
          </w:p>
        </w:tc>
      </w:tr>
      <w:tr w:rsidR="00466BF6" w:rsidRPr="00867DAA" w14:paraId="50696A71" w14:textId="77777777" w:rsidTr="009E6DAF">
        <w:tc>
          <w:tcPr>
            <w:tcW w:w="2268" w:type="dxa"/>
          </w:tcPr>
          <w:p w14:paraId="7549A581" w14:textId="77777777" w:rsidR="00466BF6" w:rsidRPr="003566BD" w:rsidRDefault="00466BF6" w:rsidP="009E6DAF">
            <w:pPr>
              <w:pStyle w:val="BodyText"/>
            </w:pPr>
            <w:r w:rsidRPr="003566BD">
              <w:t>Permanent protections</w:t>
            </w:r>
          </w:p>
        </w:tc>
        <w:tc>
          <w:tcPr>
            <w:tcW w:w="7371" w:type="dxa"/>
            <w:shd w:val="clear" w:color="auto" w:fill="auto"/>
          </w:tcPr>
          <w:p w14:paraId="255F3462" w14:textId="77777777" w:rsidR="00466BF6" w:rsidRPr="003566BD" w:rsidRDefault="00466BF6" w:rsidP="009E6DAF">
            <w:pPr>
              <w:pStyle w:val="BodyText"/>
            </w:pPr>
            <w:r w:rsidRPr="003566BD">
              <w:t>Additional permanent protections may be required in the longer-term</w:t>
            </w:r>
            <w:r>
              <w:t>.</w:t>
            </w:r>
          </w:p>
        </w:tc>
      </w:tr>
      <w:tr w:rsidR="00466BF6" w:rsidRPr="00867DAA" w14:paraId="1C562967" w14:textId="77777777" w:rsidTr="0045799B">
        <w:tc>
          <w:tcPr>
            <w:tcW w:w="0" w:type="dxa"/>
          </w:tcPr>
          <w:p w14:paraId="77255EE5" w14:textId="0E7F4E89" w:rsidR="00466BF6" w:rsidRPr="00867DAA" w:rsidRDefault="007003AA" w:rsidP="009E6DAF">
            <w:pPr>
              <w:pStyle w:val="BodyText"/>
            </w:pPr>
            <w:r>
              <w:t>Potential m</w:t>
            </w:r>
            <w:r w:rsidR="00466BF6" w:rsidRPr="00867DAA">
              <w:t>anagement actions</w:t>
            </w:r>
          </w:p>
        </w:tc>
        <w:tc>
          <w:tcPr>
            <w:tcW w:w="0" w:type="dxa"/>
          </w:tcPr>
          <w:p w14:paraId="41F31EC6" w14:textId="29BF0EB6" w:rsidR="00466BF6" w:rsidRDefault="00466BF6" w:rsidP="006670D2">
            <w:pPr>
              <w:pStyle w:val="PullOutBoxBullet"/>
            </w:pPr>
            <w:r>
              <w:t xml:space="preserve">Collect seed for the </w:t>
            </w:r>
            <w:r w:rsidR="000B671C">
              <w:t>VCS</w:t>
            </w:r>
            <w:r>
              <w:t xml:space="preserve">, prioritising collections from multiple sites from a wide geographic range to sample </w:t>
            </w:r>
            <w:r w:rsidRPr="00BD6D0C">
              <w:t>a variety of genes that might better support climate adaptation work on the specie</w:t>
            </w:r>
            <w:r>
              <w:t xml:space="preserve">s; </w:t>
            </w:r>
          </w:p>
          <w:p w14:paraId="26F05824" w14:textId="756D8CCA" w:rsidR="00466BF6" w:rsidRDefault="00466BF6" w:rsidP="006670D2">
            <w:pPr>
              <w:pStyle w:val="PullOutBoxBullet"/>
            </w:pPr>
            <w:r w:rsidRPr="00200995">
              <w:t>Species-specific code prescriptions</w:t>
            </w:r>
            <w:r>
              <w:t xml:space="preserve"> should be considered in any future Code amendments</w:t>
            </w:r>
            <w:r w:rsidR="00EE6428">
              <w:t>;</w:t>
            </w:r>
          </w:p>
          <w:p w14:paraId="5716909E" w14:textId="1468BF81" w:rsidR="00466BF6" w:rsidRDefault="00466BF6" w:rsidP="006670D2">
            <w:pPr>
              <w:pStyle w:val="PullOutBoxBullet"/>
            </w:pPr>
            <w:r>
              <w:t xml:space="preserve">Avoid harvesting in areas that include the </w:t>
            </w:r>
            <w:r w:rsidR="001D3902">
              <w:t>species</w:t>
            </w:r>
            <w:r>
              <w:t xml:space="preserve"> especially in smaller populations disjunct from the main distribution in the vicinity of Errinundra, or r</w:t>
            </w:r>
            <w:r w:rsidRPr="0026100A">
              <w:t>educe harvesting intensity in areas of older stands of the species within State Forest</w:t>
            </w:r>
            <w:r>
              <w:t>;</w:t>
            </w:r>
            <w:r w:rsidDel="0030099C">
              <w:t xml:space="preserve"> </w:t>
            </w:r>
            <w:r w:rsidR="0030099C">
              <w:t>and</w:t>
            </w:r>
          </w:p>
          <w:p w14:paraId="4D143C32" w14:textId="129B20E0" w:rsidR="0030099C" w:rsidRPr="00FB23E3" w:rsidRDefault="0030099C" w:rsidP="006670D2">
            <w:pPr>
              <w:pStyle w:val="PullOutBoxBullet"/>
            </w:pPr>
            <w:r>
              <w:t xml:space="preserve">Review silvicultural guidelines related to the regeneration of coupes associated with this </w:t>
            </w:r>
            <w:r w:rsidR="001D3902">
              <w:t>species</w:t>
            </w:r>
            <w:r>
              <w:t>, such as for seed mix.</w:t>
            </w:r>
          </w:p>
        </w:tc>
      </w:tr>
    </w:tbl>
    <w:p w14:paraId="62B88D28" w14:textId="77777777" w:rsidR="00466BF6" w:rsidRDefault="00466BF6" w:rsidP="00466BF6">
      <w:pPr>
        <w:pStyle w:val="BodyText"/>
      </w:pPr>
    </w:p>
    <w:p w14:paraId="5D0C26B9" w14:textId="77777777" w:rsidR="00466BF6" w:rsidRPr="00641022" w:rsidRDefault="00466BF6" w:rsidP="00FB5A2B">
      <w:pPr>
        <w:pStyle w:val="Heading2"/>
        <w:ind w:left="0"/>
        <w:rPr>
          <w:i/>
        </w:rPr>
      </w:pPr>
      <w:r>
        <w:br w:type="page"/>
      </w:r>
      <w:bookmarkStart w:id="332" w:name="_Toc88565776"/>
      <w:bookmarkStart w:id="333" w:name="_Toc88725703"/>
      <w:bookmarkStart w:id="334" w:name="_Toc95233351"/>
      <w:bookmarkStart w:id="335" w:name="_Toc113271040"/>
      <w:r w:rsidRPr="0067774A">
        <w:t>Finger Hakea</w:t>
      </w:r>
      <w:r w:rsidRPr="0096566E">
        <w:t> </w:t>
      </w:r>
      <w:r w:rsidRPr="00C50AA1">
        <w:rPr>
          <w:i/>
          <w:iCs/>
        </w:rPr>
        <w:t>(</w:t>
      </w:r>
      <w:bookmarkStart w:id="336" w:name="SCI_NAME"/>
      <w:bookmarkEnd w:id="336"/>
      <w:r w:rsidRPr="00C50AA1">
        <w:rPr>
          <w:i/>
          <w:iCs/>
        </w:rPr>
        <w:t>Hakea dactyloides)</w:t>
      </w:r>
      <w:bookmarkEnd w:id="332"/>
      <w:bookmarkEnd w:id="333"/>
      <w:bookmarkEnd w:id="334"/>
      <w:bookmarkEnd w:id="335"/>
      <w:r w:rsidRPr="00C50AA1">
        <w:rPr>
          <w:i/>
          <w:iCs/>
        </w:rPr>
        <w:t> </w:t>
      </w:r>
    </w:p>
    <w:p w14:paraId="36367654" w14:textId="5E2F51F5" w:rsidR="00466BF6" w:rsidRPr="003E1225" w:rsidRDefault="00466BF6" w:rsidP="00C803B7">
      <w:pPr>
        <w:pStyle w:val="BodyText"/>
        <w:rPr>
          <w:rFonts w:ascii="Arial" w:hAnsi="Arial"/>
          <w:color w:val="363534"/>
        </w:rPr>
      </w:pPr>
      <w:r w:rsidRPr="00521CB4">
        <w:t xml:space="preserve">The </w:t>
      </w:r>
      <w:r>
        <w:t>Finger Hakea</w:t>
      </w:r>
      <w:r w:rsidRPr="00521CB4">
        <w:t xml:space="preserve"> was listed</w:t>
      </w:r>
      <w:r>
        <w:t xml:space="preserve"> as Endangered in Victoria under the FFG Act in May 2021. The </w:t>
      </w:r>
      <w:r w:rsidR="001D3902">
        <w:t>species</w:t>
      </w:r>
      <w:r>
        <w:t xml:space="preserve"> has modelled habitat in the East Gippsland (100% of modelled habitat) RFA region.</w:t>
      </w:r>
      <w:r w:rsidRPr="0081717E">
        <w:rPr>
          <w:rStyle w:val="BodyTextChar"/>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 </w:t>
      </w:r>
    </w:p>
    <w:p w14:paraId="6266364D" w14:textId="77777777" w:rsidR="00466BF6" w:rsidRDefault="00466BF6" w:rsidP="007E5EBF">
      <w:pPr>
        <w:pStyle w:val="Heading3"/>
      </w:pPr>
      <w:bookmarkStart w:id="337" w:name="MOD_COMMENTS"/>
      <w:bookmarkStart w:id="338" w:name="_Toc88725705"/>
      <w:bookmarkStart w:id="339" w:name="_Toc88725706"/>
      <w:bookmarkStart w:id="340" w:name="RA_COMMENTS"/>
      <w:bookmarkStart w:id="341" w:name="HAZARD_THEME"/>
      <w:bookmarkStart w:id="342" w:name="_Toc88725707"/>
      <w:bookmarkStart w:id="343" w:name="_Toc88725708"/>
      <w:bookmarkStart w:id="344" w:name="HAZARD_THEME1"/>
      <w:bookmarkStart w:id="345" w:name="_Toc88725710"/>
      <w:bookmarkStart w:id="346" w:name="_Toc88725735"/>
      <w:bookmarkStart w:id="347" w:name="_Toc88725711"/>
      <w:bookmarkEnd w:id="337"/>
      <w:bookmarkEnd w:id="338"/>
      <w:bookmarkEnd w:id="339"/>
      <w:bookmarkEnd w:id="340"/>
      <w:bookmarkEnd w:id="341"/>
      <w:bookmarkEnd w:id="342"/>
      <w:bookmarkEnd w:id="343"/>
      <w:bookmarkEnd w:id="344"/>
      <w:bookmarkEnd w:id="345"/>
      <w:r>
        <w:t>Risk Assessment</w:t>
      </w:r>
    </w:p>
    <w:p w14:paraId="063E143F" w14:textId="5A379618" w:rsidR="00466BF6" w:rsidRPr="00FF310C" w:rsidRDefault="00466BF6" w:rsidP="006670D2">
      <w:pPr>
        <w:pStyle w:val="Caption"/>
        <w:rPr>
          <w:rFonts w:ascii="Segoe UI" w:hAnsi="Segoe UI" w:cs="Segoe UI"/>
          <w:color w:val="363534"/>
        </w:rPr>
      </w:pPr>
      <w:r w:rsidRPr="00FF310C">
        <w:t xml:space="preserve">Table </w:t>
      </w:r>
      <w:r w:rsidRPr="00B6162A">
        <w:rPr>
          <w:bCs/>
        </w:rPr>
        <w:fldChar w:fldCharType="begin"/>
      </w:r>
      <w:r w:rsidRPr="00FF310C">
        <w:instrText>SEQ Table \* ARABIC</w:instrText>
      </w:r>
      <w:r w:rsidRPr="00B6162A">
        <w:rPr>
          <w:bCs/>
        </w:rPr>
        <w:fldChar w:fldCharType="separate"/>
      </w:r>
      <w:r w:rsidR="00692F0D">
        <w:rPr>
          <w:noProof/>
        </w:rPr>
        <w:t>82</w:t>
      </w:r>
      <w:r w:rsidRPr="00B6162A">
        <w:rPr>
          <w:bCs/>
        </w:rPr>
        <w:fldChar w:fldCharType="end"/>
      </w:r>
      <w:r w:rsidRPr="00FF310C">
        <w:t>. Finger Hakea risk ratings in the East Gippsland RFA Region:</w:t>
      </w:r>
    </w:p>
    <w:tbl>
      <w:tblPr>
        <w:tblStyle w:val="TableGrid"/>
        <w:tblW w:w="0" w:type="auto"/>
        <w:tblLayout w:type="fixed"/>
        <w:tblLook w:val="04A0" w:firstRow="1" w:lastRow="0" w:firstColumn="1" w:lastColumn="0" w:noHBand="0" w:noVBand="1"/>
      </w:tblPr>
      <w:tblGrid>
        <w:gridCol w:w="1633"/>
        <w:gridCol w:w="1633"/>
        <w:gridCol w:w="1633"/>
        <w:gridCol w:w="1633"/>
        <w:gridCol w:w="1633"/>
        <w:gridCol w:w="1633"/>
      </w:tblGrid>
      <w:tr w:rsidR="00466BF6" w:rsidRPr="00F26BEE" w14:paraId="58A5AE8D" w14:textId="77777777" w:rsidTr="00C50AA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33" w:type="dxa"/>
            <w:vAlign w:val="center"/>
          </w:tcPr>
          <w:p w14:paraId="169B7A6C" w14:textId="77777777" w:rsidR="00466BF6" w:rsidRPr="00643008" w:rsidRDefault="00466BF6" w:rsidP="006670D2">
            <w:pPr>
              <w:pStyle w:val="CaptionImageorFigure"/>
            </w:pPr>
          </w:p>
        </w:tc>
        <w:tc>
          <w:tcPr>
            <w:tcW w:w="1633" w:type="dxa"/>
            <w:vAlign w:val="center"/>
          </w:tcPr>
          <w:p w14:paraId="65B44A4A" w14:textId="77777777" w:rsidR="00466BF6" w:rsidRPr="00F26BEE"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rsidRPr="00F26BEE">
              <w:t>Drying climate; Increased fire frequency and intensity</w:t>
            </w:r>
          </w:p>
        </w:tc>
        <w:tc>
          <w:tcPr>
            <w:tcW w:w="1633" w:type="dxa"/>
            <w:vAlign w:val="center"/>
          </w:tcPr>
          <w:p w14:paraId="5092D68B" w14:textId="77777777" w:rsidR="00466BF6" w:rsidRPr="00F26BEE"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rsidRPr="00F26BEE">
              <w:t>Planned burning</w:t>
            </w:r>
          </w:p>
        </w:tc>
        <w:tc>
          <w:tcPr>
            <w:tcW w:w="1633" w:type="dxa"/>
            <w:vAlign w:val="center"/>
          </w:tcPr>
          <w:p w14:paraId="2C3D6E49" w14:textId="45F03683" w:rsidR="00466BF6" w:rsidRPr="00F26BEE" w:rsidRDefault="00BC4502"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466BF6" w:rsidRPr="00F26BEE">
              <w:t>orestry operations</w:t>
            </w:r>
          </w:p>
        </w:tc>
        <w:tc>
          <w:tcPr>
            <w:tcW w:w="1633" w:type="dxa"/>
            <w:vAlign w:val="center"/>
          </w:tcPr>
          <w:p w14:paraId="4BBCAD8D" w14:textId="77777777" w:rsidR="00466BF6" w:rsidRPr="00F26BEE"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rsidRPr="00F26BEE">
              <w:t>Invasive vertebrate (deer)</w:t>
            </w:r>
          </w:p>
        </w:tc>
        <w:tc>
          <w:tcPr>
            <w:tcW w:w="1633" w:type="dxa"/>
            <w:vAlign w:val="center"/>
          </w:tcPr>
          <w:p w14:paraId="205ADB8F" w14:textId="77777777" w:rsidR="00466BF6" w:rsidRPr="00F26BEE"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rsidRPr="00F26BEE">
              <w:t>Small/restricted population (flora)</w:t>
            </w:r>
          </w:p>
        </w:tc>
      </w:tr>
      <w:tr w:rsidR="00466BF6" w:rsidRPr="00F26BEE" w14:paraId="17F1740F" w14:textId="77777777" w:rsidTr="00C50AA1">
        <w:tc>
          <w:tcPr>
            <w:tcW w:w="1633" w:type="dxa"/>
            <w:vAlign w:val="center"/>
          </w:tcPr>
          <w:p w14:paraId="67263A80" w14:textId="77777777" w:rsidR="00466BF6" w:rsidRPr="00F26BEE" w:rsidRDefault="00466BF6" w:rsidP="00C50AA1">
            <w:pPr>
              <w:pStyle w:val="BodyText"/>
              <w:jc w:val="center"/>
            </w:pPr>
            <w:r w:rsidRPr="00F26BEE">
              <w:t>Consequence</w:t>
            </w:r>
          </w:p>
        </w:tc>
        <w:tc>
          <w:tcPr>
            <w:tcW w:w="1633" w:type="dxa"/>
            <w:vAlign w:val="center"/>
          </w:tcPr>
          <w:p w14:paraId="409F3431" w14:textId="77777777" w:rsidR="00466BF6" w:rsidRPr="00F26BEE" w:rsidRDefault="00466BF6" w:rsidP="00C50AA1">
            <w:pPr>
              <w:pStyle w:val="BodyText"/>
              <w:jc w:val="center"/>
            </w:pPr>
            <w:r w:rsidRPr="00F26BEE">
              <w:t>Major</w:t>
            </w:r>
          </w:p>
        </w:tc>
        <w:tc>
          <w:tcPr>
            <w:tcW w:w="1633" w:type="dxa"/>
            <w:vAlign w:val="center"/>
          </w:tcPr>
          <w:p w14:paraId="36A200A9" w14:textId="77777777" w:rsidR="00466BF6" w:rsidRPr="00F26BEE" w:rsidRDefault="00466BF6" w:rsidP="00C50AA1">
            <w:pPr>
              <w:pStyle w:val="BodyText"/>
              <w:jc w:val="center"/>
            </w:pPr>
            <w:r w:rsidRPr="00F26BEE">
              <w:t>Major</w:t>
            </w:r>
          </w:p>
        </w:tc>
        <w:tc>
          <w:tcPr>
            <w:tcW w:w="1633" w:type="dxa"/>
            <w:vAlign w:val="center"/>
          </w:tcPr>
          <w:p w14:paraId="00002A77" w14:textId="77777777" w:rsidR="00466BF6" w:rsidRPr="00F26BEE" w:rsidRDefault="00466BF6" w:rsidP="00C50AA1">
            <w:pPr>
              <w:pStyle w:val="BodyText"/>
              <w:jc w:val="center"/>
            </w:pPr>
            <w:r w:rsidRPr="00F26BEE">
              <w:t>Extreme</w:t>
            </w:r>
          </w:p>
        </w:tc>
        <w:tc>
          <w:tcPr>
            <w:tcW w:w="1633" w:type="dxa"/>
            <w:vAlign w:val="center"/>
          </w:tcPr>
          <w:p w14:paraId="2169CD42" w14:textId="77777777" w:rsidR="00466BF6" w:rsidRPr="00F26BEE" w:rsidRDefault="00466BF6" w:rsidP="00C50AA1">
            <w:pPr>
              <w:pStyle w:val="BodyText"/>
              <w:jc w:val="center"/>
            </w:pPr>
            <w:r w:rsidRPr="00F26BEE">
              <w:t>Major</w:t>
            </w:r>
          </w:p>
        </w:tc>
        <w:tc>
          <w:tcPr>
            <w:tcW w:w="1633" w:type="dxa"/>
            <w:vAlign w:val="center"/>
          </w:tcPr>
          <w:p w14:paraId="72F40F07" w14:textId="77777777" w:rsidR="00466BF6" w:rsidRPr="00F26BEE" w:rsidRDefault="00466BF6" w:rsidP="00C50AA1">
            <w:pPr>
              <w:pStyle w:val="BodyText"/>
              <w:jc w:val="center"/>
            </w:pPr>
            <w:r w:rsidRPr="00F26BEE">
              <w:t>Extreme</w:t>
            </w:r>
          </w:p>
        </w:tc>
      </w:tr>
      <w:tr w:rsidR="00466BF6" w:rsidRPr="00F26BEE" w14:paraId="0B32F93A" w14:textId="77777777" w:rsidTr="00C50AA1">
        <w:tc>
          <w:tcPr>
            <w:tcW w:w="1633" w:type="dxa"/>
            <w:vAlign w:val="center"/>
          </w:tcPr>
          <w:p w14:paraId="24FE284F" w14:textId="77777777" w:rsidR="00466BF6" w:rsidRPr="00F26BEE" w:rsidRDefault="00466BF6" w:rsidP="00C50AA1">
            <w:pPr>
              <w:pStyle w:val="BodyText"/>
              <w:jc w:val="center"/>
            </w:pPr>
            <w:r w:rsidRPr="00F26BEE">
              <w:t>Likelihood</w:t>
            </w:r>
          </w:p>
        </w:tc>
        <w:tc>
          <w:tcPr>
            <w:tcW w:w="1633" w:type="dxa"/>
            <w:vAlign w:val="center"/>
          </w:tcPr>
          <w:p w14:paraId="455D35C4" w14:textId="77777777" w:rsidR="00466BF6" w:rsidRPr="00F26BEE" w:rsidRDefault="00466BF6" w:rsidP="00C50AA1">
            <w:pPr>
              <w:pStyle w:val="BodyText"/>
              <w:jc w:val="center"/>
            </w:pPr>
            <w:r w:rsidRPr="00F26BEE">
              <w:t>Likely</w:t>
            </w:r>
          </w:p>
        </w:tc>
        <w:tc>
          <w:tcPr>
            <w:tcW w:w="1633" w:type="dxa"/>
            <w:vAlign w:val="center"/>
          </w:tcPr>
          <w:p w14:paraId="23E47C97" w14:textId="77777777" w:rsidR="00466BF6" w:rsidRPr="00F26BEE" w:rsidRDefault="00466BF6" w:rsidP="00C50AA1">
            <w:pPr>
              <w:pStyle w:val="BodyText"/>
              <w:jc w:val="center"/>
            </w:pPr>
            <w:r w:rsidRPr="00F26BEE">
              <w:t>Likely</w:t>
            </w:r>
          </w:p>
        </w:tc>
        <w:tc>
          <w:tcPr>
            <w:tcW w:w="1633" w:type="dxa"/>
            <w:vAlign w:val="center"/>
          </w:tcPr>
          <w:p w14:paraId="0F8C8546" w14:textId="77777777" w:rsidR="00466BF6" w:rsidRPr="00F26BEE" w:rsidRDefault="00466BF6" w:rsidP="00C50AA1">
            <w:pPr>
              <w:pStyle w:val="BodyText"/>
              <w:jc w:val="center"/>
            </w:pPr>
            <w:r w:rsidRPr="00F26BEE">
              <w:t>Unlikely</w:t>
            </w:r>
          </w:p>
        </w:tc>
        <w:tc>
          <w:tcPr>
            <w:tcW w:w="1633" w:type="dxa"/>
            <w:vAlign w:val="center"/>
          </w:tcPr>
          <w:p w14:paraId="1CE18ECC" w14:textId="77777777" w:rsidR="00466BF6" w:rsidRPr="00F26BEE" w:rsidRDefault="00466BF6" w:rsidP="00C50AA1">
            <w:pPr>
              <w:pStyle w:val="BodyText"/>
              <w:jc w:val="center"/>
            </w:pPr>
            <w:r w:rsidRPr="00F26BEE">
              <w:t>Likely</w:t>
            </w:r>
          </w:p>
        </w:tc>
        <w:tc>
          <w:tcPr>
            <w:tcW w:w="1633" w:type="dxa"/>
            <w:vAlign w:val="center"/>
          </w:tcPr>
          <w:p w14:paraId="142FDCB6" w14:textId="77777777" w:rsidR="00466BF6" w:rsidRPr="00F26BEE" w:rsidRDefault="00466BF6" w:rsidP="00C50AA1">
            <w:pPr>
              <w:pStyle w:val="BodyText"/>
              <w:jc w:val="center"/>
            </w:pPr>
            <w:r w:rsidRPr="00F26BEE">
              <w:t>Almost Certain</w:t>
            </w:r>
          </w:p>
        </w:tc>
      </w:tr>
      <w:tr w:rsidR="00466BF6" w:rsidRPr="00F26BEE" w14:paraId="7001E4BA" w14:textId="77777777" w:rsidTr="00C50AA1">
        <w:tc>
          <w:tcPr>
            <w:tcW w:w="1633" w:type="dxa"/>
            <w:vAlign w:val="center"/>
          </w:tcPr>
          <w:p w14:paraId="3D8FE802" w14:textId="77777777" w:rsidR="00466BF6" w:rsidRPr="00F26BEE" w:rsidRDefault="00466BF6" w:rsidP="00296E0F">
            <w:pPr>
              <w:pStyle w:val="BodyText"/>
              <w:jc w:val="center"/>
            </w:pPr>
            <w:r w:rsidRPr="00F26BEE">
              <w:t>Overall risk rating</w:t>
            </w:r>
          </w:p>
        </w:tc>
        <w:tc>
          <w:tcPr>
            <w:tcW w:w="1633" w:type="dxa"/>
            <w:shd w:val="clear" w:color="auto" w:fill="FF0000"/>
            <w:vAlign w:val="center"/>
          </w:tcPr>
          <w:p w14:paraId="54C46892" w14:textId="77777777" w:rsidR="00466BF6" w:rsidRPr="00F26BEE" w:rsidRDefault="00466BF6" w:rsidP="00296E0F">
            <w:pPr>
              <w:pStyle w:val="BodyText"/>
              <w:jc w:val="center"/>
            </w:pPr>
            <w:r w:rsidRPr="00F26BEE">
              <w:t>High</w:t>
            </w:r>
          </w:p>
        </w:tc>
        <w:tc>
          <w:tcPr>
            <w:tcW w:w="1633" w:type="dxa"/>
            <w:shd w:val="clear" w:color="auto" w:fill="FF0000"/>
            <w:vAlign w:val="center"/>
          </w:tcPr>
          <w:p w14:paraId="0DEC8CB2" w14:textId="77777777" w:rsidR="00466BF6" w:rsidRPr="00F26BEE" w:rsidRDefault="00466BF6" w:rsidP="00296E0F">
            <w:pPr>
              <w:pStyle w:val="BodyText"/>
              <w:jc w:val="center"/>
            </w:pPr>
            <w:r w:rsidRPr="00F26BEE">
              <w:t>High</w:t>
            </w:r>
          </w:p>
        </w:tc>
        <w:tc>
          <w:tcPr>
            <w:tcW w:w="1633" w:type="dxa"/>
            <w:shd w:val="clear" w:color="auto" w:fill="FFC000"/>
            <w:vAlign w:val="center"/>
          </w:tcPr>
          <w:p w14:paraId="46DE5278" w14:textId="77777777" w:rsidR="00466BF6" w:rsidRPr="00F26BEE" w:rsidRDefault="00466BF6" w:rsidP="00296E0F">
            <w:pPr>
              <w:pStyle w:val="BodyText"/>
              <w:jc w:val="center"/>
            </w:pPr>
            <w:r w:rsidRPr="00F26BEE">
              <w:t>Significant</w:t>
            </w:r>
          </w:p>
        </w:tc>
        <w:tc>
          <w:tcPr>
            <w:tcW w:w="1633" w:type="dxa"/>
            <w:shd w:val="clear" w:color="auto" w:fill="FF0000"/>
            <w:vAlign w:val="center"/>
          </w:tcPr>
          <w:p w14:paraId="5A0E9C36" w14:textId="77777777" w:rsidR="00466BF6" w:rsidRPr="00F26BEE" w:rsidRDefault="00466BF6" w:rsidP="00296E0F">
            <w:pPr>
              <w:pStyle w:val="BodyText"/>
              <w:jc w:val="center"/>
            </w:pPr>
            <w:r w:rsidRPr="00F26BEE">
              <w:t>High</w:t>
            </w:r>
          </w:p>
        </w:tc>
        <w:tc>
          <w:tcPr>
            <w:tcW w:w="1633" w:type="dxa"/>
            <w:shd w:val="clear" w:color="auto" w:fill="FF0000"/>
            <w:vAlign w:val="center"/>
          </w:tcPr>
          <w:p w14:paraId="7D8B9C8E" w14:textId="77777777" w:rsidR="00466BF6" w:rsidRPr="00F26BEE" w:rsidRDefault="00466BF6" w:rsidP="00296E0F">
            <w:pPr>
              <w:pStyle w:val="BodyText"/>
              <w:jc w:val="center"/>
            </w:pPr>
            <w:r w:rsidRPr="00F26BEE">
              <w:t>High</w:t>
            </w:r>
          </w:p>
        </w:tc>
      </w:tr>
    </w:tbl>
    <w:p w14:paraId="13B09834" w14:textId="77777777" w:rsidR="00466BF6" w:rsidRPr="00F26BEE" w:rsidRDefault="00466BF6" w:rsidP="007E5EBF">
      <w:pPr>
        <w:pStyle w:val="Heading3"/>
      </w:pPr>
      <w:r w:rsidRPr="00F26BEE">
        <w:rPr>
          <w:rFonts w:cs="Times New Roman"/>
          <w:noProof/>
          <w:lang w:eastAsia="en-US"/>
        </w:rPr>
        <mc:AlternateContent>
          <mc:Choice Requires="wps">
            <w:drawing>
              <wp:anchor distT="0" distB="0" distL="114300" distR="114300" simplePos="1" relativeHeight="251658300" behindDoc="1" locked="1" layoutInCell="1" allowOverlap="1" wp14:anchorId="1B505E33" wp14:editId="753A851E">
                <wp:simplePos x="359410" y="9071610"/>
                <wp:positionH relativeFrom="page">
                  <wp:posOffset>359410</wp:posOffset>
                </wp:positionH>
                <wp:positionV relativeFrom="page">
                  <wp:posOffset>9071610</wp:posOffset>
                </wp:positionV>
                <wp:extent cx="6840001" cy="432000"/>
                <wp:effectExtent l="0" t="0" r="0" b="0"/>
                <wp:wrapNone/>
                <wp:docPr id="307"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AC62D"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5E33" id="_x0000_s1065" type="#_x0000_t202" alt="Title: Decorative Cover Shape" style="position:absolute;left:0;text-align:left;margin-left:28.3pt;margin-top:714.3pt;width:538.6pt;height:34pt;z-index:-2516581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NFZ5lJ/AgAA&#10;agUAAA4AAAAAAAAAAAAAAAAALgIAAGRycy9lMm9Eb2MueG1sUEsBAi0AFAAGAAgAAAAhAJFrJtfd&#10;AAAADQEAAA8AAAAAAAAAAAAAAAAA2QQAAGRycy9kb3ducmV2LnhtbFBLBQYAAAAABAAEAPMAAADj&#10;BQAAAAA=&#10;" fillcolor="#201547" stroked="f" strokeweight=".5pt">
                <v:textbox inset="10mm,0,10mm,0">
                  <w:txbxContent>
                    <w:p w14:paraId="3B4AC62D"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F26BEE">
        <w:rPr>
          <w:rFonts w:cs="Times New Roman"/>
          <w:noProof/>
          <w:lang w:eastAsia="en-US"/>
        </w:rPr>
        <mc:AlternateContent>
          <mc:Choice Requires="wps">
            <w:drawing>
              <wp:anchor distT="0" distB="0" distL="114300" distR="114300" simplePos="0" relativeHeight="251658299" behindDoc="0" locked="1" layoutInCell="1" allowOverlap="1" wp14:anchorId="6111D1BF" wp14:editId="03A8845A">
                <wp:simplePos x="0" y="0"/>
                <wp:positionH relativeFrom="page">
                  <wp:posOffset>360045</wp:posOffset>
                </wp:positionH>
                <wp:positionV relativeFrom="page">
                  <wp:posOffset>360045</wp:posOffset>
                </wp:positionV>
                <wp:extent cx="1864800" cy="1976400"/>
                <wp:effectExtent l="0" t="0" r="0" b="0"/>
                <wp:wrapNone/>
                <wp:docPr id="1611"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D87C779" id="TriangleTopACIMono" o:spid="_x0000_s1026" style="position:absolute;margin-left:28.35pt;margin-top:28.35pt;width:146.85pt;height:155.6pt;z-index:25165829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sidRPr="00F26BEE">
        <w:rPr>
          <w:rFonts w:cs="Times New Roman"/>
          <w:noProof/>
          <w:lang w:eastAsia="en-US"/>
        </w:rPr>
        <mc:AlternateContent>
          <mc:Choice Requires="wps">
            <w:drawing>
              <wp:anchor distT="0" distB="0" distL="114300" distR="114300" simplePos="0" relativeHeight="251658298" behindDoc="0" locked="1" layoutInCell="1" allowOverlap="1" wp14:anchorId="72EA1CC0" wp14:editId="1A5DEA76">
                <wp:simplePos x="0" y="0"/>
                <wp:positionH relativeFrom="page">
                  <wp:posOffset>359410</wp:posOffset>
                </wp:positionH>
                <wp:positionV relativeFrom="page">
                  <wp:posOffset>359410</wp:posOffset>
                </wp:positionV>
                <wp:extent cx="1864800" cy="1976400"/>
                <wp:effectExtent l="0" t="0" r="0" b="0"/>
                <wp:wrapNone/>
                <wp:docPr id="1612"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60B52A1" id="TriangleTop" o:spid="_x0000_s1026" style="position:absolute;margin-left:28.3pt;margin-top:28.3pt;width:146.85pt;height:155.6pt;z-index:25165829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F26BEE">
        <w:rPr>
          <w:rFonts w:cs="Times New Roman"/>
          <w:noProof/>
          <w:lang w:eastAsia="en-US"/>
        </w:rPr>
        <mc:AlternateContent>
          <mc:Choice Requires="wps">
            <w:drawing>
              <wp:anchor distT="0" distB="0" distL="114300" distR="114300" simplePos="0" relativeHeight="251658297" behindDoc="0" locked="1" layoutInCell="1" allowOverlap="1" wp14:anchorId="1FF87C52" wp14:editId="1AC62C42">
                <wp:simplePos x="0" y="0"/>
                <wp:positionH relativeFrom="page">
                  <wp:posOffset>0</wp:posOffset>
                </wp:positionH>
                <wp:positionV relativeFrom="page">
                  <wp:align>bottom</wp:align>
                </wp:positionV>
                <wp:extent cx="3848400" cy="720000"/>
                <wp:effectExtent l="0" t="0" r="0" b="0"/>
                <wp:wrapNone/>
                <wp:docPr id="310"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7C3BB"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87C52" id="_x0000_s1066" type="#_x0000_t202" style="position:absolute;left:0;text-align:left;margin-left:0;margin-top:0;width:303pt;height:56.7pt;z-index:25165829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Otn9pdtAgAARgUAAA4AAAAAAAAAAAAAAAAALgIA&#10;AGRycy9lMm9Eb2MueG1sUEsBAi0AFAAGAAgAAAAhAPTKz6jaAAAABQEAAA8AAAAAAAAAAAAAAAAA&#10;xwQAAGRycy9kb3ducmV2LnhtbFBLBQYAAAAABAAEAPMAAADOBQAAAAA=&#10;" filled="f" stroked="f" strokeweight=".5pt">
                <v:textbox inset="20mm">
                  <w:txbxContent>
                    <w:p w14:paraId="5407C3BB"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bookmarkStart w:id="348" w:name="_Toc88725736"/>
      <w:bookmarkStart w:id="349" w:name="_Toc88725737"/>
      <w:bookmarkStart w:id="350" w:name="_Toc88725738"/>
      <w:bookmarkStart w:id="351" w:name="_Toc88725739"/>
      <w:bookmarkStart w:id="352" w:name="_Toc88725740"/>
      <w:bookmarkStart w:id="353" w:name="_Toc88725741"/>
      <w:bookmarkStart w:id="354" w:name="_Toc88725742"/>
      <w:bookmarkStart w:id="355" w:name="_Toc88725743"/>
      <w:bookmarkStart w:id="356" w:name="_Toc88725744"/>
      <w:bookmarkStart w:id="357" w:name="_Toc88725745"/>
      <w:bookmarkStart w:id="358" w:name="_Toc88725746"/>
      <w:bookmarkStart w:id="359" w:name="_Toc88725748"/>
      <w:bookmarkStart w:id="360" w:name="_Toc88725750"/>
      <w:bookmarkStart w:id="361" w:name="_Toc88725752"/>
      <w:bookmarkStart w:id="362" w:name="_Toc88725754"/>
      <w:bookmarkStart w:id="363" w:name="_Toc88725755"/>
      <w:bookmarkStart w:id="364" w:name="_Toc88725756"/>
      <w:bookmarkStart w:id="365" w:name="_Toc88725757"/>
      <w:bookmarkStart w:id="366" w:name="_Toc88725758"/>
      <w:bookmarkEnd w:id="346"/>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F26BEE">
        <w:t>Climate change; Fire</w:t>
      </w:r>
      <w:bookmarkEnd w:id="366"/>
    </w:p>
    <w:p w14:paraId="78CBB444" w14:textId="77777777" w:rsidR="00466BF6" w:rsidRPr="00F26BEE" w:rsidRDefault="00466BF6" w:rsidP="00466BF6">
      <w:pPr>
        <w:pStyle w:val="Heading5"/>
        <w:numPr>
          <w:ilvl w:val="0"/>
          <w:numId w:val="0"/>
        </w:numPr>
        <w:ind w:left="1008" w:hanging="1008"/>
        <w:rPr>
          <w:rFonts w:ascii="Arial" w:hAnsi="Arial"/>
        </w:rPr>
      </w:pPr>
      <w:r w:rsidRPr="00F26BEE">
        <w:t>Drying climate and increased fire frequency and intensity</w:t>
      </w:r>
      <w:r w:rsidRPr="00F26BEE">
        <w:rPr>
          <w:rFonts w:ascii="Arial" w:hAnsi="Arial"/>
        </w:rPr>
        <w:t xml:space="preserve"> </w:t>
      </w:r>
    </w:p>
    <w:p w14:paraId="39CF8971" w14:textId="2A50E452" w:rsidR="00466BF6" w:rsidRPr="00F26BEE" w:rsidRDefault="00466BF6" w:rsidP="00466BF6">
      <w:pPr>
        <w:pStyle w:val="BodyText"/>
      </w:pPr>
      <w:r w:rsidRPr="00F26BEE">
        <w:t>Climatic warming and drying are projected to result in an increasing risk of bushfire frequency, intensity and landscape scale which expose all stands of fire-sensitive species such as the Finger Hakea to the rigours of seed-based recruitment, namely recruitment failure due to intense drought or targeted herbivory by Sambar or Black-tailed Wallaby, seedbank depletion, exhaustion</w:t>
      </w:r>
      <w:r w:rsidR="00855FEB" w:rsidRPr="00F26BEE">
        <w:t>,</w:t>
      </w:r>
      <w:r w:rsidRPr="00F26BEE">
        <w:t xml:space="preserve"> and the risk of local extinction. VicFlora (2021) describes the </w:t>
      </w:r>
      <w:r w:rsidR="001D3902">
        <w:t>species</w:t>
      </w:r>
      <w:r w:rsidRPr="00F26BEE">
        <w:t xml:space="preserve"> as an erect lignotuberous bushy shrub or small tree, suggesting it may be capable of basal resprouting following intense bushfire, however limited field observations do not necessarily support this inference. </w:t>
      </w:r>
    </w:p>
    <w:p w14:paraId="69D88DE3" w14:textId="77777777" w:rsidR="00466BF6" w:rsidRPr="00F26BEE" w:rsidRDefault="00466BF6" w:rsidP="00466BF6">
      <w:pPr>
        <w:pStyle w:val="BodyText"/>
      </w:pPr>
      <w:r w:rsidRPr="00F26BEE">
        <w:t>Current existing controls for this hazard include:</w:t>
      </w:r>
    </w:p>
    <w:p w14:paraId="22B948E4" w14:textId="3A8C6177" w:rsidR="00466BF6" w:rsidRPr="00F26BEE" w:rsidRDefault="00466BF6" w:rsidP="006670D2">
      <w:pPr>
        <w:pStyle w:val="PullOutBoxBullet"/>
      </w:pPr>
      <w:r w:rsidRPr="00F26BEE">
        <w:t xml:space="preserve">The </w:t>
      </w:r>
      <w:r w:rsidRPr="00F26BEE">
        <w:rPr>
          <w:i/>
          <w:iCs/>
        </w:rPr>
        <w:t xml:space="preserve">Climate Change Act 2017 </w:t>
      </w:r>
      <w:r w:rsidRPr="00F26BEE">
        <w:t xml:space="preserve">and associated mitigation strategies. These controls are not effective in managing the risk to this </w:t>
      </w:r>
      <w:r w:rsidR="001D3902">
        <w:t>species</w:t>
      </w:r>
      <w:r w:rsidRPr="00F26BEE">
        <w:t xml:space="preserve"> at the scale relevant to its conservation.</w:t>
      </w:r>
    </w:p>
    <w:p w14:paraId="392E210E" w14:textId="632FE19E"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83</w:t>
      </w:r>
      <w:r w:rsidR="000B6788" w:rsidRPr="00B6162A">
        <w:rPr>
          <w:bCs/>
          <w:noProof/>
        </w:rPr>
        <w:fldChar w:fldCharType="end"/>
      </w:r>
      <w:r w:rsidRPr="00FF310C">
        <w:t>. Finger Hakea protection requirements and recommendations for drying climate and increased fire frequency and intensity</w:t>
      </w:r>
    </w:p>
    <w:tbl>
      <w:tblPr>
        <w:tblStyle w:val="TableGrid"/>
        <w:tblW w:w="0" w:type="auto"/>
        <w:tblLook w:val="04A0" w:firstRow="1" w:lastRow="0" w:firstColumn="1" w:lastColumn="0" w:noHBand="0" w:noVBand="1"/>
      </w:tblPr>
      <w:tblGrid>
        <w:gridCol w:w="2268"/>
        <w:gridCol w:w="7371"/>
      </w:tblGrid>
      <w:tr w:rsidR="00466BF6" w:rsidRPr="00F26BEE" w14:paraId="5CB62382"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39B6E1D7" w14:textId="77777777" w:rsidR="00466BF6" w:rsidRPr="00F26BEE" w:rsidRDefault="00466BF6" w:rsidP="00296E0F">
            <w:pPr>
              <w:pStyle w:val="BodyText"/>
            </w:pPr>
            <w:r w:rsidRPr="00F26BEE">
              <w:t>Requirement</w:t>
            </w:r>
          </w:p>
        </w:tc>
        <w:tc>
          <w:tcPr>
            <w:tcW w:w="7371" w:type="dxa"/>
            <w:vAlign w:val="center"/>
          </w:tcPr>
          <w:p w14:paraId="3802C115" w14:textId="77777777" w:rsidR="00466BF6" w:rsidRPr="00F26BEE"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F26BEE">
              <w:t>Recommendation</w:t>
            </w:r>
          </w:p>
        </w:tc>
      </w:tr>
      <w:tr w:rsidR="00466BF6" w:rsidRPr="00F26BEE" w14:paraId="38E6FD01" w14:textId="77777777" w:rsidTr="009E6DAF">
        <w:tc>
          <w:tcPr>
            <w:tcW w:w="2268" w:type="dxa"/>
          </w:tcPr>
          <w:p w14:paraId="527D2D1C" w14:textId="7E43D372" w:rsidR="00466BF6" w:rsidRPr="00F26BEE" w:rsidRDefault="007003AA" w:rsidP="009E6DAF">
            <w:pPr>
              <w:pStyle w:val="BodyText"/>
            </w:pPr>
            <w:r>
              <w:t>Priority management actions</w:t>
            </w:r>
          </w:p>
        </w:tc>
        <w:tc>
          <w:tcPr>
            <w:tcW w:w="7371" w:type="dxa"/>
          </w:tcPr>
          <w:p w14:paraId="273860D1" w14:textId="77777777" w:rsidR="00466BF6" w:rsidRPr="00F26BEE" w:rsidRDefault="00466BF6" w:rsidP="009E6DAF">
            <w:pPr>
              <w:pStyle w:val="BodyText"/>
            </w:pPr>
            <w:r w:rsidRPr="00F26BEE">
              <w:t>Not required for this hazard as it is a longer-term threat.</w:t>
            </w:r>
          </w:p>
        </w:tc>
      </w:tr>
      <w:tr w:rsidR="00466BF6" w:rsidRPr="00F26BEE" w14:paraId="09CE8FF6" w14:textId="77777777" w:rsidTr="009E6DAF">
        <w:tc>
          <w:tcPr>
            <w:tcW w:w="2268" w:type="dxa"/>
          </w:tcPr>
          <w:p w14:paraId="2B6B0A06" w14:textId="1FF2A4D4" w:rsidR="00466BF6" w:rsidRPr="00F26BEE" w:rsidRDefault="007003AA" w:rsidP="009E6DAF">
            <w:pPr>
              <w:pStyle w:val="BodyText"/>
            </w:pPr>
            <w:r>
              <w:t>Potential m</w:t>
            </w:r>
            <w:r w:rsidR="00466BF6" w:rsidRPr="00F26BEE">
              <w:t>anagement actions</w:t>
            </w:r>
          </w:p>
        </w:tc>
        <w:tc>
          <w:tcPr>
            <w:tcW w:w="7371" w:type="dxa"/>
          </w:tcPr>
          <w:p w14:paraId="446C4CE4" w14:textId="7D2F89C7" w:rsidR="00466BF6" w:rsidRPr="00F26BEE" w:rsidRDefault="00466BF6" w:rsidP="006670D2">
            <w:pPr>
              <w:pStyle w:val="PullOutBoxBullet"/>
            </w:pPr>
            <w:r w:rsidRPr="00F26BEE">
              <w:t xml:space="preserve">Consider options to conserve this </w:t>
            </w:r>
            <w:r w:rsidR="001D3902">
              <w:t>species</w:t>
            </w:r>
            <w:r w:rsidRPr="00F26BEE">
              <w:t xml:space="preserve"> under climate change, including protection of refuges, maintenance of hydrological regimes, translocation to more secure sites and gene mixing to improve its adaptability.</w:t>
            </w:r>
          </w:p>
        </w:tc>
      </w:tr>
    </w:tbl>
    <w:p w14:paraId="54758EA2" w14:textId="776F725B" w:rsidR="00466BF6" w:rsidRPr="00F26BEE" w:rsidRDefault="00466BF6" w:rsidP="007E5EBF">
      <w:pPr>
        <w:pStyle w:val="Heading3"/>
      </w:pPr>
      <w:r w:rsidRPr="00F26BEE">
        <w:rPr>
          <w:rFonts w:cs="Times New Roman"/>
          <w:noProof/>
          <w:lang w:eastAsia="en-US"/>
        </w:rPr>
        <mc:AlternateContent>
          <mc:Choice Requires="wps">
            <w:drawing>
              <wp:anchor distT="0" distB="0" distL="114300" distR="114300" simplePos="1" relativeHeight="251658292" behindDoc="1" locked="1" layoutInCell="1" allowOverlap="1" wp14:anchorId="3F9CAAFB" wp14:editId="78583233">
                <wp:simplePos x="359410" y="9071610"/>
                <wp:positionH relativeFrom="page">
                  <wp:posOffset>359410</wp:posOffset>
                </wp:positionH>
                <wp:positionV relativeFrom="page">
                  <wp:posOffset>9071610</wp:posOffset>
                </wp:positionV>
                <wp:extent cx="6840001" cy="432000"/>
                <wp:effectExtent l="0" t="0" r="0" b="0"/>
                <wp:wrapNone/>
                <wp:docPr id="306"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D3D57"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CAAFB" id="_x0000_s1067" type="#_x0000_t202" alt="Title: Decorative Cover Shape" style="position:absolute;left:0;text-align:left;margin-left:28.3pt;margin-top:714.3pt;width:538.6pt;height:34pt;z-index:-2516581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" fillcolor="#201547" stroked="f" strokeweight=".5pt">
                <v:textbox inset="10mm,0,10mm,0">
                  <w:txbxContent>
                    <w:p w14:paraId="3ECD3D57"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F26BEE">
        <w:rPr>
          <w:rFonts w:cs="Times New Roman"/>
          <w:noProof/>
          <w:lang w:eastAsia="en-US"/>
        </w:rPr>
        <mc:AlternateContent>
          <mc:Choice Requires="wps">
            <w:drawing>
              <wp:anchor distT="0" distB="0" distL="114300" distR="114300" simplePos="0" relativeHeight="251658291" behindDoc="0" locked="1" layoutInCell="1" allowOverlap="1" wp14:anchorId="6A8AD89E" wp14:editId="6BA51C9B">
                <wp:simplePos x="0" y="0"/>
                <wp:positionH relativeFrom="page">
                  <wp:posOffset>360045</wp:posOffset>
                </wp:positionH>
                <wp:positionV relativeFrom="page">
                  <wp:posOffset>360045</wp:posOffset>
                </wp:positionV>
                <wp:extent cx="1864800" cy="1976400"/>
                <wp:effectExtent l="0" t="0" r="0" b="0"/>
                <wp:wrapNone/>
                <wp:docPr id="1613"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05953E" id="TriangleTopACIMono" o:spid="_x0000_s1026" style="position:absolute;margin-left:28.35pt;margin-top:28.35pt;width:146.85pt;height:155.6pt;z-index:25165829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sidRPr="00F26BEE">
        <w:rPr>
          <w:rFonts w:cs="Times New Roman"/>
          <w:noProof/>
          <w:lang w:eastAsia="en-US"/>
        </w:rPr>
        <mc:AlternateContent>
          <mc:Choice Requires="wps">
            <w:drawing>
              <wp:anchor distT="0" distB="0" distL="114300" distR="114300" simplePos="0" relativeHeight="251658290" behindDoc="0" locked="1" layoutInCell="1" allowOverlap="1" wp14:anchorId="38476623" wp14:editId="2626220F">
                <wp:simplePos x="0" y="0"/>
                <wp:positionH relativeFrom="page">
                  <wp:posOffset>359410</wp:posOffset>
                </wp:positionH>
                <wp:positionV relativeFrom="page">
                  <wp:posOffset>359410</wp:posOffset>
                </wp:positionV>
                <wp:extent cx="1864800" cy="1976400"/>
                <wp:effectExtent l="0" t="0" r="0" b="0"/>
                <wp:wrapNone/>
                <wp:docPr id="1614"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6F3296B" id="TriangleTop" o:spid="_x0000_s1026" style="position:absolute;margin-left:28.3pt;margin-top:28.3pt;width:146.85pt;height:155.6pt;z-index:25165829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F26BEE">
        <w:rPr>
          <w:rFonts w:cs="Times New Roman"/>
          <w:noProof/>
          <w:lang w:eastAsia="en-US"/>
        </w:rPr>
        <mc:AlternateContent>
          <mc:Choice Requires="wps">
            <w:drawing>
              <wp:anchor distT="0" distB="0" distL="114300" distR="114300" simplePos="0" relativeHeight="251658289" behindDoc="0" locked="1" layoutInCell="1" allowOverlap="1" wp14:anchorId="1FF56F05" wp14:editId="25B0D6EE">
                <wp:simplePos x="0" y="0"/>
                <wp:positionH relativeFrom="page">
                  <wp:posOffset>0</wp:posOffset>
                </wp:positionH>
                <wp:positionV relativeFrom="page">
                  <wp:align>bottom</wp:align>
                </wp:positionV>
                <wp:extent cx="3848400" cy="720000"/>
                <wp:effectExtent l="0" t="0" r="0" b="0"/>
                <wp:wrapNone/>
                <wp:docPr id="1615"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ACCEB"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56F05" id="_x0000_s1068" type="#_x0000_t202" style="position:absolute;left:0;text-align:left;margin-left:0;margin-top:0;width:303pt;height:56.7pt;z-index:25165828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CUJ1nMbgIAAEYFAAAOAAAAAAAAAAAAAAAAAC4C&#10;AABkcnMvZTJvRG9jLnhtbFBLAQItABQABgAIAAAAIQD0ys+o2gAAAAUBAAAPAAAAAAAAAAAAAAAA&#10;AMgEAABkcnMvZG93bnJldi54bWxQSwUGAAAAAAQABADzAAAAzwUAAAAA&#10;" filled="f" stroked="f" strokeweight=".5pt">
                <v:textbox inset="20mm">
                  <w:txbxContent>
                    <w:p w14:paraId="228ACCEB"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bookmarkStart w:id="367" w:name="_Toc88725712"/>
      <w:bookmarkStart w:id="368" w:name="_Toc88725713"/>
      <w:bookmarkStart w:id="369" w:name="_Toc88725714"/>
      <w:bookmarkStart w:id="370" w:name="_Toc88725715"/>
      <w:bookmarkStart w:id="371" w:name="_Toc88725716"/>
      <w:bookmarkStart w:id="372" w:name="_Toc88725717"/>
      <w:bookmarkStart w:id="373" w:name="_Toc88725718"/>
      <w:bookmarkStart w:id="374" w:name="_Toc88725719"/>
      <w:bookmarkStart w:id="375" w:name="_Toc88725720"/>
      <w:bookmarkStart w:id="376" w:name="_Toc88725721"/>
      <w:bookmarkStart w:id="377" w:name="_Toc88725722"/>
      <w:bookmarkStart w:id="378" w:name="_Toc88725724"/>
      <w:bookmarkStart w:id="379" w:name="_Toc88725726"/>
      <w:bookmarkStart w:id="380" w:name="_Toc88725728"/>
      <w:bookmarkStart w:id="381" w:name="_Toc88725730"/>
      <w:bookmarkStart w:id="382" w:name="_Toc88725731"/>
      <w:bookmarkStart w:id="383" w:name="_Toc88725732"/>
      <w:bookmarkStart w:id="384" w:name="_Toc88725733"/>
      <w:bookmarkStart w:id="385" w:name="_Toc88725734"/>
      <w:bookmarkEnd w:id="347"/>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Pr="00F26BEE">
        <w:t>Fire</w:t>
      </w:r>
      <w:bookmarkEnd w:id="385"/>
    </w:p>
    <w:p w14:paraId="3CEDB485" w14:textId="77777777" w:rsidR="00466BF6" w:rsidRPr="00F26BEE" w:rsidRDefault="00466BF6" w:rsidP="00466BF6">
      <w:pPr>
        <w:pStyle w:val="Heading5"/>
        <w:numPr>
          <w:ilvl w:val="0"/>
          <w:numId w:val="0"/>
        </w:numPr>
        <w:ind w:left="1008" w:hanging="1008"/>
      </w:pPr>
      <w:r w:rsidRPr="00F26BEE">
        <w:t>Planned burning</w:t>
      </w:r>
    </w:p>
    <w:p w14:paraId="063319BA" w14:textId="0188AC81" w:rsidR="00466BF6" w:rsidRDefault="00466BF6" w:rsidP="00466BF6">
      <w:pPr>
        <w:pStyle w:val="BodyText"/>
      </w:pPr>
      <w:r w:rsidRPr="00F26BEE">
        <w:t>Repeat fire events</w:t>
      </w:r>
      <w:r w:rsidR="005D5E65">
        <w:t xml:space="preserve"> (through</w:t>
      </w:r>
      <w:r w:rsidR="00AB7352">
        <w:t xml:space="preserve"> bushfire or planned burning</w:t>
      </w:r>
      <w:r w:rsidR="005D5E65">
        <w:t>)</w:t>
      </w:r>
      <w:r w:rsidRPr="00F26BEE" w:rsidDel="009D0C6B">
        <w:t xml:space="preserve"> </w:t>
      </w:r>
      <w:r w:rsidRPr="00F26BEE">
        <w:t xml:space="preserve">at intervals below the tolerable fire interval for the </w:t>
      </w:r>
      <w:r w:rsidR="001D3902">
        <w:t>species</w:t>
      </w:r>
      <w:r w:rsidRPr="00F26BEE">
        <w:t xml:space="preserve"> carry the risk of depleting the population to the point of local extinction through adult mortality, recruitment failure through exposure of juvenile plants to targeted browsing and extreme drought events, and seedbank depletion and exhaustion. The exten</w:t>
      </w:r>
      <w:r w:rsidR="0008271F">
        <w:t>t</w:t>
      </w:r>
      <w:r w:rsidRPr="00F26BEE">
        <w:t xml:space="preserve"> of this hazard is 25-50% of the </w:t>
      </w:r>
      <w:r w:rsidR="001D3902">
        <w:t>species’</w:t>
      </w:r>
      <w:r w:rsidRPr="00F26BEE">
        <w:t xml:space="preserve"> Victorian population given that prominent ridgeline tracks such as the Stony Peak Road are routinely used as boundaries for fuel reduction corridors since they provide convenient barriers to fire spread when supplemented by fuel suppression activities such as mineral earth breaks or slash breaks. The recorded habitat range of the </w:t>
      </w:r>
      <w:r w:rsidR="001D3902">
        <w:t>species</w:t>
      </w:r>
      <w:r w:rsidRPr="00F26BEE">
        <w:t xml:space="preserve"> in Victoria, namely rocky ridges and peaks (VicFlora 2021), is likely to expose any Victorian</w:t>
      </w:r>
      <w:r>
        <w:t xml:space="preserve"> occurrences to maximum fire intensity since all fires, whether </w:t>
      </w:r>
      <w:r w:rsidR="001C49E0">
        <w:t xml:space="preserve">planned </w:t>
      </w:r>
      <w:r>
        <w:t>or uncontrolled, increase intensity as they approach ridgelines and summits where fuels are driest.</w:t>
      </w:r>
    </w:p>
    <w:p w14:paraId="716EAC04" w14:textId="77777777" w:rsidR="00466BF6" w:rsidRDefault="00466BF6" w:rsidP="00466BF6">
      <w:pPr>
        <w:pStyle w:val="BodyText"/>
      </w:pPr>
      <w:r w:rsidRPr="00660ABA">
        <w:t>Current existing controls for this hazard includ</w:t>
      </w:r>
      <w:r>
        <w:t>e:</w:t>
      </w:r>
    </w:p>
    <w:p w14:paraId="3DC9FF2D" w14:textId="2779C0CC" w:rsidR="00466BF6" w:rsidRDefault="00466BF6" w:rsidP="006670D2">
      <w:pPr>
        <w:pStyle w:val="PullOutBoxBullet"/>
      </w:pPr>
      <w:r>
        <w:t>Values checking in preparation for Planned burning. This has been evaluated as uncontrolled to satisfactory</w:t>
      </w:r>
      <w:r w:rsidR="002C4669">
        <w:t xml:space="preserve"> at mitigating risk to th</w:t>
      </w:r>
      <w:r w:rsidR="006410B9">
        <w:t>is</w:t>
      </w:r>
      <w:r w:rsidR="002C4669">
        <w:t xml:space="preserve"> species from bushfire</w:t>
      </w:r>
      <w:r>
        <w:t xml:space="preserve"> since the only record of the </w:t>
      </w:r>
      <w:r w:rsidR="001D3902">
        <w:t>species</w:t>
      </w:r>
      <w:r>
        <w:t xml:space="preserve"> in state forest in Victoria is a 2002 specimen housed at the Australian National Herbarium in Canberra which is not available in the VBA. However, reliable site records within Coopracambra and Croajingolong National Parks and on private inholdings facilitate exclusion zones established to protect known occurrences of this fire-sensitive species from the impact of site preparation works and planned burning itself.</w:t>
      </w:r>
    </w:p>
    <w:p w14:paraId="094F4694" w14:textId="15EFBFAC"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84</w:t>
      </w:r>
      <w:r w:rsidR="000B6788" w:rsidRPr="00B6162A">
        <w:rPr>
          <w:bCs/>
          <w:noProof/>
        </w:rPr>
        <w:fldChar w:fldCharType="end"/>
      </w:r>
      <w:r w:rsidRPr="00FF310C">
        <w:t>. Finger Hakea protection requirements and recommendations for planned burning</w:t>
      </w:r>
    </w:p>
    <w:tbl>
      <w:tblPr>
        <w:tblStyle w:val="TableGrid"/>
        <w:tblW w:w="0" w:type="auto"/>
        <w:tblLook w:val="04A0" w:firstRow="1" w:lastRow="0" w:firstColumn="1" w:lastColumn="0" w:noHBand="0" w:noVBand="1"/>
      </w:tblPr>
      <w:tblGrid>
        <w:gridCol w:w="2268"/>
        <w:gridCol w:w="7371"/>
      </w:tblGrid>
      <w:tr w:rsidR="00466BF6" w:rsidRPr="00867DAA" w14:paraId="68D6825B"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41535E74" w14:textId="77777777" w:rsidR="00466BF6" w:rsidRPr="00704719" w:rsidRDefault="00466BF6" w:rsidP="00296E0F">
            <w:pPr>
              <w:pStyle w:val="BodyText"/>
            </w:pPr>
            <w:r w:rsidRPr="00704719">
              <w:t>Requirement</w:t>
            </w:r>
          </w:p>
        </w:tc>
        <w:tc>
          <w:tcPr>
            <w:tcW w:w="7371" w:type="dxa"/>
            <w:vAlign w:val="center"/>
          </w:tcPr>
          <w:p w14:paraId="365B54F1"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08E8E76A" w14:textId="77777777" w:rsidTr="009E6DAF">
        <w:tc>
          <w:tcPr>
            <w:tcW w:w="2268" w:type="dxa"/>
          </w:tcPr>
          <w:p w14:paraId="0853D0FA" w14:textId="44A9F52B" w:rsidR="00466BF6" w:rsidRPr="003566BD" w:rsidRDefault="007003AA" w:rsidP="009E6DAF">
            <w:pPr>
              <w:pStyle w:val="BodyText"/>
            </w:pPr>
            <w:r>
              <w:t>Priority management actions</w:t>
            </w:r>
          </w:p>
        </w:tc>
        <w:tc>
          <w:tcPr>
            <w:tcW w:w="7371" w:type="dxa"/>
          </w:tcPr>
          <w:p w14:paraId="498239B1" w14:textId="77777777" w:rsidR="007003AA" w:rsidRDefault="007003AA" w:rsidP="006670D2">
            <w:pPr>
              <w:pStyle w:val="PullOutBoxBullet"/>
            </w:pPr>
            <w:r>
              <w:t>Undertake targeted field surveys to confirm the extent of all known occurrences and any other undetected occurrences in the general vicinity; and</w:t>
            </w:r>
          </w:p>
          <w:p w14:paraId="1284BA39" w14:textId="472F3EE6" w:rsidR="00466BF6" w:rsidRPr="003566BD" w:rsidRDefault="007003AA" w:rsidP="006670D2">
            <w:pPr>
              <w:pStyle w:val="PullOutBoxBullet"/>
            </w:pPr>
            <w:r>
              <w:t>Add the incidental record at the Stony Peak Road site to the VBA</w:t>
            </w:r>
            <w:r w:rsidR="00595BEE">
              <w:t>.</w:t>
            </w:r>
          </w:p>
        </w:tc>
      </w:tr>
      <w:tr w:rsidR="00466BF6" w:rsidRPr="00867DAA" w14:paraId="17344E0D" w14:textId="77777777" w:rsidTr="009E6DAF">
        <w:tc>
          <w:tcPr>
            <w:tcW w:w="2268" w:type="dxa"/>
          </w:tcPr>
          <w:p w14:paraId="1E4DFA9C" w14:textId="585779E0" w:rsidR="00466BF6" w:rsidRPr="00867DAA" w:rsidRDefault="00A675DF" w:rsidP="009E6DAF">
            <w:pPr>
              <w:pStyle w:val="BodyText"/>
            </w:pPr>
            <w:r>
              <w:t>Potential m</w:t>
            </w:r>
            <w:r w:rsidR="00466BF6" w:rsidRPr="00867DAA">
              <w:t>anagement actions</w:t>
            </w:r>
          </w:p>
        </w:tc>
        <w:tc>
          <w:tcPr>
            <w:tcW w:w="7371" w:type="dxa"/>
          </w:tcPr>
          <w:p w14:paraId="775BC8D3" w14:textId="77777777" w:rsidR="00466BF6" w:rsidRPr="00FB23E3" w:rsidRDefault="00466BF6" w:rsidP="006670D2">
            <w:pPr>
              <w:pStyle w:val="PullOutBoxBullet"/>
            </w:pPr>
            <w:r>
              <w:t>Implement an appropriate exclusion zone from all planned burning activity in the general vicinity of all known occurrences.</w:t>
            </w:r>
          </w:p>
        </w:tc>
      </w:tr>
    </w:tbl>
    <w:p w14:paraId="4CA304E4" w14:textId="77777777" w:rsidR="00466BF6" w:rsidRDefault="00466BF6" w:rsidP="007E5EBF">
      <w:pPr>
        <w:pStyle w:val="Heading3"/>
      </w:pPr>
      <w:bookmarkStart w:id="386" w:name="_Toc88725759"/>
      <w:bookmarkStart w:id="387" w:name="_Toc88725760"/>
      <w:bookmarkStart w:id="388" w:name="_Toc88725709"/>
      <w:bookmarkStart w:id="389" w:name="_Toc88725761"/>
      <w:bookmarkEnd w:id="386"/>
      <w:bookmarkEnd w:id="387"/>
      <w:r>
        <w:t>Forestry operations</w:t>
      </w:r>
      <w:bookmarkEnd w:id="388"/>
    </w:p>
    <w:p w14:paraId="24FF7333" w14:textId="12883698" w:rsidR="00466BF6" w:rsidRPr="001C0DE0" w:rsidRDefault="00BC4502" w:rsidP="00466BF6">
      <w:pPr>
        <w:pStyle w:val="Heading5"/>
        <w:numPr>
          <w:ilvl w:val="0"/>
          <w:numId w:val="0"/>
        </w:numPr>
        <w:ind w:left="1008" w:hanging="1008"/>
      </w:pPr>
      <w:bookmarkStart w:id="390" w:name="HAZARD"/>
      <w:bookmarkEnd w:id="390"/>
      <w:r>
        <w:t>Fo</w:t>
      </w:r>
      <w:r w:rsidR="00466BF6">
        <w:t>restry operations</w:t>
      </w:r>
    </w:p>
    <w:p w14:paraId="76F3333B" w14:textId="08EC8C19" w:rsidR="00466BF6" w:rsidRDefault="00466BF6" w:rsidP="00466BF6">
      <w:pPr>
        <w:pStyle w:val="BodyText"/>
      </w:pPr>
      <w:bookmarkStart w:id="391" w:name="HAZARD_DETAILS"/>
      <w:bookmarkEnd w:id="391"/>
      <w:r>
        <w:t xml:space="preserve">The only confirmed record of the </w:t>
      </w:r>
      <w:r w:rsidR="001D3902">
        <w:t>species</w:t>
      </w:r>
      <w:r>
        <w:t xml:space="preserve"> in Victoria that is not in a national park is a single mature 7m tall tree on Stony Peak Road nine kilometres west of Genoa in </w:t>
      </w:r>
      <w:r w:rsidR="00D33F65">
        <w:t>State Forest</w:t>
      </w:r>
      <w:r>
        <w:t xml:space="preserve">. This individual and any associated specimens which may occur in the immediate vicinity are highly susceptible to road maintenance activity, </w:t>
      </w:r>
      <w:r w:rsidR="009C20F9" w:rsidRPr="009C20F9">
        <w:t>timber harvesting</w:t>
      </w:r>
      <w:r w:rsidR="004419D0">
        <w:t xml:space="preserve"> </w:t>
      </w:r>
      <w:r>
        <w:t>and planned burn preparation, and is at risk of accidental loss and local extinction through intensive mechanical disturbance. In the event of local extinction, the likelihood of recolonisation is negligible since the dispersal range of seed is unlikely to exceed 100 metres.</w:t>
      </w:r>
    </w:p>
    <w:p w14:paraId="6B01581D" w14:textId="77777777" w:rsidR="00466BF6" w:rsidRDefault="00466BF6" w:rsidP="00466BF6">
      <w:pPr>
        <w:pStyle w:val="BodyText"/>
      </w:pPr>
      <w:r w:rsidRPr="00660ABA">
        <w:t>Current existing controls for this hazard includ</w:t>
      </w:r>
      <w:r>
        <w:t>e:</w:t>
      </w:r>
    </w:p>
    <w:p w14:paraId="2D9E5024" w14:textId="7903E24B" w:rsidR="00466BF6" w:rsidRDefault="00466BF6" w:rsidP="006670D2">
      <w:pPr>
        <w:pStyle w:val="PullOutBoxBullet"/>
      </w:pPr>
      <w:bookmarkStart w:id="392" w:name="CONTROL_1"/>
      <w:bookmarkEnd w:id="392"/>
      <w:r>
        <w:t xml:space="preserve">Values checking in preparation for any relevant forestry activities. </w:t>
      </w:r>
      <w:r w:rsidRPr="00DB7B28">
        <w:t>The effectiveness of th</w:t>
      </w:r>
      <w:r>
        <w:t>is</w:t>
      </w:r>
      <w:r w:rsidRPr="00DB7B28">
        <w:t xml:space="preserve"> measure in managing the risk to this species has been evaluated as poor</w:t>
      </w:r>
      <w:r>
        <w:t>,</w:t>
      </w:r>
      <w:r w:rsidRPr="00DB7B28">
        <w:t xml:space="preserve"> as values checking relies on existing site records</w:t>
      </w:r>
      <w:r>
        <w:t xml:space="preserve">, and the only record of the </w:t>
      </w:r>
      <w:r w:rsidR="001D3902">
        <w:t>species</w:t>
      </w:r>
      <w:r>
        <w:t xml:space="preserve"> in state forest in Victoria is a 2002 specimen housed at the Australian National Herbarium in Canberra which is not available in the VBA.</w:t>
      </w:r>
    </w:p>
    <w:p w14:paraId="2D753571" w14:textId="5798A5BE" w:rsidR="00466BF6" w:rsidRPr="00BE1712" w:rsidRDefault="00466BF6"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w:t>
      </w:r>
      <w:r w:rsidRPr="4F453272">
        <w:t>satisfactory as 5</w:t>
      </w:r>
      <w:r>
        <w:t>9</w:t>
      </w:r>
      <w:r w:rsidRPr="4F453272">
        <w:t xml:space="preserve">% of the </w:t>
      </w:r>
      <w:r w:rsidR="001D3902">
        <w:t>species’</w:t>
      </w:r>
      <w:r w:rsidRPr="4F453272">
        <w:t xml:space="preserve"> modelled distribution and </w:t>
      </w:r>
      <w:r>
        <w:t>97</w:t>
      </w:r>
      <w:r w:rsidRPr="4F453272">
        <w:t>% of important populations are within the reserve system</w:t>
      </w:r>
      <w:r w:rsidR="004B6A75">
        <w:t>.</w:t>
      </w:r>
    </w:p>
    <w:p w14:paraId="4F67B098" w14:textId="77777777" w:rsidR="003C4630" w:rsidRDefault="003C4630">
      <w:pPr>
        <w:rPr>
          <w:b/>
          <w:bCs/>
          <w:sz w:val="16"/>
        </w:rPr>
      </w:pPr>
      <w:bookmarkStart w:id="393" w:name="CONTROL_2"/>
      <w:bookmarkStart w:id="394" w:name="CONTROL_3"/>
      <w:bookmarkStart w:id="395" w:name="EFC_COMMENTS"/>
      <w:bookmarkEnd w:id="393"/>
      <w:bookmarkEnd w:id="394"/>
      <w:bookmarkEnd w:id="395"/>
      <w:r>
        <w:br w:type="page"/>
      </w:r>
    </w:p>
    <w:p w14:paraId="04900B05" w14:textId="04C6B92A"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85</w:t>
      </w:r>
      <w:r w:rsidR="000B6788" w:rsidRPr="00B6162A">
        <w:rPr>
          <w:bCs/>
          <w:noProof/>
        </w:rPr>
        <w:fldChar w:fldCharType="end"/>
      </w:r>
      <w:r w:rsidRPr="00FF310C">
        <w:t>. Finger Hakea protection requirements and recommendations for forestry operations</w:t>
      </w:r>
    </w:p>
    <w:tbl>
      <w:tblPr>
        <w:tblStyle w:val="TableGrid"/>
        <w:tblW w:w="0" w:type="auto"/>
        <w:tblLook w:val="04A0" w:firstRow="1" w:lastRow="0" w:firstColumn="1" w:lastColumn="0" w:noHBand="0" w:noVBand="1"/>
      </w:tblPr>
      <w:tblGrid>
        <w:gridCol w:w="2268"/>
        <w:gridCol w:w="7370"/>
      </w:tblGrid>
      <w:tr w:rsidR="003F25FD" w:rsidRPr="00867DAA" w14:paraId="7D1C4017" w14:textId="77777777" w:rsidTr="0045799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25035F90" w14:textId="77777777" w:rsidR="00466BF6" w:rsidRPr="00704719" w:rsidRDefault="00466BF6" w:rsidP="00296E0F">
            <w:pPr>
              <w:pStyle w:val="BodyText"/>
            </w:pPr>
            <w:r w:rsidRPr="00704719">
              <w:t>Requirement</w:t>
            </w:r>
          </w:p>
        </w:tc>
        <w:tc>
          <w:tcPr>
            <w:tcW w:w="7370" w:type="dxa"/>
            <w:vAlign w:val="center"/>
          </w:tcPr>
          <w:p w14:paraId="0D75D941"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55477430" w14:textId="77777777" w:rsidTr="0045799B">
        <w:tc>
          <w:tcPr>
            <w:tcW w:w="2268" w:type="dxa"/>
          </w:tcPr>
          <w:p w14:paraId="3FD3BC60" w14:textId="77777777" w:rsidR="00466BF6" w:rsidRPr="003566BD" w:rsidRDefault="00466BF6" w:rsidP="009E6DAF">
            <w:pPr>
              <w:pStyle w:val="BodyText"/>
            </w:pPr>
            <w:r w:rsidRPr="003566BD">
              <w:t>Interim protections</w:t>
            </w:r>
          </w:p>
        </w:tc>
        <w:tc>
          <w:tcPr>
            <w:tcW w:w="7370" w:type="dxa"/>
          </w:tcPr>
          <w:p w14:paraId="38EE78D4" w14:textId="18D1F563" w:rsidR="00466BF6" w:rsidRPr="008E0DCC" w:rsidRDefault="00466BF6" w:rsidP="009E6DAF">
            <w:pPr>
              <w:pStyle w:val="BodyText"/>
              <w:rPr>
                <w:rFonts w:eastAsia="Calibri"/>
              </w:rPr>
            </w:pPr>
            <w:r w:rsidRPr="008E0DCC">
              <w:rPr>
                <w:rFonts w:eastAsia="Calibri"/>
              </w:rPr>
              <w:t>Within the East Gippsland RFA</w:t>
            </w:r>
            <w:r w:rsidR="00A457F3">
              <w:rPr>
                <w:rFonts w:eastAsia="Calibri"/>
              </w:rPr>
              <w:t xml:space="preserve"> region</w:t>
            </w:r>
            <w:r w:rsidRPr="008E0DCC">
              <w:rPr>
                <w:rFonts w:eastAsia="Calibri"/>
              </w:rPr>
              <w:t>, the Secretary will establish Special Management Zone(s) over one Australian National Herbarium record (2002) with the following conditions:</w:t>
            </w:r>
          </w:p>
          <w:p w14:paraId="2F9E4192" w14:textId="5BFE783D" w:rsidR="00466BF6" w:rsidRPr="008E0DCC" w:rsidRDefault="00466BF6" w:rsidP="006670D2">
            <w:pPr>
              <w:pStyle w:val="PullOutBoxBullet"/>
            </w:pPr>
            <w:r w:rsidRPr="008E0DCC">
              <w:t>The managing authority is required to apply a management area of 200 m radius over one Australian National Herbarium record (2002). Conduct a site inspection and detailed planning in consultation with the Department to ensure the species is adequately protected during timber harvesting operations</w:t>
            </w:r>
            <w:r w:rsidR="00A61297">
              <w:t xml:space="preserve"> (See Map 6a).</w:t>
            </w:r>
          </w:p>
          <w:p w14:paraId="65464EBC" w14:textId="64431C70" w:rsidR="00466BF6" w:rsidRPr="008E0DCC" w:rsidRDefault="00466BF6" w:rsidP="006670D2">
            <w:pPr>
              <w:pStyle w:val="PullOutBoxBullet"/>
            </w:pPr>
            <w:r w:rsidRPr="008E0DCC">
              <w:t xml:space="preserve">DELWP will conduct </w:t>
            </w:r>
            <w:r w:rsidR="00C3270A">
              <w:t xml:space="preserve">a </w:t>
            </w:r>
            <w:r w:rsidRPr="008E0DCC">
              <w:t xml:space="preserve">survey to confirm extent of the Stony Peak Road occurrence and any other undocumented occurrences in the general vicinity and ensure the National Herbarium record is included in the VBA. </w:t>
            </w:r>
          </w:p>
        </w:tc>
      </w:tr>
      <w:tr w:rsidR="003F25FD" w:rsidRPr="00867DAA" w14:paraId="4372F570" w14:textId="77777777" w:rsidTr="0045799B">
        <w:tc>
          <w:tcPr>
            <w:tcW w:w="0" w:type="dxa"/>
          </w:tcPr>
          <w:p w14:paraId="3DD558D2" w14:textId="22EEC399" w:rsidR="00CB5203" w:rsidRPr="003566BD" w:rsidRDefault="00CB5203" w:rsidP="009E6DAF">
            <w:pPr>
              <w:pStyle w:val="BodyText"/>
            </w:pPr>
            <w:r>
              <w:t>Priority management actions</w:t>
            </w:r>
          </w:p>
        </w:tc>
        <w:tc>
          <w:tcPr>
            <w:tcW w:w="7370" w:type="dxa"/>
            <w:shd w:val="clear" w:color="auto" w:fill="auto"/>
          </w:tcPr>
          <w:p w14:paraId="0359CF78" w14:textId="0CEE0A87" w:rsidR="00B475AB" w:rsidRPr="00B475AB" w:rsidRDefault="00B475AB" w:rsidP="006670D2">
            <w:pPr>
              <w:pStyle w:val="PullOutBoxBullet"/>
            </w:pPr>
            <w:r w:rsidRPr="00B475AB">
              <w:t xml:space="preserve">Undertake </w:t>
            </w:r>
            <w:r w:rsidR="00C3270A">
              <w:t xml:space="preserve">a </w:t>
            </w:r>
            <w:r w:rsidRPr="00B475AB">
              <w:t>targeted field survey to confirm the extent of the Stony Peak Road occurrence;</w:t>
            </w:r>
          </w:p>
          <w:p w14:paraId="2778DDBA" w14:textId="77777777" w:rsidR="00B475AB" w:rsidRPr="00B475AB" w:rsidRDefault="00B475AB" w:rsidP="006670D2">
            <w:pPr>
              <w:pStyle w:val="PullOutBoxBullet"/>
            </w:pPr>
            <w:r w:rsidRPr="00B475AB">
              <w:t>Comprehensively search likely habitat and map important populations; and</w:t>
            </w:r>
          </w:p>
          <w:p w14:paraId="3CBD40FD" w14:textId="4F485431" w:rsidR="00CB5203" w:rsidRPr="003566BD" w:rsidRDefault="00B475AB" w:rsidP="006670D2">
            <w:pPr>
              <w:pStyle w:val="PullOutBoxBullet"/>
            </w:pPr>
            <w:r w:rsidRPr="00B475AB">
              <w:t>Establish monitoring sites and collect baseline data.</w:t>
            </w:r>
          </w:p>
        </w:tc>
      </w:tr>
      <w:tr w:rsidR="003F25FD" w:rsidRPr="00867DAA" w14:paraId="7816F15E" w14:textId="77777777" w:rsidTr="0045799B">
        <w:tc>
          <w:tcPr>
            <w:tcW w:w="0" w:type="dxa"/>
          </w:tcPr>
          <w:p w14:paraId="314132E0" w14:textId="77777777" w:rsidR="00466BF6" w:rsidRPr="003566BD" w:rsidRDefault="00466BF6" w:rsidP="009E6DAF">
            <w:pPr>
              <w:pStyle w:val="BodyText"/>
            </w:pPr>
            <w:r w:rsidRPr="003566BD">
              <w:t>Permanent protections</w:t>
            </w:r>
          </w:p>
        </w:tc>
        <w:tc>
          <w:tcPr>
            <w:tcW w:w="7370" w:type="dxa"/>
            <w:shd w:val="clear" w:color="auto" w:fill="auto"/>
          </w:tcPr>
          <w:p w14:paraId="2D498242" w14:textId="77777777" w:rsidR="00466BF6" w:rsidRPr="003566BD" w:rsidRDefault="00466BF6" w:rsidP="009E6DAF">
            <w:pPr>
              <w:pStyle w:val="BodyText"/>
            </w:pPr>
            <w:r w:rsidRPr="003566BD">
              <w:t>Additional permanent protections may be required in the longer-term</w:t>
            </w:r>
            <w:r>
              <w:t>.</w:t>
            </w:r>
          </w:p>
        </w:tc>
      </w:tr>
      <w:tr w:rsidR="00466BF6" w:rsidRPr="00867DAA" w14:paraId="29615D99" w14:textId="77777777" w:rsidTr="0045799B">
        <w:tc>
          <w:tcPr>
            <w:tcW w:w="2268" w:type="dxa"/>
          </w:tcPr>
          <w:p w14:paraId="2336A9B9" w14:textId="5C67A734" w:rsidR="00466BF6" w:rsidRPr="00867DAA" w:rsidRDefault="00A675DF" w:rsidP="009E6DAF">
            <w:pPr>
              <w:pStyle w:val="BodyText"/>
            </w:pPr>
            <w:r>
              <w:t>Potential m</w:t>
            </w:r>
            <w:r w:rsidR="00466BF6" w:rsidRPr="00867DAA">
              <w:t>anagement actions</w:t>
            </w:r>
          </w:p>
        </w:tc>
        <w:tc>
          <w:tcPr>
            <w:tcW w:w="7370" w:type="dxa"/>
          </w:tcPr>
          <w:p w14:paraId="11DB693F" w14:textId="1D2EFA34" w:rsidR="00466BF6" w:rsidRPr="00FB23E3" w:rsidRDefault="003043BD" w:rsidP="009E6DAF">
            <w:pPr>
              <w:pStyle w:val="BodyText"/>
            </w:pPr>
            <w:r>
              <w:t>No further management actions have been recommended for this hazard.</w:t>
            </w:r>
          </w:p>
        </w:tc>
      </w:tr>
    </w:tbl>
    <w:p w14:paraId="17507A8B" w14:textId="0EDD0CA0" w:rsidR="00466BF6" w:rsidRDefault="00466BF6" w:rsidP="007E5EBF">
      <w:pPr>
        <w:pStyle w:val="Heading3"/>
      </w:pPr>
      <w:bookmarkStart w:id="396" w:name="POT_MIT1"/>
      <w:bookmarkStart w:id="397" w:name="POT_MIT2"/>
      <w:bookmarkStart w:id="398" w:name="POT_MIT3"/>
      <w:bookmarkStart w:id="399" w:name="URGENT"/>
      <w:bookmarkEnd w:id="396"/>
      <w:bookmarkEnd w:id="397"/>
      <w:bookmarkEnd w:id="398"/>
      <w:bookmarkEnd w:id="399"/>
      <w:r w:rsidRPr="00D55628">
        <w:rPr>
          <w:rFonts w:cs="Times New Roman"/>
          <w:noProof/>
          <w:lang w:eastAsia="en-US"/>
        </w:rPr>
        <mc:AlternateContent>
          <mc:Choice Requires="wps">
            <w:drawing>
              <wp:anchor distT="0" distB="0" distL="114300" distR="114300" simplePos="1" relativeHeight="251658296" behindDoc="1" locked="1" layoutInCell="1" allowOverlap="1" wp14:anchorId="0C322036" wp14:editId="7A0A707C">
                <wp:simplePos x="359410" y="9071610"/>
                <wp:positionH relativeFrom="page">
                  <wp:posOffset>359410</wp:posOffset>
                </wp:positionH>
                <wp:positionV relativeFrom="page">
                  <wp:posOffset>9071610</wp:posOffset>
                </wp:positionV>
                <wp:extent cx="6840001" cy="432000"/>
                <wp:effectExtent l="0" t="0" r="0" b="0"/>
                <wp:wrapNone/>
                <wp:docPr id="312"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7BA6A"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22036" id="_x0000_s1069" type="#_x0000_t202" alt="Title: Decorative Cover Shape" style="position:absolute;left:0;text-align:left;margin-left:28.3pt;margin-top:714.3pt;width:538.6pt;height:34pt;z-index:-2516581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" fillcolor="#201547" stroked="f" strokeweight=".5pt">
                <v:textbox inset="10mm,0,10mm,0">
                  <w:txbxContent>
                    <w:p w14:paraId="64C7BA6A"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95" behindDoc="0" locked="1" layoutInCell="1" allowOverlap="1" wp14:anchorId="7D8A4013" wp14:editId="3BC922FF">
                <wp:simplePos x="0" y="0"/>
                <wp:positionH relativeFrom="page">
                  <wp:posOffset>360045</wp:posOffset>
                </wp:positionH>
                <wp:positionV relativeFrom="page">
                  <wp:posOffset>360045</wp:posOffset>
                </wp:positionV>
                <wp:extent cx="1864800" cy="1976400"/>
                <wp:effectExtent l="0" t="0" r="0" b="0"/>
                <wp:wrapNone/>
                <wp:docPr id="1616"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EBC4CF4" id="TriangleTopACIMono" o:spid="_x0000_s1026" style="position:absolute;margin-left:28.35pt;margin-top:28.35pt;width:146.85pt;height:155.6pt;z-index:25165829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294" behindDoc="0" locked="1" layoutInCell="1" allowOverlap="1" wp14:anchorId="2E50617C" wp14:editId="5CB8AB83">
                <wp:simplePos x="0" y="0"/>
                <wp:positionH relativeFrom="page">
                  <wp:posOffset>359410</wp:posOffset>
                </wp:positionH>
                <wp:positionV relativeFrom="page">
                  <wp:posOffset>359410</wp:posOffset>
                </wp:positionV>
                <wp:extent cx="1864800" cy="1976400"/>
                <wp:effectExtent l="0" t="0" r="0" b="0"/>
                <wp:wrapNone/>
                <wp:docPr id="1617"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86B5108" id="TriangleTop" o:spid="_x0000_s1026" style="position:absolute;margin-left:28.3pt;margin-top:28.3pt;width:146.85pt;height:155.6pt;z-index:25165829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93" behindDoc="0" locked="1" layoutInCell="1" allowOverlap="1" wp14:anchorId="339895C9" wp14:editId="7FB707A6">
                <wp:simplePos x="0" y="0"/>
                <wp:positionH relativeFrom="page">
                  <wp:posOffset>0</wp:posOffset>
                </wp:positionH>
                <wp:positionV relativeFrom="page">
                  <wp:align>bottom</wp:align>
                </wp:positionV>
                <wp:extent cx="3848400" cy="720000"/>
                <wp:effectExtent l="0" t="0" r="0" b="0"/>
                <wp:wrapNone/>
                <wp:docPr id="315"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655A8"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895C9" id="_x0000_s1070" type="#_x0000_t202" style="position:absolute;left:0;text-align:left;margin-left:0;margin-top:0;width:303pt;height:56.7pt;z-index:25165829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AV56ggbgIAAEYFAAAOAAAAAAAAAAAAAAAAAC4C&#10;AABkcnMvZTJvRG9jLnhtbFBLAQItABQABgAIAAAAIQD0ys+o2gAAAAUBAAAPAAAAAAAAAAAAAAAA&#10;AMgEAABkcnMvZG93bnJldi54bWxQSwUGAAAAAAQABADzAAAAzwUAAAAA&#10;" filled="f" stroked="f" strokeweight=".5pt">
                <v:textbox inset="20mm">
                  <w:txbxContent>
                    <w:p w14:paraId="171655A8"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bookmarkStart w:id="400" w:name="_Toc88725762"/>
      <w:bookmarkStart w:id="401" w:name="_Toc88725763"/>
      <w:bookmarkStart w:id="402" w:name="_Toc88725764"/>
      <w:bookmarkStart w:id="403" w:name="_Toc88725765"/>
      <w:bookmarkStart w:id="404" w:name="_Toc88725766"/>
      <w:bookmarkStart w:id="405" w:name="_Toc88725767"/>
      <w:bookmarkStart w:id="406" w:name="_Toc88725768"/>
      <w:bookmarkStart w:id="407" w:name="_Toc88725769"/>
      <w:bookmarkStart w:id="408" w:name="_Toc88725770"/>
      <w:bookmarkStart w:id="409" w:name="_Toc88725771"/>
      <w:bookmarkStart w:id="410" w:name="_Toc88725772"/>
      <w:bookmarkStart w:id="411" w:name="_Toc88725774"/>
      <w:bookmarkStart w:id="412" w:name="_Toc88725776"/>
      <w:bookmarkStart w:id="413" w:name="_Toc88725778"/>
      <w:bookmarkStart w:id="414" w:name="_Toc88725780"/>
      <w:bookmarkStart w:id="415" w:name="_Toc88725781"/>
      <w:bookmarkStart w:id="416" w:name="_Toc88725782"/>
      <w:bookmarkStart w:id="417" w:name="_Toc88725783"/>
      <w:bookmarkStart w:id="418" w:name="_Toc88725784"/>
      <w:bookmarkEnd w:id="38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t>Invasive species</w:t>
      </w:r>
      <w:bookmarkEnd w:id="418"/>
    </w:p>
    <w:p w14:paraId="0579F6AC" w14:textId="77777777" w:rsidR="00466BF6" w:rsidRPr="00660ABA" w:rsidRDefault="00466BF6" w:rsidP="00466BF6">
      <w:pPr>
        <w:pStyle w:val="Heading5"/>
        <w:numPr>
          <w:ilvl w:val="0"/>
          <w:numId w:val="0"/>
        </w:numPr>
        <w:ind w:left="1008" w:hanging="1008"/>
        <w:rPr>
          <w:rFonts w:ascii="Segoe UI" w:hAnsi="Segoe UI" w:cs="Segoe UI"/>
          <w:color w:val="363534"/>
          <w:sz w:val="18"/>
          <w:szCs w:val="18"/>
        </w:rPr>
      </w:pPr>
      <w:r>
        <w:t>Invasive vertebrate (deer)</w:t>
      </w:r>
      <w:r w:rsidRPr="00660ABA">
        <w:rPr>
          <w:rFonts w:ascii="Arial" w:hAnsi="Arial"/>
          <w:color w:val="363534"/>
        </w:rPr>
        <w:t> </w:t>
      </w:r>
    </w:p>
    <w:p w14:paraId="32F8E599" w14:textId="2E7F88F8" w:rsidR="00466BF6" w:rsidRDefault="00466BF6" w:rsidP="00466BF6">
      <w:pPr>
        <w:pStyle w:val="BodyText"/>
      </w:pPr>
      <w:r>
        <w:t>Sambar</w:t>
      </w:r>
      <w:r w:rsidR="004419D0">
        <w:t xml:space="preserve"> </w:t>
      </w:r>
      <w:r w:rsidR="00247646">
        <w:t>D</w:t>
      </w:r>
      <w:r w:rsidR="004419D0">
        <w:t>eer</w:t>
      </w:r>
      <w:r>
        <w:t xml:space="preserve"> have been increasing in population density and penetration across the region </w:t>
      </w:r>
      <w:r w:rsidR="004419D0">
        <w:t xml:space="preserve">(Watter et al. 2020) </w:t>
      </w:r>
      <w:r>
        <w:t xml:space="preserve">with increasing evidence of targeted browsing of a diversity of tree and shrub taxa including </w:t>
      </w:r>
      <w:r w:rsidR="002C4C35">
        <w:t>several</w:t>
      </w:r>
      <w:r>
        <w:t xml:space="preserve"> taxa with tough leathery leaves which had been previously assumed to be unlikely targets for browsing. This growing list of susceptible taxa includes those in unexpectedly dry, rocky, elevated sites, such as the Finger Hakea, where Sambar had not previously been noted as active. This hazard extends across all the </w:t>
      </w:r>
      <w:r w:rsidR="001D3902">
        <w:t>species’</w:t>
      </w:r>
      <w:r>
        <w:t xml:space="preserve"> Victorian populations, with browsing observed of both mature adult plants and juvenile recruits for a wide variety of trees and shrubs. If browsing is sustained over successive seasons the likelihood of adult mortality is substantially increased, exposing recruiting subpopulations to recruitment failure and local extinction. Prolonged or repeated browsing is also likely to reduce flowering and seedset. The </w:t>
      </w:r>
      <w:r w:rsidR="001D3902">
        <w:t>species</w:t>
      </w:r>
      <w:r>
        <w:t xml:space="preserve"> typically occurs in very small, isolated stands with little or no likelihood of recolonisation in the event of local extinction with the only plausible vectors of seed being ants (myrmecochory) which operate at the metre scale. Small and isolated subpopulations are at particular risk of recruitment failure through targeted browsing by Sambar or Black-tailed Wallaby following intense bushfire, planned burning, post-</w:t>
      </w:r>
      <w:r w:rsidR="000A4796">
        <w:t xml:space="preserve">harvest </w:t>
      </w:r>
      <w:r>
        <w:t xml:space="preserve">regeneration or extreme drought events. </w:t>
      </w:r>
    </w:p>
    <w:p w14:paraId="118CF281" w14:textId="77777777" w:rsidR="00466BF6" w:rsidRDefault="00466BF6" w:rsidP="00466BF6">
      <w:pPr>
        <w:pStyle w:val="BodyText"/>
      </w:pPr>
      <w:r w:rsidRPr="00660ABA">
        <w:t>Current existing controls for this hazard includ</w:t>
      </w:r>
      <w:r>
        <w:t>e:</w:t>
      </w:r>
    </w:p>
    <w:p w14:paraId="6740031F" w14:textId="39A2D0B8" w:rsidR="00466BF6" w:rsidRDefault="00466BF6" w:rsidP="006670D2">
      <w:pPr>
        <w:pStyle w:val="PullOutBoxBullet"/>
        <w:rPr>
          <w:rStyle w:val="normaltextrun"/>
          <w:lang w:eastAsia="en-US"/>
        </w:rPr>
      </w:pPr>
      <w:r w:rsidRPr="00D95A46">
        <w:rPr>
          <w:rStyle w:val="normaltextrun"/>
        </w:rPr>
        <w:t xml:space="preserve">Targeted deer control. </w:t>
      </w:r>
      <w:r w:rsidRPr="00CB51DA">
        <w:rPr>
          <w:rStyle w:val="normaltextrun"/>
        </w:rPr>
        <w:t>The effectiveness of this control for this species has been evaluated as poor</w:t>
      </w:r>
      <w:r>
        <w:rPr>
          <w:rStyle w:val="normaltextrun"/>
        </w:rPr>
        <w:t xml:space="preserve"> </w:t>
      </w:r>
      <w:r w:rsidRPr="00D95A46">
        <w:rPr>
          <w:rStyle w:val="normaltextrun"/>
        </w:rPr>
        <w:t xml:space="preserve">because </w:t>
      </w:r>
      <w:r w:rsidRPr="00BE1712">
        <w:rPr>
          <w:rStyle w:val="normaltextrun"/>
        </w:rPr>
        <w:t>targeted</w:t>
      </w:r>
      <w:r w:rsidRPr="00D95A46">
        <w:rPr>
          <w:rStyle w:val="normaltextrun"/>
        </w:rPr>
        <w:t xml:space="preserve"> culling is patchy, expensive, and challenging to target in remote forest areas. Sambar deer occur across a large area so there is a reservoir of other areas to recolonise from.</w:t>
      </w:r>
      <w:r w:rsidR="0005643E" w:rsidRPr="0005643E">
        <w:t xml:space="preserve"> </w:t>
      </w:r>
      <w:r w:rsidR="0005643E" w:rsidRPr="00F05594">
        <w:t xml:space="preserve">It is important to note, however, that </w:t>
      </w:r>
      <w:r w:rsidR="0005643E" w:rsidRPr="00F05594">
        <w:rPr>
          <w:rStyle w:val="eop"/>
          <w:rFonts w:ascii="Arial" w:hAnsi="Arial"/>
          <w:color w:val="363534"/>
        </w:rPr>
        <w:t>recent deer control programs carried out throughout East Gippsland show significant advances in ground-based shooting by using thermal imaging, after-dark hunting and in some cases the use of silencers. Targeted control programs should not be considered inappropriate if program funding is sustainable and the target flora species for protection face significant threat from deer activity.</w:t>
      </w:r>
    </w:p>
    <w:p w14:paraId="1DC4A850" w14:textId="7CD3C560" w:rsidR="00466BF6" w:rsidRDefault="00466BF6" w:rsidP="006670D2">
      <w:pPr>
        <w:pStyle w:val="PullOutBoxBullet"/>
      </w:pPr>
      <w:r>
        <w:t xml:space="preserve">Deer deterrents such as urine pots and sensor lights. The effectiveness of these controls for this species have been evaluated as poor as they have been trialled on the Bogong high-plains (Pers. Comm. W. Papst) and found to operate only effectively for a short-time period as the </w:t>
      </w:r>
      <w:r w:rsidR="00641935">
        <w:t>d</w:t>
      </w:r>
      <w:r>
        <w:t>eer become acclimatised. They are useful for small areas with high concentrations of extremely threatened species</w:t>
      </w:r>
      <w:r w:rsidR="002C4C35">
        <w:t>;</w:t>
      </w:r>
      <w:r>
        <w:t xml:space="preserve"> </w:t>
      </w:r>
      <w:r w:rsidR="002C4C35">
        <w:t>however,</w:t>
      </w:r>
      <w:r>
        <w:t xml:space="preserve"> it is poor for this species. </w:t>
      </w:r>
    </w:p>
    <w:p w14:paraId="76457DDC" w14:textId="77777777" w:rsidR="003C4630" w:rsidRDefault="003C4630">
      <w:pPr>
        <w:rPr>
          <w:b/>
          <w:bCs/>
          <w:sz w:val="16"/>
        </w:rPr>
      </w:pPr>
      <w:r>
        <w:br w:type="page"/>
      </w:r>
    </w:p>
    <w:p w14:paraId="1C79B5B2" w14:textId="74FB7645"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86</w:t>
      </w:r>
      <w:r w:rsidR="000B6788" w:rsidRPr="00B6162A">
        <w:rPr>
          <w:bCs/>
          <w:noProof/>
        </w:rPr>
        <w:fldChar w:fldCharType="end"/>
      </w:r>
      <w:r w:rsidRPr="00FF310C">
        <w:t>. Finger Hakea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466BF6" w:rsidRPr="00867DAA" w14:paraId="1123BE98"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043C1CB9" w14:textId="77777777" w:rsidR="00466BF6" w:rsidRPr="00704719" w:rsidRDefault="00466BF6" w:rsidP="00296E0F">
            <w:pPr>
              <w:pStyle w:val="BodyText"/>
            </w:pPr>
            <w:r w:rsidRPr="00704719">
              <w:t>Requirement</w:t>
            </w:r>
          </w:p>
        </w:tc>
        <w:tc>
          <w:tcPr>
            <w:tcW w:w="7371" w:type="dxa"/>
            <w:vAlign w:val="center"/>
          </w:tcPr>
          <w:p w14:paraId="11269B62"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6C43A7DA" w14:textId="77777777" w:rsidTr="00140207">
        <w:tc>
          <w:tcPr>
            <w:tcW w:w="2268" w:type="dxa"/>
          </w:tcPr>
          <w:p w14:paraId="23538558" w14:textId="63421AFA" w:rsidR="00466BF6" w:rsidRPr="003566BD" w:rsidRDefault="00CB5203" w:rsidP="00140207">
            <w:pPr>
              <w:pStyle w:val="BodyText"/>
            </w:pPr>
            <w:r>
              <w:t>Priority management actions</w:t>
            </w:r>
          </w:p>
        </w:tc>
        <w:tc>
          <w:tcPr>
            <w:tcW w:w="7371" w:type="dxa"/>
          </w:tcPr>
          <w:p w14:paraId="562F3651" w14:textId="77777777" w:rsidR="00466BF6" w:rsidRPr="00316878" w:rsidRDefault="00466BF6" w:rsidP="00140207">
            <w:pPr>
              <w:pStyle w:val="BodyText"/>
            </w:pPr>
            <w:r>
              <w:t xml:space="preserve">Not required for this hazard as it is an ongoing hazard operating stochastically. </w:t>
            </w:r>
            <w:r w:rsidRPr="001360FD">
              <w:t xml:space="preserve"> </w:t>
            </w:r>
          </w:p>
        </w:tc>
      </w:tr>
      <w:tr w:rsidR="00466BF6" w:rsidRPr="00867DAA" w14:paraId="5D148AC6" w14:textId="77777777" w:rsidTr="00140207">
        <w:tc>
          <w:tcPr>
            <w:tcW w:w="2268" w:type="dxa"/>
          </w:tcPr>
          <w:p w14:paraId="579B76DB" w14:textId="0062E84D" w:rsidR="00466BF6" w:rsidRPr="00867DAA" w:rsidRDefault="00CB5203" w:rsidP="00140207">
            <w:pPr>
              <w:pStyle w:val="BodyText"/>
            </w:pPr>
            <w:r>
              <w:t>Potential m</w:t>
            </w:r>
            <w:r w:rsidR="00466BF6" w:rsidRPr="00867DAA">
              <w:t>anagement actions</w:t>
            </w:r>
          </w:p>
        </w:tc>
        <w:tc>
          <w:tcPr>
            <w:tcW w:w="7371" w:type="dxa"/>
          </w:tcPr>
          <w:p w14:paraId="022B958A" w14:textId="6D768DEA" w:rsidR="00466BF6" w:rsidRPr="00FB23E3" w:rsidRDefault="00466BF6" w:rsidP="006670D2">
            <w:pPr>
              <w:pStyle w:val="PullOutBoxBullet"/>
            </w:pPr>
            <w:r>
              <w:t xml:space="preserve">Monitor recruiting populations in the first two years following </w:t>
            </w:r>
            <w:r w:rsidR="000A4796">
              <w:t>timber harvesting</w:t>
            </w:r>
            <w:r>
              <w:t xml:space="preserve">, planned burning and bushfire (these are the three events that will trigger recruitment) to see evidence of browsing. </w:t>
            </w:r>
          </w:p>
        </w:tc>
      </w:tr>
    </w:tbl>
    <w:p w14:paraId="781CBE3F" w14:textId="77777777" w:rsidR="00466BF6" w:rsidRDefault="00466BF6" w:rsidP="007E5EBF">
      <w:pPr>
        <w:pStyle w:val="Heading3"/>
      </w:pPr>
      <w:bookmarkStart w:id="419" w:name="_Toc88725785"/>
      <w:bookmarkStart w:id="420" w:name="_Toc88725786"/>
      <w:bookmarkStart w:id="421" w:name="_Toc88725787"/>
      <w:bookmarkStart w:id="422" w:name="_Toc88725788"/>
      <w:bookmarkStart w:id="423" w:name="_Toc88725789"/>
      <w:bookmarkStart w:id="424" w:name="_Toc88725790"/>
      <w:bookmarkStart w:id="425" w:name="_Toc88725791"/>
      <w:bookmarkStart w:id="426" w:name="_Toc88725792"/>
      <w:bookmarkStart w:id="427" w:name="_Toc88725793"/>
      <w:bookmarkStart w:id="428" w:name="_Toc88725794"/>
      <w:bookmarkStart w:id="429" w:name="_Toc88725795"/>
      <w:bookmarkStart w:id="430" w:name="_Toc88725796"/>
      <w:bookmarkStart w:id="431" w:name="_Toc88725797"/>
      <w:bookmarkStart w:id="432" w:name="_Toc88725799"/>
      <w:bookmarkStart w:id="433" w:name="_Toc88725801"/>
      <w:bookmarkStart w:id="434" w:name="_Toc88725803"/>
      <w:bookmarkStart w:id="435" w:name="_Toc88725805"/>
      <w:bookmarkStart w:id="436" w:name="_Toc88725806"/>
      <w:bookmarkStart w:id="437" w:name="_Toc88725807"/>
      <w:bookmarkStart w:id="438" w:name="_Toc88725808"/>
      <w:bookmarkStart w:id="439" w:name="_Toc88725809"/>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t>Population dynamics</w:t>
      </w:r>
      <w:bookmarkEnd w:id="439"/>
    </w:p>
    <w:p w14:paraId="01BB7273" w14:textId="77777777" w:rsidR="00466BF6" w:rsidRPr="001C0DE0" w:rsidRDefault="00466BF6" w:rsidP="00466BF6">
      <w:pPr>
        <w:pStyle w:val="Heading5"/>
        <w:numPr>
          <w:ilvl w:val="0"/>
          <w:numId w:val="0"/>
        </w:numPr>
        <w:ind w:left="1008" w:hanging="1008"/>
      </w:pPr>
      <w:r>
        <w:t>Small/restricted population (flora)</w:t>
      </w:r>
    </w:p>
    <w:p w14:paraId="0F224720" w14:textId="02EAB50F" w:rsidR="00466BF6" w:rsidRDefault="00466BF6" w:rsidP="00466BF6">
      <w:pPr>
        <w:pStyle w:val="BodyText"/>
      </w:pPr>
      <w:r>
        <w:t xml:space="preserve">The </w:t>
      </w:r>
      <w:r w:rsidR="001D3902">
        <w:t>species</w:t>
      </w:r>
      <w:r>
        <w:t xml:space="preserve"> is currently known in Victoria only in several dry rocky upslope sites in remote forest between Mount Kaye and Cape Howe in far East Gippsland. Whilst the forest habitat is not uncommon in the district, the likelihood that other occurrences occur elsewhere in the district cannot be predicted. This hazard extends potentially up to 100% of the </w:t>
      </w:r>
      <w:r w:rsidR="001D3902">
        <w:t>species’</w:t>
      </w:r>
      <w:r>
        <w:t xml:space="preserve"> populations. </w:t>
      </w:r>
      <w:r w:rsidR="008C1ABF" w:rsidRPr="00915D82">
        <w:t>All occurrences</w:t>
      </w:r>
      <w:r w:rsidR="002A0D24">
        <w:t xml:space="preserve"> </w:t>
      </w:r>
      <w:r w:rsidR="008C1ABF" w:rsidRPr="00915D82">
        <w:t>are potentially threatened by planned burning</w:t>
      </w:r>
      <w:r w:rsidR="0066274B">
        <w:t>,</w:t>
      </w:r>
      <w:r w:rsidR="002A0D24" w:rsidRPr="002A0D24">
        <w:t xml:space="preserve"> </w:t>
      </w:r>
      <w:r w:rsidR="002A0D24" w:rsidRPr="00C02DCA">
        <w:t xml:space="preserve">including the only confirmed record of the </w:t>
      </w:r>
      <w:r w:rsidR="001D3902">
        <w:t>species</w:t>
      </w:r>
      <w:r w:rsidR="002A0D24" w:rsidRPr="00C02DCA">
        <w:t xml:space="preserve"> in Victoria that is not in a </w:t>
      </w:r>
      <w:r w:rsidR="0066274B">
        <w:t>n</w:t>
      </w:r>
      <w:r w:rsidR="002A0D24" w:rsidRPr="00C02DCA">
        <w:t>ational park</w:t>
      </w:r>
      <w:r w:rsidR="002A0D24">
        <w:t xml:space="preserve"> which</w:t>
      </w:r>
      <w:r w:rsidR="002A0D24" w:rsidRPr="00C02DCA">
        <w:t xml:space="preserve"> is a single mature 7m tall tree on Stony Peak Road nine kilometres west of Genoa in </w:t>
      </w:r>
      <w:r w:rsidR="0068148C" w:rsidRPr="00C02DCA">
        <w:t>State Forest</w:t>
      </w:r>
      <w:r w:rsidR="008C1ABF" w:rsidRPr="00915D82">
        <w:t>. This hazard operates synergistically with the impact of Sambar and climatic warming and drying.</w:t>
      </w:r>
    </w:p>
    <w:p w14:paraId="310F4396" w14:textId="456A91A6" w:rsidR="00466BF6" w:rsidRDefault="00466BF6" w:rsidP="00466BF6">
      <w:pPr>
        <w:pStyle w:val="BodyText"/>
      </w:pPr>
      <w:r>
        <w:t xml:space="preserve">There are no current control measures for this hazard that manage the risk to this </w:t>
      </w:r>
      <w:r w:rsidR="001D3902">
        <w:t>species</w:t>
      </w:r>
      <w:r>
        <w:t>.</w:t>
      </w:r>
    </w:p>
    <w:p w14:paraId="31A09B5F" w14:textId="43604763"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87</w:t>
      </w:r>
      <w:r w:rsidR="000B6788" w:rsidRPr="00B6162A">
        <w:rPr>
          <w:bCs/>
          <w:noProof/>
        </w:rPr>
        <w:fldChar w:fldCharType="end"/>
      </w:r>
      <w:r w:rsidRPr="00FF310C">
        <w:t>. Finger Hakea protection requirements and recommendations for small/restricted population (flora)</w:t>
      </w:r>
    </w:p>
    <w:tbl>
      <w:tblPr>
        <w:tblStyle w:val="TableGrid"/>
        <w:tblW w:w="0" w:type="auto"/>
        <w:tblLook w:val="04A0" w:firstRow="1" w:lastRow="0" w:firstColumn="1" w:lastColumn="0" w:noHBand="0" w:noVBand="1"/>
      </w:tblPr>
      <w:tblGrid>
        <w:gridCol w:w="2268"/>
        <w:gridCol w:w="7371"/>
      </w:tblGrid>
      <w:tr w:rsidR="00466BF6" w:rsidRPr="00867DAA" w14:paraId="48BB4112"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79756918" w14:textId="77777777" w:rsidR="00466BF6" w:rsidRPr="00704719" w:rsidRDefault="00466BF6" w:rsidP="00296E0F">
            <w:pPr>
              <w:pStyle w:val="BodyText"/>
            </w:pPr>
            <w:r w:rsidRPr="00704719">
              <w:t>Requirement</w:t>
            </w:r>
          </w:p>
        </w:tc>
        <w:tc>
          <w:tcPr>
            <w:tcW w:w="7371" w:type="dxa"/>
            <w:vAlign w:val="center"/>
          </w:tcPr>
          <w:p w14:paraId="284DB8E7"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669DF2A5" w14:textId="77777777" w:rsidTr="00140207">
        <w:tc>
          <w:tcPr>
            <w:tcW w:w="2268" w:type="dxa"/>
          </w:tcPr>
          <w:p w14:paraId="52BC307F" w14:textId="05325DED" w:rsidR="00466BF6" w:rsidRPr="003566BD" w:rsidRDefault="00CB5203" w:rsidP="00140207">
            <w:pPr>
              <w:pStyle w:val="BodyText"/>
            </w:pPr>
            <w:r>
              <w:t>Priority management actions</w:t>
            </w:r>
          </w:p>
        </w:tc>
        <w:tc>
          <w:tcPr>
            <w:tcW w:w="7371" w:type="dxa"/>
          </w:tcPr>
          <w:p w14:paraId="189D53A0" w14:textId="784A006C" w:rsidR="00466BF6" w:rsidRPr="00316878" w:rsidRDefault="00CB5203" w:rsidP="006670D2">
            <w:pPr>
              <w:pStyle w:val="PullOutBoxBullet"/>
            </w:pPr>
            <w:r>
              <w:t>Undertake targeted field surveys to confirm the extent of all known occurrences and any other undetected occurrences in the general vicinity.</w:t>
            </w:r>
          </w:p>
        </w:tc>
      </w:tr>
      <w:tr w:rsidR="00466BF6" w:rsidRPr="00867DAA" w14:paraId="040C0235" w14:textId="77777777" w:rsidTr="00140207">
        <w:tc>
          <w:tcPr>
            <w:tcW w:w="2268" w:type="dxa"/>
          </w:tcPr>
          <w:p w14:paraId="19EA3165" w14:textId="4C903C9E" w:rsidR="00466BF6" w:rsidRPr="00867DAA" w:rsidRDefault="00CB5203" w:rsidP="00140207">
            <w:pPr>
              <w:pStyle w:val="BodyText"/>
            </w:pPr>
            <w:r>
              <w:t>Potential m</w:t>
            </w:r>
            <w:r w:rsidR="00466BF6" w:rsidRPr="00867DAA">
              <w:t>anagement actions</w:t>
            </w:r>
          </w:p>
        </w:tc>
        <w:tc>
          <w:tcPr>
            <w:tcW w:w="7371" w:type="dxa"/>
          </w:tcPr>
          <w:p w14:paraId="657CE938" w14:textId="72C21D7A" w:rsidR="00466BF6" w:rsidRPr="00FB23E3" w:rsidRDefault="00466BF6" w:rsidP="006670D2">
            <w:pPr>
              <w:pStyle w:val="PullOutBoxBullet"/>
            </w:pPr>
            <w:r>
              <w:t xml:space="preserve">Establish </w:t>
            </w:r>
            <w:r w:rsidRPr="006F1079">
              <w:rPr>
                <w:i/>
                <w:iCs/>
              </w:rPr>
              <w:t>ex-situ</w:t>
            </w:r>
            <w:r>
              <w:t xml:space="preserve"> populations</w:t>
            </w:r>
            <w:r w:rsidR="00D4486E">
              <w:t>.</w:t>
            </w:r>
          </w:p>
        </w:tc>
      </w:tr>
    </w:tbl>
    <w:p w14:paraId="5BBD5E34" w14:textId="77777777" w:rsidR="00466BF6" w:rsidRDefault="00466BF6" w:rsidP="00466BF6">
      <w:pPr>
        <w:rPr>
          <w:rFonts w:cs="Times New Roman"/>
          <w:lang w:eastAsia="en-US"/>
        </w:rPr>
      </w:pPr>
      <w:r>
        <w:br w:type="page"/>
      </w:r>
    </w:p>
    <w:p w14:paraId="0AD3DE84" w14:textId="77777777" w:rsidR="00466BF6" w:rsidRPr="00BE6E6E" w:rsidRDefault="00466BF6" w:rsidP="00FB5A2B">
      <w:pPr>
        <w:pStyle w:val="Heading2"/>
        <w:ind w:left="0"/>
        <w:rPr>
          <w:rStyle w:val="Heading2Char"/>
          <w:b/>
          <w:i/>
        </w:rPr>
      </w:pPr>
      <w:bookmarkStart w:id="440" w:name="_Toc88724715"/>
      <w:bookmarkStart w:id="441" w:name="_Toc95233352"/>
      <w:bookmarkStart w:id="442" w:name="_Toc113271041"/>
      <w:r w:rsidRPr="00423D09">
        <w:rPr>
          <w:rStyle w:val="Heading2Char"/>
          <w:b/>
          <w:bCs/>
          <w:iCs/>
        </w:rPr>
        <w:t>Fingerwort</w:t>
      </w:r>
      <w:r w:rsidRPr="00BE6E6E">
        <w:rPr>
          <w:rStyle w:val="Heading2Char"/>
          <w:b/>
          <w:bCs/>
          <w:i/>
        </w:rPr>
        <w:t xml:space="preserve"> </w:t>
      </w:r>
      <w:r w:rsidRPr="005F7C68">
        <w:rPr>
          <w:rStyle w:val="Heading2Char"/>
          <w:b/>
          <w:bCs/>
          <w:i/>
        </w:rPr>
        <w:t>(Lepidozia procera)</w:t>
      </w:r>
      <w:bookmarkEnd w:id="440"/>
      <w:bookmarkEnd w:id="441"/>
      <w:bookmarkEnd w:id="442"/>
    </w:p>
    <w:p w14:paraId="7D0C1776" w14:textId="701E177E" w:rsidR="00466BF6" w:rsidRPr="007A00A8" w:rsidRDefault="00466BF6" w:rsidP="00466BF6">
      <w:pPr>
        <w:pStyle w:val="BodyText"/>
      </w:pPr>
      <w:r>
        <w:t xml:space="preserve">The Fingerwort was listed as Critically Endangered in Victoria under the FFG Act in May 2021. The </w:t>
      </w:r>
      <w:r w:rsidR="001D3902">
        <w:t>species</w:t>
      </w:r>
      <w:r>
        <w:t xml:space="preserve"> occurs in the Central Highlands (100% of VBA points) RFA region.</w:t>
      </w:r>
      <w:r w:rsidRPr="007B5E6A">
        <w:rPr>
          <w:rStyle w:val="BodyTextChar"/>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53ECFBD5" w14:textId="77777777" w:rsidR="00466BF6" w:rsidRDefault="00466BF6" w:rsidP="007E5EBF">
      <w:pPr>
        <w:pStyle w:val="Heading3"/>
      </w:pPr>
      <w:bookmarkStart w:id="443" w:name="_Toc88724716"/>
      <w:bookmarkStart w:id="444" w:name="_Toc88724717"/>
      <w:bookmarkStart w:id="445" w:name="_Toc88724718"/>
      <w:bookmarkStart w:id="446" w:name="_Toc88724719"/>
      <w:bookmarkStart w:id="447" w:name="_Toc88145972"/>
      <w:bookmarkStart w:id="448" w:name="_Toc88724720"/>
      <w:bookmarkEnd w:id="443"/>
      <w:bookmarkEnd w:id="444"/>
      <w:bookmarkEnd w:id="445"/>
      <w:bookmarkEnd w:id="446"/>
      <w:r>
        <w:t>Risk Assessment</w:t>
      </w:r>
      <w:bookmarkEnd w:id="447"/>
      <w:bookmarkEnd w:id="448"/>
    </w:p>
    <w:p w14:paraId="4585FEDC" w14:textId="00854715"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88</w:t>
      </w:r>
      <w:r w:rsidR="000B6788" w:rsidRPr="00B6162A">
        <w:rPr>
          <w:bCs/>
          <w:noProof/>
        </w:rPr>
        <w:fldChar w:fldCharType="end"/>
      </w:r>
      <w:r w:rsidRPr="00FF310C">
        <w:t>. Fingerwort risk ratings in the Central Highlands RFA</w:t>
      </w:r>
      <w:r w:rsidR="00A457F3">
        <w:t xml:space="preserve"> region</w:t>
      </w:r>
      <w:r w:rsidRPr="00FF310C">
        <w:t>:</w:t>
      </w:r>
    </w:p>
    <w:tbl>
      <w:tblPr>
        <w:tblStyle w:val="TableGrid"/>
        <w:tblW w:w="9497" w:type="dxa"/>
        <w:tblLayout w:type="fixed"/>
        <w:tblLook w:val="04A0" w:firstRow="1" w:lastRow="0" w:firstColumn="1" w:lastColumn="0" w:noHBand="0" w:noVBand="1"/>
      </w:tblPr>
      <w:tblGrid>
        <w:gridCol w:w="2375"/>
        <w:gridCol w:w="2374"/>
        <w:gridCol w:w="2374"/>
        <w:gridCol w:w="2374"/>
      </w:tblGrid>
      <w:tr w:rsidR="00466BF6" w14:paraId="7881498F"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vAlign w:val="center"/>
          </w:tcPr>
          <w:p w14:paraId="408F07A7" w14:textId="77777777" w:rsidR="00466BF6" w:rsidRPr="00643008" w:rsidRDefault="00466BF6" w:rsidP="006670D2">
            <w:pPr>
              <w:pStyle w:val="CaptionImageorFigure"/>
            </w:pPr>
          </w:p>
        </w:tc>
        <w:tc>
          <w:tcPr>
            <w:tcW w:w="0" w:type="dxa"/>
            <w:vAlign w:val="center"/>
          </w:tcPr>
          <w:p w14:paraId="4A256151" w14:textId="77777777" w:rsidR="00466BF6" w:rsidRPr="00643008"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0" w:type="dxa"/>
            <w:vAlign w:val="center"/>
          </w:tcPr>
          <w:p w14:paraId="17133D7D" w14:textId="7CEAC338" w:rsidR="00466BF6" w:rsidRDefault="00BC4502"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w:t>
            </w:r>
            <w:r w:rsidR="00466BF6">
              <w:t>restry operations</w:t>
            </w:r>
          </w:p>
        </w:tc>
        <w:tc>
          <w:tcPr>
            <w:tcW w:w="0" w:type="dxa"/>
            <w:vAlign w:val="center"/>
          </w:tcPr>
          <w:p w14:paraId="582AAED0" w14:textId="77777777" w:rsidR="00466BF6" w:rsidRDefault="00466BF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Stochastic events</w:t>
            </w:r>
          </w:p>
        </w:tc>
      </w:tr>
      <w:tr w:rsidR="00466BF6" w14:paraId="526D4CE1" w14:textId="77777777" w:rsidTr="00296E0F">
        <w:tc>
          <w:tcPr>
            <w:tcW w:w="0" w:type="dxa"/>
            <w:vAlign w:val="center"/>
          </w:tcPr>
          <w:p w14:paraId="12EFF7A6" w14:textId="77777777" w:rsidR="00466BF6" w:rsidRPr="0053677B" w:rsidRDefault="00466BF6" w:rsidP="00CF0422">
            <w:pPr>
              <w:pStyle w:val="BodyText"/>
              <w:jc w:val="center"/>
            </w:pPr>
            <w:r w:rsidRPr="0053677B">
              <w:t>Consequence</w:t>
            </w:r>
          </w:p>
        </w:tc>
        <w:tc>
          <w:tcPr>
            <w:tcW w:w="0" w:type="dxa"/>
            <w:vAlign w:val="center"/>
          </w:tcPr>
          <w:p w14:paraId="1AFC6928" w14:textId="77777777" w:rsidR="00466BF6" w:rsidRDefault="00466BF6" w:rsidP="00CF0422">
            <w:pPr>
              <w:pStyle w:val="BodyText"/>
              <w:jc w:val="center"/>
            </w:pPr>
            <w:r>
              <w:t>Extreme</w:t>
            </w:r>
          </w:p>
        </w:tc>
        <w:tc>
          <w:tcPr>
            <w:tcW w:w="0" w:type="dxa"/>
            <w:vAlign w:val="center"/>
          </w:tcPr>
          <w:p w14:paraId="605AF2CE" w14:textId="77777777" w:rsidR="00466BF6" w:rsidRDefault="00466BF6" w:rsidP="00CF0422">
            <w:pPr>
              <w:pStyle w:val="BodyText"/>
              <w:jc w:val="center"/>
            </w:pPr>
            <w:r>
              <w:t>Moderate</w:t>
            </w:r>
          </w:p>
        </w:tc>
        <w:tc>
          <w:tcPr>
            <w:tcW w:w="0" w:type="dxa"/>
            <w:vAlign w:val="center"/>
          </w:tcPr>
          <w:p w14:paraId="1C21A96C" w14:textId="77777777" w:rsidR="00466BF6" w:rsidRDefault="00466BF6" w:rsidP="00CF0422">
            <w:pPr>
              <w:pStyle w:val="BodyText"/>
              <w:jc w:val="center"/>
            </w:pPr>
            <w:r>
              <w:t>Major</w:t>
            </w:r>
          </w:p>
        </w:tc>
      </w:tr>
      <w:tr w:rsidR="00466BF6" w14:paraId="6475090A" w14:textId="77777777" w:rsidTr="00296E0F">
        <w:tc>
          <w:tcPr>
            <w:tcW w:w="0" w:type="dxa"/>
            <w:vAlign w:val="center"/>
          </w:tcPr>
          <w:p w14:paraId="462B39DE" w14:textId="77777777" w:rsidR="00466BF6" w:rsidRPr="0053677B" w:rsidRDefault="00466BF6" w:rsidP="00CF0422">
            <w:pPr>
              <w:pStyle w:val="BodyText"/>
              <w:jc w:val="center"/>
            </w:pPr>
            <w:r w:rsidRPr="0053677B">
              <w:t>Likelihood</w:t>
            </w:r>
          </w:p>
        </w:tc>
        <w:tc>
          <w:tcPr>
            <w:tcW w:w="0" w:type="dxa"/>
            <w:vAlign w:val="center"/>
          </w:tcPr>
          <w:p w14:paraId="0357C33B" w14:textId="77777777" w:rsidR="00466BF6" w:rsidRDefault="00466BF6" w:rsidP="00CF0422">
            <w:pPr>
              <w:pStyle w:val="BodyText"/>
              <w:jc w:val="center"/>
            </w:pPr>
            <w:r>
              <w:t>Likely</w:t>
            </w:r>
          </w:p>
        </w:tc>
        <w:tc>
          <w:tcPr>
            <w:tcW w:w="0" w:type="dxa"/>
            <w:vAlign w:val="center"/>
          </w:tcPr>
          <w:p w14:paraId="58E97025" w14:textId="77777777" w:rsidR="00466BF6" w:rsidRDefault="00466BF6" w:rsidP="00CF0422">
            <w:pPr>
              <w:pStyle w:val="BodyText"/>
              <w:jc w:val="center"/>
            </w:pPr>
            <w:r>
              <w:t>Possible</w:t>
            </w:r>
          </w:p>
        </w:tc>
        <w:tc>
          <w:tcPr>
            <w:tcW w:w="0" w:type="dxa"/>
            <w:vAlign w:val="center"/>
          </w:tcPr>
          <w:p w14:paraId="0E8020BF" w14:textId="77777777" w:rsidR="00466BF6" w:rsidRDefault="00466BF6" w:rsidP="00CF0422">
            <w:pPr>
              <w:pStyle w:val="BodyText"/>
              <w:jc w:val="center"/>
            </w:pPr>
            <w:r>
              <w:t>Possible</w:t>
            </w:r>
          </w:p>
        </w:tc>
      </w:tr>
      <w:tr w:rsidR="00466BF6" w14:paraId="13B4DDCE" w14:textId="77777777" w:rsidTr="00296E0F">
        <w:tc>
          <w:tcPr>
            <w:tcW w:w="0" w:type="dxa"/>
            <w:vAlign w:val="center"/>
          </w:tcPr>
          <w:p w14:paraId="78E8B3AC" w14:textId="77777777" w:rsidR="00466BF6" w:rsidRPr="0053677B" w:rsidRDefault="00466BF6" w:rsidP="00CF0422">
            <w:pPr>
              <w:pStyle w:val="BodyText"/>
              <w:jc w:val="center"/>
            </w:pPr>
            <w:r w:rsidRPr="0053677B">
              <w:t>Overall risk rating</w:t>
            </w:r>
          </w:p>
        </w:tc>
        <w:tc>
          <w:tcPr>
            <w:tcW w:w="0" w:type="dxa"/>
            <w:shd w:val="clear" w:color="auto" w:fill="FF0000"/>
            <w:vAlign w:val="center"/>
          </w:tcPr>
          <w:p w14:paraId="1241D508" w14:textId="77777777" w:rsidR="00466BF6" w:rsidRDefault="00466BF6" w:rsidP="00CF0422">
            <w:pPr>
              <w:pStyle w:val="BodyText"/>
              <w:jc w:val="center"/>
            </w:pPr>
            <w:r>
              <w:t>High</w:t>
            </w:r>
          </w:p>
        </w:tc>
        <w:tc>
          <w:tcPr>
            <w:tcW w:w="0" w:type="dxa"/>
            <w:shd w:val="clear" w:color="auto" w:fill="FFFF00"/>
            <w:vAlign w:val="center"/>
          </w:tcPr>
          <w:p w14:paraId="02965E04" w14:textId="77777777" w:rsidR="00466BF6" w:rsidRDefault="00466BF6" w:rsidP="00CF0422">
            <w:pPr>
              <w:pStyle w:val="BodyText"/>
              <w:jc w:val="center"/>
            </w:pPr>
            <w:r>
              <w:t>Medium</w:t>
            </w:r>
          </w:p>
        </w:tc>
        <w:tc>
          <w:tcPr>
            <w:tcW w:w="0" w:type="dxa"/>
            <w:shd w:val="clear" w:color="auto" w:fill="FFC000"/>
            <w:vAlign w:val="center"/>
          </w:tcPr>
          <w:p w14:paraId="5DA16537" w14:textId="77777777" w:rsidR="00466BF6" w:rsidRDefault="00466BF6" w:rsidP="00CF0422">
            <w:pPr>
              <w:pStyle w:val="BodyText"/>
              <w:jc w:val="center"/>
            </w:pPr>
            <w:r>
              <w:t>Significant</w:t>
            </w:r>
          </w:p>
        </w:tc>
      </w:tr>
    </w:tbl>
    <w:p w14:paraId="1CADE4C1" w14:textId="77777777" w:rsidR="00466BF6" w:rsidRDefault="00466BF6" w:rsidP="007E5EBF">
      <w:pPr>
        <w:pStyle w:val="Heading3"/>
      </w:pPr>
      <w:bookmarkStart w:id="449" w:name="_Toc88724721"/>
      <w:bookmarkStart w:id="450" w:name="_Toc88724722"/>
      <w:bookmarkStart w:id="451" w:name="_Toc88724723"/>
      <w:bookmarkStart w:id="452" w:name="_Toc88724724"/>
      <w:bookmarkStart w:id="453" w:name="_Toc88145973"/>
      <w:bookmarkStart w:id="454" w:name="_Toc88724725"/>
      <w:bookmarkEnd w:id="449"/>
      <w:bookmarkEnd w:id="450"/>
      <w:bookmarkEnd w:id="451"/>
      <w:bookmarkEnd w:id="452"/>
      <w:r>
        <w:t>Fire</w:t>
      </w:r>
      <w:bookmarkEnd w:id="453"/>
      <w:bookmarkEnd w:id="454"/>
    </w:p>
    <w:p w14:paraId="562D8D70" w14:textId="77777777" w:rsidR="00466BF6" w:rsidRPr="00660ABA" w:rsidRDefault="00466BF6" w:rsidP="00466BF6">
      <w:pPr>
        <w:pStyle w:val="Heading5"/>
        <w:numPr>
          <w:ilvl w:val="0"/>
          <w:numId w:val="0"/>
        </w:numPr>
        <w:ind w:left="1008" w:hanging="1008"/>
        <w:rPr>
          <w:rFonts w:ascii="Segoe UI" w:hAnsi="Segoe UI" w:cs="Segoe UI"/>
          <w:sz w:val="18"/>
          <w:szCs w:val="18"/>
        </w:rPr>
      </w:pPr>
      <w:r>
        <w:t>Increased fire frequency and intensity</w:t>
      </w:r>
    </w:p>
    <w:p w14:paraId="2C97ECE9" w14:textId="023C8C63" w:rsidR="00466BF6" w:rsidRPr="00A06C55" w:rsidRDefault="00466BF6" w:rsidP="00466BF6">
      <w:pPr>
        <w:pStyle w:val="BodyText"/>
      </w:pPr>
      <w:r>
        <w:t xml:space="preserve">Loss of specialised Cool Temperate Rainforest habitat </w:t>
      </w:r>
      <w:r w:rsidR="002C4C35">
        <w:t>because</w:t>
      </w:r>
      <w:r>
        <w:t xml:space="preserve"> of climate change is a major threat to the </w:t>
      </w:r>
      <w:r w:rsidR="001D3902">
        <w:t>species</w:t>
      </w:r>
      <w:r>
        <w:t xml:space="preserve">, with the concomitant increased risk of fire and consequent recruitment failure. Conditions are </w:t>
      </w:r>
      <w:r w:rsidRPr="00F26BEE">
        <w:t>predicted to increase towards greater incidence of bushfire within the Central Highlands over the next 50-year period (Clarke et al. 2019)</w:t>
      </w:r>
      <w:r w:rsidR="00332B0E">
        <w:t>,</w:t>
      </w:r>
      <w:r w:rsidRPr="00F26BEE">
        <w:t xml:space="preserve"> which presents</w:t>
      </w:r>
      <w:r>
        <w:t xml:space="preserve"> a direct threat to the persistence of habitat and populations of the </w:t>
      </w:r>
      <w:r w:rsidR="001D3902">
        <w:t>species</w:t>
      </w:r>
      <w:r>
        <w:t xml:space="preserve">. It is possible that a single fire event could destroy the </w:t>
      </w:r>
      <w:r w:rsidRPr="00A06C55">
        <w:t xml:space="preserve">only known Victorian population of this species, by way of increasing conditions suitable for eucalypt forest over Cool Temperate Rainforest. Disturbance to canopy from fire or landslip will likely further expose the habitat to impacts from Myrtle Wilt, sedimentation of the waterway, drying of understorey vegetation and potential weed invasion. This hazard impacts recruitment as well as causing direct </w:t>
      </w:r>
      <w:r w:rsidR="0068148C" w:rsidRPr="00A06C55">
        <w:t>mortality and</w:t>
      </w:r>
      <w:r w:rsidRPr="00A06C55">
        <w:t xml:space="preserve"> extends across 100% of the </w:t>
      </w:r>
      <w:r w:rsidR="001D3902">
        <w:t>species’</w:t>
      </w:r>
      <w:r w:rsidRPr="00A06C55">
        <w:t xml:space="preserve"> populations.  </w:t>
      </w:r>
    </w:p>
    <w:p w14:paraId="5B687DB6" w14:textId="77777777" w:rsidR="00466BF6" w:rsidRPr="00A06C55" w:rsidRDefault="00466BF6" w:rsidP="00466BF6">
      <w:pPr>
        <w:pStyle w:val="BodyText"/>
      </w:pPr>
      <w:r w:rsidRPr="00A06C55">
        <w:t>Current existing controls for this hazard include:</w:t>
      </w:r>
    </w:p>
    <w:p w14:paraId="52AB8B81" w14:textId="72C21894" w:rsidR="00466BF6" w:rsidRPr="00A06C55" w:rsidRDefault="00466BF6" w:rsidP="006670D2">
      <w:pPr>
        <w:pStyle w:val="PullOutBoxBullet"/>
      </w:pPr>
      <w:r w:rsidRPr="00A06C55">
        <w:t xml:space="preserve">The </w:t>
      </w:r>
      <w:r w:rsidRPr="00A06C55">
        <w:rPr>
          <w:i/>
          <w:iCs/>
        </w:rPr>
        <w:t xml:space="preserve">Climate Change Act 2017 </w:t>
      </w:r>
      <w:r w:rsidRPr="00A06C55">
        <w:t xml:space="preserve">and associated mitigation strategies. These controls are not effective in managing the risk to this </w:t>
      </w:r>
      <w:r w:rsidR="001D3902">
        <w:t>species</w:t>
      </w:r>
      <w:r w:rsidRPr="00A06C55">
        <w:t xml:space="preserve"> at the scale relevant to its conservation.</w:t>
      </w:r>
    </w:p>
    <w:p w14:paraId="7FC50684" w14:textId="4152BBFD" w:rsidR="00466BF6" w:rsidRPr="00796DC3" w:rsidRDefault="00466BF6" w:rsidP="006670D2">
      <w:pPr>
        <w:pStyle w:val="PullOutBoxBullet"/>
        <w:rPr>
          <w:b/>
          <w:bCs/>
          <w:sz w:val="16"/>
        </w:rPr>
      </w:pPr>
      <w:r w:rsidRPr="00A06C55">
        <w:t xml:space="preserve">Strategic bushfire management planning. The effectiveness of this control for this species has been evaluated as poor as the scale and intensity of recent bushfires means that, despite the frameworks and available resources, emergency response does not always </w:t>
      </w:r>
      <w:r w:rsidR="00393C5C">
        <w:t>mitigate</w:t>
      </w:r>
      <w:r w:rsidRPr="00A06C55">
        <w:t xml:space="preserve"> impacts </w:t>
      </w:r>
      <w:r w:rsidR="000432B4">
        <w:t>to this species.</w:t>
      </w:r>
    </w:p>
    <w:p w14:paraId="4497F748" w14:textId="1074EE74"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89</w:t>
      </w:r>
      <w:r w:rsidR="000B6788" w:rsidRPr="00B6162A">
        <w:rPr>
          <w:bCs/>
          <w:noProof/>
        </w:rPr>
        <w:fldChar w:fldCharType="end"/>
      </w:r>
      <w:r w:rsidRPr="00FF310C">
        <w:t>. Fingerwort protection requirements and recommendations for increased fire frequency</w:t>
      </w:r>
      <w:r w:rsidR="00CF0422" w:rsidRPr="00FF310C">
        <w:t xml:space="preserve"> and </w:t>
      </w:r>
      <w:r w:rsidRPr="00FF310C">
        <w:t>intensity</w:t>
      </w:r>
    </w:p>
    <w:tbl>
      <w:tblPr>
        <w:tblStyle w:val="TableGrid"/>
        <w:tblW w:w="0" w:type="auto"/>
        <w:tblLook w:val="04A0" w:firstRow="1" w:lastRow="0" w:firstColumn="1" w:lastColumn="0" w:noHBand="0" w:noVBand="1"/>
      </w:tblPr>
      <w:tblGrid>
        <w:gridCol w:w="2268"/>
        <w:gridCol w:w="7371"/>
      </w:tblGrid>
      <w:tr w:rsidR="00466BF6" w:rsidRPr="00867DAA" w14:paraId="3671D135"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14F64C6A" w14:textId="77777777" w:rsidR="00466BF6" w:rsidRPr="00704719" w:rsidRDefault="00466BF6" w:rsidP="00296E0F">
            <w:pPr>
              <w:pStyle w:val="BodyText"/>
            </w:pPr>
            <w:r w:rsidRPr="00704719">
              <w:t>Requirement</w:t>
            </w:r>
          </w:p>
        </w:tc>
        <w:tc>
          <w:tcPr>
            <w:tcW w:w="7371" w:type="dxa"/>
            <w:vAlign w:val="center"/>
          </w:tcPr>
          <w:p w14:paraId="47DE4E62"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60765A48" w14:textId="77777777" w:rsidTr="00140207">
        <w:tc>
          <w:tcPr>
            <w:tcW w:w="2268" w:type="dxa"/>
          </w:tcPr>
          <w:p w14:paraId="47739C4B" w14:textId="59092F96" w:rsidR="00466BF6" w:rsidRPr="003566BD" w:rsidRDefault="004815F1" w:rsidP="00140207">
            <w:pPr>
              <w:pStyle w:val="BodyText"/>
            </w:pPr>
            <w:r>
              <w:t>Priority management actions</w:t>
            </w:r>
          </w:p>
        </w:tc>
        <w:tc>
          <w:tcPr>
            <w:tcW w:w="7371" w:type="dxa"/>
          </w:tcPr>
          <w:p w14:paraId="393FD25F" w14:textId="77777777" w:rsidR="00466BF6" w:rsidRPr="003566BD" w:rsidRDefault="00466BF6" w:rsidP="00140207">
            <w:pPr>
              <w:pStyle w:val="BodyText"/>
            </w:pPr>
            <w:r w:rsidRPr="00200995">
              <w:t xml:space="preserve">Not required for this hazard </w:t>
            </w:r>
            <w:r>
              <w:t>as it is a longer-term threat.</w:t>
            </w:r>
          </w:p>
        </w:tc>
      </w:tr>
      <w:tr w:rsidR="00466BF6" w:rsidRPr="00867DAA" w14:paraId="226C2405" w14:textId="77777777" w:rsidTr="00140207">
        <w:tc>
          <w:tcPr>
            <w:tcW w:w="2268" w:type="dxa"/>
          </w:tcPr>
          <w:p w14:paraId="1119094A" w14:textId="60A5767B" w:rsidR="00466BF6" w:rsidRPr="00867DAA" w:rsidRDefault="004815F1" w:rsidP="00140207">
            <w:pPr>
              <w:pStyle w:val="BodyText"/>
            </w:pPr>
            <w:r>
              <w:t>Potential m</w:t>
            </w:r>
            <w:r w:rsidR="00466BF6" w:rsidRPr="00867DAA">
              <w:t>anagement actions</w:t>
            </w:r>
          </w:p>
        </w:tc>
        <w:tc>
          <w:tcPr>
            <w:tcW w:w="7371" w:type="dxa"/>
          </w:tcPr>
          <w:p w14:paraId="088614E8" w14:textId="3C1957BB" w:rsidR="00466BF6" w:rsidRPr="00DB4710" w:rsidRDefault="00466BF6" w:rsidP="006670D2">
            <w:pPr>
              <w:pStyle w:val="PullOutBoxBullet"/>
              <w:rPr>
                <w:rStyle w:val="BodyTextChar"/>
                <w:lang w:eastAsia="en-AU"/>
              </w:rPr>
            </w:pPr>
            <w:r w:rsidRPr="00DB4710">
              <w:rPr>
                <w:rStyle w:val="BodyTextChar"/>
                <w:lang w:eastAsia="en-AU"/>
              </w:rPr>
              <w:t>Remove eucalypt recruits from Cool Temperate Rainforest patches. Young eucalypts (&lt;20 cm diameter at breast height) may be removed to allow conditions for Cool Temperate rainforest canopy taxa to be dominant, and to reduce the susceptibility of habitats to bushfire</w:t>
            </w:r>
            <w:r w:rsidR="00DB4710" w:rsidRPr="00DB4710">
              <w:rPr>
                <w:rStyle w:val="BodyTextChar"/>
                <w:lang w:eastAsia="en-AU"/>
              </w:rPr>
              <w:t>; and</w:t>
            </w:r>
          </w:p>
          <w:p w14:paraId="1ADCC487" w14:textId="23E1D734" w:rsidR="00466BF6" w:rsidRPr="000513E8" w:rsidRDefault="00DB4710" w:rsidP="006670D2">
            <w:pPr>
              <w:pStyle w:val="PullOutBoxBullet"/>
              <w:rPr>
                <w:rFonts w:ascii="Arial" w:hAnsi="Arial"/>
                <w:color w:val="363534"/>
              </w:rPr>
            </w:pPr>
            <w:r w:rsidRPr="00DB4710">
              <w:t>E</w:t>
            </w:r>
            <w:r w:rsidR="00466BF6" w:rsidRPr="00DB4710">
              <w:t>nsure that important populations are mapped, recorded</w:t>
            </w:r>
            <w:r w:rsidR="002C4C35" w:rsidRPr="00DB4710">
              <w:t>,</w:t>
            </w:r>
            <w:r w:rsidR="00466BF6" w:rsidRPr="00DB4710">
              <w:t xml:space="preserve"> and made available for fire management planning purposes</w:t>
            </w:r>
            <w:r w:rsidR="00A178A9">
              <w:t>.</w:t>
            </w:r>
          </w:p>
        </w:tc>
      </w:tr>
    </w:tbl>
    <w:p w14:paraId="29AE9767" w14:textId="01E21727" w:rsidR="00466BF6" w:rsidRDefault="00466BF6" w:rsidP="007E5EBF">
      <w:pPr>
        <w:pStyle w:val="Heading3"/>
      </w:pPr>
      <w:bookmarkStart w:id="455" w:name="_Toc88724728"/>
      <w:bookmarkStart w:id="456" w:name="_Toc88724729"/>
      <w:bookmarkStart w:id="457" w:name="_Toc88724731"/>
      <w:bookmarkStart w:id="458" w:name="_Toc88724732"/>
      <w:bookmarkStart w:id="459" w:name="_Toc88724734"/>
      <w:bookmarkStart w:id="460" w:name="_Toc88724735"/>
      <w:bookmarkStart w:id="461" w:name="_Toc88724737"/>
      <w:bookmarkStart w:id="462" w:name="_Toc88724738"/>
      <w:bookmarkStart w:id="463" w:name="_Toc88724739"/>
      <w:bookmarkStart w:id="464" w:name="_Toc88724740"/>
      <w:bookmarkStart w:id="465" w:name="_Toc88724741"/>
      <w:bookmarkStart w:id="466" w:name="_Toc88724742"/>
      <w:bookmarkStart w:id="467" w:name="_Toc88724743"/>
      <w:bookmarkStart w:id="468" w:name="_Toc88724744"/>
      <w:bookmarkStart w:id="469" w:name="_Toc88724745"/>
      <w:bookmarkStart w:id="470" w:name="_Toc88724746"/>
      <w:bookmarkStart w:id="471" w:name="_Toc88724747"/>
      <w:bookmarkStart w:id="472" w:name="_Toc88724748"/>
      <w:bookmarkStart w:id="473" w:name="_Toc88724749"/>
      <w:bookmarkStart w:id="474" w:name="_Toc88724750"/>
      <w:bookmarkStart w:id="475" w:name="_Toc88724751"/>
      <w:bookmarkStart w:id="476" w:name="_Toc88724752"/>
      <w:bookmarkStart w:id="477" w:name="_Toc88724753"/>
      <w:bookmarkStart w:id="478" w:name="_Toc88724754"/>
      <w:bookmarkStart w:id="479" w:name="_Toc88724755"/>
      <w:bookmarkStart w:id="480" w:name="_Toc88724756"/>
      <w:bookmarkStart w:id="481" w:name="_Toc88724757"/>
      <w:bookmarkStart w:id="482" w:name="_Toc88724758"/>
      <w:bookmarkStart w:id="483" w:name="_Toc88724759"/>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Pr="00423D09">
        <w:rPr>
          <w:rFonts w:cs="Times New Roman"/>
          <w:noProof/>
          <w:lang w:eastAsia="en-US"/>
        </w:rPr>
        <mc:AlternateContent>
          <mc:Choice Requires="wps">
            <w:drawing>
              <wp:anchor distT="0" distB="0" distL="114300" distR="114300" simplePos="1" relativeHeight="251658268" behindDoc="1" locked="1" layoutInCell="1" allowOverlap="1" wp14:anchorId="2BAD5E05" wp14:editId="34FCC341">
                <wp:simplePos x="359410" y="9071610"/>
                <wp:positionH relativeFrom="page">
                  <wp:posOffset>359410</wp:posOffset>
                </wp:positionH>
                <wp:positionV relativeFrom="page">
                  <wp:posOffset>9071610</wp:posOffset>
                </wp:positionV>
                <wp:extent cx="6840001" cy="432000"/>
                <wp:effectExtent l="0" t="0" r="0" b="0"/>
                <wp:wrapNone/>
                <wp:docPr id="326"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40A9B"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D5E05" id="_x0000_s1071" type="#_x0000_t202" alt="Title: Decorative Cover Shape" style="position:absolute;left:0;text-align:left;margin-left:28.3pt;margin-top:714.3pt;width:538.6pt;height:34pt;z-index:-2516582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8DfgIAAGo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" fillcolor="#201547" stroked="f" strokeweight=".5pt">
                <v:textbox inset="10mm,0,10mm,0">
                  <w:txbxContent>
                    <w:p w14:paraId="22240A9B"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BE6E6E">
        <w:rPr>
          <w:rFonts w:cs="Times New Roman"/>
          <w:noProof/>
          <w:lang w:eastAsia="en-US"/>
        </w:rPr>
        <mc:AlternateContent>
          <mc:Choice Requires="wps">
            <w:drawing>
              <wp:anchor distT="0" distB="0" distL="114300" distR="114300" simplePos="0" relativeHeight="251658267" behindDoc="0" locked="1" layoutInCell="1" allowOverlap="1" wp14:anchorId="5FDB5B7E" wp14:editId="7D51EA87">
                <wp:simplePos x="0" y="0"/>
                <wp:positionH relativeFrom="page">
                  <wp:posOffset>360045</wp:posOffset>
                </wp:positionH>
                <wp:positionV relativeFrom="page">
                  <wp:posOffset>360045</wp:posOffset>
                </wp:positionV>
                <wp:extent cx="1864800" cy="1976400"/>
                <wp:effectExtent l="0" t="0" r="0" b="0"/>
                <wp:wrapNone/>
                <wp:docPr id="69"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9ED3FD" id="TriangleTopACIMono" o:spid="_x0000_s1026" style="position:absolute;margin-left:28.35pt;margin-top:28.35pt;width:146.85pt;height:155.6pt;z-index:25165826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sidRPr="00BE6E6E">
        <w:rPr>
          <w:rFonts w:cs="Times New Roman"/>
          <w:noProof/>
          <w:lang w:eastAsia="en-US"/>
        </w:rPr>
        <mc:AlternateContent>
          <mc:Choice Requires="wps">
            <w:drawing>
              <wp:anchor distT="0" distB="0" distL="114300" distR="114300" simplePos="0" relativeHeight="251658266" behindDoc="0" locked="1" layoutInCell="1" allowOverlap="1" wp14:anchorId="4A9F439D" wp14:editId="5AF1C091">
                <wp:simplePos x="0" y="0"/>
                <wp:positionH relativeFrom="page">
                  <wp:posOffset>359410</wp:posOffset>
                </wp:positionH>
                <wp:positionV relativeFrom="page">
                  <wp:posOffset>359410</wp:posOffset>
                </wp:positionV>
                <wp:extent cx="1864800" cy="1976400"/>
                <wp:effectExtent l="0" t="0" r="0" b="0"/>
                <wp:wrapNone/>
                <wp:docPr id="70"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96718D2" id="TriangleTop" o:spid="_x0000_s1026" style="position:absolute;margin-left:28.3pt;margin-top:28.3pt;width:146.85pt;height:155.6pt;z-index:25165826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BE6E6E">
        <w:rPr>
          <w:rFonts w:cs="Times New Roman"/>
          <w:noProof/>
          <w:lang w:eastAsia="en-US"/>
        </w:rPr>
        <mc:AlternateContent>
          <mc:Choice Requires="wps">
            <w:drawing>
              <wp:anchor distT="0" distB="0" distL="114300" distR="114300" simplePos="0" relativeHeight="251658265" behindDoc="0" locked="1" layoutInCell="1" allowOverlap="1" wp14:anchorId="07754F0C" wp14:editId="3A664711">
                <wp:simplePos x="0" y="0"/>
                <wp:positionH relativeFrom="page">
                  <wp:posOffset>0</wp:posOffset>
                </wp:positionH>
                <wp:positionV relativeFrom="page">
                  <wp:align>bottom</wp:align>
                </wp:positionV>
                <wp:extent cx="3848400" cy="720000"/>
                <wp:effectExtent l="0" t="0" r="0" b="0"/>
                <wp:wrapNone/>
                <wp:docPr id="329"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86436"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54F0C" id="_x0000_s1072" type="#_x0000_t202" style="position:absolute;left:0;text-align:left;margin-left:0;margin-top:0;width:303pt;height:56.7pt;z-index:25165826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Bqpwd7bgIAAEYFAAAOAAAAAAAAAAAAAAAAAC4C&#10;AABkcnMvZTJvRG9jLnhtbFBLAQItABQABgAIAAAAIQD0ys+o2gAAAAUBAAAPAAAAAAAAAAAAAAAA&#10;AMgEAABkcnMvZG93bnJldi54bWxQSwUGAAAAAAQABADzAAAAzwUAAAAA&#10;" filled="f" stroked="f" strokeweight=".5pt">
                <v:textbox inset="20mm">
                  <w:txbxContent>
                    <w:p w14:paraId="2C086436"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bookmarkStart w:id="484" w:name="_Toc88724790"/>
      <w:bookmarkStart w:id="485" w:name="_Toc88724792"/>
      <w:bookmarkStart w:id="486" w:name="_Toc88724793"/>
      <w:bookmarkStart w:id="487" w:name="_Toc88724795"/>
      <w:bookmarkStart w:id="488" w:name="_Toc88724796"/>
      <w:bookmarkStart w:id="489" w:name="_Toc88724798"/>
      <w:bookmarkStart w:id="490" w:name="_Toc88724799"/>
      <w:bookmarkStart w:id="491" w:name="_Toc88724801"/>
      <w:bookmarkStart w:id="492" w:name="_Toc88724802"/>
      <w:bookmarkStart w:id="493" w:name="_Toc88724803"/>
      <w:bookmarkStart w:id="494" w:name="_Toc88724804"/>
      <w:bookmarkStart w:id="495" w:name="_Toc88145979"/>
      <w:bookmarkStart w:id="496" w:name="_Toc88724805"/>
      <w:bookmarkEnd w:id="484"/>
      <w:bookmarkEnd w:id="485"/>
      <w:bookmarkEnd w:id="486"/>
      <w:bookmarkEnd w:id="487"/>
      <w:bookmarkEnd w:id="488"/>
      <w:bookmarkEnd w:id="489"/>
      <w:bookmarkEnd w:id="490"/>
      <w:bookmarkEnd w:id="491"/>
      <w:bookmarkEnd w:id="492"/>
      <w:bookmarkEnd w:id="493"/>
      <w:bookmarkEnd w:id="494"/>
      <w:r>
        <w:t>Forestry operations</w:t>
      </w:r>
      <w:bookmarkEnd w:id="495"/>
      <w:bookmarkEnd w:id="496"/>
    </w:p>
    <w:p w14:paraId="29F31E1D" w14:textId="5411D0FF" w:rsidR="00466BF6" w:rsidRPr="00660ABA" w:rsidRDefault="00073599" w:rsidP="00466BF6">
      <w:pPr>
        <w:spacing w:line="240" w:lineRule="auto"/>
        <w:textAlignment w:val="baseline"/>
        <w:rPr>
          <w:rFonts w:ascii="Segoe UI" w:hAnsi="Segoe UI" w:cs="Segoe UI"/>
          <w:sz w:val="18"/>
          <w:szCs w:val="18"/>
        </w:rPr>
      </w:pPr>
      <w:r>
        <w:rPr>
          <w:rFonts w:ascii="Arial" w:hAnsi="Arial"/>
          <w:i/>
          <w:iCs/>
          <w:color w:val="363534"/>
        </w:rPr>
        <w:t>Fo</w:t>
      </w:r>
      <w:r w:rsidR="00466BF6">
        <w:rPr>
          <w:rFonts w:ascii="Arial" w:hAnsi="Arial"/>
          <w:i/>
          <w:iCs/>
          <w:color w:val="363534"/>
        </w:rPr>
        <w:t>restry operations</w:t>
      </w:r>
    </w:p>
    <w:p w14:paraId="6ED71440" w14:textId="79A25C6E" w:rsidR="00466BF6" w:rsidRDefault="00466BF6" w:rsidP="00466BF6">
      <w:pPr>
        <w:pStyle w:val="BodyText"/>
      </w:pPr>
      <w:r>
        <w:t xml:space="preserve">The only known Victorian site of the </w:t>
      </w:r>
      <w:r w:rsidR="001D3902">
        <w:t>species</w:t>
      </w:r>
      <w:r>
        <w:t xml:space="preserve"> is threatened by forestry operations, however it is understood the only known plants are not in a timber harvesting area, but nearby. This means that direct mortality is unlikely, and impacts are more likely to be secondary from landscape change such as fire behaviour, weed spread, or Myrtle Wilt spread, or from landslips from the access road. Surrounding timber harvesting activities may lead to changes to landscape fire behaviour which adversely affects the population and its habitat. </w:t>
      </w:r>
    </w:p>
    <w:p w14:paraId="4C30D3A9" w14:textId="77777777" w:rsidR="00466BF6" w:rsidRDefault="00466BF6" w:rsidP="00466BF6">
      <w:pPr>
        <w:pStyle w:val="BodyText"/>
      </w:pPr>
      <w:r w:rsidRPr="00660ABA">
        <w:t>Current existing controls for this hazard includ</w:t>
      </w:r>
      <w:r>
        <w:t>e:</w:t>
      </w:r>
    </w:p>
    <w:p w14:paraId="0834D057" w14:textId="55DF98DE" w:rsidR="00466BF6" w:rsidRDefault="00466BF6" w:rsidP="006670D2">
      <w:pPr>
        <w:pStyle w:val="PullOutBoxBullet"/>
        <w:rPr>
          <w:rFonts w:eastAsiaTheme="minorEastAsia" w:cstheme="minorBidi"/>
          <w:sz w:val="22"/>
          <w:szCs w:val="22"/>
        </w:rPr>
      </w:pPr>
      <w:r w:rsidRPr="4F453272">
        <w:t xml:space="preserve">The </w:t>
      </w:r>
      <w:r w:rsidRPr="4F453272">
        <w:rPr>
          <w:i/>
          <w:iCs/>
        </w:rPr>
        <w:t xml:space="preserve">Code of Practice for Timber Production 2014. </w:t>
      </w:r>
      <w:r w:rsidR="00CA1644" w:rsidRPr="00915D82">
        <w:t xml:space="preserve">The effectiveness of this control for this species was rated as poor. Concerns regarding the accurate field identification of rainforest following disturbance warrants a more reliable approach to its protection. There is no species-specific prescription for this </w:t>
      </w:r>
      <w:r w:rsidR="001D3902">
        <w:t>species</w:t>
      </w:r>
      <w:r w:rsidR="00CA1644" w:rsidRPr="00915D82">
        <w:t xml:space="preserve"> in the Code, however the Code includes general protections for waterways and rainforest including a prohibition on harvesting, the application of buffers and </w:t>
      </w:r>
      <w:r w:rsidR="004F30F6" w:rsidRPr="00C02DCA">
        <w:t>design standards for roads, crossings</w:t>
      </w:r>
      <w:r w:rsidR="00E56A8F" w:rsidRPr="00C02DCA">
        <w:t>,</w:t>
      </w:r>
      <w:r w:rsidR="004F30F6" w:rsidRPr="00C02DCA">
        <w:t xml:space="preserve"> and coupe infrastructure</w:t>
      </w:r>
      <w:r w:rsidR="004F30F6" w:rsidRPr="4F453272">
        <w:t xml:space="preserve">. </w:t>
      </w:r>
    </w:p>
    <w:p w14:paraId="6D295A31" w14:textId="6C11FC96" w:rsidR="00466BF6" w:rsidRPr="00BE1712" w:rsidRDefault="00466BF6"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poor</w:t>
      </w:r>
      <w:r w:rsidRPr="4F453272">
        <w:t xml:space="preserve"> as </w:t>
      </w:r>
      <w:r>
        <w:t>only 37</w:t>
      </w:r>
      <w:r w:rsidRPr="4F453272">
        <w:t xml:space="preserve">% of the </w:t>
      </w:r>
      <w:r w:rsidR="001D3902">
        <w:t>species’</w:t>
      </w:r>
      <w:r>
        <w:t xml:space="preserve"> important populations</w:t>
      </w:r>
      <w:r w:rsidRPr="4F453272">
        <w:t xml:space="preserve"> and </w:t>
      </w:r>
      <w:r>
        <w:t>54</w:t>
      </w:r>
      <w:r w:rsidRPr="4F453272">
        <w:t xml:space="preserve">% of </w:t>
      </w:r>
      <w:r>
        <w:t>post-1970s VBA points</w:t>
      </w:r>
      <w:r w:rsidRPr="4F453272">
        <w:t xml:space="preserve"> are within the reserve system</w:t>
      </w:r>
      <w:r w:rsidR="005E1477">
        <w:t>.</w:t>
      </w:r>
    </w:p>
    <w:p w14:paraId="6675F9AB" w14:textId="338506B4"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90</w:t>
      </w:r>
      <w:r w:rsidR="000B6788" w:rsidRPr="00B6162A">
        <w:rPr>
          <w:bCs/>
          <w:noProof/>
        </w:rPr>
        <w:fldChar w:fldCharType="end"/>
      </w:r>
      <w:r w:rsidRPr="00FF310C">
        <w:t>. Fingerwort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466BF6" w:rsidRPr="00867DAA" w14:paraId="7869534E"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56F7F64D" w14:textId="77777777" w:rsidR="00466BF6" w:rsidRPr="00704719" w:rsidRDefault="00466BF6" w:rsidP="00296E0F">
            <w:pPr>
              <w:pStyle w:val="BodyText"/>
            </w:pPr>
            <w:r w:rsidRPr="00704719">
              <w:t>Requirement</w:t>
            </w:r>
          </w:p>
        </w:tc>
        <w:tc>
          <w:tcPr>
            <w:tcW w:w="7371" w:type="dxa"/>
            <w:vAlign w:val="center"/>
          </w:tcPr>
          <w:p w14:paraId="01B0D85F"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102FCBD3" w14:textId="77777777" w:rsidTr="00140207">
        <w:tc>
          <w:tcPr>
            <w:tcW w:w="2268" w:type="dxa"/>
          </w:tcPr>
          <w:p w14:paraId="7BADCA46" w14:textId="4D0A8409" w:rsidR="00466BF6" w:rsidRPr="003566BD" w:rsidRDefault="00466BF6" w:rsidP="00140207">
            <w:pPr>
              <w:pStyle w:val="BodyText"/>
            </w:pPr>
            <w:r w:rsidRPr="003566BD">
              <w:t>Interim protections</w:t>
            </w:r>
            <w:r w:rsidR="006F2550">
              <w:t xml:space="preserve"> </w:t>
            </w:r>
          </w:p>
        </w:tc>
        <w:tc>
          <w:tcPr>
            <w:tcW w:w="7371" w:type="dxa"/>
          </w:tcPr>
          <w:p w14:paraId="5535E8C6" w14:textId="77777777" w:rsidR="00466BF6" w:rsidRPr="003566BD" w:rsidRDefault="00466BF6" w:rsidP="00140207">
            <w:pPr>
              <w:pStyle w:val="BodyText"/>
            </w:pPr>
            <w:r w:rsidRPr="00200995">
              <w:t>Not required for this hazard based on the overall risk level of medium</w:t>
            </w:r>
            <w:r>
              <w:t>.</w:t>
            </w:r>
          </w:p>
        </w:tc>
      </w:tr>
      <w:tr w:rsidR="008F6F3F" w:rsidRPr="00867DAA" w14:paraId="089DB945" w14:textId="77777777" w:rsidTr="00140207">
        <w:tc>
          <w:tcPr>
            <w:tcW w:w="2268" w:type="dxa"/>
          </w:tcPr>
          <w:p w14:paraId="1EF01916" w14:textId="29174175" w:rsidR="008F6F3F" w:rsidRPr="003566BD" w:rsidRDefault="008F6F3F" w:rsidP="00140207">
            <w:pPr>
              <w:pStyle w:val="BodyText"/>
            </w:pPr>
            <w:r>
              <w:t>Priority management actions</w:t>
            </w:r>
          </w:p>
        </w:tc>
        <w:tc>
          <w:tcPr>
            <w:tcW w:w="7371" w:type="dxa"/>
            <w:shd w:val="clear" w:color="auto" w:fill="auto"/>
          </w:tcPr>
          <w:p w14:paraId="7197D7EB" w14:textId="77777777" w:rsidR="00FB08C4" w:rsidRPr="00E31362" w:rsidRDefault="00FB08C4" w:rsidP="006670D2">
            <w:pPr>
              <w:pStyle w:val="PullOutBoxBullet"/>
            </w:pPr>
            <w:r w:rsidRPr="00E31362">
              <w:t>Comprehensively search likely habitat and map important populations; and</w:t>
            </w:r>
          </w:p>
          <w:p w14:paraId="7BFF34E9" w14:textId="14411123" w:rsidR="008F6F3F" w:rsidRPr="003566BD" w:rsidRDefault="00FB08C4" w:rsidP="006670D2">
            <w:pPr>
              <w:pStyle w:val="PullOutBoxBullet"/>
            </w:pPr>
            <w:r w:rsidRPr="00E31362">
              <w:t>Establish monitoring sites and collect baseline data.</w:t>
            </w:r>
          </w:p>
        </w:tc>
      </w:tr>
      <w:tr w:rsidR="00466BF6" w:rsidRPr="00867DAA" w14:paraId="7F7D032C" w14:textId="77777777" w:rsidTr="00140207">
        <w:tc>
          <w:tcPr>
            <w:tcW w:w="2268" w:type="dxa"/>
          </w:tcPr>
          <w:p w14:paraId="14AB139B" w14:textId="77777777" w:rsidR="00466BF6" w:rsidRPr="003566BD" w:rsidRDefault="00466BF6" w:rsidP="00140207">
            <w:pPr>
              <w:pStyle w:val="BodyText"/>
            </w:pPr>
            <w:r w:rsidRPr="003566BD">
              <w:t>Permanent protections</w:t>
            </w:r>
          </w:p>
        </w:tc>
        <w:tc>
          <w:tcPr>
            <w:tcW w:w="7371" w:type="dxa"/>
            <w:shd w:val="clear" w:color="auto" w:fill="auto"/>
          </w:tcPr>
          <w:p w14:paraId="021BCC65" w14:textId="77777777" w:rsidR="00466BF6" w:rsidRPr="003566BD" w:rsidRDefault="00466BF6" w:rsidP="00140207">
            <w:pPr>
              <w:pStyle w:val="BodyText"/>
            </w:pPr>
            <w:r w:rsidRPr="003566BD">
              <w:t>Additional permanent protections may be required in the longer-term</w:t>
            </w:r>
            <w:r>
              <w:t>.</w:t>
            </w:r>
          </w:p>
        </w:tc>
      </w:tr>
      <w:tr w:rsidR="00466BF6" w:rsidRPr="00867DAA" w14:paraId="3FFEE1D4" w14:textId="77777777" w:rsidTr="00140207">
        <w:tc>
          <w:tcPr>
            <w:tcW w:w="2268" w:type="dxa"/>
          </w:tcPr>
          <w:p w14:paraId="79EFAFEF" w14:textId="27783160" w:rsidR="00466BF6" w:rsidRPr="00867DAA" w:rsidRDefault="004815F1" w:rsidP="00140207">
            <w:pPr>
              <w:pStyle w:val="BodyText"/>
            </w:pPr>
            <w:r>
              <w:t>Potential m</w:t>
            </w:r>
            <w:r w:rsidR="00466BF6" w:rsidRPr="00867DAA">
              <w:t>anagement actions</w:t>
            </w:r>
          </w:p>
        </w:tc>
        <w:tc>
          <w:tcPr>
            <w:tcW w:w="7371" w:type="dxa"/>
          </w:tcPr>
          <w:p w14:paraId="7B3D6BD1" w14:textId="4957066E" w:rsidR="00466BF6" w:rsidRPr="00CA4A1D" w:rsidRDefault="00466BF6" w:rsidP="006670D2">
            <w:pPr>
              <w:pStyle w:val="PullOutBoxBullet"/>
            </w:pPr>
            <w:r w:rsidRPr="00CA4A1D">
              <w:t>Consider introducing a species-specific code prescription as part of any future Code amendments</w:t>
            </w:r>
            <w:r w:rsidR="006F2550">
              <w:t>;</w:t>
            </w:r>
          </w:p>
          <w:p w14:paraId="7E5E24D6" w14:textId="2A4EF101" w:rsidR="00466BF6" w:rsidRPr="00CA4A1D" w:rsidRDefault="00466BF6" w:rsidP="006670D2">
            <w:pPr>
              <w:pStyle w:val="PullOutBoxBullet"/>
            </w:pPr>
            <w:r w:rsidRPr="00CA4A1D">
              <w:t xml:space="preserve">Improve information </w:t>
            </w:r>
            <w:r w:rsidR="002B0CDB">
              <w:t xml:space="preserve">on </w:t>
            </w:r>
            <w:r w:rsidRPr="00CA4A1D">
              <w:t xml:space="preserve">the location of important populations in </w:t>
            </w:r>
            <w:r w:rsidR="0068148C" w:rsidRPr="00CA4A1D">
              <w:t>State Forest</w:t>
            </w:r>
            <w:r w:rsidRPr="00CA4A1D">
              <w:t xml:space="preserve">; </w:t>
            </w:r>
          </w:p>
          <w:p w14:paraId="7CB825F1" w14:textId="6358BD8C" w:rsidR="00466BF6" w:rsidRPr="00CA4A1D" w:rsidRDefault="00466BF6" w:rsidP="006670D2">
            <w:pPr>
              <w:pStyle w:val="PullOutBoxBullet"/>
            </w:pPr>
            <w:r w:rsidRPr="00CA4A1D">
              <w:t>Monitor population size and health of individuals, and assess threats</w:t>
            </w:r>
            <w:r w:rsidR="006F2550">
              <w:t>; and</w:t>
            </w:r>
          </w:p>
          <w:p w14:paraId="3F9486A9" w14:textId="4EAA287D" w:rsidR="00466BF6" w:rsidRPr="00110EE4" w:rsidRDefault="00466BF6" w:rsidP="006670D2">
            <w:pPr>
              <w:pStyle w:val="PullOutBoxBullet"/>
            </w:pPr>
            <w:r w:rsidRPr="00CA4A1D">
              <w:t>Investigate response to disturbance</w:t>
            </w:r>
            <w:r w:rsidR="00064171">
              <w:t>.</w:t>
            </w:r>
          </w:p>
        </w:tc>
      </w:tr>
    </w:tbl>
    <w:p w14:paraId="302A5317" w14:textId="5A2E680A" w:rsidR="00466BF6" w:rsidRDefault="00466BF6" w:rsidP="007E5EBF">
      <w:pPr>
        <w:pStyle w:val="Heading3"/>
      </w:pPr>
      <w:bookmarkStart w:id="497" w:name="_Toc88724760"/>
      <w:r w:rsidRPr="00D55628">
        <w:rPr>
          <w:rFonts w:cs="Times New Roman"/>
          <w:noProof/>
          <w:lang w:eastAsia="en-US"/>
        </w:rPr>
        <mc:AlternateContent>
          <mc:Choice Requires="wps">
            <w:drawing>
              <wp:anchor distT="0" distB="0" distL="114300" distR="114300" simplePos="1" relativeHeight="251658272" behindDoc="1" locked="1" layoutInCell="1" allowOverlap="1" wp14:anchorId="00C12A80" wp14:editId="0D882361">
                <wp:simplePos x="359410" y="9071610"/>
                <wp:positionH relativeFrom="page">
                  <wp:posOffset>359410</wp:posOffset>
                </wp:positionH>
                <wp:positionV relativeFrom="page">
                  <wp:posOffset>9071610</wp:posOffset>
                </wp:positionV>
                <wp:extent cx="6840001" cy="432000"/>
                <wp:effectExtent l="0" t="0" r="0" b="0"/>
                <wp:wrapNone/>
                <wp:docPr id="321"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1D1B6"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12A80" id="_x0000_s1073" type="#_x0000_t202" alt="Title: Decorative Cover Shape" style="position:absolute;left:0;text-align:left;margin-left:28.3pt;margin-top:714.3pt;width:538.6pt;height:34pt;z-index:-2516582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" fillcolor="#201547" stroked="f" strokeweight=".5pt">
                <v:textbox inset="10mm,0,10mm,0">
                  <w:txbxContent>
                    <w:p w14:paraId="6A91D1B6" w14:textId="77777777" w:rsidR="00466BF6" w:rsidRPr="00455A7E" w:rsidRDefault="00466BF6" w:rsidP="00466BF6">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71" behindDoc="0" locked="1" layoutInCell="1" allowOverlap="1" wp14:anchorId="3AC20087" wp14:editId="3F9B1A8A">
                <wp:simplePos x="0" y="0"/>
                <wp:positionH relativeFrom="page">
                  <wp:posOffset>360045</wp:posOffset>
                </wp:positionH>
                <wp:positionV relativeFrom="page">
                  <wp:posOffset>360045</wp:posOffset>
                </wp:positionV>
                <wp:extent cx="1864800" cy="1976400"/>
                <wp:effectExtent l="0" t="0" r="0" b="0"/>
                <wp:wrapNone/>
                <wp:docPr id="72"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A26CED0" id="TriangleTopACIMono" o:spid="_x0000_s1026" style="position:absolute;margin-left:28.35pt;margin-top:28.35pt;width:146.85pt;height:155.6pt;z-index:25165827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270" behindDoc="0" locked="1" layoutInCell="1" allowOverlap="1" wp14:anchorId="3C55FA0C" wp14:editId="49667700">
                <wp:simplePos x="0" y="0"/>
                <wp:positionH relativeFrom="page">
                  <wp:posOffset>359410</wp:posOffset>
                </wp:positionH>
                <wp:positionV relativeFrom="page">
                  <wp:posOffset>359410</wp:posOffset>
                </wp:positionV>
                <wp:extent cx="1864800" cy="1976400"/>
                <wp:effectExtent l="0" t="0" r="0" b="0"/>
                <wp:wrapNone/>
                <wp:docPr id="73"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4E15735" id="TriangleTop" o:spid="_x0000_s1026" style="position:absolute;margin-left:28.3pt;margin-top:28.3pt;width:146.85pt;height:155.6pt;z-index:25165827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269" behindDoc="0" locked="1" layoutInCell="1" allowOverlap="1" wp14:anchorId="7AF01044" wp14:editId="66ACF5AA">
                <wp:simplePos x="0" y="0"/>
                <wp:positionH relativeFrom="page">
                  <wp:posOffset>0</wp:posOffset>
                </wp:positionH>
                <wp:positionV relativeFrom="page">
                  <wp:align>bottom</wp:align>
                </wp:positionV>
                <wp:extent cx="3848400" cy="720000"/>
                <wp:effectExtent l="0" t="0" r="0" b="0"/>
                <wp:wrapNone/>
                <wp:docPr id="324"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8A276" w14:textId="77777777" w:rsidR="00466BF6" w:rsidRPr="009F69FA" w:rsidRDefault="00466BF6" w:rsidP="00466BF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01044" id="_x0000_s1074" type="#_x0000_t202" style="position:absolute;left:0;text-align:left;margin-left:0;margin-top:0;width:303pt;height:56.7pt;z-index:25165826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BWYDoibgIAAEYFAAAOAAAAAAAAAAAAAAAAAC4C&#10;AABkcnMvZTJvRG9jLnhtbFBLAQItABQABgAIAAAAIQD0ys+o2gAAAAUBAAAPAAAAAAAAAAAAAAAA&#10;AMgEAABkcnMvZG93bnJldi54bWxQSwUGAAAAAAQABADzAAAAzwUAAAAA&#10;" filled="f" stroked="f" strokeweight=".5pt">
                <v:textbox inset="20mm">
                  <w:txbxContent>
                    <w:p w14:paraId="35E8A276" w14:textId="77777777" w:rsidR="00466BF6" w:rsidRPr="009F69FA" w:rsidRDefault="00466BF6" w:rsidP="00466BF6">
                      <w:pPr>
                        <w:pStyle w:val="xWebCoverPage"/>
                      </w:pPr>
                      <w:r w:rsidRPr="009F69FA">
                        <w:t>de</w:t>
                      </w:r>
                      <w:r>
                        <w:t>lw</w:t>
                      </w:r>
                      <w:r w:rsidRPr="009F69FA">
                        <w:t>p.vic.gov.au</w:t>
                      </w:r>
                    </w:p>
                  </w:txbxContent>
                </v:textbox>
                <w10:wrap anchorx="page" anchory="page"/>
                <w10:anchorlock/>
              </v:shape>
            </w:pict>
          </mc:Fallback>
        </mc:AlternateContent>
      </w:r>
      <w:bookmarkStart w:id="498" w:name="_Toc88724761"/>
      <w:bookmarkStart w:id="499" w:name="_Toc88724762"/>
      <w:bookmarkStart w:id="500" w:name="_Toc88724763"/>
      <w:bookmarkStart w:id="501" w:name="_Toc88724764"/>
      <w:bookmarkStart w:id="502" w:name="_Toc88724765"/>
      <w:bookmarkStart w:id="503" w:name="_Toc88724766"/>
      <w:bookmarkStart w:id="504" w:name="_Toc88724767"/>
      <w:bookmarkStart w:id="505" w:name="_Toc88724768"/>
      <w:bookmarkStart w:id="506" w:name="_Toc88724769"/>
      <w:bookmarkStart w:id="507" w:name="_Toc88724770"/>
      <w:bookmarkStart w:id="508" w:name="_Toc88724771"/>
      <w:bookmarkStart w:id="509" w:name="_Toc88724772"/>
      <w:bookmarkStart w:id="510" w:name="_Toc88724773"/>
      <w:bookmarkStart w:id="511" w:name="_Toc88724775"/>
      <w:bookmarkStart w:id="512" w:name="_Toc88724776"/>
      <w:bookmarkStart w:id="513" w:name="_Toc88724778"/>
      <w:bookmarkStart w:id="514" w:name="_Toc88724779"/>
      <w:bookmarkStart w:id="515" w:name="_Toc88724781"/>
      <w:bookmarkStart w:id="516" w:name="_Toc88724782"/>
      <w:bookmarkStart w:id="517" w:name="_Toc88724784"/>
      <w:bookmarkStart w:id="518" w:name="_Toc88724785"/>
      <w:bookmarkStart w:id="519" w:name="_Toc88724786"/>
      <w:bookmarkStart w:id="520" w:name="_Toc88724787"/>
      <w:bookmarkStart w:id="521" w:name="_Toc88145977"/>
      <w:bookmarkStart w:id="522" w:name="_Toc88724788"/>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t>Habitat</w:t>
      </w:r>
      <w:bookmarkEnd w:id="521"/>
      <w:bookmarkEnd w:id="522"/>
      <w:r>
        <w:t xml:space="preserve"> loss, degradation</w:t>
      </w:r>
      <w:r w:rsidR="00E56A8F">
        <w:t>,</w:t>
      </w:r>
      <w:r>
        <w:t xml:space="preserve"> and fragmentation</w:t>
      </w:r>
    </w:p>
    <w:p w14:paraId="62C2615C" w14:textId="77777777" w:rsidR="00466BF6" w:rsidRPr="00660ABA" w:rsidRDefault="00466BF6" w:rsidP="00466BF6">
      <w:pPr>
        <w:pStyle w:val="Heading5"/>
        <w:numPr>
          <w:ilvl w:val="0"/>
          <w:numId w:val="0"/>
        </w:numPr>
        <w:ind w:left="1008" w:hanging="1008"/>
        <w:rPr>
          <w:rFonts w:ascii="Segoe UI" w:hAnsi="Segoe UI" w:cs="Segoe UI"/>
          <w:sz w:val="18"/>
          <w:szCs w:val="18"/>
        </w:rPr>
      </w:pPr>
      <w:r>
        <w:t>Stochastic events</w:t>
      </w:r>
    </w:p>
    <w:p w14:paraId="561DF59D" w14:textId="39E1792E" w:rsidR="00466BF6" w:rsidRPr="008A39CE" w:rsidRDefault="00466BF6" w:rsidP="00466BF6">
      <w:pPr>
        <w:pStyle w:val="BodyText"/>
      </w:pPr>
      <w:r w:rsidRPr="00247A8B">
        <w:t xml:space="preserve">Landslips can be caused by unstable earth along roads and drains, resulting in direct mortality of the </w:t>
      </w:r>
      <w:r w:rsidR="001D3902">
        <w:t>species</w:t>
      </w:r>
      <w:r w:rsidRPr="00247A8B">
        <w:t xml:space="preserve">. Landslips </w:t>
      </w:r>
      <w:r w:rsidRPr="008A39CE">
        <w:t xml:space="preserve">may increase Cool Temperate Rainforest exposure to Myrtle Wilt, eucalypt encroachment, stream sedimentation and bushfire risk. This hazard extends across 50% of the </w:t>
      </w:r>
      <w:r w:rsidR="001D3902">
        <w:t>species’</w:t>
      </w:r>
      <w:r w:rsidRPr="008A39CE">
        <w:t xml:space="preserve"> populations. </w:t>
      </w:r>
    </w:p>
    <w:p w14:paraId="56647727" w14:textId="77777777" w:rsidR="00466BF6" w:rsidRPr="008A39CE" w:rsidRDefault="00466BF6" w:rsidP="00466BF6">
      <w:pPr>
        <w:pStyle w:val="BodyText"/>
      </w:pPr>
      <w:r w:rsidRPr="008A39CE">
        <w:t>Current existing controls for this hazard include:</w:t>
      </w:r>
    </w:p>
    <w:p w14:paraId="673BFB51" w14:textId="77777777" w:rsidR="00466BF6" w:rsidRPr="008A39CE" w:rsidRDefault="00466BF6" w:rsidP="006670D2">
      <w:pPr>
        <w:pStyle w:val="PullOutBoxBullet"/>
      </w:pPr>
      <w:r w:rsidRPr="008A39CE">
        <w:t xml:space="preserve">Values checking and delivery of mitigations at the operational delivery stage of roading actions within State Forest. It is uncertain whether the control is applied along roads in the vicinity of habitat.  </w:t>
      </w:r>
    </w:p>
    <w:p w14:paraId="03253EB4" w14:textId="0D244DD0" w:rsidR="00466BF6" w:rsidRPr="008A39CE" w:rsidRDefault="00466BF6" w:rsidP="006670D2">
      <w:pPr>
        <w:pStyle w:val="PullOutBoxBullet"/>
      </w:pPr>
      <w:r w:rsidRPr="008A39CE">
        <w:t xml:space="preserve">Native Vegetation removal on public land. This has been evaluated as poor as the procedure does not include a sufficient process for decision making on the removal of critical habitats. </w:t>
      </w:r>
      <w:r w:rsidR="00E56A8F" w:rsidRPr="008A39CE">
        <w:t>If</w:t>
      </w:r>
      <w:r w:rsidRPr="008A39CE">
        <w:t xml:space="preserve"> native vegetation removal was permitted, the counter balancing measures would unlikely be suitable for mitigating losses to the </w:t>
      </w:r>
      <w:r w:rsidR="001D3902">
        <w:t>species</w:t>
      </w:r>
      <w:r w:rsidRPr="008A39CE">
        <w:rPr>
          <w:i/>
          <w:iCs/>
        </w:rPr>
        <w:t>.</w:t>
      </w:r>
      <w:r w:rsidRPr="008A39CE">
        <w:t xml:space="preserve"> </w:t>
      </w:r>
    </w:p>
    <w:p w14:paraId="46E31E90" w14:textId="117FA622" w:rsidR="00466BF6" w:rsidRPr="008A39CE" w:rsidRDefault="00466BF6" w:rsidP="006670D2">
      <w:pPr>
        <w:pStyle w:val="PullOutBoxBullet"/>
      </w:pPr>
      <w:r w:rsidRPr="008A39CE">
        <w:t xml:space="preserve">The regulation of the removal of native vegetation under the Victorian Planning Provisions and all planning schemes in Victoria. This has been evaluated as poor as exemptions to Clause 52.17 of the planning scheme for road maintenance (or alternative arrangement via a memorandum of understanding) present </w:t>
      </w:r>
      <w:r w:rsidR="00797F77">
        <w:t xml:space="preserve">a </w:t>
      </w:r>
      <w:r w:rsidRPr="008A39CE">
        <w:t xml:space="preserve">risk of inadequate assessment prior to vegetation removal. This exposes populations of the </w:t>
      </w:r>
      <w:r w:rsidR="001D3902">
        <w:t>species</w:t>
      </w:r>
      <w:r w:rsidRPr="008A39CE">
        <w:t xml:space="preserve"> and its habitat to the risk of inadvertent impacts following roadworks.     </w:t>
      </w:r>
    </w:p>
    <w:p w14:paraId="1C13DC63" w14:textId="77777777" w:rsidR="00AB65FA" w:rsidRDefault="00AB65FA">
      <w:pPr>
        <w:rPr>
          <w:b/>
          <w:sz w:val="16"/>
          <w:szCs w:val="16"/>
        </w:rPr>
      </w:pPr>
      <w:r>
        <w:br w:type="page"/>
      </w:r>
    </w:p>
    <w:p w14:paraId="12184360" w14:textId="275D2AAD" w:rsidR="00466BF6" w:rsidRPr="00FF310C" w:rsidRDefault="00466BF6"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91</w:t>
      </w:r>
      <w:r w:rsidR="000B6788" w:rsidRPr="00B6162A">
        <w:rPr>
          <w:bCs/>
          <w:noProof/>
        </w:rPr>
        <w:fldChar w:fldCharType="end"/>
      </w:r>
      <w:r w:rsidRPr="00FF310C">
        <w:t>. Fingerwort protection requirements and recommendations for stochastic events</w:t>
      </w:r>
    </w:p>
    <w:tbl>
      <w:tblPr>
        <w:tblStyle w:val="TableGrid"/>
        <w:tblW w:w="0" w:type="auto"/>
        <w:tblLook w:val="04A0" w:firstRow="1" w:lastRow="0" w:firstColumn="1" w:lastColumn="0" w:noHBand="0" w:noVBand="1"/>
      </w:tblPr>
      <w:tblGrid>
        <w:gridCol w:w="2268"/>
        <w:gridCol w:w="7371"/>
      </w:tblGrid>
      <w:tr w:rsidR="00466BF6" w:rsidRPr="00867DAA" w14:paraId="3E352760" w14:textId="77777777" w:rsidTr="60664A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47DD61D0" w14:textId="77777777" w:rsidR="00466BF6" w:rsidRPr="00704719" w:rsidRDefault="00466BF6" w:rsidP="00296E0F">
            <w:pPr>
              <w:pStyle w:val="BodyText"/>
            </w:pPr>
            <w:r w:rsidRPr="00704719">
              <w:t>Requirement</w:t>
            </w:r>
          </w:p>
        </w:tc>
        <w:tc>
          <w:tcPr>
            <w:tcW w:w="7371" w:type="dxa"/>
            <w:vAlign w:val="center"/>
          </w:tcPr>
          <w:p w14:paraId="12FE3B49" w14:textId="77777777" w:rsidR="00466BF6" w:rsidRPr="00704719" w:rsidRDefault="00466BF6"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466BF6" w:rsidRPr="00867DAA" w14:paraId="215009BC" w14:textId="77777777" w:rsidTr="60664A41">
        <w:tc>
          <w:tcPr>
            <w:tcW w:w="2268" w:type="dxa"/>
          </w:tcPr>
          <w:p w14:paraId="18346F22" w14:textId="459D98E1" w:rsidR="00466BF6" w:rsidRPr="003566BD" w:rsidRDefault="004815F1" w:rsidP="00140207">
            <w:pPr>
              <w:pStyle w:val="BodyText"/>
            </w:pPr>
            <w:r>
              <w:t>Priority management actions</w:t>
            </w:r>
          </w:p>
        </w:tc>
        <w:tc>
          <w:tcPr>
            <w:tcW w:w="7371" w:type="dxa"/>
          </w:tcPr>
          <w:p w14:paraId="2E983C5A" w14:textId="68397AF2" w:rsidR="00466BF6" w:rsidRPr="003566BD" w:rsidRDefault="36DA5755" w:rsidP="006670D2">
            <w:pPr>
              <w:pStyle w:val="PullOutBoxBullet"/>
            </w:pPr>
            <w:r>
              <w:t xml:space="preserve">Undertake population surveys and monitoring as the occurrence of the </w:t>
            </w:r>
            <w:r w:rsidR="001D3902">
              <w:t>species</w:t>
            </w:r>
            <w:r>
              <w:t xml:space="preserve"> in Victoria is based on a very small number of observations at one site. Additional surveys should be undertaken to search more widely within the Baw Baw area for additional populations.</w:t>
            </w:r>
          </w:p>
        </w:tc>
      </w:tr>
      <w:tr w:rsidR="00466BF6" w:rsidRPr="00867DAA" w14:paraId="107E8F6B" w14:textId="77777777" w:rsidTr="60664A41">
        <w:tc>
          <w:tcPr>
            <w:tcW w:w="2268" w:type="dxa"/>
          </w:tcPr>
          <w:p w14:paraId="6C4F2868" w14:textId="6907027F" w:rsidR="00466BF6" w:rsidRPr="00867DAA" w:rsidRDefault="004815F1" w:rsidP="00140207">
            <w:pPr>
              <w:pStyle w:val="BodyText"/>
            </w:pPr>
            <w:r>
              <w:t>Potential m</w:t>
            </w:r>
            <w:r w:rsidR="00466BF6" w:rsidRPr="00867DAA">
              <w:t>anagement actions</w:t>
            </w:r>
          </w:p>
        </w:tc>
        <w:tc>
          <w:tcPr>
            <w:tcW w:w="7371" w:type="dxa"/>
          </w:tcPr>
          <w:p w14:paraId="33CE07CE" w14:textId="5626E973" w:rsidR="00466BF6" w:rsidRPr="00BF2189" w:rsidRDefault="00466BF6" w:rsidP="006670D2">
            <w:pPr>
              <w:pStyle w:val="PullOutBoxBullet"/>
            </w:pPr>
            <w:r w:rsidRPr="00BF2189">
              <w:t xml:space="preserve">The known population and any new populations may be visited every five years to re-assess the condition of the populations, types of threats and any impacts which have occurred between surveys; </w:t>
            </w:r>
          </w:p>
          <w:p w14:paraId="020E4494" w14:textId="77777777" w:rsidR="00466BF6" w:rsidRPr="00BF2189" w:rsidRDefault="00466BF6" w:rsidP="006670D2">
            <w:pPr>
              <w:pStyle w:val="PullOutBoxBullet"/>
            </w:pPr>
            <w:r w:rsidRPr="00BF2189">
              <w:t xml:space="preserve">Use engineering and/or buffer planting to further reduce the risk of land slip and stream sedimentation caused by storm events or persistent high rainfall; </w:t>
            </w:r>
          </w:p>
          <w:p w14:paraId="786993F7" w14:textId="77777777" w:rsidR="00466BF6" w:rsidRPr="00BF2189" w:rsidRDefault="00466BF6" w:rsidP="006670D2">
            <w:pPr>
              <w:pStyle w:val="PullOutBoxBullet"/>
            </w:pPr>
            <w:r w:rsidRPr="00BF2189">
              <w:t xml:space="preserve">Monitor stream flows long term to determine baseline flows over 10 years and whether there are long term changes attributable to climate change. Use additional data to guide management of Cool Temperate Rainforest; and </w:t>
            </w:r>
          </w:p>
          <w:p w14:paraId="055E5F66" w14:textId="77777777" w:rsidR="00466BF6" w:rsidRPr="000513E8" w:rsidRDefault="00466BF6" w:rsidP="006670D2">
            <w:pPr>
              <w:pStyle w:val="PullOutBoxBullet"/>
            </w:pPr>
            <w:r w:rsidRPr="00BF2189">
              <w:t>Inspect road standard and engineering issues to determine land slip risk.</w:t>
            </w:r>
          </w:p>
        </w:tc>
      </w:tr>
    </w:tbl>
    <w:p w14:paraId="6250BAA9" w14:textId="77777777" w:rsidR="00466BF6" w:rsidRDefault="00466BF6" w:rsidP="00466BF6">
      <w:pPr>
        <w:pStyle w:val="BodyText"/>
      </w:pPr>
    </w:p>
    <w:p w14:paraId="4E15C77A" w14:textId="7ACC4EDF" w:rsidR="00324D1B" w:rsidRDefault="00324D1B">
      <w:r>
        <w:br w:type="page"/>
      </w:r>
    </w:p>
    <w:p w14:paraId="22C40F9D" w14:textId="77777777" w:rsidR="00324D1B" w:rsidRPr="001349E2" w:rsidRDefault="00324D1B" w:rsidP="00FB5A2B">
      <w:pPr>
        <w:pStyle w:val="Heading2"/>
        <w:ind w:left="0"/>
        <w:rPr>
          <w:i/>
          <w:iCs/>
        </w:rPr>
      </w:pPr>
      <w:bookmarkStart w:id="523" w:name="_Toc88724702"/>
      <w:bookmarkStart w:id="524" w:name="_Toc95234096"/>
      <w:bookmarkStart w:id="525" w:name="_Toc113271042"/>
      <w:r w:rsidRPr="001349E2">
        <w:t xml:space="preserve">Flat Raspwort </w:t>
      </w:r>
      <w:r w:rsidRPr="005F7D8C">
        <w:rPr>
          <w:i/>
          <w:iCs/>
        </w:rPr>
        <w:t>(Gonocarpus serpyllifolius)</w:t>
      </w:r>
      <w:bookmarkEnd w:id="523"/>
      <w:bookmarkEnd w:id="524"/>
      <w:bookmarkEnd w:id="525"/>
    </w:p>
    <w:p w14:paraId="5697CE2E" w14:textId="145364D1" w:rsidR="00324D1B" w:rsidRDefault="00324D1B" w:rsidP="00324D1B">
      <w:pPr>
        <w:pStyle w:val="BodyText"/>
      </w:pPr>
      <w:r>
        <w:t xml:space="preserve">The Flat Raspwort was listed as Vulnerable in Victoria under the FFG Act in May 2021. The </w:t>
      </w:r>
      <w:r w:rsidR="001D3902">
        <w:t>species</w:t>
      </w:r>
      <w:r>
        <w:t xml:space="preserve"> has modelled habitat in the East Gippsland (100% of modelled habitat) RFA region. </w:t>
      </w:r>
      <w:r>
        <w:rPr>
          <w:rStyle w:val="BodyTextChar"/>
        </w:rPr>
        <w:t>Permanent protections are recommended to address any hazards identified at a significant or high risk, and all</w:t>
      </w:r>
      <w:r>
        <w:t xml:space="preserve"> hazards rated a medium risk or higher will be considered in future management planning.</w:t>
      </w:r>
    </w:p>
    <w:p w14:paraId="18CD93E1" w14:textId="77777777" w:rsidR="00324D1B" w:rsidRDefault="00324D1B" w:rsidP="007E5EBF">
      <w:pPr>
        <w:pStyle w:val="Heading3"/>
      </w:pPr>
      <w:bookmarkStart w:id="526" w:name="_Toc88724703"/>
      <w:r>
        <w:t>Risk Assessment</w:t>
      </w:r>
      <w:bookmarkEnd w:id="526"/>
    </w:p>
    <w:p w14:paraId="21AED810" w14:textId="47F7332B" w:rsidR="00324D1B" w:rsidRPr="00FF310C" w:rsidRDefault="00324D1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92</w:t>
      </w:r>
      <w:r w:rsidR="000B6788" w:rsidRPr="00B6162A">
        <w:rPr>
          <w:bCs/>
          <w:noProof/>
        </w:rPr>
        <w:fldChar w:fldCharType="end"/>
      </w:r>
      <w:r w:rsidRPr="00FF310C">
        <w:t>. Flat Raspwort risk ratings in the East Gippsland RFA region:</w:t>
      </w:r>
    </w:p>
    <w:tbl>
      <w:tblPr>
        <w:tblStyle w:val="TableGrid"/>
        <w:tblW w:w="9923" w:type="dxa"/>
        <w:tblLook w:val="04A0" w:firstRow="1" w:lastRow="0" w:firstColumn="1" w:lastColumn="0" w:noHBand="0" w:noVBand="1"/>
      </w:tblPr>
      <w:tblGrid>
        <w:gridCol w:w="2480"/>
        <w:gridCol w:w="2481"/>
        <w:gridCol w:w="2481"/>
        <w:gridCol w:w="2481"/>
      </w:tblGrid>
      <w:tr w:rsidR="00324D1B" w14:paraId="561F58B3"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80" w:type="dxa"/>
            <w:tcBorders>
              <w:top w:val="single" w:sz="8" w:space="0" w:color="CDDC29" w:themeColor="text2"/>
              <w:left w:val="nil"/>
              <w:bottom w:val="single" w:sz="8" w:space="0" w:color="CDDC29" w:themeColor="text2"/>
              <w:right w:val="nil"/>
            </w:tcBorders>
            <w:vAlign w:val="center"/>
          </w:tcPr>
          <w:p w14:paraId="4BA38F91" w14:textId="77777777" w:rsidR="00324D1B" w:rsidRDefault="00324D1B" w:rsidP="006670D2">
            <w:pPr>
              <w:pStyle w:val="CaptionImageorFigure"/>
            </w:pPr>
          </w:p>
        </w:tc>
        <w:tc>
          <w:tcPr>
            <w:tcW w:w="2481" w:type="dxa"/>
            <w:tcBorders>
              <w:top w:val="single" w:sz="8" w:space="0" w:color="CDDC29" w:themeColor="text2"/>
              <w:left w:val="nil"/>
              <w:bottom w:val="single" w:sz="8" w:space="0" w:color="CDDC29" w:themeColor="text2"/>
              <w:right w:val="nil"/>
            </w:tcBorders>
            <w:vAlign w:val="center"/>
            <w:hideMark/>
          </w:tcPr>
          <w:p w14:paraId="5CC77887"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w:t>
            </w:r>
          </w:p>
        </w:tc>
        <w:tc>
          <w:tcPr>
            <w:tcW w:w="2481" w:type="dxa"/>
            <w:tcBorders>
              <w:top w:val="single" w:sz="8" w:space="0" w:color="CDDC29" w:themeColor="text2"/>
              <w:left w:val="nil"/>
              <w:bottom w:val="single" w:sz="8" w:space="0" w:color="CDDC29" w:themeColor="text2"/>
              <w:right w:val="nil"/>
            </w:tcBorders>
            <w:vAlign w:val="center"/>
            <w:hideMark/>
          </w:tcPr>
          <w:p w14:paraId="6B67BE7D"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c>
          <w:tcPr>
            <w:tcW w:w="2481" w:type="dxa"/>
            <w:tcBorders>
              <w:top w:val="single" w:sz="8" w:space="0" w:color="CDDC29" w:themeColor="text2"/>
              <w:left w:val="nil"/>
              <w:bottom w:val="single" w:sz="8" w:space="0" w:color="CDDC29" w:themeColor="text2"/>
              <w:right w:val="nil"/>
            </w:tcBorders>
            <w:vAlign w:val="center"/>
            <w:hideMark/>
          </w:tcPr>
          <w:p w14:paraId="0603AD63"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(ungulates)</w:t>
            </w:r>
          </w:p>
        </w:tc>
      </w:tr>
      <w:tr w:rsidR="00324D1B" w14:paraId="7A9519C7" w14:textId="77777777" w:rsidTr="00324D1B">
        <w:tc>
          <w:tcPr>
            <w:tcW w:w="2480" w:type="dxa"/>
            <w:tcBorders>
              <w:top w:val="single" w:sz="8" w:space="0" w:color="CDDC29" w:themeColor="text2"/>
              <w:left w:val="nil"/>
              <w:bottom w:val="single" w:sz="8" w:space="0" w:color="CDDC29" w:themeColor="text2"/>
              <w:right w:val="nil"/>
            </w:tcBorders>
            <w:vAlign w:val="center"/>
            <w:hideMark/>
          </w:tcPr>
          <w:p w14:paraId="0B9AAB8A" w14:textId="77777777" w:rsidR="00324D1B" w:rsidRDefault="00324D1B" w:rsidP="00CF0422">
            <w:pPr>
              <w:pStyle w:val="BodyText"/>
              <w:jc w:val="center"/>
            </w:pPr>
            <w:r>
              <w:t>Consequence</w:t>
            </w:r>
          </w:p>
        </w:tc>
        <w:tc>
          <w:tcPr>
            <w:tcW w:w="2481" w:type="dxa"/>
            <w:tcBorders>
              <w:top w:val="single" w:sz="8" w:space="0" w:color="CDDC29" w:themeColor="text2"/>
              <w:left w:val="nil"/>
              <w:bottom w:val="single" w:sz="8" w:space="0" w:color="CDDC29" w:themeColor="text2"/>
              <w:right w:val="nil"/>
            </w:tcBorders>
            <w:vAlign w:val="center"/>
            <w:hideMark/>
          </w:tcPr>
          <w:p w14:paraId="47B37ECF" w14:textId="77777777" w:rsidR="00324D1B" w:rsidRDefault="00324D1B" w:rsidP="00CF0422">
            <w:pPr>
              <w:pStyle w:val="BodyText"/>
              <w:jc w:val="center"/>
            </w:pPr>
            <w:r>
              <w:t>Moderate</w:t>
            </w:r>
          </w:p>
        </w:tc>
        <w:tc>
          <w:tcPr>
            <w:tcW w:w="2481" w:type="dxa"/>
            <w:tcBorders>
              <w:top w:val="single" w:sz="8" w:space="0" w:color="CDDC29" w:themeColor="text2"/>
              <w:left w:val="nil"/>
              <w:bottom w:val="single" w:sz="8" w:space="0" w:color="CDDC29" w:themeColor="text2"/>
              <w:right w:val="nil"/>
            </w:tcBorders>
            <w:vAlign w:val="center"/>
            <w:hideMark/>
          </w:tcPr>
          <w:p w14:paraId="4C14B572" w14:textId="77777777" w:rsidR="00324D1B" w:rsidRDefault="00324D1B" w:rsidP="00CF0422">
            <w:pPr>
              <w:pStyle w:val="BodyText"/>
              <w:jc w:val="center"/>
            </w:pPr>
            <w:r>
              <w:t>Minor</w:t>
            </w:r>
          </w:p>
        </w:tc>
        <w:tc>
          <w:tcPr>
            <w:tcW w:w="2481" w:type="dxa"/>
            <w:tcBorders>
              <w:top w:val="single" w:sz="8" w:space="0" w:color="CDDC29" w:themeColor="text2"/>
              <w:left w:val="nil"/>
              <w:bottom w:val="single" w:sz="8" w:space="0" w:color="CDDC29" w:themeColor="text2"/>
              <w:right w:val="nil"/>
            </w:tcBorders>
            <w:vAlign w:val="center"/>
            <w:hideMark/>
          </w:tcPr>
          <w:p w14:paraId="5181C5FB" w14:textId="77777777" w:rsidR="00324D1B" w:rsidRDefault="00324D1B" w:rsidP="00CF0422">
            <w:pPr>
              <w:pStyle w:val="BodyText"/>
              <w:jc w:val="center"/>
            </w:pPr>
            <w:r>
              <w:t>Extreme</w:t>
            </w:r>
          </w:p>
        </w:tc>
      </w:tr>
      <w:tr w:rsidR="00324D1B" w14:paraId="4F450B97" w14:textId="77777777" w:rsidTr="00324D1B">
        <w:tc>
          <w:tcPr>
            <w:tcW w:w="2480" w:type="dxa"/>
            <w:tcBorders>
              <w:top w:val="single" w:sz="8" w:space="0" w:color="CDDC29" w:themeColor="text2"/>
              <w:left w:val="nil"/>
              <w:bottom w:val="single" w:sz="8" w:space="0" w:color="CDDC29" w:themeColor="text2"/>
              <w:right w:val="nil"/>
            </w:tcBorders>
            <w:vAlign w:val="center"/>
            <w:hideMark/>
          </w:tcPr>
          <w:p w14:paraId="450AE134" w14:textId="77777777" w:rsidR="00324D1B" w:rsidRDefault="00324D1B" w:rsidP="00CF0422">
            <w:pPr>
              <w:pStyle w:val="BodyText"/>
              <w:jc w:val="center"/>
            </w:pPr>
            <w:r>
              <w:t>Likelihood</w:t>
            </w:r>
          </w:p>
        </w:tc>
        <w:tc>
          <w:tcPr>
            <w:tcW w:w="2481" w:type="dxa"/>
            <w:tcBorders>
              <w:top w:val="single" w:sz="8" w:space="0" w:color="CDDC29" w:themeColor="text2"/>
              <w:left w:val="nil"/>
              <w:bottom w:val="single" w:sz="8" w:space="0" w:color="CDDC29" w:themeColor="text2"/>
              <w:right w:val="nil"/>
            </w:tcBorders>
            <w:vAlign w:val="center"/>
            <w:hideMark/>
          </w:tcPr>
          <w:p w14:paraId="4D6E4FBF" w14:textId="77777777" w:rsidR="00324D1B" w:rsidRDefault="00324D1B" w:rsidP="00CF0422">
            <w:pPr>
              <w:pStyle w:val="BodyText"/>
              <w:jc w:val="center"/>
            </w:pPr>
            <w:r>
              <w:t>Likely</w:t>
            </w:r>
          </w:p>
        </w:tc>
        <w:tc>
          <w:tcPr>
            <w:tcW w:w="2481" w:type="dxa"/>
            <w:tcBorders>
              <w:top w:val="single" w:sz="8" w:space="0" w:color="CDDC29" w:themeColor="text2"/>
              <w:left w:val="nil"/>
              <w:bottom w:val="single" w:sz="8" w:space="0" w:color="CDDC29" w:themeColor="text2"/>
              <w:right w:val="nil"/>
            </w:tcBorders>
            <w:vAlign w:val="center"/>
            <w:hideMark/>
          </w:tcPr>
          <w:p w14:paraId="1BF633A5" w14:textId="77777777" w:rsidR="00324D1B" w:rsidRDefault="00324D1B" w:rsidP="00CF0422">
            <w:pPr>
              <w:pStyle w:val="BodyText"/>
              <w:jc w:val="center"/>
            </w:pPr>
            <w:r>
              <w:t>Possible</w:t>
            </w:r>
          </w:p>
        </w:tc>
        <w:tc>
          <w:tcPr>
            <w:tcW w:w="2481" w:type="dxa"/>
            <w:tcBorders>
              <w:top w:val="single" w:sz="8" w:space="0" w:color="CDDC29" w:themeColor="text2"/>
              <w:left w:val="nil"/>
              <w:bottom w:val="single" w:sz="8" w:space="0" w:color="CDDC29" w:themeColor="text2"/>
              <w:right w:val="nil"/>
            </w:tcBorders>
            <w:vAlign w:val="center"/>
            <w:hideMark/>
          </w:tcPr>
          <w:p w14:paraId="4F2811F0" w14:textId="77777777" w:rsidR="00324D1B" w:rsidRDefault="00324D1B" w:rsidP="00CF0422">
            <w:pPr>
              <w:pStyle w:val="BodyText"/>
              <w:jc w:val="center"/>
            </w:pPr>
            <w:r>
              <w:t>Almost Certain</w:t>
            </w:r>
          </w:p>
        </w:tc>
      </w:tr>
      <w:tr w:rsidR="00324D1B" w14:paraId="0AD7938E" w14:textId="77777777" w:rsidTr="00324D1B">
        <w:tc>
          <w:tcPr>
            <w:tcW w:w="2480" w:type="dxa"/>
            <w:tcBorders>
              <w:top w:val="single" w:sz="8" w:space="0" w:color="CDDC29" w:themeColor="text2"/>
              <w:left w:val="nil"/>
              <w:bottom w:val="single" w:sz="8" w:space="0" w:color="CDDC29" w:themeColor="text2"/>
              <w:right w:val="nil"/>
            </w:tcBorders>
            <w:vAlign w:val="center"/>
            <w:hideMark/>
          </w:tcPr>
          <w:p w14:paraId="26DA6CCF" w14:textId="77777777" w:rsidR="00324D1B" w:rsidRDefault="00324D1B" w:rsidP="00CF0422">
            <w:pPr>
              <w:pStyle w:val="BodyText"/>
              <w:jc w:val="center"/>
            </w:pPr>
            <w:r>
              <w:t>Overall risk rating</w:t>
            </w:r>
          </w:p>
        </w:tc>
        <w:tc>
          <w:tcPr>
            <w:tcW w:w="2481" w:type="dxa"/>
            <w:tcBorders>
              <w:top w:val="single" w:sz="8" w:space="0" w:color="CDDC29" w:themeColor="text2"/>
              <w:left w:val="nil"/>
              <w:bottom w:val="single" w:sz="8" w:space="0" w:color="CDDC29" w:themeColor="text2"/>
              <w:right w:val="nil"/>
            </w:tcBorders>
            <w:shd w:val="clear" w:color="auto" w:fill="FFC000"/>
            <w:vAlign w:val="center"/>
            <w:hideMark/>
          </w:tcPr>
          <w:p w14:paraId="248D0995" w14:textId="77777777" w:rsidR="00324D1B" w:rsidRDefault="00324D1B" w:rsidP="00CF0422">
            <w:pPr>
              <w:pStyle w:val="BodyText"/>
              <w:jc w:val="center"/>
            </w:pPr>
            <w:r>
              <w:t>Significant</w:t>
            </w:r>
          </w:p>
        </w:tc>
        <w:tc>
          <w:tcPr>
            <w:tcW w:w="2481" w:type="dxa"/>
            <w:tcBorders>
              <w:top w:val="single" w:sz="8" w:space="0" w:color="CDDC29" w:themeColor="text2"/>
              <w:left w:val="nil"/>
              <w:bottom w:val="single" w:sz="8" w:space="0" w:color="CDDC29" w:themeColor="text2"/>
              <w:right w:val="nil"/>
            </w:tcBorders>
            <w:shd w:val="clear" w:color="auto" w:fill="FFFF00"/>
            <w:vAlign w:val="center"/>
            <w:hideMark/>
          </w:tcPr>
          <w:p w14:paraId="51B55E70" w14:textId="77777777" w:rsidR="00324D1B" w:rsidRDefault="00324D1B" w:rsidP="00CF0422">
            <w:pPr>
              <w:pStyle w:val="BodyText"/>
              <w:jc w:val="center"/>
            </w:pPr>
            <w:r>
              <w:t>Medium</w:t>
            </w:r>
          </w:p>
        </w:tc>
        <w:tc>
          <w:tcPr>
            <w:tcW w:w="2481" w:type="dxa"/>
            <w:tcBorders>
              <w:top w:val="single" w:sz="8" w:space="0" w:color="CDDC29" w:themeColor="text2"/>
              <w:left w:val="nil"/>
              <w:bottom w:val="single" w:sz="8" w:space="0" w:color="CDDC29" w:themeColor="text2"/>
              <w:right w:val="nil"/>
            </w:tcBorders>
            <w:shd w:val="clear" w:color="auto" w:fill="FF0000"/>
            <w:vAlign w:val="center"/>
            <w:hideMark/>
          </w:tcPr>
          <w:p w14:paraId="35F4C934" w14:textId="77777777" w:rsidR="00324D1B" w:rsidRDefault="00324D1B" w:rsidP="00CF0422">
            <w:pPr>
              <w:pStyle w:val="BodyText"/>
              <w:jc w:val="center"/>
            </w:pPr>
            <w:r>
              <w:t>High</w:t>
            </w:r>
          </w:p>
        </w:tc>
      </w:tr>
    </w:tbl>
    <w:p w14:paraId="0B4462E4" w14:textId="77777777" w:rsidR="00324D1B" w:rsidRDefault="00324D1B" w:rsidP="007E5EBF">
      <w:pPr>
        <w:pStyle w:val="Heading3"/>
        <w:jc w:val="both"/>
      </w:pPr>
      <w:bookmarkStart w:id="527" w:name="_Toc88724704"/>
      <w:r>
        <w:t>Climate change</w:t>
      </w:r>
    </w:p>
    <w:p w14:paraId="5992700F" w14:textId="77777777" w:rsidR="00324D1B" w:rsidRDefault="00324D1B" w:rsidP="00324D1B">
      <w:pPr>
        <w:pStyle w:val="Heading5"/>
        <w:numPr>
          <w:ilvl w:val="0"/>
          <w:numId w:val="0"/>
        </w:numPr>
        <w:ind w:left="1008" w:hanging="1008"/>
      </w:pPr>
      <w:r>
        <w:t>Drying climate</w:t>
      </w:r>
    </w:p>
    <w:p w14:paraId="61E1E83B" w14:textId="0459F627" w:rsidR="00324D1B" w:rsidRDefault="00324D1B" w:rsidP="00324D1B">
      <w:pPr>
        <w:pStyle w:val="BodyText"/>
      </w:pPr>
      <w:r>
        <w:t xml:space="preserve">In the longer term, the habitat of the </w:t>
      </w:r>
      <w:r w:rsidR="001D3902">
        <w:t>species</w:t>
      </w:r>
      <w:r>
        <w:t xml:space="preserve"> is threatened by climatic drying and warming, resulting in a projected incremental contraction in the local extent of suitable habitat. It is unclear whether the projected increase in fire intensity and frequency poses a significant current or future threat to the </w:t>
      </w:r>
      <w:r w:rsidR="001D3902">
        <w:t>species</w:t>
      </w:r>
      <w:r>
        <w:t xml:space="preserve"> since, like many species of </w:t>
      </w:r>
      <w:r>
        <w:rPr>
          <w:i/>
          <w:iCs/>
        </w:rPr>
        <w:t>Gonocarpus</w:t>
      </w:r>
      <w:r>
        <w:t xml:space="preserve"> or </w:t>
      </w:r>
      <w:r>
        <w:rPr>
          <w:i/>
          <w:iCs/>
        </w:rPr>
        <w:t>Haloragis</w:t>
      </w:r>
      <w:r>
        <w:t xml:space="preserve">, the </w:t>
      </w:r>
      <w:r w:rsidR="001D3902">
        <w:t>species</w:t>
      </w:r>
      <w:r>
        <w:t xml:space="preserve"> is likely to respond favourably to individual fire events which are likely to promote pulse seed recruitment from a long-persistent soil-stored. This threat extends across 70% of the </w:t>
      </w:r>
      <w:r w:rsidR="001D3902">
        <w:t>species’</w:t>
      </w:r>
      <w:r>
        <w:t xml:space="preserve"> populations.</w:t>
      </w:r>
    </w:p>
    <w:p w14:paraId="32971825" w14:textId="11008DE7" w:rsidR="00324D1B" w:rsidRDefault="00324D1B" w:rsidP="00324D1B">
      <w:pPr>
        <w:pStyle w:val="BodyText"/>
      </w:pPr>
      <w:r>
        <w:t xml:space="preserve">Current control measures for this hazard are not effective in managing the risk to this </w:t>
      </w:r>
      <w:r w:rsidR="001D3902">
        <w:t>species</w:t>
      </w:r>
      <w:r>
        <w:t xml:space="preserve"> at the scale relevant to its conservation.</w:t>
      </w:r>
    </w:p>
    <w:p w14:paraId="69860ED1" w14:textId="4E760161" w:rsidR="00324D1B" w:rsidRPr="00FF310C" w:rsidRDefault="00324D1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93</w:t>
      </w:r>
      <w:r w:rsidR="000B6788" w:rsidRPr="00B6162A">
        <w:rPr>
          <w:bCs/>
          <w:noProof/>
        </w:rPr>
        <w:fldChar w:fldCharType="end"/>
      </w:r>
      <w:r w:rsidRPr="00FF310C">
        <w:t>. Flat Raspwort protection requirements and recommendations for drying climate</w:t>
      </w:r>
    </w:p>
    <w:tbl>
      <w:tblPr>
        <w:tblStyle w:val="TableGrid"/>
        <w:tblW w:w="0" w:type="auto"/>
        <w:tblLook w:val="04A0" w:firstRow="1" w:lastRow="0" w:firstColumn="1" w:lastColumn="0" w:noHBand="0" w:noVBand="1"/>
      </w:tblPr>
      <w:tblGrid>
        <w:gridCol w:w="2268"/>
        <w:gridCol w:w="7371"/>
      </w:tblGrid>
      <w:tr w:rsidR="00324D1B" w14:paraId="327B96E0"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6F35DC9"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5161DD82"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3D798678" w14:textId="77777777" w:rsidTr="00140207">
        <w:tc>
          <w:tcPr>
            <w:tcW w:w="2268" w:type="dxa"/>
            <w:tcBorders>
              <w:top w:val="single" w:sz="8" w:space="0" w:color="CDDC29" w:themeColor="text2"/>
              <w:left w:val="nil"/>
              <w:bottom w:val="single" w:sz="8" w:space="0" w:color="CDDC29" w:themeColor="text2"/>
              <w:right w:val="nil"/>
            </w:tcBorders>
            <w:hideMark/>
          </w:tcPr>
          <w:p w14:paraId="4A57D043" w14:textId="2DD6D73E" w:rsidR="00324D1B" w:rsidRDefault="00645BBF" w:rsidP="00140207">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25DD7FB8" w14:textId="77777777" w:rsidR="00324D1B" w:rsidRDefault="00324D1B" w:rsidP="00140207">
            <w:pPr>
              <w:pStyle w:val="BodyText"/>
            </w:pPr>
            <w:r>
              <w:t>Not required for this hazard as it is a longer-term threat.</w:t>
            </w:r>
          </w:p>
        </w:tc>
      </w:tr>
      <w:tr w:rsidR="00324D1B" w14:paraId="5D41F7A2" w14:textId="77777777" w:rsidTr="00140207">
        <w:tc>
          <w:tcPr>
            <w:tcW w:w="2268" w:type="dxa"/>
            <w:tcBorders>
              <w:top w:val="single" w:sz="8" w:space="0" w:color="CDDC29" w:themeColor="text2"/>
              <w:left w:val="nil"/>
              <w:bottom w:val="single" w:sz="8" w:space="0" w:color="CDDC29" w:themeColor="text2"/>
              <w:right w:val="nil"/>
            </w:tcBorders>
            <w:hideMark/>
          </w:tcPr>
          <w:p w14:paraId="3F804B00" w14:textId="2445B2CD" w:rsidR="00324D1B" w:rsidRDefault="00645BBF" w:rsidP="00140207">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37CA0C2D" w14:textId="74504814" w:rsidR="00324D1B" w:rsidRDefault="00324D1B" w:rsidP="006670D2">
            <w:pPr>
              <w:pStyle w:val="PullOutBoxBullet"/>
            </w:pPr>
            <w:r w:rsidRPr="00A34102">
              <w:t>C</w:t>
            </w:r>
            <w:r w:rsidRPr="00C803B7">
              <w:t xml:space="preserve">onsider options to conserve this </w:t>
            </w:r>
            <w:r w:rsidR="001D3902">
              <w:t>species</w:t>
            </w:r>
            <w:r w:rsidRPr="00C803B7">
              <w:t xml:space="preserve"> under climate change, including protection of refuges, maintenance of hydrological regimes, translocation to more secure sites and gene mixing to improve its adaptability</w:t>
            </w:r>
            <w:r w:rsidRPr="00A34102">
              <w:t>.</w:t>
            </w:r>
          </w:p>
        </w:tc>
      </w:tr>
    </w:tbl>
    <w:p w14:paraId="46C5E129" w14:textId="666B594F" w:rsidR="00324D1B" w:rsidRDefault="00324D1B" w:rsidP="007E5EBF">
      <w:pPr>
        <w:pStyle w:val="Heading3"/>
        <w:jc w:val="both"/>
      </w:pPr>
      <w:r>
        <w:t>Forestry operations</w:t>
      </w:r>
      <w:bookmarkEnd w:id="527"/>
    </w:p>
    <w:p w14:paraId="305BBD88" w14:textId="77777777" w:rsidR="00324D1B" w:rsidRDefault="00324D1B" w:rsidP="00324D1B">
      <w:pPr>
        <w:pStyle w:val="Heading5"/>
        <w:numPr>
          <w:ilvl w:val="0"/>
          <w:numId w:val="0"/>
        </w:numPr>
        <w:ind w:left="1008" w:hanging="1008"/>
      </w:pPr>
      <w:r>
        <w:t>Plantations</w:t>
      </w:r>
    </w:p>
    <w:p w14:paraId="4A82E9DD" w14:textId="60DD0BA4" w:rsidR="00324D1B" w:rsidRDefault="00324D1B" w:rsidP="00324D1B">
      <w:pPr>
        <w:pStyle w:val="BodyText"/>
      </w:pPr>
      <w:r>
        <w:rPr>
          <w:rStyle w:val="BodyTextChar"/>
        </w:rPr>
        <w:t xml:space="preserve">Approximately 21% of the </w:t>
      </w:r>
      <w:r w:rsidR="001D3902">
        <w:rPr>
          <w:rStyle w:val="BodyTextChar"/>
        </w:rPr>
        <w:t>species</w:t>
      </w:r>
      <w:r>
        <w:rPr>
          <w:rStyle w:val="BodyTextChar"/>
        </w:rPr>
        <w:t xml:space="preserve"> may be threatened by habitat loss and degradation through softwood or hardwood plantation establishment in Victoria. </w:t>
      </w:r>
    </w:p>
    <w:p w14:paraId="1B52ACDD" w14:textId="77777777" w:rsidR="00324D1B" w:rsidRDefault="00324D1B" w:rsidP="00324D1B">
      <w:pPr>
        <w:pStyle w:val="BodyText"/>
      </w:pPr>
      <w:r>
        <w:t>Current controls for this hazard include:</w:t>
      </w:r>
    </w:p>
    <w:p w14:paraId="4DBE4B23" w14:textId="1A75D2B0" w:rsidR="00324D1B" w:rsidRPr="00F05594" w:rsidRDefault="00324D1B" w:rsidP="006670D2">
      <w:pPr>
        <w:pStyle w:val="PullOutBoxBullet"/>
        <w:rPr>
          <w:rFonts w:eastAsiaTheme="minorEastAsia"/>
        </w:rPr>
      </w:pPr>
      <w:r w:rsidRPr="00F05594">
        <w:t xml:space="preserve">The CAR reserve system. The effectiveness of this control for this species has been evaluated as poor as only 36% of the </w:t>
      </w:r>
      <w:r w:rsidR="001D3902">
        <w:t>species’</w:t>
      </w:r>
      <w:r w:rsidRPr="00F05594">
        <w:t xml:space="preserve"> modelled distribution and 20% of important populations are within the reserve system</w:t>
      </w:r>
      <w:r w:rsidR="005E1477">
        <w:t>.</w:t>
      </w:r>
    </w:p>
    <w:p w14:paraId="42165F09" w14:textId="77777777" w:rsidR="0071462E" w:rsidRDefault="0071462E">
      <w:pPr>
        <w:rPr>
          <w:b/>
          <w:bCs/>
          <w:sz w:val="16"/>
          <w:szCs w:val="16"/>
        </w:rPr>
      </w:pPr>
      <w:r>
        <w:br w:type="page"/>
      </w:r>
    </w:p>
    <w:p w14:paraId="1855680A" w14:textId="425C7F7B" w:rsidR="00324D1B" w:rsidRPr="00FF310C" w:rsidRDefault="00324D1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94</w:t>
      </w:r>
      <w:r w:rsidR="000B6788" w:rsidRPr="00B6162A">
        <w:rPr>
          <w:bCs/>
          <w:noProof/>
        </w:rPr>
        <w:fldChar w:fldCharType="end"/>
      </w:r>
      <w:r w:rsidRPr="00FF310C">
        <w:t>. Flat Raspwort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324D1B" w14:paraId="23DDCDFC"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F8517CF"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4FEF2150"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4DE71718" w14:textId="77777777" w:rsidTr="00140207">
        <w:tc>
          <w:tcPr>
            <w:tcW w:w="2268" w:type="dxa"/>
            <w:tcBorders>
              <w:top w:val="single" w:sz="8" w:space="0" w:color="CDDC29" w:themeColor="text2"/>
              <w:left w:val="nil"/>
              <w:bottom w:val="single" w:sz="8" w:space="0" w:color="CDDC29" w:themeColor="text2"/>
              <w:right w:val="nil"/>
            </w:tcBorders>
            <w:hideMark/>
          </w:tcPr>
          <w:p w14:paraId="0F3400CF" w14:textId="07ACC3D2" w:rsidR="00324D1B" w:rsidRDefault="00324D1B" w:rsidP="00140207">
            <w:pPr>
              <w:pStyle w:val="BodyText"/>
            </w:pPr>
            <w:r>
              <w:t>Interim protections</w:t>
            </w:r>
            <w:r w:rsidR="00303491">
              <w:t xml:space="preserve"> </w:t>
            </w:r>
          </w:p>
        </w:tc>
        <w:tc>
          <w:tcPr>
            <w:tcW w:w="7371" w:type="dxa"/>
            <w:tcBorders>
              <w:top w:val="single" w:sz="8" w:space="0" w:color="CDDC29" w:themeColor="text2"/>
              <w:left w:val="nil"/>
              <w:bottom w:val="single" w:sz="8" w:space="0" w:color="CDDC29" w:themeColor="text2"/>
              <w:right w:val="nil"/>
            </w:tcBorders>
            <w:hideMark/>
          </w:tcPr>
          <w:p w14:paraId="590FCAE2" w14:textId="77777777" w:rsidR="00324D1B" w:rsidRDefault="00324D1B" w:rsidP="00140207">
            <w:pPr>
              <w:pStyle w:val="BodyText"/>
            </w:pPr>
            <w:r>
              <w:t>Not required for this hazard based on the overall risk level of medium.</w:t>
            </w:r>
          </w:p>
        </w:tc>
      </w:tr>
      <w:tr w:rsidR="007D0C84" w14:paraId="6651102B" w14:textId="77777777" w:rsidTr="00140207">
        <w:tc>
          <w:tcPr>
            <w:tcW w:w="2268" w:type="dxa"/>
            <w:tcBorders>
              <w:top w:val="single" w:sz="8" w:space="0" w:color="CDDC29" w:themeColor="text2"/>
              <w:left w:val="nil"/>
              <w:bottom w:val="single" w:sz="8" w:space="0" w:color="CDDC29" w:themeColor="text2"/>
              <w:right w:val="nil"/>
            </w:tcBorders>
          </w:tcPr>
          <w:p w14:paraId="4C5533E6" w14:textId="4EE63157" w:rsidR="007D0C84" w:rsidRDefault="007D0C84" w:rsidP="00140207">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7BB4E8BA" w14:textId="136D7031" w:rsidR="007D0C84" w:rsidRDefault="007D0C84" w:rsidP="00140207">
            <w:pPr>
              <w:pStyle w:val="BodyText"/>
            </w:pPr>
            <w:r>
              <w:t>Not required for this hazard based on the overall risk level of medium.</w:t>
            </w:r>
          </w:p>
        </w:tc>
      </w:tr>
      <w:tr w:rsidR="00324D1B" w14:paraId="18441D9B" w14:textId="77777777" w:rsidTr="00140207">
        <w:tc>
          <w:tcPr>
            <w:tcW w:w="2268" w:type="dxa"/>
            <w:tcBorders>
              <w:top w:val="single" w:sz="8" w:space="0" w:color="CDDC29" w:themeColor="text2"/>
              <w:left w:val="nil"/>
              <w:bottom w:val="single" w:sz="8" w:space="0" w:color="CDDC29" w:themeColor="text2"/>
              <w:right w:val="nil"/>
            </w:tcBorders>
            <w:hideMark/>
          </w:tcPr>
          <w:p w14:paraId="356DC923" w14:textId="77777777" w:rsidR="00324D1B" w:rsidRDefault="00324D1B" w:rsidP="00140207">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4FCA2040" w14:textId="77777777" w:rsidR="00324D1B" w:rsidRDefault="00324D1B" w:rsidP="00140207">
            <w:pPr>
              <w:pStyle w:val="BodyText"/>
            </w:pPr>
            <w:r>
              <w:t>Additional permanent protections may be required in the longer-term.</w:t>
            </w:r>
          </w:p>
        </w:tc>
      </w:tr>
      <w:tr w:rsidR="00324D1B" w14:paraId="4D98DAE9" w14:textId="77777777" w:rsidTr="00140207">
        <w:tc>
          <w:tcPr>
            <w:tcW w:w="2268" w:type="dxa"/>
            <w:tcBorders>
              <w:top w:val="single" w:sz="8" w:space="0" w:color="CDDC29" w:themeColor="text2"/>
              <w:left w:val="nil"/>
              <w:bottom w:val="single" w:sz="8" w:space="0" w:color="CDDC29" w:themeColor="text2"/>
              <w:right w:val="nil"/>
            </w:tcBorders>
            <w:hideMark/>
          </w:tcPr>
          <w:p w14:paraId="08307B6F" w14:textId="3235E42E" w:rsidR="00324D1B" w:rsidRDefault="006D6A8A" w:rsidP="00140207">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46FC06AC" w14:textId="587F886F" w:rsidR="00324D1B" w:rsidRDefault="00324D1B" w:rsidP="006670D2">
            <w:pPr>
              <w:pStyle w:val="PullOutBoxBullet"/>
            </w:pPr>
            <w:r>
              <w:t xml:space="preserve">Establish </w:t>
            </w:r>
            <w:r>
              <w:rPr>
                <w:i/>
                <w:iCs/>
              </w:rPr>
              <w:t>ex-situ</w:t>
            </w:r>
            <w:r>
              <w:t xml:space="preserve"> propagation to </w:t>
            </w:r>
            <w:r w:rsidR="0006690D" w:rsidRPr="00915D82">
              <w:t>conserve local genotypes as insurance against loss of particular populations.</w:t>
            </w:r>
          </w:p>
        </w:tc>
      </w:tr>
    </w:tbl>
    <w:p w14:paraId="7C130218" w14:textId="77777777" w:rsidR="00324D1B" w:rsidRDefault="00324D1B" w:rsidP="007E5EBF">
      <w:pPr>
        <w:pStyle w:val="Heading3"/>
        <w:jc w:val="both"/>
      </w:pPr>
      <w:bookmarkStart w:id="528" w:name="_Toc88724705"/>
      <w:r>
        <w:t>Invasive species</w:t>
      </w:r>
      <w:bookmarkEnd w:id="528"/>
    </w:p>
    <w:p w14:paraId="004450AD" w14:textId="77777777" w:rsidR="00324D1B" w:rsidRDefault="00324D1B" w:rsidP="00324D1B">
      <w:pPr>
        <w:pStyle w:val="Heading5"/>
        <w:numPr>
          <w:ilvl w:val="0"/>
          <w:numId w:val="0"/>
        </w:numPr>
        <w:ind w:left="1008" w:hanging="1008"/>
      </w:pPr>
      <w:r>
        <w:t>Invasive vertebrates (ungulates)</w:t>
      </w:r>
    </w:p>
    <w:p w14:paraId="57D7BD5C" w14:textId="4E1AE334" w:rsidR="00324D1B" w:rsidRDefault="00324D1B" w:rsidP="00324D1B">
      <w:pPr>
        <w:pStyle w:val="BodyText"/>
      </w:pPr>
      <w:r>
        <w:t xml:space="preserve">The habitat of the </w:t>
      </w:r>
      <w:r w:rsidR="001D3902">
        <w:t>species</w:t>
      </w:r>
      <w:r>
        <w:t xml:space="preserve"> is highly susceptible to pugging and targeted browsing by pigs, feral horses, and increasingly by Sambar, throughout the restricted Victorian range of the </w:t>
      </w:r>
      <w:r w:rsidR="001D3902">
        <w:t>species</w:t>
      </w:r>
      <w:r>
        <w:t xml:space="preserve">, exposing the habitat to weed invasion. This hazard is likely to interact with climatic drying as plants that are already stressed due to disturbance by invasive vertebrates would be less likely to recover in a drying climate. This hazard extends across around 90% of the </w:t>
      </w:r>
      <w:r w:rsidR="001D3902">
        <w:t>species’</w:t>
      </w:r>
      <w:r>
        <w:t xml:space="preserve"> populations.</w:t>
      </w:r>
    </w:p>
    <w:p w14:paraId="0A885B54" w14:textId="77777777" w:rsidR="00324D1B" w:rsidRPr="00F05594" w:rsidRDefault="00324D1B" w:rsidP="00324D1B">
      <w:pPr>
        <w:pStyle w:val="BodyText"/>
      </w:pPr>
      <w:r w:rsidRPr="00F05594">
        <w:t>Current controls for this hazard include:</w:t>
      </w:r>
    </w:p>
    <w:p w14:paraId="2C244C68" w14:textId="1EB386B2" w:rsidR="00324D1B" w:rsidRPr="00DB4710" w:rsidRDefault="00324D1B" w:rsidP="006670D2">
      <w:pPr>
        <w:pStyle w:val="PullOutBoxBullet"/>
        <w:rPr>
          <w:rStyle w:val="normaltextrun"/>
        </w:rPr>
      </w:pPr>
      <w:r w:rsidRPr="00DB4710">
        <w:rPr>
          <w:rStyle w:val="normaltextrun"/>
        </w:rPr>
        <w:t>Targeted deer control. The effectiveness of this control for this species has been evaluated as poor because targeted culling is patchy, expensive, and challenging to target in remote forest areas. Sambar deer occur across a large area so there is a reservoir of other areas to recolonise from.</w:t>
      </w:r>
      <w:r w:rsidR="0005643E" w:rsidRPr="0005643E">
        <w:t xml:space="preserve"> </w:t>
      </w:r>
      <w:r w:rsidR="0005643E" w:rsidRPr="00F05594">
        <w:t xml:space="preserve">It is important to note, however, that </w:t>
      </w:r>
      <w:r w:rsidR="0005643E" w:rsidRPr="00F05594">
        <w:rPr>
          <w:rStyle w:val="eop"/>
          <w:rFonts w:ascii="Arial" w:hAnsi="Arial"/>
          <w:color w:val="363534"/>
        </w:rPr>
        <w:t>recent deer control programs carried out throughout East Gippsland show significant advances in ground-based shooting by using thermal imaging, after-dark hunting and in some cases the use of silencers. Targeted control programs should not be considered inappropriate if program funding is sustainable and the target flora species for protection face significant threat from deer activity.</w:t>
      </w:r>
    </w:p>
    <w:p w14:paraId="0793EFAD" w14:textId="6D5F19C0" w:rsidR="00324D1B" w:rsidRPr="00FF310C" w:rsidRDefault="00324D1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95</w:t>
      </w:r>
      <w:r w:rsidR="000B6788" w:rsidRPr="00B6162A">
        <w:rPr>
          <w:bCs/>
          <w:noProof/>
        </w:rPr>
        <w:fldChar w:fldCharType="end"/>
      </w:r>
      <w:r w:rsidRPr="00FF310C">
        <w:t>. Flat Raspwort protection requirements and recommendations for invasive vertebrates (ungulates)</w:t>
      </w:r>
    </w:p>
    <w:tbl>
      <w:tblPr>
        <w:tblStyle w:val="TableGrid"/>
        <w:tblW w:w="0" w:type="auto"/>
        <w:tblLook w:val="04A0" w:firstRow="1" w:lastRow="0" w:firstColumn="1" w:lastColumn="0" w:noHBand="0" w:noVBand="1"/>
      </w:tblPr>
      <w:tblGrid>
        <w:gridCol w:w="2268"/>
        <w:gridCol w:w="7371"/>
      </w:tblGrid>
      <w:tr w:rsidR="00324D1B" w14:paraId="5F01D212"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15E74AC"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2FAEC67F"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1B18612A" w14:textId="77777777" w:rsidTr="00140207">
        <w:tc>
          <w:tcPr>
            <w:tcW w:w="2268" w:type="dxa"/>
            <w:tcBorders>
              <w:top w:val="single" w:sz="8" w:space="0" w:color="CDDC29" w:themeColor="text2"/>
              <w:left w:val="nil"/>
              <w:bottom w:val="single" w:sz="8" w:space="0" w:color="CDDC29" w:themeColor="text2"/>
              <w:right w:val="nil"/>
            </w:tcBorders>
            <w:hideMark/>
          </w:tcPr>
          <w:p w14:paraId="63E4F7DF" w14:textId="2FA1EE5B" w:rsidR="00324D1B" w:rsidRDefault="00401BE3" w:rsidP="00140207">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202A8334" w14:textId="24D5D242" w:rsidR="00E9026D" w:rsidRPr="00E31362" w:rsidRDefault="00E9026D" w:rsidP="006670D2">
            <w:pPr>
              <w:pStyle w:val="PullOutBoxBullet"/>
            </w:pPr>
            <w:r w:rsidRPr="00E31362">
              <w:t>Comprehensively search likely habitat and map important populations;</w:t>
            </w:r>
          </w:p>
          <w:p w14:paraId="5740D17A" w14:textId="1F3B34D9" w:rsidR="00324D1B" w:rsidRDefault="00E9026D" w:rsidP="006670D2">
            <w:pPr>
              <w:pStyle w:val="PullOutBoxBullet"/>
            </w:pPr>
            <w:r w:rsidRPr="00E31362">
              <w:t>Establish monitoring sites and collect baseline data.</w:t>
            </w:r>
            <w:r w:rsidR="00D423F1">
              <w:t>; and</w:t>
            </w:r>
          </w:p>
          <w:p w14:paraId="6205FF1A" w14:textId="286FEF10" w:rsidR="00324D1B" w:rsidRDefault="00D9048B" w:rsidP="006670D2">
            <w:pPr>
              <w:pStyle w:val="PullOutBoxBullet"/>
            </w:pPr>
            <w:r>
              <w:t>Assess impacts of invasive vertebrates</w:t>
            </w:r>
            <w:r w:rsidR="00D423F1">
              <w:t>.</w:t>
            </w:r>
          </w:p>
        </w:tc>
      </w:tr>
      <w:tr w:rsidR="00324D1B" w14:paraId="26C5AF22" w14:textId="77777777" w:rsidTr="00140207">
        <w:tc>
          <w:tcPr>
            <w:tcW w:w="2268" w:type="dxa"/>
            <w:tcBorders>
              <w:top w:val="single" w:sz="8" w:space="0" w:color="CDDC29" w:themeColor="text2"/>
              <w:left w:val="nil"/>
              <w:bottom w:val="single" w:sz="8" w:space="0" w:color="CDDC29" w:themeColor="text2"/>
              <w:right w:val="nil"/>
            </w:tcBorders>
            <w:hideMark/>
          </w:tcPr>
          <w:p w14:paraId="70FB4CC2" w14:textId="1DBEC9FE" w:rsidR="00324D1B" w:rsidRDefault="00401BE3" w:rsidP="00140207">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73BCA2FD" w14:textId="0B3DCBE9" w:rsidR="00324D1B" w:rsidRDefault="00324D1B" w:rsidP="006670D2">
            <w:pPr>
              <w:pStyle w:val="PullOutBoxBullet"/>
            </w:pPr>
            <w:r>
              <w:t xml:space="preserve">Assess the feasibility of fencing important populations as the habitat of this </w:t>
            </w:r>
            <w:r w:rsidR="001D3902">
              <w:t>species</w:t>
            </w:r>
            <w:r>
              <w:t xml:space="preserve"> is a refugia environment in the drying climate, therefore the hazard of invasive vertebrates is only likely to increase unless drastic control measures are undertaken</w:t>
            </w:r>
            <w:r w:rsidR="000429F5">
              <w:t>.</w:t>
            </w:r>
          </w:p>
        </w:tc>
      </w:tr>
    </w:tbl>
    <w:p w14:paraId="08DC827F" w14:textId="77777777" w:rsidR="00324D1B" w:rsidRDefault="00324D1B" w:rsidP="00324D1B">
      <w:pPr>
        <w:pStyle w:val="BodyText"/>
      </w:pPr>
    </w:p>
    <w:p w14:paraId="0E86FF22" w14:textId="77777777" w:rsidR="00324D1B" w:rsidRDefault="00324D1B" w:rsidP="00324D1B">
      <w:pPr>
        <w:rPr>
          <w:rFonts w:cs="Times New Roman"/>
          <w:lang w:eastAsia="en-US"/>
        </w:rPr>
      </w:pPr>
      <w:r>
        <w:rPr>
          <w:color w:val="auto"/>
        </w:rPr>
        <w:br w:type="page"/>
      </w:r>
    </w:p>
    <w:p w14:paraId="6BF66948" w14:textId="77777777" w:rsidR="00324D1B" w:rsidRPr="00F05594" w:rsidRDefault="00324D1B" w:rsidP="00FB5A2B">
      <w:pPr>
        <w:pStyle w:val="Heading2"/>
        <w:ind w:left="0"/>
        <w:rPr>
          <w:i/>
          <w:iCs/>
        </w:rPr>
      </w:pPr>
      <w:bookmarkStart w:id="529" w:name="_Toc95234097"/>
      <w:bookmarkStart w:id="530" w:name="_Toc113271043"/>
      <w:r w:rsidRPr="00F05594">
        <w:t xml:space="preserve">Floodplain Violet </w:t>
      </w:r>
      <w:r w:rsidRPr="00BC14DC">
        <w:rPr>
          <w:i/>
          <w:iCs/>
        </w:rPr>
        <w:t>(Viola betonicifolia</w:t>
      </w:r>
      <w:r w:rsidRPr="00F05594">
        <w:t xml:space="preserve"> subsp. </w:t>
      </w:r>
      <w:r w:rsidRPr="00BC14DC">
        <w:rPr>
          <w:i/>
          <w:iCs/>
        </w:rPr>
        <w:t>novaguineensis)</w:t>
      </w:r>
      <w:bookmarkEnd w:id="529"/>
      <w:bookmarkEnd w:id="530"/>
    </w:p>
    <w:p w14:paraId="6731D641" w14:textId="7DB6E012" w:rsidR="00324D1B" w:rsidRDefault="00324D1B" w:rsidP="00324D1B">
      <w:pPr>
        <w:pStyle w:val="BodyText"/>
      </w:pPr>
      <w:r>
        <w:t xml:space="preserve">The Floodplain Violet was listed as Endangered in Victoria under the FFG Act in May 2021. The </w:t>
      </w:r>
      <w:r w:rsidR="008414FC">
        <w:t>sub</w:t>
      </w:r>
      <w:r w:rsidR="001D3902">
        <w:t>species</w:t>
      </w:r>
      <w:r>
        <w:t xml:space="preserve"> has modelled habitat in the Gippsland (32% of modelled habitat), West (29% of modelled habitat) and North East (28% of modelled habitat), RFA regions and has 10% of modelled habitat in the non-RFA regions. Experts identified that the </w:t>
      </w:r>
      <w:r w:rsidR="008414FC">
        <w:t>sub</w:t>
      </w:r>
      <w:r w:rsidR="001D3902">
        <w:t>species</w:t>
      </w:r>
      <w:r>
        <w:t xml:space="preserve"> is distributed outside of the areas of modelled habitat, so some hazards were assessed and reported on in the Central Highlands and East Gippsland RFA regions also. </w:t>
      </w:r>
      <w:r>
        <w:rPr>
          <w:rStyle w:val="BodyTextChar"/>
        </w:rPr>
        <w:t>Permanent protections are recommended to address any hazards identified at a significant or high risk, and all</w:t>
      </w:r>
      <w:r>
        <w:t xml:space="preserve"> hazards rated a medium risk or higher will be considered in future management planning.</w:t>
      </w:r>
    </w:p>
    <w:p w14:paraId="7DF5796A" w14:textId="77777777" w:rsidR="00324D1B" w:rsidRDefault="00324D1B" w:rsidP="007E5EBF">
      <w:pPr>
        <w:pStyle w:val="Heading3"/>
      </w:pPr>
      <w:r>
        <w:t>Risk Assessment</w:t>
      </w:r>
    </w:p>
    <w:p w14:paraId="4D3FD6BC" w14:textId="574E6F4C" w:rsidR="00324D1B" w:rsidRPr="00FF310C" w:rsidRDefault="00324D1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96</w:t>
      </w:r>
      <w:r w:rsidR="000B6788" w:rsidRPr="00B6162A">
        <w:rPr>
          <w:bCs/>
          <w:noProof/>
        </w:rPr>
        <w:fldChar w:fldCharType="end"/>
      </w:r>
      <w:r w:rsidRPr="00FF310C">
        <w:t>. Floodplain Violet risk ratings in the Central Highlands, East Gippsland, Gippsland, North East and West RFA regions:</w:t>
      </w:r>
    </w:p>
    <w:tbl>
      <w:tblPr>
        <w:tblStyle w:val="TableGrid"/>
        <w:tblW w:w="9639" w:type="dxa"/>
        <w:tblLayout w:type="fixed"/>
        <w:tblLook w:val="04A0" w:firstRow="1" w:lastRow="0" w:firstColumn="1" w:lastColumn="0" w:noHBand="0" w:noVBand="1"/>
      </w:tblPr>
      <w:tblGrid>
        <w:gridCol w:w="1927"/>
        <w:gridCol w:w="1928"/>
        <w:gridCol w:w="1928"/>
        <w:gridCol w:w="1928"/>
        <w:gridCol w:w="1928"/>
      </w:tblGrid>
      <w:tr w:rsidR="00324D1B" w14:paraId="009FBCE7" w14:textId="77777777" w:rsidTr="00BE417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 w:type="dxa"/>
            <w:tcBorders>
              <w:top w:val="single" w:sz="8" w:space="0" w:color="CDDC29" w:themeColor="text2"/>
              <w:left w:val="nil"/>
              <w:bottom w:val="single" w:sz="8" w:space="0" w:color="CDDC29" w:themeColor="text2"/>
              <w:right w:val="nil"/>
            </w:tcBorders>
            <w:vAlign w:val="center"/>
          </w:tcPr>
          <w:p w14:paraId="251DD49F" w14:textId="77777777" w:rsidR="00324D1B" w:rsidRDefault="00324D1B" w:rsidP="006670D2">
            <w:pPr>
              <w:pStyle w:val="CaptionImageorFigure"/>
            </w:pPr>
          </w:p>
        </w:tc>
        <w:tc>
          <w:tcPr>
            <w:tcW w:w="6" w:type="dxa"/>
            <w:tcBorders>
              <w:top w:val="single" w:sz="8" w:space="0" w:color="CDDC29" w:themeColor="text2"/>
              <w:left w:val="nil"/>
              <w:bottom w:val="single" w:sz="8" w:space="0" w:color="CDDC29" w:themeColor="text2"/>
              <w:right w:val="nil"/>
            </w:tcBorders>
            <w:vAlign w:val="center"/>
            <w:hideMark/>
          </w:tcPr>
          <w:p w14:paraId="0472A7F0"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Altered rainfall patterns</w:t>
            </w:r>
          </w:p>
        </w:tc>
        <w:tc>
          <w:tcPr>
            <w:tcW w:w="6" w:type="dxa"/>
            <w:tcBorders>
              <w:top w:val="single" w:sz="8" w:space="0" w:color="CDDC29" w:themeColor="text2"/>
              <w:left w:val="nil"/>
              <w:bottom w:val="single" w:sz="8" w:space="0" w:color="CDDC29" w:themeColor="text2"/>
              <w:right w:val="nil"/>
            </w:tcBorders>
            <w:vAlign w:val="center"/>
            <w:hideMark/>
          </w:tcPr>
          <w:p w14:paraId="3DA1634D"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c>
          <w:tcPr>
            <w:tcW w:w="6" w:type="dxa"/>
            <w:tcBorders>
              <w:top w:val="single" w:sz="8" w:space="0" w:color="CDDC29" w:themeColor="text2"/>
              <w:left w:val="nil"/>
              <w:bottom w:val="single" w:sz="8" w:space="0" w:color="CDDC29" w:themeColor="text2"/>
              <w:right w:val="nil"/>
            </w:tcBorders>
            <w:vAlign w:val="center"/>
            <w:hideMark/>
          </w:tcPr>
          <w:p w14:paraId="736B54E4"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(ungulates)</w:t>
            </w:r>
          </w:p>
        </w:tc>
        <w:tc>
          <w:tcPr>
            <w:tcW w:w="6" w:type="dxa"/>
            <w:tcBorders>
              <w:top w:val="single" w:sz="8" w:space="0" w:color="CDDC29" w:themeColor="text2"/>
              <w:left w:val="nil"/>
              <w:bottom w:val="single" w:sz="8" w:space="0" w:color="CDDC29" w:themeColor="text2"/>
              <w:right w:val="nil"/>
            </w:tcBorders>
            <w:vAlign w:val="center"/>
            <w:hideMark/>
          </w:tcPr>
          <w:p w14:paraId="77A49973"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plant (non-woody weeds)</w:t>
            </w:r>
          </w:p>
        </w:tc>
      </w:tr>
      <w:tr w:rsidR="00324D1B" w14:paraId="54909165" w14:textId="77777777" w:rsidTr="00BE417D">
        <w:tc>
          <w:tcPr>
            <w:tcW w:w="6" w:type="dxa"/>
            <w:tcBorders>
              <w:top w:val="single" w:sz="8" w:space="0" w:color="CDDC29" w:themeColor="text2"/>
              <w:left w:val="nil"/>
              <w:bottom w:val="single" w:sz="8" w:space="0" w:color="CDDC29" w:themeColor="text2"/>
              <w:right w:val="nil"/>
            </w:tcBorders>
            <w:vAlign w:val="center"/>
            <w:hideMark/>
          </w:tcPr>
          <w:p w14:paraId="0B1EA198" w14:textId="77777777" w:rsidR="00324D1B" w:rsidRDefault="00324D1B" w:rsidP="00BC14DC">
            <w:pPr>
              <w:pStyle w:val="BodyText"/>
              <w:jc w:val="center"/>
            </w:pPr>
            <w:r>
              <w:t>Consequence</w:t>
            </w:r>
          </w:p>
        </w:tc>
        <w:tc>
          <w:tcPr>
            <w:tcW w:w="6" w:type="dxa"/>
            <w:tcBorders>
              <w:top w:val="single" w:sz="8" w:space="0" w:color="CDDC29" w:themeColor="text2"/>
              <w:left w:val="nil"/>
              <w:bottom w:val="single" w:sz="8" w:space="0" w:color="CDDC29" w:themeColor="text2"/>
              <w:right w:val="nil"/>
            </w:tcBorders>
            <w:vAlign w:val="center"/>
            <w:hideMark/>
          </w:tcPr>
          <w:p w14:paraId="3129F620" w14:textId="77777777" w:rsidR="00324D1B" w:rsidRDefault="00324D1B" w:rsidP="00BC14DC">
            <w:pPr>
              <w:pStyle w:val="BodyText"/>
              <w:jc w:val="center"/>
            </w:pPr>
            <w:r>
              <w:t>Moderate</w:t>
            </w:r>
          </w:p>
        </w:tc>
        <w:tc>
          <w:tcPr>
            <w:tcW w:w="6" w:type="dxa"/>
            <w:tcBorders>
              <w:top w:val="single" w:sz="8" w:space="0" w:color="CDDC29" w:themeColor="text2"/>
              <w:left w:val="nil"/>
              <w:bottom w:val="single" w:sz="8" w:space="0" w:color="CDDC29" w:themeColor="text2"/>
              <w:right w:val="nil"/>
            </w:tcBorders>
            <w:vAlign w:val="center"/>
            <w:hideMark/>
          </w:tcPr>
          <w:p w14:paraId="31D3E78E" w14:textId="77777777" w:rsidR="00324D1B" w:rsidRDefault="00324D1B" w:rsidP="00BC14DC">
            <w:pPr>
              <w:pStyle w:val="BodyText"/>
              <w:jc w:val="center"/>
            </w:pPr>
            <w:r>
              <w:t>Minor</w:t>
            </w:r>
          </w:p>
        </w:tc>
        <w:tc>
          <w:tcPr>
            <w:tcW w:w="6" w:type="dxa"/>
            <w:tcBorders>
              <w:top w:val="single" w:sz="8" w:space="0" w:color="CDDC29" w:themeColor="text2"/>
              <w:left w:val="nil"/>
              <w:bottom w:val="single" w:sz="8" w:space="0" w:color="CDDC29" w:themeColor="text2"/>
              <w:right w:val="nil"/>
            </w:tcBorders>
            <w:vAlign w:val="center"/>
            <w:hideMark/>
          </w:tcPr>
          <w:p w14:paraId="2966FE14" w14:textId="77777777" w:rsidR="00324D1B" w:rsidRDefault="00324D1B" w:rsidP="00BC14DC">
            <w:pPr>
              <w:pStyle w:val="BodyText"/>
              <w:jc w:val="center"/>
            </w:pPr>
            <w:r>
              <w:t>Minor</w:t>
            </w:r>
          </w:p>
        </w:tc>
        <w:tc>
          <w:tcPr>
            <w:tcW w:w="6" w:type="dxa"/>
            <w:tcBorders>
              <w:top w:val="single" w:sz="8" w:space="0" w:color="CDDC29" w:themeColor="text2"/>
              <w:left w:val="nil"/>
              <w:bottom w:val="single" w:sz="8" w:space="0" w:color="CDDC29" w:themeColor="text2"/>
              <w:right w:val="nil"/>
            </w:tcBorders>
            <w:vAlign w:val="center"/>
            <w:hideMark/>
          </w:tcPr>
          <w:p w14:paraId="6F2E0C08" w14:textId="77777777" w:rsidR="00324D1B" w:rsidRDefault="00324D1B" w:rsidP="00BC14DC">
            <w:pPr>
              <w:pStyle w:val="BodyText"/>
              <w:jc w:val="center"/>
            </w:pPr>
            <w:r>
              <w:t>Major</w:t>
            </w:r>
          </w:p>
        </w:tc>
      </w:tr>
      <w:tr w:rsidR="00324D1B" w14:paraId="59EFC838" w14:textId="77777777" w:rsidTr="00BE417D">
        <w:tc>
          <w:tcPr>
            <w:tcW w:w="6" w:type="dxa"/>
            <w:tcBorders>
              <w:top w:val="single" w:sz="8" w:space="0" w:color="CDDC29" w:themeColor="text2"/>
              <w:left w:val="nil"/>
              <w:bottom w:val="single" w:sz="8" w:space="0" w:color="CDDC29" w:themeColor="text2"/>
              <w:right w:val="nil"/>
            </w:tcBorders>
            <w:vAlign w:val="center"/>
            <w:hideMark/>
          </w:tcPr>
          <w:p w14:paraId="4926A2F0" w14:textId="77777777" w:rsidR="00324D1B" w:rsidRDefault="00324D1B" w:rsidP="00BC14DC">
            <w:pPr>
              <w:pStyle w:val="BodyText"/>
              <w:jc w:val="center"/>
            </w:pPr>
            <w:r>
              <w:t>Likelihood</w:t>
            </w:r>
          </w:p>
        </w:tc>
        <w:tc>
          <w:tcPr>
            <w:tcW w:w="6" w:type="dxa"/>
            <w:tcBorders>
              <w:top w:val="single" w:sz="8" w:space="0" w:color="CDDC29" w:themeColor="text2"/>
              <w:left w:val="nil"/>
              <w:bottom w:val="single" w:sz="8" w:space="0" w:color="CDDC29" w:themeColor="text2"/>
              <w:right w:val="nil"/>
            </w:tcBorders>
            <w:vAlign w:val="center"/>
            <w:hideMark/>
          </w:tcPr>
          <w:p w14:paraId="6A45A375" w14:textId="77777777" w:rsidR="00324D1B" w:rsidRDefault="00324D1B" w:rsidP="00BC14DC">
            <w:pPr>
              <w:pStyle w:val="BodyText"/>
              <w:jc w:val="center"/>
            </w:pPr>
            <w:r>
              <w:t>Likely</w:t>
            </w:r>
          </w:p>
        </w:tc>
        <w:tc>
          <w:tcPr>
            <w:tcW w:w="6" w:type="dxa"/>
            <w:tcBorders>
              <w:top w:val="single" w:sz="8" w:space="0" w:color="CDDC29" w:themeColor="text2"/>
              <w:left w:val="nil"/>
              <w:bottom w:val="single" w:sz="8" w:space="0" w:color="CDDC29" w:themeColor="text2"/>
              <w:right w:val="nil"/>
            </w:tcBorders>
            <w:vAlign w:val="center"/>
            <w:hideMark/>
          </w:tcPr>
          <w:p w14:paraId="0C9CAA48" w14:textId="77777777" w:rsidR="00324D1B" w:rsidRDefault="00324D1B" w:rsidP="00BC14DC">
            <w:pPr>
              <w:pStyle w:val="BodyText"/>
              <w:jc w:val="center"/>
            </w:pPr>
            <w:r>
              <w:t>Possible</w:t>
            </w:r>
          </w:p>
        </w:tc>
        <w:tc>
          <w:tcPr>
            <w:tcW w:w="6" w:type="dxa"/>
            <w:tcBorders>
              <w:top w:val="single" w:sz="8" w:space="0" w:color="CDDC29" w:themeColor="text2"/>
              <w:left w:val="nil"/>
              <w:bottom w:val="single" w:sz="8" w:space="0" w:color="CDDC29" w:themeColor="text2"/>
              <w:right w:val="nil"/>
            </w:tcBorders>
            <w:vAlign w:val="center"/>
            <w:hideMark/>
          </w:tcPr>
          <w:p w14:paraId="713D3969" w14:textId="77777777" w:rsidR="00324D1B" w:rsidRDefault="00324D1B" w:rsidP="00BC14DC">
            <w:pPr>
              <w:pStyle w:val="BodyText"/>
              <w:jc w:val="center"/>
            </w:pPr>
            <w:r>
              <w:t>Likely</w:t>
            </w:r>
          </w:p>
        </w:tc>
        <w:tc>
          <w:tcPr>
            <w:tcW w:w="6" w:type="dxa"/>
            <w:tcBorders>
              <w:top w:val="single" w:sz="8" w:space="0" w:color="CDDC29" w:themeColor="text2"/>
              <w:left w:val="nil"/>
              <w:bottom w:val="single" w:sz="8" w:space="0" w:color="CDDC29" w:themeColor="text2"/>
              <w:right w:val="nil"/>
            </w:tcBorders>
            <w:vAlign w:val="center"/>
            <w:hideMark/>
          </w:tcPr>
          <w:p w14:paraId="54D06642" w14:textId="77777777" w:rsidR="00324D1B" w:rsidRDefault="00324D1B" w:rsidP="00BC14DC">
            <w:pPr>
              <w:pStyle w:val="BodyText"/>
              <w:jc w:val="center"/>
            </w:pPr>
            <w:r>
              <w:t>Likely</w:t>
            </w:r>
          </w:p>
        </w:tc>
      </w:tr>
      <w:tr w:rsidR="00324D1B" w14:paraId="2588B83E" w14:textId="77777777" w:rsidTr="00BE417D">
        <w:tc>
          <w:tcPr>
            <w:tcW w:w="6" w:type="dxa"/>
            <w:tcBorders>
              <w:top w:val="single" w:sz="8" w:space="0" w:color="CDDC29" w:themeColor="text2"/>
              <w:left w:val="nil"/>
              <w:bottom w:val="single" w:sz="8" w:space="0" w:color="CDDC29" w:themeColor="text2"/>
              <w:right w:val="nil"/>
            </w:tcBorders>
            <w:vAlign w:val="center"/>
            <w:hideMark/>
          </w:tcPr>
          <w:p w14:paraId="5EE0E8CE" w14:textId="77777777" w:rsidR="00324D1B" w:rsidRDefault="00324D1B" w:rsidP="00BC14DC">
            <w:pPr>
              <w:pStyle w:val="BodyText"/>
              <w:jc w:val="center"/>
            </w:pPr>
            <w:r>
              <w:t>Overall risk rating</w:t>
            </w:r>
          </w:p>
        </w:tc>
        <w:tc>
          <w:tcPr>
            <w:tcW w:w="6" w:type="dxa"/>
            <w:tcBorders>
              <w:top w:val="single" w:sz="8" w:space="0" w:color="CDDC29" w:themeColor="text2"/>
              <w:left w:val="nil"/>
              <w:bottom w:val="single" w:sz="8" w:space="0" w:color="CDDC29" w:themeColor="text2"/>
              <w:right w:val="nil"/>
            </w:tcBorders>
            <w:shd w:val="clear" w:color="auto" w:fill="FFC000"/>
            <w:vAlign w:val="center"/>
            <w:hideMark/>
          </w:tcPr>
          <w:p w14:paraId="75500637" w14:textId="77777777" w:rsidR="00324D1B" w:rsidRDefault="00324D1B" w:rsidP="00BC14DC">
            <w:pPr>
              <w:pStyle w:val="BodyText"/>
              <w:jc w:val="center"/>
            </w:pPr>
            <w:r>
              <w:t>Significant</w:t>
            </w:r>
          </w:p>
        </w:tc>
        <w:tc>
          <w:tcPr>
            <w:tcW w:w="6" w:type="dxa"/>
            <w:tcBorders>
              <w:top w:val="single" w:sz="8" w:space="0" w:color="CDDC29" w:themeColor="text2"/>
              <w:left w:val="nil"/>
              <w:bottom w:val="single" w:sz="8" w:space="0" w:color="CDDC29" w:themeColor="text2"/>
              <w:right w:val="nil"/>
            </w:tcBorders>
            <w:shd w:val="clear" w:color="auto" w:fill="FFFF00"/>
            <w:vAlign w:val="center"/>
            <w:hideMark/>
          </w:tcPr>
          <w:p w14:paraId="1A0B74F4" w14:textId="77777777" w:rsidR="00324D1B" w:rsidRDefault="00324D1B" w:rsidP="00BC14DC">
            <w:pPr>
              <w:pStyle w:val="BodyText"/>
              <w:jc w:val="center"/>
            </w:pPr>
            <w:r>
              <w:t>Medium</w:t>
            </w:r>
          </w:p>
        </w:tc>
        <w:tc>
          <w:tcPr>
            <w:tcW w:w="6" w:type="dxa"/>
            <w:tcBorders>
              <w:top w:val="single" w:sz="8" w:space="0" w:color="CDDC29" w:themeColor="text2"/>
              <w:left w:val="nil"/>
              <w:bottom w:val="single" w:sz="8" w:space="0" w:color="CDDC29" w:themeColor="text2"/>
              <w:right w:val="nil"/>
            </w:tcBorders>
            <w:shd w:val="clear" w:color="auto" w:fill="FFFF00"/>
            <w:vAlign w:val="center"/>
            <w:hideMark/>
          </w:tcPr>
          <w:p w14:paraId="4492699D" w14:textId="77777777" w:rsidR="00324D1B" w:rsidRDefault="00324D1B" w:rsidP="00BC14DC">
            <w:pPr>
              <w:pStyle w:val="BodyText"/>
              <w:jc w:val="center"/>
            </w:pPr>
            <w:r>
              <w:t>Medium</w:t>
            </w:r>
          </w:p>
        </w:tc>
        <w:tc>
          <w:tcPr>
            <w:tcW w:w="6" w:type="dxa"/>
            <w:tcBorders>
              <w:top w:val="single" w:sz="8" w:space="0" w:color="CDDC29" w:themeColor="text2"/>
              <w:left w:val="nil"/>
              <w:bottom w:val="single" w:sz="8" w:space="0" w:color="CDDC29" w:themeColor="text2"/>
              <w:right w:val="nil"/>
            </w:tcBorders>
            <w:shd w:val="clear" w:color="auto" w:fill="FF0000"/>
            <w:vAlign w:val="center"/>
            <w:hideMark/>
          </w:tcPr>
          <w:p w14:paraId="3FEA95FC" w14:textId="77777777" w:rsidR="00324D1B" w:rsidRDefault="00324D1B" w:rsidP="00BC14DC">
            <w:pPr>
              <w:pStyle w:val="BodyText"/>
              <w:jc w:val="center"/>
            </w:pPr>
            <w:r>
              <w:t>High</w:t>
            </w:r>
          </w:p>
        </w:tc>
      </w:tr>
    </w:tbl>
    <w:p w14:paraId="0910F83F" w14:textId="0A76CD8E" w:rsidR="00324D1B" w:rsidRPr="00FF310C" w:rsidRDefault="00324D1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97</w:t>
      </w:r>
      <w:r w:rsidR="000B6788" w:rsidRPr="00B6162A">
        <w:rPr>
          <w:bCs/>
          <w:noProof/>
        </w:rPr>
        <w:fldChar w:fldCharType="end"/>
      </w:r>
      <w:r w:rsidRPr="00FF310C">
        <w:t>. Floodplain Violet risk ratings in the East Gippsland, Gippsland, North East and West RFA regions:</w:t>
      </w:r>
    </w:p>
    <w:tbl>
      <w:tblPr>
        <w:tblStyle w:val="TableGrid"/>
        <w:tblW w:w="0" w:type="auto"/>
        <w:tblLayout w:type="fixed"/>
        <w:tblLook w:val="04A0" w:firstRow="1" w:lastRow="0" w:firstColumn="1" w:lastColumn="0" w:noHBand="0" w:noVBand="1"/>
      </w:tblPr>
      <w:tblGrid>
        <w:gridCol w:w="1928"/>
        <w:gridCol w:w="1928"/>
        <w:gridCol w:w="1928"/>
      </w:tblGrid>
      <w:tr w:rsidR="00BE417D" w14:paraId="62533C12" w14:textId="0D079378" w:rsidTr="00E65D8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8" w:type="dxa"/>
            <w:tcBorders>
              <w:top w:val="single" w:sz="8" w:space="0" w:color="CDDC29" w:themeColor="text2"/>
              <w:left w:val="nil"/>
              <w:bottom w:val="single" w:sz="8" w:space="0" w:color="CDDC29" w:themeColor="text2"/>
              <w:right w:val="nil"/>
            </w:tcBorders>
            <w:vAlign w:val="center"/>
          </w:tcPr>
          <w:p w14:paraId="6B103491" w14:textId="77777777" w:rsidR="00BE417D" w:rsidRDefault="00BE417D" w:rsidP="006670D2">
            <w:pPr>
              <w:pStyle w:val="CaptionImageorFigure"/>
            </w:pPr>
          </w:p>
        </w:tc>
        <w:tc>
          <w:tcPr>
            <w:tcW w:w="1928" w:type="dxa"/>
            <w:tcBorders>
              <w:top w:val="single" w:sz="8" w:space="0" w:color="CDDC29" w:themeColor="text2"/>
              <w:left w:val="nil"/>
              <w:bottom w:val="single" w:sz="8" w:space="0" w:color="CDDC29" w:themeColor="text2"/>
              <w:right w:val="nil"/>
            </w:tcBorders>
            <w:vAlign w:val="center"/>
            <w:hideMark/>
          </w:tcPr>
          <w:p w14:paraId="6FEC9669" w14:textId="0FB6E12A" w:rsidR="00BE417D" w:rsidRDefault="00B114D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928" w:type="dxa"/>
            <w:tcBorders>
              <w:top w:val="single" w:sz="8" w:space="0" w:color="CDDC29" w:themeColor="text2"/>
              <w:left w:val="nil"/>
              <w:bottom w:val="single" w:sz="8" w:space="0" w:color="CDDC29" w:themeColor="text2"/>
              <w:right w:val="nil"/>
            </w:tcBorders>
            <w:vAlign w:val="center"/>
          </w:tcPr>
          <w:p w14:paraId="76B11FA8" w14:textId="116C6682" w:rsidR="00BE417D" w:rsidRDefault="00BE417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Dams and water management/use</w:t>
            </w:r>
          </w:p>
        </w:tc>
      </w:tr>
      <w:tr w:rsidR="00BE417D" w14:paraId="516CBA40" w14:textId="2FE493A6" w:rsidTr="00E65D8D">
        <w:tc>
          <w:tcPr>
            <w:tcW w:w="1928" w:type="dxa"/>
            <w:tcBorders>
              <w:top w:val="single" w:sz="8" w:space="0" w:color="CDDC29" w:themeColor="text2"/>
              <w:left w:val="nil"/>
              <w:bottom w:val="single" w:sz="8" w:space="0" w:color="CDDC29" w:themeColor="text2"/>
              <w:right w:val="nil"/>
            </w:tcBorders>
            <w:vAlign w:val="center"/>
            <w:hideMark/>
          </w:tcPr>
          <w:p w14:paraId="2E34572E" w14:textId="77777777" w:rsidR="00BE417D" w:rsidRDefault="00BE417D" w:rsidP="00BE417D">
            <w:pPr>
              <w:pStyle w:val="BodyText"/>
              <w:jc w:val="center"/>
            </w:pPr>
            <w:r>
              <w:t>Consequence</w:t>
            </w:r>
          </w:p>
        </w:tc>
        <w:tc>
          <w:tcPr>
            <w:tcW w:w="1928" w:type="dxa"/>
            <w:tcBorders>
              <w:top w:val="single" w:sz="8" w:space="0" w:color="CDDC29" w:themeColor="text2"/>
              <w:left w:val="nil"/>
              <w:bottom w:val="single" w:sz="8" w:space="0" w:color="CDDC29" w:themeColor="text2"/>
              <w:right w:val="nil"/>
            </w:tcBorders>
            <w:vAlign w:val="center"/>
            <w:hideMark/>
          </w:tcPr>
          <w:p w14:paraId="3325EFC9" w14:textId="77777777" w:rsidR="00BE417D" w:rsidRDefault="00BE417D" w:rsidP="00BE417D">
            <w:pPr>
              <w:pStyle w:val="BodyText"/>
              <w:jc w:val="center"/>
            </w:pPr>
            <w:r>
              <w:t>Minor</w:t>
            </w:r>
          </w:p>
        </w:tc>
        <w:tc>
          <w:tcPr>
            <w:tcW w:w="1928" w:type="dxa"/>
            <w:tcBorders>
              <w:top w:val="single" w:sz="8" w:space="0" w:color="CDDC29" w:themeColor="text2"/>
              <w:left w:val="nil"/>
              <w:bottom w:val="single" w:sz="8" w:space="0" w:color="CDDC29" w:themeColor="text2"/>
              <w:right w:val="nil"/>
            </w:tcBorders>
            <w:vAlign w:val="center"/>
          </w:tcPr>
          <w:p w14:paraId="6F011467" w14:textId="06A553EF" w:rsidR="00BE417D" w:rsidRDefault="00BE417D" w:rsidP="00BE417D">
            <w:pPr>
              <w:pStyle w:val="BodyText"/>
              <w:jc w:val="center"/>
            </w:pPr>
            <w:r>
              <w:t>Moderate</w:t>
            </w:r>
          </w:p>
        </w:tc>
      </w:tr>
      <w:tr w:rsidR="00BE417D" w14:paraId="54068D98" w14:textId="3FE986DA" w:rsidTr="00E65D8D">
        <w:tc>
          <w:tcPr>
            <w:tcW w:w="1928" w:type="dxa"/>
            <w:tcBorders>
              <w:top w:val="single" w:sz="8" w:space="0" w:color="CDDC29" w:themeColor="text2"/>
              <w:left w:val="nil"/>
              <w:bottom w:val="single" w:sz="8" w:space="0" w:color="CDDC29" w:themeColor="text2"/>
              <w:right w:val="nil"/>
            </w:tcBorders>
            <w:vAlign w:val="center"/>
            <w:hideMark/>
          </w:tcPr>
          <w:p w14:paraId="533206FC" w14:textId="77777777" w:rsidR="00BE417D" w:rsidRDefault="00BE417D" w:rsidP="00BE417D">
            <w:pPr>
              <w:pStyle w:val="BodyText"/>
              <w:jc w:val="center"/>
            </w:pPr>
            <w:r>
              <w:t>Likelihood</w:t>
            </w:r>
          </w:p>
        </w:tc>
        <w:tc>
          <w:tcPr>
            <w:tcW w:w="1928" w:type="dxa"/>
            <w:tcBorders>
              <w:top w:val="single" w:sz="8" w:space="0" w:color="CDDC29" w:themeColor="text2"/>
              <w:left w:val="nil"/>
              <w:bottom w:val="single" w:sz="8" w:space="0" w:color="CDDC29" w:themeColor="text2"/>
              <w:right w:val="nil"/>
            </w:tcBorders>
            <w:vAlign w:val="center"/>
            <w:hideMark/>
          </w:tcPr>
          <w:p w14:paraId="3BD7773F" w14:textId="77777777" w:rsidR="00BE417D" w:rsidRDefault="00BE417D" w:rsidP="00BE417D">
            <w:pPr>
              <w:pStyle w:val="BodyText"/>
              <w:jc w:val="center"/>
            </w:pPr>
            <w:r>
              <w:t>Possible</w:t>
            </w:r>
          </w:p>
        </w:tc>
        <w:tc>
          <w:tcPr>
            <w:tcW w:w="1928" w:type="dxa"/>
            <w:tcBorders>
              <w:top w:val="single" w:sz="8" w:space="0" w:color="CDDC29" w:themeColor="text2"/>
              <w:left w:val="nil"/>
              <w:bottom w:val="single" w:sz="8" w:space="0" w:color="CDDC29" w:themeColor="text2"/>
              <w:right w:val="nil"/>
            </w:tcBorders>
            <w:vAlign w:val="center"/>
          </w:tcPr>
          <w:p w14:paraId="7CE73C2C" w14:textId="0F91AEFA" w:rsidR="00BE417D" w:rsidRDefault="00BE417D" w:rsidP="00BE417D">
            <w:pPr>
              <w:pStyle w:val="BodyText"/>
              <w:jc w:val="center"/>
            </w:pPr>
            <w:r>
              <w:t>Unlikely</w:t>
            </w:r>
          </w:p>
        </w:tc>
      </w:tr>
      <w:tr w:rsidR="00BE417D" w14:paraId="15ADA74C" w14:textId="75597B83" w:rsidTr="00E65D8D">
        <w:tc>
          <w:tcPr>
            <w:tcW w:w="1928" w:type="dxa"/>
            <w:tcBorders>
              <w:top w:val="single" w:sz="8" w:space="0" w:color="CDDC29" w:themeColor="text2"/>
              <w:left w:val="nil"/>
              <w:bottom w:val="single" w:sz="8" w:space="0" w:color="CDDC29" w:themeColor="text2"/>
              <w:right w:val="nil"/>
            </w:tcBorders>
            <w:vAlign w:val="center"/>
            <w:hideMark/>
          </w:tcPr>
          <w:p w14:paraId="1A72D4AA" w14:textId="77777777" w:rsidR="00BE417D" w:rsidRDefault="00BE417D" w:rsidP="00BE417D">
            <w:pPr>
              <w:pStyle w:val="BodyText"/>
              <w:jc w:val="center"/>
            </w:pPr>
            <w:r>
              <w:t>Overall risk rating</w:t>
            </w:r>
          </w:p>
        </w:tc>
        <w:tc>
          <w:tcPr>
            <w:tcW w:w="1928" w:type="dxa"/>
            <w:tcBorders>
              <w:top w:val="single" w:sz="8" w:space="0" w:color="CDDC29" w:themeColor="text2"/>
              <w:left w:val="nil"/>
              <w:bottom w:val="single" w:sz="8" w:space="0" w:color="CDDC29" w:themeColor="text2"/>
              <w:right w:val="nil"/>
            </w:tcBorders>
            <w:shd w:val="clear" w:color="auto" w:fill="FFFF00"/>
            <w:vAlign w:val="center"/>
            <w:hideMark/>
          </w:tcPr>
          <w:p w14:paraId="5D620D86" w14:textId="77777777" w:rsidR="00BE417D" w:rsidRDefault="00BE417D" w:rsidP="00BE417D">
            <w:pPr>
              <w:pStyle w:val="BodyText"/>
              <w:jc w:val="center"/>
            </w:pPr>
            <w:r>
              <w:t>Medium</w:t>
            </w:r>
          </w:p>
        </w:tc>
        <w:tc>
          <w:tcPr>
            <w:tcW w:w="1928" w:type="dxa"/>
            <w:tcBorders>
              <w:top w:val="single" w:sz="8" w:space="0" w:color="CDDC29" w:themeColor="text2"/>
              <w:left w:val="nil"/>
              <w:bottom w:val="single" w:sz="8" w:space="0" w:color="CDDC29" w:themeColor="text2"/>
              <w:right w:val="nil"/>
            </w:tcBorders>
            <w:shd w:val="clear" w:color="auto" w:fill="FFFF00"/>
            <w:vAlign w:val="center"/>
          </w:tcPr>
          <w:p w14:paraId="04E43B11" w14:textId="62F2544E" w:rsidR="00BE417D" w:rsidRDefault="00BE417D" w:rsidP="00BE417D">
            <w:pPr>
              <w:pStyle w:val="BodyText"/>
              <w:jc w:val="center"/>
            </w:pPr>
            <w:r>
              <w:t>Medium</w:t>
            </w:r>
          </w:p>
        </w:tc>
      </w:tr>
    </w:tbl>
    <w:p w14:paraId="41F7CB60" w14:textId="0A4BCF54" w:rsidR="00324D1B" w:rsidRPr="00FF310C" w:rsidRDefault="00324D1B"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98</w:t>
      </w:r>
      <w:r w:rsidR="000B6788" w:rsidRPr="00B6162A">
        <w:rPr>
          <w:bCs/>
          <w:noProof/>
        </w:rPr>
        <w:fldChar w:fldCharType="end"/>
      </w:r>
      <w:r w:rsidRPr="00FF310C">
        <w:t>. Floodplain Violet risk ratings in the West RFA region:</w:t>
      </w:r>
    </w:p>
    <w:tbl>
      <w:tblPr>
        <w:tblStyle w:val="TableGrid"/>
        <w:tblW w:w="0" w:type="auto"/>
        <w:tblLayout w:type="fixed"/>
        <w:tblLook w:val="04A0" w:firstRow="1" w:lastRow="0" w:firstColumn="1" w:lastColumn="0" w:noHBand="0" w:noVBand="1"/>
      </w:tblPr>
      <w:tblGrid>
        <w:gridCol w:w="1928"/>
        <w:gridCol w:w="1928"/>
      </w:tblGrid>
      <w:tr w:rsidR="00324D1B" w14:paraId="48BE0F2C" w14:textId="77777777" w:rsidTr="00E65D8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8" w:type="dxa"/>
            <w:tcBorders>
              <w:top w:val="single" w:sz="8" w:space="0" w:color="CDDC29" w:themeColor="text2"/>
              <w:left w:val="nil"/>
              <w:bottom w:val="single" w:sz="8" w:space="0" w:color="CDDC29" w:themeColor="text2"/>
              <w:right w:val="nil"/>
            </w:tcBorders>
            <w:vAlign w:val="center"/>
          </w:tcPr>
          <w:p w14:paraId="5A4207A0" w14:textId="77777777" w:rsidR="00324D1B" w:rsidRDefault="00324D1B" w:rsidP="006670D2">
            <w:pPr>
              <w:pStyle w:val="CaptionImageorFigure"/>
            </w:pPr>
          </w:p>
        </w:tc>
        <w:tc>
          <w:tcPr>
            <w:tcW w:w="1928" w:type="dxa"/>
            <w:tcBorders>
              <w:top w:val="single" w:sz="8" w:space="0" w:color="CDDC29" w:themeColor="text2"/>
              <w:left w:val="nil"/>
              <w:bottom w:val="single" w:sz="8" w:space="0" w:color="CDDC29" w:themeColor="text2"/>
              <w:right w:val="nil"/>
            </w:tcBorders>
            <w:vAlign w:val="center"/>
            <w:hideMark/>
          </w:tcPr>
          <w:p w14:paraId="322B7897"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r>
      <w:tr w:rsidR="00324D1B" w14:paraId="6631EF8B" w14:textId="77777777" w:rsidTr="00E65D8D">
        <w:tc>
          <w:tcPr>
            <w:tcW w:w="1928" w:type="dxa"/>
            <w:tcBorders>
              <w:top w:val="single" w:sz="8" w:space="0" w:color="CDDC29" w:themeColor="text2"/>
              <w:left w:val="nil"/>
              <w:bottom w:val="single" w:sz="8" w:space="0" w:color="CDDC29" w:themeColor="text2"/>
              <w:right w:val="nil"/>
            </w:tcBorders>
            <w:vAlign w:val="center"/>
            <w:hideMark/>
          </w:tcPr>
          <w:p w14:paraId="3E58EE6A" w14:textId="77777777" w:rsidR="00324D1B" w:rsidRDefault="00324D1B" w:rsidP="00BC14DC">
            <w:pPr>
              <w:pStyle w:val="BodyText"/>
              <w:jc w:val="center"/>
            </w:pPr>
            <w:r>
              <w:t>Consequence</w:t>
            </w:r>
          </w:p>
        </w:tc>
        <w:tc>
          <w:tcPr>
            <w:tcW w:w="1928" w:type="dxa"/>
            <w:tcBorders>
              <w:top w:val="single" w:sz="8" w:space="0" w:color="CDDC29" w:themeColor="text2"/>
              <w:left w:val="nil"/>
              <w:bottom w:val="single" w:sz="8" w:space="0" w:color="CDDC29" w:themeColor="text2"/>
              <w:right w:val="nil"/>
            </w:tcBorders>
            <w:vAlign w:val="center"/>
            <w:hideMark/>
          </w:tcPr>
          <w:p w14:paraId="74BF33C5" w14:textId="77777777" w:rsidR="00324D1B" w:rsidRDefault="00324D1B" w:rsidP="00BC14DC">
            <w:pPr>
              <w:pStyle w:val="BodyText"/>
              <w:jc w:val="center"/>
            </w:pPr>
            <w:r>
              <w:t>Minor</w:t>
            </w:r>
          </w:p>
        </w:tc>
      </w:tr>
      <w:tr w:rsidR="00324D1B" w14:paraId="19849E43" w14:textId="77777777" w:rsidTr="00E65D8D">
        <w:tc>
          <w:tcPr>
            <w:tcW w:w="1928" w:type="dxa"/>
            <w:tcBorders>
              <w:top w:val="single" w:sz="8" w:space="0" w:color="CDDC29" w:themeColor="text2"/>
              <w:left w:val="nil"/>
              <w:bottom w:val="single" w:sz="8" w:space="0" w:color="CDDC29" w:themeColor="text2"/>
              <w:right w:val="nil"/>
            </w:tcBorders>
            <w:vAlign w:val="center"/>
            <w:hideMark/>
          </w:tcPr>
          <w:p w14:paraId="24BFA5C1" w14:textId="77777777" w:rsidR="00324D1B" w:rsidRDefault="00324D1B" w:rsidP="00BC14DC">
            <w:pPr>
              <w:pStyle w:val="BodyText"/>
              <w:jc w:val="center"/>
            </w:pPr>
            <w:r>
              <w:t>Likelihood</w:t>
            </w:r>
          </w:p>
        </w:tc>
        <w:tc>
          <w:tcPr>
            <w:tcW w:w="1928" w:type="dxa"/>
            <w:tcBorders>
              <w:top w:val="single" w:sz="8" w:space="0" w:color="CDDC29" w:themeColor="text2"/>
              <w:left w:val="nil"/>
              <w:bottom w:val="single" w:sz="8" w:space="0" w:color="CDDC29" w:themeColor="text2"/>
              <w:right w:val="nil"/>
            </w:tcBorders>
            <w:vAlign w:val="center"/>
            <w:hideMark/>
          </w:tcPr>
          <w:p w14:paraId="6746930F" w14:textId="77777777" w:rsidR="00324D1B" w:rsidRDefault="00324D1B" w:rsidP="00BC14DC">
            <w:pPr>
              <w:pStyle w:val="BodyText"/>
              <w:jc w:val="center"/>
            </w:pPr>
            <w:r>
              <w:t>Likely</w:t>
            </w:r>
          </w:p>
        </w:tc>
      </w:tr>
      <w:tr w:rsidR="00324D1B" w14:paraId="3638DE27" w14:textId="77777777" w:rsidTr="00E65D8D">
        <w:tc>
          <w:tcPr>
            <w:tcW w:w="1928" w:type="dxa"/>
            <w:tcBorders>
              <w:top w:val="single" w:sz="8" w:space="0" w:color="CDDC29" w:themeColor="text2"/>
              <w:left w:val="nil"/>
              <w:bottom w:val="single" w:sz="8" w:space="0" w:color="CDDC29" w:themeColor="text2"/>
              <w:right w:val="nil"/>
            </w:tcBorders>
            <w:vAlign w:val="center"/>
            <w:hideMark/>
          </w:tcPr>
          <w:p w14:paraId="0FB834D4" w14:textId="77777777" w:rsidR="00324D1B" w:rsidRDefault="00324D1B" w:rsidP="00BC14DC">
            <w:pPr>
              <w:pStyle w:val="BodyText"/>
              <w:jc w:val="center"/>
            </w:pPr>
            <w:r>
              <w:t>Overall risk rating</w:t>
            </w:r>
          </w:p>
        </w:tc>
        <w:tc>
          <w:tcPr>
            <w:tcW w:w="1928" w:type="dxa"/>
            <w:tcBorders>
              <w:top w:val="single" w:sz="8" w:space="0" w:color="CDDC29" w:themeColor="text2"/>
              <w:left w:val="nil"/>
              <w:bottom w:val="single" w:sz="8" w:space="0" w:color="CDDC29" w:themeColor="text2"/>
              <w:right w:val="nil"/>
            </w:tcBorders>
            <w:shd w:val="clear" w:color="auto" w:fill="FFFF00"/>
            <w:vAlign w:val="center"/>
            <w:hideMark/>
          </w:tcPr>
          <w:p w14:paraId="28CF5D3E" w14:textId="77777777" w:rsidR="00324D1B" w:rsidRDefault="00324D1B" w:rsidP="00BC14DC">
            <w:pPr>
              <w:pStyle w:val="BodyText"/>
              <w:jc w:val="center"/>
            </w:pPr>
            <w:r>
              <w:t>Medium</w:t>
            </w:r>
          </w:p>
        </w:tc>
      </w:tr>
    </w:tbl>
    <w:p w14:paraId="0CA5F426" w14:textId="77777777" w:rsidR="00324D1B" w:rsidRDefault="00324D1B" w:rsidP="007E5EBF">
      <w:pPr>
        <w:pStyle w:val="Heading3"/>
        <w:jc w:val="both"/>
      </w:pPr>
      <w:r>
        <w:t>Climate change</w:t>
      </w:r>
    </w:p>
    <w:p w14:paraId="559414E5" w14:textId="77777777" w:rsidR="00324D1B" w:rsidRDefault="00324D1B" w:rsidP="00324D1B">
      <w:pPr>
        <w:pStyle w:val="Heading5"/>
        <w:numPr>
          <w:ilvl w:val="0"/>
          <w:numId w:val="0"/>
        </w:numPr>
        <w:ind w:left="1008" w:hanging="1008"/>
      </w:pPr>
      <w:r>
        <w:t>Altered rainfall patterns</w:t>
      </w:r>
    </w:p>
    <w:p w14:paraId="2CF26CC9" w14:textId="18C9F263" w:rsidR="00324D1B" w:rsidRPr="00F05594" w:rsidRDefault="00324D1B" w:rsidP="00324D1B">
      <w:pPr>
        <w:pStyle w:val="BodyText"/>
      </w:pPr>
      <w:r>
        <w:t xml:space="preserve">The major threat to the </w:t>
      </w:r>
      <w:r w:rsidR="008414FC">
        <w:t>sub</w:t>
      </w:r>
      <w:r w:rsidR="001D3902">
        <w:t>species</w:t>
      </w:r>
      <w:r>
        <w:t xml:space="preserve"> is climate change, which is likely to lead to decreased rainfall, increased evaporation, extreme temperatures, extreme rainfall events (1 in 100-year flooding) causing flash floods, soil erosion and/or severe scouring of riparian environments and smothering by flood debris, drying of springs and soaks and increased frequency and intensity of fires </w:t>
      </w:r>
      <w:r w:rsidRPr="00F05594">
        <w:t xml:space="preserve">and peat fires. Prolonged drought also increases the impacts of large grazing animals. This hazard applies to 100% of the </w:t>
      </w:r>
      <w:r w:rsidR="008414FC">
        <w:t>sub</w:t>
      </w:r>
      <w:r w:rsidR="001D3902">
        <w:t>species’</w:t>
      </w:r>
      <w:r w:rsidRPr="00F05594">
        <w:t xml:space="preserve"> habitat and is likely to lead to habitat degradation and reduced population sizes. </w:t>
      </w:r>
    </w:p>
    <w:p w14:paraId="6B441B75" w14:textId="77777777" w:rsidR="00324D1B" w:rsidRPr="00F05594" w:rsidRDefault="00324D1B" w:rsidP="00324D1B">
      <w:pPr>
        <w:pStyle w:val="BodyText"/>
      </w:pPr>
      <w:r w:rsidRPr="00F05594">
        <w:t>Current existing controls for this hazard include:</w:t>
      </w:r>
    </w:p>
    <w:p w14:paraId="2EDE3970" w14:textId="13A2B039" w:rsidR="00324D1B" w:rsidRPr="00F05594" w:rsidRDefault="00324D1B" w:rsidP="006670D2">
      <w:pPr>
        <w:pStyle w:val="PullOutBoxBullet"/>
      </w:pPr>
      <w:r w:rsidRPr="00F05594">
        <w:t xml:space="preserve">Streamflow Management Plans. The effectiveness of this control for this </w:t>
      </w:r>
      <w:r w:rsidR="008414FC">
        <w:t>sub</w:t>
      </w:r>
      <w:r w:rsidRPr="00F05594">
        <w:t>species has been evaluated as poor to satisfactory as it only applies to areas used for irrigation and does not deal with many of the populations on smaller streams. However, in some instances Streamflow Management Plans have ensured areas receive water in years where they might not have been allocated water.</w:t>
      </w:r>
    </w:p>
    <w:p w14:paraId="1E4E40C0" w14:textId="3B598ADD" w:rsidR="00324D1B" w:rsidRPr="00F05594" w:rsidRDefault="00324D1B" w:rsidP="006670D2">
      <w:pPr>
        <w:pStyle w:val="PullOutBoxBullet"/>
      </w:pPr>
      <w:r w:rsidRPr="00F05594">
        <w:t xml:space="preserve">Victorian Floodplain Management Strategy. The effectiveness of this control for this </w:t>
      </w:r>
      <w:r w:rsidR="008414FC">
        <w:t>sub</w:t>
      </w:r>
      <w:r w:rsidRPr="00F05594">
        <w:t>species has been evaluated as poor because it is focussed on avoiding major flooding events and does not mitigate against lack of water.</w:t>
      </w:r>
    </w:p>
    <w:p w14:paraId="3B16CF08" w14:textId="0789F8E1"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99</w:t>
      </w:r>
      <w:r w:rsidR="000B6788" w:rsidRPr="00291BDC">
        <w:rPr>
          <w:bCs/>
          <w:noProof/>
        </w:rPr>
        <w:fldChar w:fldCharType="end"/>
      </w:r>
      <w:r w:rsidRPr="00FF310C">
        <w:t>. Floodplain Violet protection requirements and recommendations for altered rainfall patterns</w:t>
      </w:r>
    </w:p>
    <w:tbl>
      <w:tblPr>
        <w:tblStyle w:val="TableGrid"/>
        <w:tblW w:w="0" w:type="auto"/>
        <w:tblLook w:val="04A0" w:firstRow="1" w:lastRow="0" w:firstColumn="1" w:lastColumn="0" w:noHBand="0" w:noVBand="1"/>
      </w:tblPr>
      <w:tblGrid>
        <w:gridCol w:w="2268"/>
        <w:gridCol w:w="7371"/>
      </w:tblGrid>
      <w:tr w:rsidR="00324D1B" w14:paraId="60E154BC"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7511321B"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2FBC2B99"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4342ABDB" w14:textId="77777777" w:rsidTr="00140207">
        <w:tc>
          <w:tcPr>
            <w:tcW w:w="2268" w:type="dxa"/>
            <w:tcBorders>
              <w:top w:val="single" w:sz="8" w:space="0" w:color="CDDC29" w:themeColor="text2"/>
              <w:left w:val="nil"/>
              <w:bottom w:val="single" w:sz="8" w:space="0" w:color="CDDC29" w:themeColor="text2"/>
              <w:right w:val="nil"/>
            </w:tcBorders>
            <w:hideMark/>
          </w:tcPr>
          <w:p w14:paraId="3F7CAD6D" w14:textId="3B57E1ED" w:rsidR="00324D1B" w:rsidRDefault="00401BE3" w:rsidP="00140207">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2D16157A" w14:textId="77777777" w:rsidR="00324D1B" w:rsidRDefault="00324D1B" w:rsidP="00140207">
            <w:pPr>
              <w:pStyle w:val="BodyText"/>
            </w:pPr>
            <w:r>
              <w:t>Not required for this hazard as it is a longer-term threat.</w:t>
            </w:r>
          </w:p>
        </w:tc>
      </w:tr>
      <w:tr w:rsidR="00324D1B" w14:paraId="7B5A726B" w14:textId="77777777" w:rsidTr="00140207">
        <w:tc>
          <w:tcPr>
            <w:tcW w:w="2268" w:type="dxa"/>
            <w:tcBorders>
              <w:top w:val="single" w:sz="8" w:space="0" w:color="CDDC29" w:themeColor="text2"/>
              <w:left w:val="nil"/>
              <w:bottom w:val="single" w:sz="8" w:space="0" w:color="CDDC29" w:themeColor="text2"/>
              <w:right w:val="nil"/>
            </w:tcBorders>
            <w:hideMark/>
          </w:tcPr>
          <w:p w14:paraId="2A9B3E28" w14:textId="5BBF24BD" w:rsidR="00324D1B" w:rsidRDefault="00401BE3" w:rsidP="00140207">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20AC49D8" w14:textId="77777777" w:rsidR="00324D1B" w:rsidRDefault="00324D1B" w:rsidP="006670D2">
            <w:pPr>
              <w:pStyle w:val="PullOutBoxBullet"/>
            </w:pPr>
            <w:r>
              <w:rPr>
                <w:i/>
                <w:iCs/>
              </w:rPr>
              <w:t>In-situ</w:t>
            </w:r>
            <w:r>
              <w:t xml:space="preserve"> propagation; and</w:t>
            </w:r>
          </w:p>
          <w:p w14:paraId="0C99979F" w14:textId="4EF15002" w:rsidR="00324D1B" w:rsidRDefault="00324D1B" w:rsidP="006670D2">
            <w:pPr>
              <w:pStyle w:val="PullOutBoxBullet"/>
            </w:pPr>
            <w:r>
              <w:t xml:space="preserve">Additional </w:t>
            </w:r>
            <w:r>
              <w:rPr>
                <w:i/>
                <w:iCs/>
              </w:rPr>
              <w:t xml:space="preserve">ex-situ </w:t>
            </w:r>
            <w:r>
              <w:t xml:space="preserve">conservation collections, such as seed storage of populations not yet stored in the </w:t>
            </w:r>
            <w:r w:rsidR="000B671C">
              <w:t>VCS.</w:t>
            </w:r>
          </w:p>
        </w:tc>
      </w:tr>
    </w:tbl>
    <w:p w14:paraId="57E473E6" w14:textId="77777777" w:rsidR="00324D1B" w:rsidRDefault="00324D1B" w:rsidP="007E5EBF">
      <w:pPr>
        <w:pStyle w:val="Heading3"/>
        <w:jc w:val="both"/>
      </w:pPr>
      <w:r>
        <w:t>Fire</w:t>
      </w:r>
    </w:p>
    <w:p w14:paraId="06404E08" w14:textId="77777777" w:rsidR="00B114D1" w:rsidRPr="001C0DE0" w:rsidRDefault="00B114D1" w:rsidP="00B114D1">
      <w:pPr>
        <w:pStyle w:val="Heading5"/>
        <w:numPr>
          <w:ilvl w:val="0"/>
          <w:numId w:val="0"/>
        </w:numPr>
        <w:ind w:left="1008" w:hanging="1008"/>
      </w:pPr>
      <w:r>
        <w:t>Increased fire frequency and intensity</w:t>
      </w:r>
    </w:p>
    <w:p w14:paraId="78613A54" w14:textId="04D1C62E" w:rsidR="00324D1B" w:rsidRDefault="00324D1B" w:rsidP="00324D1B">
      <w:pPr>
        <w:pStyle w:val="BodyText"/>
      </w:pPr>
      <w:r>
        <w:t xml:space="preserve">Increased frequency and intensity of fires, including peat fires, applies to 100% of the </w:t>
      </w:r>
      <w:r w:rsidR="008414FC">
        <w:t>sub</w:t>
      </w:r>
      <w:r w:rsidR="001D3902">
        <w:t>species’</w:t>
      </w:r>
      <w:r>
        <w:t xml:space="preserve"> habitat. While plants that occur in riparian habitats are unlikely to be impacted directly by fire, they may be impacted by post-fire impacts including increased run-off and sedimentation of water. All hazards are likely to cause reduction or degradation of the streamside habitats required by this </w:t>
      </w:r>
      <w:r w:rsidR="008414FC">
        <w:t>sub</w:t>
      </w:r>
      <w:r w:rsidR="001D3902">
        <w:t>species</w:t>
      </w:r>
      <w:r>
        <w:t>. These hazards are not likely to be cumulative, but all have the potential to reduce or degrade habitat.</w:t>
      </w:r>
    </w:p>
    <w:p w14:paraId="45079922" w14:textId="77777777" w:rsidR="00324D1B" w:rsidRDefault="00324D1B" w:rsidP="00324D1B">
      <w:pPr>
        <w:pStyle w:val="BodyText"/>
      </w:pPr>
      <w:r>
        <w:t>Current existing controls for this hazard include:</w:t>
      </w:r>
    </w:p>
    <w:p w14:paraId="4F8A877D" w14:textId="7C8F05E8" w:rsidR="00324D1B" w:rsidRPr="00F05594" w:rsidRDefault="00324D1B" w:rsidP="006670D2">
      <w:pPr>
        <w:pStyle w:val="PullOutBoxBullet"/>
      </w:pPr>
      <w:r w:rsidRPr="00F05594">
        <w:t>Bushfire management phases of planning, prevention, preparedness, fuel management, response, recovery, and monitoring. Th</w:t>
      </w:r>
      <w:r w:rsidR="006A41C8">
        <w:t>e</w:t>
      </w:r>
      <w:r w:rsidRPr="00F05594">
        <w:t xml:space="preserve"> effectiveness of this control </w:t>
      </w:r>
      <w:r w:rsidR="00611634">
        <w:t xml:space="preserve">in managing risk </w:t>
      </w:r>
      <w:r w:rsidRPr="00F05594">
        <w:t xml:space="preserve">for this </w:t>
      </w:r>
      <w:r w:rsidR="008414FC">
        <w:t>sub</w:t>
      </w:r>
      <w:r w:rsidRPr="00F05594">
        <w:t>species has been evaluated as poor because despite these controls,</w:t>
      </w:r>
      <w:r w:rsidR="00186B52">
        <w:t xml:space="preserve"> the impacts of</w:t>
      </w:r>
      <w:r w:rsidRPr="00F05594">
        <w:t xml:space="preserve"> bushfire </w:t>
      </w:r>
      <w:r w:rsidR="006A41C8">
        <w:t xml:space="preserve">on this </w:t>
      </w:r>
      <w:r w:rsidR="008414FC">
        <w:t>sub</w:t>
      </w:r>
      <w:r w:rsidR="006A41C8">
        <w:t>species</w:t>
      </w:r>
      <w:r w:rsidRPr="00F05594">
        <w:t xml:space="preserve"> have increased over the past 20 years. This is likely in part </w:t>
      </w:r>
      <w:r w:rsidR="0093043A" w:rsidRPr="00F05594">
        <w:t>because</w:t>
      </w:r>
      <w:r w:rsidRPr="00F05594">
        <w:t xml:space="preserve"> of climate change and inappropriate forest managemen</w:t>
      </w:r>
      <w:r w:rsidR="00611634">
        <w:t>t.</w:t>
      </w:r>
    </w:p>
    <w:p w14:paraId="107CB3F5" w14:textId="5A66EDC6"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100</w:t>
      </w:r>
      <w:r w:rsidR="000B6788" w:rsidRPr="00291BDC">
        <w:rPr>
          <w:bCs/>
          <w:noProof/>
        </w:rPr>
        <w:fldChar w:fldCharType="end"/>
      </w:r>
      <w:r w:rsidRPr="00FF310C">
        <w:t>. Floodplain Violet protection requirements and recommendations for</w:t>
      </w:r>
      <w:r w:rsidRPr="00FF310C" w:rsidDel="00B114D1">
        <w:t xml:space="preserve"> </w:t>
      </w:r>
      <w:r w:rsidR="00B114D1">
        <w:t>increased fire frequency and intensity</w:t>
      </w:r>
    </w:p>
    <w:tbl>
      <w:tblPr>
        <w:tblStyle w:val="TableGrid"/>
        <w:tblW w:w="0" w:type="auto"/>
        <w:tblLook w:val="04A0" w:firstRow="1" w:lastRow="0" w:firstColumn="1" w:lastColumn="0" w:noHBand="0" w:noVBand="1"/>
      </w:tblPr>
      <w:tblGrid>
        <w:gridCol w:w="2268"/>
        <w:gridCol w:w="7371"/>
      </w:tblGrid>
      <w:tr w:rsidR="00324D1B" w14:paraId="7DF4C22D"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B1086E9"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6414685E"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3DC9D6DC" w14:textId="77777777" w:rsidTr="00140207">
        <w:tc>
          <w:tcPr>
            <w:tcW w:w="2268" w:type="dxa"/>
            <w:tcBorders>
              <w:top w:val="single" w:sz="8" w:space="0" w:color="CDDC29" w:themeColor="text2"/>
              <w:left w:val="nil"/>
              <w:bottom w:val="single" w:sz="8" w:space="0" w:color="CDDC29" w:themeColor="text2"/>
              <w:right w:val="nil"/>
            </w:tcBorders>
            <w:hideMark/>
          </w:tcPr>
          <w:p w14:paraId="31CA24FF" w14:textId="384E50BE" w:rsidR="00324D1B" w:rsidRDefault="008F30DC" w:rsidP="00140207">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32FA0CCD" w14:textId="77777777" w:rsidR="00324D1B" w:rsidRDefault="00324D1B" w:rsidP="00140207">
            <w:pPr>
              <w:pStyle w:val="BodyText"/>
            </w:pPr>
            <w:r>
              <w:t>Not required for this hazard as it is a longer-term threat.</w:t>
            </w:r>
          </w:p>
        </w:tc>
      </w:tr>
      <w:tr w:rsidR="00324D1B" w14:paraId="17D13A05" w14:textId="77777777" w:rsidTr="00140207">
        <w:tc>
          <w:tcPr>
            <w:tcW w:w="2268" w:type="dxa"/>
            <w:tcBorders>
              <w:top w:val="single" w:sz="8" w:space="0" w:color="CDDC29" w:themeColor="text2"/>
              <w:left w:val="nil"/>
              <w:bottom w:val="single" w:sz="8" w:space="0" w:color="CDDC29" w:themeColor="text2"/>
              <w:right w:val="nil"/>
            </w:tcBorders>
            <w:hideMark/>
          </w:tcPr>
          <w:p w14:paraId="286AD285" w14:textId="1C740975" w:rsidR="00324D1B" w:rsidRDefault="008F30DC" w:rsidP="00140207">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251AFFBA" w14:textId="77777777" w:rsidR="00324D1B" w:rsidRDefault="00324D1B" w:rsidP="00140207">
            <w:pPr>
              <w:pStyle w:val="BodyText"/>
            </w:pPr>
            <w:r>
              <w:t>No potential mitigations were nominated for this hazard by the experts.</w:t>
            </w:r>
          </w:p>
        </w:tc>
      </w:tr>
    </w:tbl>
    <w:p w14:paraId="50AB952D" w14:textId="77777777" w:rsidR="00324D1B" w:rsidRDefault="00324D1B" w:rsidP="007E5EBF">
      <w:pPr>
        <w:pStyle w:val="Heading3"/>
        <w:jc w:val="both"/>
      </w:pPr>
      <w:r>
        <w:t>Forestry operations</w:t>
      </w:r>
    </w:p>
    <w:p w14:paraId="6186C480" w14:textId="77777777" w:rsidR="00324D1B" w:rsidRDefault="00324D1B" w:rsidP="00324D1B">
      <w:pPr>
        <w:pStyle w:val="Heading5"/>
        <w:numPr>
          <w:ilvl w:val="0"/>
          <w:numId w:val="0"/>
        </w:numPr>
        <w:rPr>
          <w:rFonts w:ascii="Arial" w:hAnsi="Arial"/>
          <w:color w:val="363534"/>
        </w:rPr>
      </w:pPr>
      <w:r>
        <w:t>Forestry operations</w:t>
      </w:r>
    </w:p>
    <w:p w14:paraId="007D8948" w14:textId="1867E8DD" w:rsidR="006C1EBB" w:rsidRPr="00F05594" w:rsidRDefault="006C1EBB" w:rsidP="00324D1B">
      <w:pPr>
        <w:pStyle w:val="BodyText"/>
      </w:pPr>
      <w:r w:rsidRPr="00915D82">
        <w:t>Threats to hydrology from forestry operations may include the drying/destruction of wetlands by groundwater take-up and canopy interception of precipitation by regrowing forests, however native forest timber harvesting in the West RFA</w:t>
      </w:r>
      <w:r w:rsidR="00A457F3">
        <w:t xml:space="preserve"> region</w:t>
      </w:r>
      <w:r w:rsidRPr="00915D82">
        <w:t xml:space="preserve"> is current</w:t>
      </w:r>
      <w:r w:rsidR="004D0E8F">
        <w:t>ly</w:t>
      </w:r>
      <w:r w:rsidRPr="00915D82">
        <w:t xml:space="preserve"> small in scale. </w:t>
      </w:r>
      <w:r w:rsidRPr="00B6162A">
        <w:t>This hazard applies to the West RFA</w:t>
      </w:r>
      <w:r w:rsidR="00A457F3">
        <w:t xml:space="preserve"> region</w:t>
      </w:r>
      <w:r w:rsidRPr="00B6162A">
        <w:t xml:space="preserve"> only and can lead to reduced population sizes.</w:t>
      </w:r>
      <w:r w:rsidRPr="00291BDC">
        <w:t xml:space="preserve"> </w:t>
      </w:r>
      <w:r w:rsidRPr="00FD57DB">
        <w:t xml:space="preserve">While modelling indicates that there is no overlap between occurrences of this </w:t>
      </w:r>
      <w:r w:rsidR="008414FC">
        <w:t>sub</w:t>
      </w:r>
      <w:r w:rsidR="001D3902">
        <w:t>species</w:t>
      </w:r>
      <w:r w:rsidRPr="00FD57DB">
        <w:t xml:space="preserve"> and forestry operations, experts stated that records were missing from the model in the West RFA</w:t>
      </w:r>
      <w:r w:rsidR="00A457F3">
        <w:t xml:space="preserve"> region</w:t>
      </w:r>
      <w:r w:rsidRPr="00FD57DB">
        <w:t xml:space="preserve"> and therefore forestry operations could still impact on the </w:t>
      </w:r>
      <w:r w:rsidR="008414FC">
        <w:t>sub</w:t>
      </w:r>
      <w:r w:rsidRPr="00FD57DB">
        <w:t xml:space="preserve">species. </w:t>
      </w:r>
      <w:r>
        <w:t>Forestry operations are likely to further exacerbate effects of climate change in terms of habitat degradation from drying of watercourses</w:t>
      </w:r>
      <w:r w:rsidR="004A6C11">
        <w:t>.</w:t>
      </w:r>
    </w:p>
    <w:p w14:paraId="05ACD90E" w14:textId="77777777" w:rsidR="00324D1B" w:rsidRPr="00F05594" w:rsidRDefault="00324D1B" w:rsidP="00324D1B">
      <w:pPr>
        <w:pStyle w:val="BodyText"/>
      </w:pPr>
      <w:r w:rsidRPr="00F05594">
        <w:t>Current existing controls for this hazard include:</w:t>
      </w:r>
    </w:p>
    <w:p w14:paraId="530FA828" w14:textId="64870D97" w:rsidR="00324D1B" w:rsidRPr="00F05594" w:rsidRDefault="00324D1B" w:rsidP="006670D2">
      <w:pPr>
        <w:pStyle w:val="PullOutBoxBullet"/>
      </w:pPr>
      <w:r w:rsidRPr="00F05594">
        <w:t xml:space="preserve">The </w:t>
      </w:r>
      <w:r w:rsidRPr="00F05594">
        <w:rPr>
          <w:i/>
          <w:iCs/>
        </w:rPr>
        <w:t xml:space="preserve">Code of Practice for Timber Production 2014. </w:t>
      </w:r>
      <w:r w:rsidRPr="00F05594">
        <w:t xml:space="preserve">There is no species-specific prescription for this </w:t>
      </w:r>
      <w:r w:rsidR="008414FC">
        <w:t>sub</w:t>
      </w:r>
      <w:r w:rsidR="001D3902">
        <w:t>species</w:t>
      </w:r>
      <w:r w:rsidRPr="00F05594">
        <w:t xml:space="preserve"> in the Code, however the Code includes general protections for waterways and riparian vegetation including a prohibition on harvesting, the application of buffers and </w:t>
      </w:r>
      <w:r w:rsidR="004F30F6" w:rsidRPr="00C02DCA">
        <w:t>design standards for roads, crossings</w:t>
      </w:r>
      <w:r w:rsidR="0093043A" w:rsidRPr="00C02DCA">
        <w:t>,</w:t>
      </w:r>
      <w:r w:rsidR="004F30F6" w:rsidRPr="00C02DCA">
        <w:t xml:space="preserve"> and coupe infrastructure</w:t>
      </w:r>
      <w:r w:rsidR="004F30F6" w:rsidRPr="4F453272">
        <w:t xml:space="preserve">. </w:t>
      </w:r>
      <w:r w:rsidRPr="00F05594">
        <w:t xml:space="preserve">The lack of a specific prescription leads to the effectiveness of the Code being assessed as poor for this </w:t>
      </w:r>
      <w:r w:rsidR="008414FC">
        <w:t>sub</w:t>
      </w:r>
      <w:r w:rsidR="001D3902">
        <w:t>species</w:t>
      </w:r>
      <w:r w:rsidRPr="00F05594">
        <w:t xml:space="preserve">. </w:t>
      </w:r>
    </w:p>
    <w:p w14:paraId="1AB2D79B" w14:textId="72277113" w:rsidR="00324D1B" w:rsidRPr="00F05594" w:rsidRDefault="00324D1B" w:rsidP="006670D2">
      <w:pPr>
        <w:pStyle w:val="PullOutBoxBullet"/>
        <w:rPr>
          <w:rFonts w:eastAsiaTheme="minorEastAsia" w:cstheme="minorBidi"/>
        </w:rPr>
      </w:pPr>
      <w:r w:rsidRPr="00F05594">
        <w:t xml:space="preserve">The CAR reserve system. The effectiveness of this control for this </w:t>
      </w:r>
      <w:r w:rsidR="008414FC">
        <w:t>sub</w:t>
      </w:r>
      <w:r w:rsidRPr="00F05594">
        <w:t xml:space="preserve">species has been evaluated as poor as 39% of the </w:t>
      </w:r>
      <w:r w:rsidR="008414FC">
        <w:t>sub</w:t>
      </w:r>
      <w:r w:rsidR="001D3902">
        <w:t>species’</w:t>
      </w:r>
      <w:r w:rsidRPr="00F05594">
        <w:t xml:space="preserve"> modelled distribution and 57% of important populations are within the reserve system</w:t>
      </w:r>
      <w:r w:rsidR="005E1477">
        <w:t>.</w:t>
      </w:r>
    </w:p>
    <w:p w14:paraId="5A061D50" w14:textId="06BCF63A"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101</w:t>
      </w:r>
      <w:r w:rsidR="000B6788" w:rsidRPr="00291BDC">
        <w:rPr>
          <w:bCs/>
          <w:noProof/>
        </w:rPr>
        <w:fldChar w:fldCharType="end"/>
      </w:r>
      <w:r w:rsidRPr="00FF310C">
        <w:t>. Floodplain Violet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324D1B" w14:paraId="00814717"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79F7542"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B622DBB"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32BCBD84" w14:textId="77777777" w:rsidTr="00140207">
        <w:tc>
          <w:tcPr>
            <w:tcW w:w="2268" w:type="dxa"/>
            <w:tcBorders>
              <w:top w:val="single" w:sz="8" w:space="0" w:color="CDDC29" w:themeColor="text2"/>
              <w:left w:val="nil"/>
              <w:bottom w:val="single" w:sz="8" w:space="0" w:color="CDDC29" w:themeColor="text2"/>
              <w:right w:val="nil"/>
            </w:tcBorders>
            <w:hideMark/>
          </w:tcPr>
          <w:p w14:paraId="7A90DD0C" w14:textId="786B3E89" w:rsidR="00324D1B" w:rsidRDefault="00324D1B" w:rsidP="00140207">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227D0F32" w14:textId="77777777" w:rsidR="00324D1B" w:rsidRDefault="00324D1B" w:rsidP="00140207">
            <w:pPr>
              <w:pStyle w:val="BodyText"/>
            </w:pPr>
            <w:r>
              <w:t>Not required for this hazard based on the overall risk level of medium.</w:t>
            </w:r>
          </w:p>
        </w:tc>
      </w:tr>
      <w:tr w:rsidR="007D0C84" w14:paraId="45DBA98B" w14:textId="77777777" w:rsidTr="00140207">
        <w:tc>
          <w:tcPr>
            <w:tcW w:w="2268" w:type="dxa"/>
            <w:tcBorders>
              <w:top w:val="single" w:sz="8" w:space="0" w:color="CDDC29" w:themeColor="text2"/>
              <w:left w:val="nil"/>
              <w:bottom w:val="single" w:sz="8" w:space="0" w:color="CDDC29" w:themeColor="text2"/>
              <w:right w:val="nil"/>
            </w:tcBorders>
          </w:tcPr>
          <w:p w14:paraId="2D6F5298" w14:textId="17040733" w:rsidR="007D0C84" w:rsidRDefault="007D0C84" w:rsidP="00140207">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22C049CB" w14:textId="59F40B6E" w:rsidR="007D0C84" w:rsidRDefault="007D0C84" w:rsidP="00140207">
            <w:pPr>
              <w:pStyle w:val="BodyText"/>
            </w:pPr>
            <w:r>
              <w:t>Not required for this hazard based on the overall risk level of medium.</w:t>
            </w:r>
          </w:p>
        </w:tc>
      </w:tr>
      <w:tr w:rsidR="00324D1B" w14:paraId="5EA0961F" w14:textId="77777777" w:rsidTr="00140207">
        <w:tc>
          <w:tcPr>
            <w:tcW w:w="2268" w:type="dxa"/>
            <w:tcBorders>
              <w:top w:val="single" w:sz="8" w:space="0" w:color="CDDC29" w:themeColor="text2"/>
              <w:left w:val="nil"/>
              <w:bottom w:val="single" w:sz="8" w:space="0" w:color="CDDC29" w:themeColor="text2"/>
              <w:right w:val="nil"/>
            </w:tcBorders>
            <w:hideMark/>
          </w:tcPr>
          <w:p w14:paraId="0DBF4E51" w14:textId="77777777" w:rsidR="00324D1B" w:rsidRDefault="00324D1B" w:rsidP="00140207">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7F2C3956" w14:textId="77777777" w:rsidR="00324D1B" w:rsidRDefault="00324D1B" w:rsidP="00140207">
            <w:pPr>
              <w:pStyle w:val="BodyText"/>
            </w:pPr>
            <w:r>
              <w:t>Additional permanent protections may be required in the longer-term.</w:t>
            </w:r>
          </w:p>
        </w:tc>
      </w:tr>
      <w:tr w:rsidR="00324D1B" w14:paraId="288C8D55" w14:textId="77777777" w:rsidTr="00140207">
        <w:tc>
          <w:tcPr>
            <w:tcW w:w="2268" w:type="dxa"/>
            <w:tcBorders>
              <w:top w:val="single" w:sz="8" w:space="0" w:color="CDDC29" w:themeColor="text2"/>
              <w:left w:val="nil"/>
              <w:bottom w:val="single" w:sz="8" w:space="0" w:color="CDDC29" w:themeColor="text2"/>
              <w:right w:val="nil"/>
            </w:tcBorders>
            <w:hideMark/>
          </w:tcPr>
          <w:p w14:paraId="51AC0318" w14:textId="454AFD90" w:rsidR="00324D1B" w:rsidRDefault="008F30DC" w:rsidP="00140207">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3E218F8B" w14:textId="4F1E53BC" w:rsidR="00324D1B" w:rsidRPr="00E970FB" w:rsidRDefault="00324D1B" w:rsidP="006670D2">
            <w:pPr>
              <w:pStyle w:val="PullOutBoxBullet"/>
            </w:pPr>
            <w:r>
              <w:t xml:space="preserve">Additional </w:t>
            </w:r>
            <w:r>
              <w:rPr>
                <w:i/>
                <w:iCs/>
              </w:rPr>
              <w:t>ex-situ</w:t>
            </w:r>
            <w:r>
              <w:t xml:space="preserve"> conservation collections, such as seed storage of populations not yet stored in the </w:t>
            </w:r>
            <w:r w:rsidR="000B671C">
              <w:t>VCS.</w:t>
            </w:r>
            <w:r>
              <w:t xml:space="preserve"> </w:t>
            </w:r>
          </w:p>
        </w:tc>
      </w:tr>
    </w:tbl>
    <w:p w14:paraId="3316B472" w14:textId="77777777" w:rsidR="00324D1B" w:rsidRDefault="00324D1B" w:rsidP="00324D1B">
      <w:pPr>
        <w:pStyle w:val="Heading5"/>
        <w:numPr>
          <w:ilvl w:val="0"/>
          <w:numId w:val="0"/>
        </w:numPr>
        <w:ind w:left="1008" w:hanging="1008"/>
        <w:rPr>
          <w:iCs/>
        </w:rPr>
      </w:pPr>
      <w:r>
        <w:rPr>
          <w:iCs/>
        </w:rPr>
        <w:t>Plantations</w:t>
      </w:r>
    </w:p>
    <w:p w14:paraId="09154698" w14:textId="3666255A" w:rsidR="00324D1B" w:rsidRPr="00F05594" w:rsidRDefault="00324D1B" w:rsidP="00324D1B">
      <w:pPr>
        <w:pStyle w:val="BodyText"/>
      </w:pPr>
      <w:r>
        <w:t xml:space="preserve">This hazard has very limited relevance over most of the known distribution of the </w:t>
      </w:r>
      <w:r w:rsidR="008414FC">
        <w:t>sub</w:t>
      </w:r>
      <w:r w:rsidR="001D3902">
        <w:t>species</w:t>
      </w:r>
      <w:r>
        <w:t xml:space="preserve"> in the State. The known habitat along the Snowy River in the East Gippsland RFA</w:t>
      </w:r>
      <w:r w:rsidR="00A457F3">
        <w:t xml:space="preserve"> region</w:t>
      </w:r>
      <w:r>
        <w:t xml:space="preserve"> is flood-prone and unsuitable for plantations, as are the riverine populations along the Murray River and tributaries (North</w:t>
      </w:r>
      <w:r w:rsidR="00EA7D34">
        <w:t xml:space="preserve"> E</w:t>
      </w:r>
      <w:r>
        <w:t>ast RFA and non</w:t>
      </w:r>
      <w:r w:rsidR="00EA7D34">
        <w:t xml:space="preserve"> </w:t>
      </w:r>
      <w:r>
        <w:t>RFA</w:t>
      </w:r>
      <w:r w:rsidR="00184CB0">
        <w:t xml:space="preserve"> regions</w:t>
      </w:r>
      <w:r>
        <w:t>). The very few collections from elevated sites in highland areas are within reserves (North</w:t>
      </w:r>
      <w:r w:rsidR="00EA7D34">
        <w:t xml:space="preserve"> E</w:t>
      </w:r>
      <w:r>
        <w:t>ast RFA and Gippsland RFA</w:t>
      </w:r>
      <w:r w:rsidR="00184CB0">
        <w:t xml:space="preserve"> regions</w:t>
      </w:r>
      <w:r>
        <w:t>). The collections from the West RFA</w:t>
      </w:r>
      <w:r w:rsidR="00184CB0">
        <w:t xml:space="preserve"> region</w:t>
      </w:r>
      <w:r>
        <w:t xml:space="preserve"> are from a sedge dominated swamp and a riparian habitat. This hazard therefore applies to less than 10% of </w:t>
      </w:r>
      <w:r w:rsidRPr="00F05594">
        <w:t>habitat. Where they occur, plantations may lead to altered hydrology, habitat degradation and reduced population sizes. The hazards from plantations interact with climate change, potentially leading to increased risk of habitat desiccation.</w:t>
      </w:r>
    </w:p>
    <w:p w14:paraId="1041EC25" w14:textId="77777777" w:rsidR="00324D1B" w:rsidRPr="00F05594" w:rsidRDefault="00324D1B" w:rsidP="00324D1B">
      <w:pPr>
        <w:pStyle w:val="BodyText"/>
      </w:pPr>
      <w:r w:rsidRPr="00F05594">
        <w:t>Current existing controls for this hazard include:</w:t>
      </w:r>
    </w:p>
    <w:p w14:paraId="4C0D0063" w14:textId="38B08DCA" w:rsidR="00324D1B" w:rsidRPr="00F05594" w:rsidRDefault="00324D1B" w:rsidP="006670D2">
      <w:pPr>
        <w:pStyle w:val="PullOutBoxBullet"/>
      </w:pPr>
      <w:r w:rsidRPr="00F05594">
        <w:t xml:space="preserve">The </w:t>
      </w:r>
      <w:r w:rsidRPr="00F05594">
        <w:rPr>
          <w:i/>
          <w:iCs/>
        </w:rPr>
        <w:t>Code of Practice for Timber Production 2014.</w:t>
      </w:r>
      <w:r w:rsidRPr="00F05594">
        <w:t xml:space="preserve"> The effectiveness of this control for this </w:t>
      </w:r>
      <w:r w:rsidR="00B833EC">
        <w:t>sub</w:t>
      </w:r>
      <w:r w:rsidRPr="00F05594">
        <w:t>species has been evaluated as poor because the history of management for protection of included or abutting remnant vegetation has varied across plantations. The potential for damage from spray drift and run-off from track networks may not yet be fully dealt with, and the impact of increased water use by regenerating trees may be exacerbated by reduced rainfall, particularly where remnant wet habitat is less well buffered.</w:t>
      </w:r>
    </w:p>
    <w:p w14:paraId="44D498FB" w14:textId="49E1A20A" w:rsidR="00E65D8D" w:rsidRPr="003B3013" w:rsidRDefault="00324D1B" w:rsidP="006670D2">
      <w:pPr>
        <w:pStyle w:val="PullOutBoxBullet"/>
      </w:pPr>
      <w:r w:rsidRPr="00F05594">
        <w:t xml:space="preserve">Victorian Planning Provisions and planning schemes. </w:t>
      </w:r>
      <w:r w:rsidR="0045052F">
        <w:t xml:space="preserve">These </w:t>
      </w:r>
      <w:r w:rsidR="0045052F" w:rsidRPr="00915D82">
        <w:t xml:space="preserve">were assessed as poor in relation to this </w:t>
      </w:r>
      <w:r w:rsidR="00B833EC">
        <w:t>sub</w:t>
      </w:r>
      <w:r w:rsidR="001D3902">
        <w:t>species</w:t>
      </w:r>
      <w:r w:rsidR="0045052F" w:rsidRPr="00915D82">
        <w:t xml:space="preserve"> as loss of native vegetation may be permitted and offsets may not provide like for like protection</w:t>
      </w:r>
      <w:r w:rsidR="0045052F">
        <w:t>.</w:t>
      </w:r>
    </w:p>
    <w:p w14:paraId="5FAE4067" w14:textId="540D211C"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102</w:t>
      </w:r>
      <w:r w:rsidR="000B6788" w:rsidRPr="00291BDC">
        <w:rPr>
          <w:bCs/>
          <w:noProof/>
        </w:rPr>
        <w:fldChar w:fldCharType="end"/>
      </w:r>
      <w:r w:rsidRPr="00FF310C">
        <w:t>. Floodplain Violet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324D1B" w14:paraId="2987E8BC"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AE998FE"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2E9F1F7E"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591B6175" w14:textId="77777777" w:rsidTr="00140207">
        <w:tc>
          <w:tcPr>
            <w:tcW w:w="2268" w:type="dxa"/>
            <w:tcBorders>
              <w:top w:val="single" w:sz="8" w:space="0" w:color="CDDC29" w:themeColor="text2"/>
              <w:left w:val="nil"/>
              <w:bottom w:val="single" w:sz="8" w:space="0" w:color="CDDC29" w:themeColor="text2"/>
              <w:right w:val="nil"/>
            </w:tcBorders>
            <w:hideMark/>
          </w:tcPr>
          <w:p w14:paraId="5DF84478" w14:textId="39124849" w:rsidR="00324D1B" w:rsidRDefault="00324D1B" w:rsidP="00140207">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18679713" w14:textId="77777777" w:rsidR="00324D1B" w:rsidRDefault="00324D1B" w:rsidP="00140207">
            <w:pPr>
              <w:pStyle w:val="BodyText"/>
            </w:pPr>
            <w:r>
              <w:t>Not required for this hazard based on the overall risk level of medium.</w:t>
            </w:r>
          </w:p>
        </w:tc>
      </w:tr>
      <w:tr w:rsidR="00324D1B" w14:paraId="5D8209FF" w14:textId="77777777" w:rsidTr="00140207">
        <w:tc>
          <w:tcPr>
            <w:tcW w:w="2268" w:type="dxa"/>
            <w:tcBorders>
              <w:top w:val="single" w:sz="8" w:space="0" w:color="CDDC29" w:themeColor="text2"/>
              <w:left w:val="nil"/>
              <w:bottom w:val="single" w:sz="8" w:space="0" w:color="CDDC29" w:themeColor="text2"/>
              <w:right w:val="nil"/>
            </w:tcBorders>
          </w:tcPr>
          <w:p w14:paraId="4D53A1C6" w14:textId="60C6546D" w:rsidR="00324D1B" w:rsidRDefault="001D6CFC" w:rsidP="00140207">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6563C302" w14:textId="77777777" w:rsidR="00F40584" w:rsidRPr="00E31362" w:rsidRDefault="00F40584" w:rsidP="006670D2">
            <w:pPr>
              <w:pStyle w:val="PullOutBoxBullet"/>
            </w:pPr>
            <w:r w:rsidRPr="00E31362">
              <w:t>Comprehensively search likely habitat and map important populations; and</w:t>
            </w:r>
          </w:p>
          <w:p w14:paraId="1C7206F8" w14:textId="3953C1C0" w:rsidR="00324D1B" w:rsidRDefault="00F40584" w:rsidP="006670D2">
            <w:pPr>
              <w:pStyle w:val="PullOutBoxBullet"/>
            </w:pPr>
            <w:r w:rsidRPr="00E31362">
              <w:t>Establish monitoring sites and collect baseline data.</w:t>
            </w:r>
          </w:p>
        </w:tc>
      </w:tr>
      <w:tr w:rsidR="00324D1B" w14:paraId="38E0487A" w14:textId="77777777" w:rsidTr="00140207">
        <w:tc>
          <w:tcPr>
            <w:tcW w:w="2268" w:type="dxa"/>
            <w:tcBorders>
              <w:top w:val="single" w:sz="8" w:space="0" w:color="CDDC29" w:themeColor="text2"/>
              <w:left w:val="nil"/>
              <w:bottom w:val="single" w:sz="8" w:space="0" w:color="CDDC29" w:themeColor="text2"/>
              <w:right w:val="nil"/>
            </w:tcBorders>
            <w:hideMark/>
          </w:tcPr>
          <w:p w14:paraId="0A76B021" w14:textId="77777777" w:rsidR="00324D1B" w:rsidRDefault="00324D1B" w:rsidP="00140207">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064FA7AD" w14:textId="77777777" w:rsidR="00324D1B" w:rsidRDefault="00324D1B" w:rsidP="00140207">
            <w:pPr>
              <w:pStyle w:val="BodyText"/>
            </w:pPr>
            <w:r>
              <w:t>Additional permanent protections may be required in the longer-term.</w:t>
            </w:r>
          </w:p>
        </w:tc>
      </w:tr>
      <w:tr w:rsidR="00324D1B" w14:paraId="77F84D7B" w14:textId="77777777" w:rsidTr="00140207">
        <w:tc>
          <w:tcPr>
            <w:tcW w:w="2268" w:type="dxa"/>
            <w:tcBorders>
              <w:top w:val="single" w:sz="8" w:space="0" w:color="CDDC29" w:themeColor="text2"/>
              <w:left w:val="nil"/>
              <w:bottom w:val="single" w:sz="8" w:space="0" w:color="CDDC29" w:themeColor="text2"/>
              <w:right w:val="nil"/>
            </w:tcBorders>
            <w:hideMark/>
          </w:tcPr>
          <w:p w14:paraId="0F4945BE" w14:textId="7ECDC127" w:rsidR="00324D1B" w:rsidRDefault="00DC299E" w:rsidP="00140207">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09054033" w14:textId="77777777" w:rsidR="00324D1B" w:rsidRDefault="00324D1B" w:rsidP="006670D2">
            <w:pPr>
              <w:pStyle w:val="PullOutBoxBullet"/>
            </w:pPr>
            <w:r>
              <w:t xml:space="preserve">Review strategies to minimise spray drift during plantation management especially at re-establishment; </w:t>
            </w:r>
          </w:p>
          <w:p w14:paraId="297CA485" w14:textId="77777777" w:rsidR="00324D1B" w:rsidRDefault="00324D1B" w:rsidP="006670D2">
            <w:pPr>
              <w:pStyle w:val="PullOutBoxBullet"/>
            </w:pPr>
            <w:r>
              <w:t xml:space="preserve">Survey potential habitat within existing plantations and planned expansions; </w:t>
            </w:r>
          </w:p>
          <w:p w14:paraId="2DC03A70" w14:textId="48202D7B" w:rsidR="00324D1B" w:rsidRDefault="00627322" w:rsidP="006670D2">
            <w:pPr>
              <w:pStyle w:val="PullOutBoxBullet"/>
            </w:pPr>
            <w:r w:rsidRPr="00915D82">
              <w:t>Review Code requirements for protection of biodiversity values, including remnant habitat within or adjoining plantations, to ensure effectiveness</w:t>
            </w:r>
            <w:r>
              <w:t>;</w:t>
            </w:r>
            <w:r w:rsidR="00D321D5">
              <w:t xml:space="preserve"> and</w:t>
            </w:r>
          </w:p>
          <w:p w14:paraId="428EB666" w14:textId="77777777" w:rsidR="00324D1B" w:rsidRDefault="00324D1B" w:rsidP="006670D2">
            <w:pPr>
              <w:pStyle w:val="PullOutBoxBullet"/>
            </w:pPr>
            <w:r>
              <w:t>Expand and potentially revegetate buffers in any locations where this would improve security of habitat.</w:t>
            </w:r>
          </w:p>
        </w:tc>
      </w:tr>
    </w:tbl>
    <w:p w14:paraId="3ACC3F30" w14:textId="54402F49" w:rsidR="00BE417D" w:rsidRDefault="00BE417D" w:rsidP="007E5EBF">
      <w:pPr>
        <w:pStyle w:val="Heading3"/>
        <w:jc w:val="both"/>
      </w:pPr>
      <w:r>
        <w:t>Habitat loss, degradation</w:t>
      </w:r>
      <w:r w:rsidR="0093043A">
        <w:t>,</w:t>
      </w:r>
      <w:r>
        <w:t xml:space="preserve"> and fragmentation</w:t>
      </w:r>
    </w:p>
    <w:p w14:paraId="48A0E01D" w14:textId="77777777" w:rsidR="00BE417D" w:rsidRDefault="00BE417D" w:rsidP="00BE417D">
      <w:pPr>
        <w:pStyle w:val="Heading5"/>
        <w:numPr>
          <w:ilvl w:val="0"/>
          <w:numId w:val="0"/>
        </w:numPr>
        <w:ind w:left="1008" w:hanging="1008"/>
      </w:pPr>
      <w:r>
        <w:t>Dams and water management/use</w:t>
      </w:r>
    </w:p>
    <w:p w14:paraId="5EC2A3E8" w14:textId="0A4D3018" w:rsidR="00BE417D" w:rsidRDefault="00BE417D" w:rsidP="00BE417D">
      <w:pPr>
        <w:pStyle w:val="BodyText"/>
      </w:pPr>
      <w:r>
        <w:t>Water management practises, including river regulation and diversion of streams</w:t>
      </w:r>
      <w:r w:rsidR="008B13AC">
        <w:t>,</w:t>
      </w:r>
      <w:r>
        <w:t xml:space="preserve"> apply to 100% of the </w:t>
      </w:r>
      <w:r w:rsidR="00B833EC">
        <w:t>sub</w:t>
      </w:r>
      <w:r w:rsidR="001D3902">
        <w:t>species’</w:t>
      </w:r>
      <w:r>
        <w:t xml:space="preserve"> habitat. This can lead</w:t>
      </w:r>
      <w:r w:rsidR="008B13AC">
        <w:t xml:space="preserve"> to</w:t>
      </w:r>
      <w:r>
        <w:t xml:space="preserve"> altered hydrology, habitat degradation and reduced population sizes. </w:t>
      </w:r>
    </w:p>
    <w:p w14:paraId="6C16E048" w14:textId="77777777" w:rsidR="00BE417D" w:rsidRDefault="00BE417D" w:rsidP="00BE417D">
      <w:pPr>
        <w:pStyle w:val="BodyText"/>
      </w:pPr>
      <w:r>
        <w:t>Current existing controls for this hazard include:</w:t>
      </w:r>
    </w:p>
    <w:p w14:paraId="44A724AA" w14:textId="663A810F" w:rsidR="00BE417D" w:rsidRPr="00F05594" w:rsidRDefault="00BE417D" w:rsidP="006670D2">
      <w:pPr>
        <w:pStyle w:val="PullOutBoxBullet"/>
      </w:pPr>
      <w:r w:rsidRPr="00F05594">
        <w:t xml:space="preserve">The Victorian Waterway Management Strategy. The effectiveness of this control for this </w:t>
      </w:r>
      <w:r w:rsidR="00B833EC">
        <w:t>sub</w:t>
      </w:r>
      <w:r w:rsidRPr="00F05594">
        <w:t>species has been evaluated as satisfactory because the riparian habitat is in reasonable quality where most populations occur.</w:t>
      </w:r>
    </w:p>
    <w:p w14:paraId="5B3666FF" w14:textId="098BDD08" w:rsidR="00BE417D" w:rsidRPr="00FF310C" w:rsidRDefault="00BE417D"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103</w:t>
      </w:r>
      <w:r w:rsidR="000B6788" w:rsidRPr="00291BDC">
        <w:rPr>
          <w:bCs/>
          <w:noProof/>
        </w:rPr>
        <w:fldChar w:fldCharType="end"/>
      </w:r>
      <w:r w:rsidRPr="00FF310C">
        <w:t>. Floodplain Violet protection requirements and recommendations for dams and water management/use</w:t>
      </w:r>
    </w:p>
    <w:tbl>
      <w:tblPr>
        <w:tblStyle w:val="TableGrid"/>
        <w:tblW w:w="0" w:type="auto"/>
        <w:tblLook w:val="04A0" w:firstRow="1" w:lastRow="0" w:firstColumn="1" w:lastColumn="0" w:noHBand="0" w:noVBand="1"/>
      </w:tblPr>
      <w:tblGrid>
        <w:gridCol w:w="2268"/>
        <w:gridCol w:w="7371"/>
      </w:tblGrid>
      <w:tr w:rsidR="00BE417D" w14:paraId="13E547F8"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11A2B4A" w14:textId="77777777" w:rsidR="00BE417D" w:rsidRDefault="00BE417D" w:rsidP="00296E0F">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3FB89E0" w14:textId="77777777" w:rsidR="00BE417D" w:rsidRDefault="00BE417D" w:rsidP="00296E0F">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417D" w14:paraId="2E2674F4" w14:textId="77777777" w:rsidTr="00140207">
        <w:tc>
          <w:tcPr>
            <w:tcW w:w="2268" w:type="dxa"/>
            <w:tcBorders>
              <w:top w:val="single" w:sz="8" w:space="0" w:color="CDDC29" w:themeColor="text2"/>
              <w:left w:val="nil"/>
              <w:bottom w:val="single" w:sz="8" w:space="0" w:color="CDDC29" w:themeColor="text2"/>
              <w:right w:val="nil"/>
            </w:tcBorders>
            <w:hideMark/>
          </w:tcPr>
          <w:p w14:paraId="5E06B6A8" w14:textId="157D91CA" w:rsidR="00BE417D" w:rsidRDefault="00DC299E" w:rsidP="00140207">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429A2266" w14:textId="77777777" w:rsidR="00BE417D" w:rsidRDefault="00BE417D" w:rsidP="00140207">
            <w:pPr>
              <w:pStyle w:val="BodyText"/>
            </w:pPr>
            <w:r>
              <w:t>Not required for this hazard based on the overall risk level of medium.</w:t>
            </w:r>
          </w:p>
        </w:tc>
      </w:tr>
      <w:tr w:rsidR="00BE417D" w14:paraId="37FD8E05" w14:textId="77777777" w:rsidTr="00140207">
        <w:tc>
          <w:tcPr>
            <w:tcW w:w="2268" w:type="dxa"/>
            <w:tcBorders>
              <w:top w:val="single" w:sz="8" w:space="0" w:color="CDDC29" w:themeColor="text2"/>
              <w:left w:val="nil"/>
              <w:bottom w:val="single" w:sz="8" w:space="0" w:color="CDDC29" w:themeColor="text2"/>
              <w:right w:val="nil"/>
            </w:tcBorders>
            <w:hideMark/>
          </w:tcPr>
          <w:p w14:paraId="12873BB2" w14:textId="083AEDA0" w:rsidR="00BE417D" w:rsidRDefault="00DC299E" w:rsidP="00140207">
            <w:pPr>
              <w:pStyle w:val="BodyText"/>
            </w:pPr>
            <w:r>
              <w:t>Potential m</w:t>
            </w:r>
            <w:r w:rsidR="00BE417D">
              <w:t>anagement actions</w:t>
            </w:r>
          </w:p>
        </w:tc>
        <w:tc>
          <w:tcPr>
            <w:tcW w:w="7371" w:type="dxa"/>
            <w:tcBorders>
              <w:top w:val="single" w:sz="8" w:space="0" w:color="CDDC29" w:themeColor="text2"/>
              <w:left w:val="nil"/>
              <w:bottom w:val="single" w:sz="8" w:space="0" w:color="CDDC29" w:themeColor="text2"/>
              <w:right w:val="nil"/>
            </w:tcBorders>
            <w:hideMark/>
          </w:tcPr>
          <w:p w14:paraId="6909CCAA" w14:textId="77777777" w:rsidR="00BE417D" w:rsidRDefault="00BE417D" w:rsidP="00140207">
            <w:pPr>
              <w:pStyle w:val="BodyText"/>
            </w:pPr>
            <w:r>
              <w:t>No potential mitigations were nominated for this hazard by the experts.</w:t>
            </w:r>
          </w:p>
        </w:tc>
      </w:tr>
    </w:tbl>
    <w:p w14:paraId="0BC14D24" w14:textId="77777777" w:rsidR="00324D1B" w:rsidRDefault="00324D1B" w:rsidP="007E5EBF">
      <w:pPr>
        <w:pStyle w:val="Heading3"/>
        <w:jc w:val="both"/>
      </w:pPr>
      <w:r>
        <w:t>Invasive species</w:t>
      </w:r>
    </w:p>
    <w:p w14:paraId="11B90F76" w14:textId="77777777" w:rsidR="00324D1B" w:rsidRDefault="00324D1B" w:rsidP="00324D1B">
      <w:pPr>
        <w:pStyle w:val="Heading5"/>
        <w:numPr>
          <w:ilvl w:val="0"/>
          <w:numId w:val="0"/>
        </w:numPr>
        <w:ind w:left="1008" w:hanging="1008"/>
      </w:pPr>
      <w:r>
        <w:t>Invasive vertebrate (ungulates)</w:t>
      </w:r>
    </w:p>
    <w:p w14:paraId="0392C9E2" w14:textId="34360CB4" w:rsidR="00324D1B" w:rsidRPr="00F05594" w:rsidRDefault="00324D1B" w:rsidP="00324D1B">
      <w:pPr>
        <w:pStyle w:val="BodyText"/>
      </w:pPr>
      <w:r>
        <w:t xml:space="preserve">Sambar </w:t>
      </w:r>
      <w:r w:rsidR="00843BE7">
        <w:t>D</w:t>
      </w:r>
      <w:r>
        <w:t>eer are increasing in numbers, and cause damage to hydrology, soils, wetland and dryland vegetation and structural damage to plants by trampling. Cattle, both feral and domestic, feral horses, goats and pigs also damage soils and vegetation by browsing and pugging and facilitat</w:t>
      </w:r>
      <w:r w:rsidR="000D4F82">
        <w:t>ing</w:t>
      </w:r>
      <w:r>
        <w:t xml:space="preserve"> weed</w:t>
      </w:r>
      <w:r w:rsidR="000D4F82">
        <w:t>s</w:t>
      </w:r>
      <w:r>
        <w:t xml:space="preserve">. Damage to vegetation caused by herbivores, especially by large, </w:t>
      </w:r>
      <w:r w:rsidRPr="00F05594">
        <w:t xml:space="preserve">hooved animals, is potentially compounded by drought conditions. This hazard applies to 100% of </w:t>
      </w:r>
      <w:r w:rsidR="002F18DF">
        <w:t xml:space="preserve">the </w:t>
      </w:r>
      <w:r w:rsidR="00B833EC">
        <w:t>sub</w:t>
      </w:r>
      <w:r w:rsidR="001D3902">
        <w:t>species’</w:t>
      </w:r>
      <w:r w:rsidR="002F18DF">
        <w:t xml:space="preserve"> </w:t>
      </w:r>
      <w:r w:rsidRPr="00F05594">
        <w:t xml:space="preserve">habitat and can also lead to reduced population sizes. </w:t>
      </w:r>
    </w:p>
    <w:p w14:paraId="3157966E" w14:textId="77777777" w:rsidR="00324D1B" w:rsidRPr="00F05594" w:rsidRDefault="00324D1B" w:rsidP="00324D1B">
      <w:pPr>
        <w:pStyle w:val="BodyText"/>
      </w:pPr>
      <w:r w:rsidRPr="00F05594">
        <w:t>Current existing controls for this hazard include:</w:t>
      </w:r>
    </w:p>
    <w:p w14:paraId="0832BDB3" w14:textId="4651579E" w:rsidR="00324D1B" w:rsidRPr="00F05594" w:rsidRDefault="00324D1B" w:rsidP="006670D2">
      <w:pPr>
        <w:pStyle w:val="PullOutBoxBullet"/>
      </w:pPr>
      <w:r w:rsidRPr="00F05594">
        <w:t xml:space="preserve">Victorian Deer Control Strategy. The effectiveness of this control for this </w:t>
      </w:r>
      <w:r w:rsidR="00B833EC">
        <w:t>sub</w:t>
      </w:r>
      <w:r w:rsidRPr="00F05594">
        <w:t xml:space="preserve">species has been evaluated as poor in highland areas with greater potential in lowland riparian areas. While this strategy is a good start to controlling this problem, deer remain in high numbers throughout the state, occurring in often very remote areas. They also are very quick at re-establishing in areas following control. </w:t>
      </w:r>
    </w:p>
    <w:p w14:paraId="1DA4374C" w14:textId="45B8E2D4" w:rsidR="00324D1B" w:rsidRPr="00F05594" w:rsidRDefault="00324D1B" w:rsidP="006670D2">
      <w:pPr>
        <w:pStyle w:val="PullOutBoxBullet"/>
      </w:pPr>
      <w:r w:rsidRPr="00F05594">
        <w:t xml:space="preserve">Regional invasive species control. The effectiveness of this control for this </w:t>
      </w:r>
      <w:r w:rsidR="00B833EC">
        <w:t>sub</w:t>
      </w:r>
      <w:r w:rsidRPr="00F05594">
        <w:t>species has been evaluated as poor because while it is effective on a very localised scale, it is unable to control the overall problem.</w:t>
      </w:r>
    </w:p>
    <w:p w14:paraId="3FEA2C16" w14:textId="76662218" w:rsidR="00324D1B" w:rsidRPr="00F05594" w:rsidRDefault="00324D1B" w:rsidP="006670D2">
      <w:pPr>
        <w:pStyle w:val="PullOutBoxBullet"/>
      </w:pPr>
      <w:r w:rsidRPr="00F05594">
        <w:t xml:space="preserve">The </w:t>
      </w:r>
      <w:r w:rsidRPr="00F05594">
        <w:rPr>
          <w:i/>
          <w:iCs/>
        </w:rPr>
        <w:t>Catchment and Land Protection Act 1994.</w:t>
      </w:r>
      <w:r w:rsidRPr="00F05594">
        <w:t xml:space="preserve"> The effectiveness of this control for this </w:t>
      </w:r>
      <w:r w:rsidR="00B833EC">
        <w:t>sub</w:t>
      </w:r>
      <w:r w:rsidRPr="00F05594">
        <w:t>species has been evaluated as poor in highland areas with greater potential in lowland riparian areas. At this stage control is not keeping up with deer populations and will be very difficult in the absence of a top predator.</w:t>
      </w:r>
    </w:p>
    <w:p w14:paraId="15AA1ACA" w14:textId="1D610BF7"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104</w:t>
      </w:r>
      <w:r w:rsidR="000B6788" w:rsidRPr="00291BDC">
        <w:rPr>
          <w:bCs/>
          <w:noProof/>
        </w:rPr>
        <w:fldChar w:fldCharType="end"/>
      </w:r>
      <w:r w:rsidRPr="00FF310C">
        <w:t>. Floodplain Violet protection requirements and recommendations for invasive vertebrate (ungulates)</w:t>
      </w:r>
    </w:p>
    <w:tbl>
      <w:tblPr>
        <w:tblStyle w:val="TableGrid"/>
        <w:tblW w:w="0" w:type="auto"/>
        <w:tblLook w:val="04A0" w:firstRow="1" w:lastRow="0" w:firstColumn="1" w:lastColumn="0" w:noHBand="0" w:noVBand="1"/>
      </w:tblPr>
      <w:tblGrid>
        <w:gridCol w:w="2268"/>
        <w:gridCol w:w="7371"/>
      </w:tblGrid>
      <w:tr w:rsidR="00324D1B" w14:paraId="5577D9B3"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9D28635"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5C737C63"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22F7D788" w14:textId="77777777" w:rsidTr="00140207">
        <w:tc>
          <w:tcPr>
            <w:tcW w:w="2268" w:type="dxa"/>
            <w:tcBorders>
              <w:top w:val="single" w:sz="8" w:space="0" w:color="CDDC29" w:themeColor="text2"/>
              <w:left w:val="nil"/>
              <w:bottom w:val="single" w:sz="8" w:space="0" w:color="CDDC29" w:themeColor="text2"/>
              <w:right w:val="nil"/>
            </w:tcBorders>
            <w:hideMark/>
          </w:tcPr>
          <w:p w14:paraId="71E78BE7" w14:textId="57BAC806" w:rsidR="00324D1B" w:rsidRDefault="00DC299E" w:rsidP="00140207">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5AEF21FD" w14:textId="77777777" w:rsidR="00324D1B" w:rsidRDefault="00324D1B" w:rsidP="00140207">
            <w:pPr>
              <w:pStyle w:val="BodyText"/>
            </w:pPr>
            <w:r>
              <w:t>Not required for this hazard based on the overall risk level of medium.</w:t>
            </w:r>
          </w:p>
        </w:tc>
      </w:tr>
      <w:tr w:rsidR="00324D1B" w14:paraId="6F5B95C7" w14:textId="77777777" w:rsidTr="00140207">
        <w:tc>
          <w:tcPr>
            <w:tcW w:w="2268" w:type="dxa"/>
            <w:tcBorders>
              <w:top w:val="single" w:sz="8" w:space="0" w:color="CDDC29" w:themeColor="text2"/>
              <w:left w:val="nil"/>
              <w:bottom w:val="single" w:sz="8" w:space="0" w:color="CDDC29" w:themeColor="text2"/>
              <w:right w:val="nil"/>
            </w:tcBorders>
            <w:hideMark/>
          </w:tcPr>
          <w:p w14:paraId="3225ABA0" w14:textId="3C07E386" w:rsidR="00324D1B" w:rsidRDefault="00DC299E" w:rsidP="00140207">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6A35DA4F" w14:textId="77777777" w:rsidR="00324D1B" w:rsidRDefault="00324D1B" w:rsidP="006670D2">
            <w:pPr>
              <w:pStyle w:val="PullOutBoxBullet"/>
              <w:rPr>
                <w:rStyle w:val="BodyTextChar"/>
              </w:rPr>
            </w:pPr>
            <w:r>
              <w:t>Assess the feasibility of f</w:t>
            </w:r>
            <w:r>
              <w:rPr>
                <w:rStyle w:val="BodyTextChar"/>
              </w:rPr>
              <w:t xml:space="preserve">encing areas that adjoin private land to ensure cattle do not enter streams; and </w:t>
            </w:r>
          </w:p>
          <w:p w14:paraId="2F0509F4" w14:textId="77777777" w:rsidR="00324D1B" w:rsidRDefault="00324D1B" w:rsidP="006670D2">
            <w:pPr>
              <w:pStyle w:val="PullOutBoxBullet"/>
            </w:pPr>
            <w:r>
              <w:rPr>
                <w:rStyle w:val="BodyTextChar"/>
              </w:rPr>
              <w:t>Ongoing control of feral animals, particularly deer and pigs.</w:t>
            </w:r>
          </w:p>
        </w:tc>
      </w:tr>
    </w:tbl>
    <w:p w14:paraId="278DDFB7" w14:textId="77777777" w:rsidR="00324D1B" w:rsidRDefault="00324D1B" w:rsidP="00324D1B">
      <w:pPr>
        <w:pStyle w:val="Heading5"/>
        <w:numPr>
          <w:ilvl w:val="0"/>
          <w:numId w:val="0"/>
        </w:numPr>
        <w:ind w:left="1008" w:hanging="1008"/>
        <w:rPr>
          <w:rFonts w:ascii="Arial" w:hAnsi="Arial"/>
          <w:color w:val="363534"/>
        </w:rPr>
      </w:pPr>
      <w:r>
        <w:t>Invasive plant (non-woody weeds)</w:t>
      </w:r>
    </w:p>
    <w:p w14:paraId="08CC4307" w14:textId="2FE8F577" w:rsidR="00324D1B" w:rsidRPr="00F05594" w:rsidRDefault="00324D1B" w:rsidP="00324D1B">
      <w:pPr>
        <w:pStyle w:val="BodyText"/>
      </w:pPr>
      <w:r>
        <w:t xml:space="preserve">Competition from introduced grasses and forbs, exacerbated by elevated nutrient levels, is currently greatest at lower elevations. However, bog sites at higher elevations are also at significant risk. The level of threat could increase on the Murray </w:t>
      </w:r>
      <w:r w:rsidRPr="00F05594">
        <w:t xml:space="preserve">River floodplain because of reduced flooding due to association with climate change. Given the </w:t>
      </w:r>
      <w:r w:rsidR="00B833EC">
        <w:t>sub</w:t>
      </w:r>
      <w:r w:rsidR="001D3902">
        <w:t>species</w:t>
      </w:r>
      <w:r w:rsidRPr="00F05594">
        <w:t xml:space="preserve"> is poorly known at higher elevations, it is likely that this threat applies to at least 50% of the population and possibly up to more than 80%. It is likely that the </w:t>
      </w:r>
      <w:r w:rsidR="00B833EC">
        <w:t>sub</w:t>
      </w:r>
      <w:r w:rsidR="001D3902">
        <w:t>species</w:t>
      </w:r>
      <w:r w:rsidRPr="00F05594">
        <w:t xml:space="preserve"> has been displaced from many riparian sites in the eastern part of northern Victoria. </w:t>
      </w:r>
    </w:p>
    <w:p w14:paraId="1F342B54" w14:textId="77777777" w:rsidR="00324D1B" w:rsidRPr="00F05594" w:rsidRDefault="00324D1B" w:rsidP="00324D1B">
      <w:pPr>
        <w:pStyle w:val="BodyText"/>
      </w:pPr>
      <w:r w:rsidRPr="00F05594">
        <w:t>Current existing controls for this hazard include:</w:t>
      </w:r>
    </w:p>
    <w:p w14:paraId="2F6EE971" w14:textId="77777777" w:rsidR="00324D1B" w:rsidRPr="00F05594" w:rsidRDefault="00324D1B" w:rsidP="006670D2">
      <w:pPr>
        <w:pStyle w:val="PullOutBoxBullet"/>
      </w:pPr>
      <w:r w:rsidRPr="00F05594">
        <w:t xml:space="preserve">The </w:t>
      </w:r>
      <w:r w:rsidRPr="00F05594">
        <w:rPr>
          <w:i/>
          <w:iCs/>
        </w:rPr>
        <w:t>Catchment and Land Protection Act 1994</w:t>
      </w:r>
      <w:r w:rsidRPr="00F05594">
        <w:t xml:space="preserve">. This control was evaluated as poor but with greater potential at higher elevation sites where selective control of the key problem species is more feasible. </w:t>
      </w:r>
    </w:p>
    <w:p w14:paraId="4CFE692B" w14:textId="053F3C57" w:rsidR="00324D1B" w:rsidRPr="00F05594" w:rsidRDefault="00324D1B" w:rsidP="006670D2">
      <w:pPr>
        <w:pStyle w:val="PullOutBoxBullet"/>
      </w:pPr>
      <w:r>
        <w:t xml:space="preserve">Targeted invasive species programs. The effectiveness of this control for this </w:t>
      </w:r>
      <w:r w:rsidR="00056109">
        <w:t>sub</w:t>
      </w:r>
      <w:r>
        <w:t xml:space="preserve">species has been evaluated as poor as selective and effective control of ground-layer species such as introduced grasses is extremely difficult, especially over broader areas. Expertise is needed to selectively treat the relevant weed species without eliminating the associated ground flora, however resources are rarely available for more careful ecological rehabilitation work by skilled revegetators. </w:t>
      </w:r>
    </w:p>
    <w:p w14:paraId="57157DA5" w14:textId="13A4CA24"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105</w:t>
      </w:r>
      <w:r w:rsidR="000B6788" w:rsidRPr="00291BDC">
        <w:rPr>
          <w:bCs/>
          <w:noProof/>
        </w:rPr>
        <w:fldChar w:fldCharType="end"/>
      </w:r>
      <w:r w:rsidRPr="00FF310C">
        <w:t>. Floodplain Violet protection requirements and recommendations for invasive plant (non-woody weeds)</w:t>
      </w:r>
    </w:p>
    <w:tbl>
      <w:tblPr>
        <w:tblStyle w:val="TableGrid"/>
        <w:tblW w:w="0" w:type="auto"/>
        <w:tblLook w:val="04A0" w:firstRow="1" w:lastRow="0" w:firstColumn="1" w:lastColumn="0" w:noHBand="0" w:noVBand="1"/>
      </w:tblPr>
      <w:tblGrid>
        <w:gridCol w:w="2268"/>
        <w:gridCol w:w="7371"/>
      </w:tblGrid>
      <w:tr w:rsidR="00324D1B" w14:paraId="472DC1AB"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6E8219C6"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1023C448"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2F294F28" w14:textId="77777777" w:rsidTr="00140207">
        <w:tc>
          <w:tcPr>
            <w:tcW w:w="2268" w:type="dxa"/>
            <w:tcBorders>
              <w:top w:val="single" w:sz="8" w:space="0" w:color="CDDC29" w:themeColor="text2"/>
              <w:left w:val="nil"/>
              <w:bottom w:val="single" w:sz="8" w:space="0" w:color="CDDC29" w:themeColor="text2"/>
              <w:right w:val="nil"/>
            </w:tcBorders>
            <w:hideMark/>
          </w:tcPr>
          <w:p w14:paraId="416B89D9" w14:textId="15B054BD" w:rsidR="00324D1B" w:rsidRDefault="00DC299E" w:rsidP="00140207">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559423AC" w14:textId="71E5CBCA" w:rsidR="00324D1B" w:rsidRDefault="00285263" w:rsidP="006670D2">
            <w:pPr>
              <w:pStyle w:val="PullOutBoxBullet"/>
            </w:pPr>
            <w:r>
              <w:t>I</w:t>
            </w:r>
            <w:r w:rsidR="00982C4C">
              <w:t>dentify priority sites for targeted weed control</w:t>
            </w:r>
            <w:r>
              <w:t>.</w:t>
            </w:r>
          </w:p>
        </w:tc>
      </w:tr>
      <w:tr w:rsidR="00324D1B" w14:paraId="78192E83" w14:textId="77777777" w:rsidTr="00140207">
        <w:tc>
          <w:tcPr>
            <w:tcW w:w="2268" w:type="dxa"/>
            <w:tcBorders>
              <w:top w:val="single" w:sz="8" w:space="0" w:color="CDDC29" w:themeColor="text2"/>
              <w:left w:val="nil"/>
              <w:bottom w:val="single" w:sz="8" w:space="0" w:color="CDDC29" w:themeColor="text2"/>
              <w:right w:val="nil"/>
            </w:tcBorders>
            <w:hideMark/>
          </w:tcPr>
          <w:p w14:paraId="4C9B4B3D" w14:textId="4543949B" w:rsidR="00324D1B" w:rsidRDefault="00DC299E" w:rsidP="00140207">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7CA2440A" w14:textId="77777777" w:rsidR="00324D1B" w:rsidRDefault="00324D1B" w:rsidP="006670D2">
            <w:pPr>
              <w:pStyle w:val="PullOutBoxBullet"/>
            </w:pPr>
            <w:r>
              <w:t>Training of weed spraying contractors to treat weeds without eliminating the associated ground flora.</w:t>
            </w:r>
          </w:p>
        </w:tc>
      </w:tr>
    </w:tbl>
    <w:p w14:paraId="791A5398" w14:textId="77777777" w:rsidR="00324D1B" w:rsidRDefault="00324D1B" w:rsidP="00324D1B">
      <w:pPr>
        <w:pStyle w:val="BodyText"/>
      </w:pPr>
    </w:p>
    <w:p w14:paraId="0205DFBD" w14:textId="77777777" w:rsidR="00324D1B" w:rsidRDefault="00324D1B" w:rsidP="00324D1B">
      <w:pPr>
        <w:rPr>
          <w:rFonts w:cs="Times New Roman"/>
          <w:lang w:eastAsia="en-US"/>
        </w:rPr>
      </w:pPr>
      <w:r>
        <w:rPr>
          <w:color w:val="auto"/>
        </w:rPr>
        <w:br w:type="page"/>
      </w:r>
    </w:p>
    <w:p w14:paraId="36651054" w14:textId="79646DD8" w:rsidR="00324D1B" w:rsidRPr="00F05594" w:rsidRDefault="00324D1B" w:rsidP="00FB5A2B">
      <w:pPr>
        <w:pStyle w:val="Heading2"/>
        <w:ind w:left="0"/>
        <w:rPr>
          <w:i/>
          <w:iCs/>
        </w:rPr>
      </w:pPr>
      <w:bookmarkStart w:id="531" w:name="_Toc95234098"/>
      <w:bookmarkStart w:id="532" w:name="_Toc113271044"/>
      <w:r w:rsidRPr="00F05594">
        <w:rPr>
          <w:i/>
          <w:iCs/>
          <w:noProof/>
        </w:rPr>
        <mc:AlternateContent>
          <mc:Choice Requires="wps">
            <w:drawing>
              <wp:anchor distT="0" distB="0" distL="114300" distR="114300" simplePos="0" relativeHeight="251658340" behindDoc="1" locked="1" layoutInCell="1" allowOverlap="1" wp14:anchorId="5FE3E566" wp14:editId="571FC8BA">
                <wp:simplePos x="0" y="0"/>
                <wp:positionH relativeFrom="page">
                  <wp:posOffset>359410</wp:posOffset>
                </wp:positionH>
                <wp:positionV relativeFrom="page">
                  <wp:posOffset>9071610</wp:posOffset>
                </wp:positionV>
                <wp:extent cx="6840220" cy="431800"/>
                <wp:effectExtent l="0" t="0" r="0" b="0"/>
                <wp:wrapNone/>
                <wp:docPr id="337" name="Text Box 337"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6D6BD"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3E566" id="Text Box 337" o:spid="_x0000_s1075" type="#_x0000_t202" alt="Title: Decorative Cover Shape" style="position:absolute;left:0;text-align:left;margin-left:28.3pt;margin-top:714.3pt;width:538.6pt;height:34pt;z-index:-2516581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AkIxyBgAIA&#10;AGIFAAAOAAAAAAAAAAAAAAAAAC4CAABkcnMvZTJvRG9jLnhtbFBLAQItABQABgAIAAAAIQCRaybX&#10;3QAAAA0BAAAPAAAAAAAAAAAAAAAAANoEAABkcnMvZG93bnJldi54bWxQSwUGAAAAAAQABADzAAAA&#10;5AUAAAAA&#10;" fillcolor="#201547" stroked="f" strokeweight=".5pt">
                <v:textbox inset="10mm,0,10mm,0">
                  <w:txbxContent>
                    <w:p w14:paraId="03E6D6BD"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sidRPr="00F05594">
        <w:rPr>
          <w:i/>
          <w:iCs/>
          <w:noProof/>
        </w:rPr>
        <mc:AlternateContent>
          <mc:Choice Requires="wps">
            <w:drawing>
              <wp:anchor distT="0" distB="0" distL="114300" distR="114300" simplePos="0" relativeHeight="251658339" behindDoc="0" locked="1" layoutInCell="1" allowOverlap="1" wp14:anchorId="44E471A4" wp14:editId="704B67AD">
                <wp:simplePos x="0" y="0"/>
                <wp:positionH relativeFrom="page">
                  <wp:posOffset>360045</wp:posOffset>
                </wp:positionH>
                <wp:positionV relativeFrom="page">
                  <wp:posOffset>360045</wp:posOffset>
                </wp:positionV>
                <wp:extent cx="1864995" cy="1976120"/>
                <wp:effectExtent l="0" t="0" r="0" b="0"/>
                <wp:wrapNone/>
                <wp:docPr id="75" name="Freeform: Shape 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4BB9635" id="Freeform: Shape 75" o:spid="_x0000_s1026" style="position:absolute;margin-left:28.35pt;margin-top:28.35pt;width:146.85pt;height:155.6pt;z-index:2516583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sidRPr="00F05594">
        <w:rPr>
          <w:i/>
          <w:iCs/>
          <w:noProof/>
        </w:rPr>
        <mc:AlternateContent>
          <mc:Choice Requires="wps">
            <w:drawing>
              <wp:anchor distT="0" distB="0" distL="114300" distR="114300" simplePos="0" relativeHeight="251658338" behindDoc="0" locked="1" layoutInCell="1" allowOverlap="1" wp14:anchorId="0AE87686" wp14:editId="1823F89A">
                <wp:simplePos x="0" y="0"/>
                <wp:positionH relativeFrom="page">
                  <wp:posOffset>359410</wp:posOffset>
                </wp:positionH>
                <wp:positionV relativeFrom="page">
                  <wp:posOffset>359410</wp:posOffset>
                </wp:positionV>
                <wp:extent cx="1864995" cy="1976120"/>
                <wp:effectExtent l="0" t="0" r="0" b="0"/>
                <wp:wrapNone/>
                <wp:docPr id="77" name="Freeform: Shape 7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0B55ED" id="Freeform: Shape 77" o:spid="_x0000_s1026" style="position:absolute;margin-left:28.3pt;margin-top:28.3pt;width:146.85pt;height:155.6pt;z-index:2516583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sidRPr="00F05594">
        <w:rPr>
          <w:i/>
          <w:iCs/>
          <w:noProof/>
        </w:rPr>
        <mc:AlternateContent>
          <mc:Choice Requires="wps">
            <w:drawing>
              <wp:anchor distT="0" distB="0" distL="114300" distR="114300" simplePos="0" relativeHeight="251658337" behindDoc="0" locked="1" layoutInCell="1" allowOverlap="1" wp14:anchorId="1317B345" wp14:editId="21D9F7B0">
                <wp:simplePos x="0" y="0"/>
                <wp:positionH relativeFrom="page">
                  <wp:posOffset>0</wp:posOffset>
                </wp:positionH>
                <wp:positionV relativeFrom="page">
                  <wp:align>bottom</wp:align>
                </wp:positionV>
                <wp:extent cx="3848100" cy="720090"/>
                <wp:effectExtent l="0" t="0" r="0" b="0"/>
                <wp:wrapNone/>
                <wp:docPr id="340" name="Text Box 340"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37A3E" w14:textId="77777777" w:rsidR="00324D1B" w:rsidRDefault="00324D1B" w:rsidP="00324D1B">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B345" id="Text Box 340" o:spid="_x0000_s1076" type="#_x0000_t202" style="position:absolute;left:0;text-align:left;margin-left:0;margin-top:0;width:303pt;height:56.7pt;z-index:25165833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" filled="f" stroked="f" strokeweight=".5pt">
                <v:textbox inset="20mm">
                  <w:txbxContent>
                    <w:p w14:paraId="34337A3E" w14:textId="77777777" w:rsidR="00324D1B" w:rsidRDefault="00324D1B" w:rsidP="00324D1B">
                      <w:pPr>
                        <w:pStyle w:val="xWebCoverPage"/>
                      </w:pPr>
                      <w:r>
                        <w:t>delwp.vic.gov.au</w:t>
                      </w:r>
                    </w:p>
                  </w:txbxContent>
                </v:textbox>
                <w10:wrap anchorx="page" anchory="page"/>
                <w10:anchorlock/>
              </v:shape>
            </w:pict>
          </mc:Fallback>
        </mc:AlternateContent>
      </w:r>
      <w:bookmarkStart w:id="533" w:name="_Toc88565780"/>
      <w:r w:rsidRPr="00F05594">
        <w:t>Forest Geebung </w:t>
      </w:r>
      <w:r w:rsidRPr="003A0CD0">
        <w:rPr>
          <w:i/>
          <w:iCs/>
        </w:rPr>
        <w:t>(Persoonia silvatica)</w:t>
      </w:r>
      <w:bookmarkEnd w:id="531"/>
      <w:bookmarkEnd w:id="532"/>
      <w:bookmarkEnd w:id="533"/>
      <w:r w:rsidRPr="00F05594">
        <w:t> </w:t>
      </w:r>
    </w:p>
    <w:p w14:paraId="5E3048F9" w14:textId="5F852371" w:rsidR="00324D1B" w:rsidRDefault="00324D1B" w:rsidP="00324D1B">
      <w:pPr>
        <w:pStyle w:val="BodyText"/>
        <w:rPr>
          <w:rFonts w:ascii="Arial" w:hAnsi="Arial"/>
          <w:color w:val="363534"/>
        </w:rPr>
      </w:pPr>
      <w:r>
        <w:t xml:space="preserve">The Forest Geebung was listed as Endangered in Victoria under the FFG Act in May 2021. The </w:t>
      </w:r>
      <w:r w:rsidR="001D3902">
        <w:t>species</w:t>
      </w:r>
      <w:r>
        <w:t xml:space="preserve"> has modelled habitat in the East Gippsland (95% of modelled habitat) and Gippsland (5% of modelled habitat) RFA </w:t>
      </w:r>
      <w:r>
        <w:rPr>
          <w:rStyle w:val="BodyTextChar"/>
        </w:rPr>
        <w:t>regions. Permanent protections are recommended to address any hazards identified at a significant or high risk, and all</w:t>
      </w:r>
      <w:r>
        <w:t xml:space="preserve"> hazards rated a medium risk or higher will be considered in future management planning.</w:t>
      </w:r>
    </w:p>
    <w:p w14:paraId="7D6C5CDC" w14:textId="77777777" w:rsidR="00324D1B" w:rsidRDefault="00324D1B" w:rsidP="007E5EBF">
      <w:pPr>
        <w:pStyle w:val="Heading3"/>
      </w:pPr>
      <w:r>
        <w:t>Risk Assessment</w:t>
      </w:r>
    </w:p>
    <w:p w14:paraId="41334D0C" w14:textId="4A12756B" w:rsidR="00324D1B" w:rsidRPr="00FF310C" w:rsidRDefault="00324D1B" w:rsidP="006670D2">
      <w:pPr>
        <w:pStyle w:val="Caption"/>
      </w:pPr>
      <w:r w:rsidRPr="00FF310C">
        <w:t xml:space="preserve">Table </w:t>
      </w:r>
      <w:r w:rsidRPr="00291BDC">
        <w:rPr>
          <w:bCs/>
        </w:rPr>
        <w:fldChar w:fldCharType="begin"/>
      </w:r>
      <w:r w:rsidRPr="00FF310C">
        <w:instrText>SEQ Table \* ARABIC</w:instrText>
      </w:r>
      <w:r w:rsidRPr="00291BDC">
        <w:rPr>
          <w:bCs/>
        </w:rPr>
        <w:fldChar w:fldCharType="separate"/>
      </w:r>
      <w:r w:rsidR="00692F0D">
        <w:rPr>
          <w:noProof/>
        </w:rPr>
        <w:t>106</w:t>
      </w:r>
      <w:r w:rsidRPr="00291BDC">
        <w:rPr>
          <w:bCs/>
        </w:rPr>
        <w:fldChar w:fldCharType="end"/>
      </w:r>
      <w:r w:rsidRPr="00FF310C">
        <w:t xml:space="preserve">. Forest Geebung risk ratings in the East Gippsland RFA </w:t>
      </w:r>
      <w:r w:rsidR="00184CB0">
        <w:t>r</w:t>
      </w:r>
      <w:r w:rsidRPr="00FF310C">
        <w:t>egion:</w:t>
      </w:r>
    </w:p>
    <w:tbl>
      <w:tblPr>
        <w:tblStyle w:val="TableGrid"/>
        <w:tblW w:w="0" w:type="auto"/>
        <w:tblLook w:val="04A0" w:firstRow="1" w:lastRow="0" w:firstColumn="1" w:lastColumn="0" w:noHBand="0" w:noVBand="1"/>
      </w:tblPr>
      <w:tblGrid>
        <w:gridCol w:w="2268"/>
        <w:gridCol w:w="2268"/>
        <w:gridCol w:w="2268"/>
        <w:gridCol w:w="2268"/>
      </w:tblGrid>
      <w:tr w:rsidR="00324D1B" w14:paraId="10CF7ED1"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tcPr>
          <w:p w14:paraId="681F9934" w14:textId="77777777" w:rsidR="00324D1B" w:rsidRDefault="00324D1B" w:rsidP="006670D2">
            <w:pPr>
              <w:pStyle w:val="CaptionImageorFigure"/>
            </w:pPr>
          </w:p>
        </w:tc>
        <w:tc>
          <w:tcPr>
            <w:tcW w:w="2268" w:type="dxa"/>
            <w:tcBorders>
              <w:top w:val="single" w:sz="8" w:space="0" w:color="CDDC29" w:themeColor="text2"/>
              <w:left w:val="nil"/>
              <w:bottom w:val="single" w:sz="8" w:space="0" w:color="CDDC29" w:themeColor="text2"/>
              <w:right w:val="nil"/>
            </w:tcBorders>
            <w:vAlign w:val="center"/>
            <w:hideMark/>
          </w:tcPr>
          <w:p w14:paraId="1F45438C"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 Increased fire frequency and intensity</w:t>
            </w:r>
          </w:p>
        </w:tc>
        <w:tc>
          <w:tcPr>
            <w:tcW w:w="2268" w:type="dxa"/>
            <w:tcBorders>
              <w:top w:val="single" w:sz="8" w:space="0" w:color="CDDC29" w:themeColor="text2"/>
              <w:left w:val="nil"/>
              <w:bottom w:val="single" w:sz="8" w:space="0" w:color="CDDC29" w:themeColor="text2"/>
              <w:right w:val="nil"/>
            </w:tcBorders>
            <w:vAlign w:val="center"/>
            <w:hideMark/>
          </w:tcPr>
          <w:p w14:paraId="3F3D1BAA"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2268" w:type="dxa"/>
            <w:tcBorders>
              <w:top w:val="single" w:sz="8" w:space="0" w:color="CDDC29" w:themeColor="text2"/>
              <w:left w:val="nil"/>
              <w:bottom w:val="single" w:sz="8" w:space="0" w:color="CDDC29" w:themeColor="text2"/>
              <w:right w:val="nil"/>
            </w:tcBorders>
            <w:vAlign w:val="center"/>
            <w:hideMark/>
          </w:tcPr>
          <w:p w14:paraId="265B1F60"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324D1B" w14:paraId="334BCACA"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0340E2B5" w14:textId="77777777" w:rsidR="00324D1B" w:rsidRDefault="00324D1B" w:rsidP="008C4558">
            <w:pPr>
              <w:pStyle w:val="BodyText"/>
              <w:jc w:val="center"/>
            </w:pPr>
            <w:r>
              <w:t>Consequence</w:t>
            </w:r>
          </w:p>
        </w:tc>
        <w:tc>
          <w:tcPr>
            <w:tcW w:w="2268" w:type="dxa"/>
            <w:tcBorders>
              <w:top w:val="single" w:sz="8" w:space="0" w:color="CDDC29" w:themeColor="text2"/>
              <w:left w:val="nil"/>
              <w:bottom w:val="single" w:sz="8" w:space="0" w:color="CDDC29" w:themeColor="text2"/>
              <w:right w:val="nil"/>
            </w:tcBorders>
            <w:vAlign w:val="center"/>
            <w:hideMark/>
          </w:tcPr>
          <w:p w14:paraId="6B45F7DE" w14:textId="77777777" w:rsidR="00324D1B" w:rsidRDefault="00324D1B" w:rsidP="008C4558">
            <w:pPr>
              <w:pStyle w:val="BodyText"/>
              <w:jc w:val="center"/>
            </w:pPr>
            <w:r>
              <w:t>Extreme</w:t>
            </w:r>
          </w:p>
        </w:tc>
        <w:tc>
          <w:tcPr>
            <w:tcW w:w="2268" w:type="dxa"/>
            <w:tcBorders>
              <w:top w:val="single" w:sz="8" w:space="0" w:color="CDDC29" w:themeColor="text2"/>
              <w:left w:val="nil"/>
              <w:bottom w:val="single" w:sz="8" w:space="0" w:color="CDDC29" w:themeColor="text2"/>
              <w:right w:val="nil"/>
            </w:tcBorders>
            <w:vAlign w:val="center"/>
            <w:hideMark/>
          </w:tcPr>
          <w:p w14:paraId="7642EFBE" w14:textId="77777777" w:rsidR="00324D1B" w:rsidRDefault="00324D1B" w:rsidP="008C4558">
            <w:pPr>
              <w:pStyle w:val="BodyText"/>
              <w:jc w:val="center"/>
              <w:rPr>
                <w:sz w:val="16"/>
                <w:szCs w:val="16"/>
              </w:rPr>
            </w:pPr>
            <w:r>
              <w:t>Moderate</w:t>
            </w:r>
          </w:p>
        </w:tc>
        <w:tc>
          <w:tcPr>
            <w:tcW w:w="2268" w:type="dxa"/>
            <w:tcBorders>
              <w:top w:val="single" w:sz="8" w:space="0" w:color="CDDC29" w:themeColor="text2"/>
              <w:left w:val="nil"/>
              <w:bottom w:val="single" w:sz="8" w:space="0" w:color="CDDC29" w:themeColor="text2"/>
              <w:right w:val="nil"/>
            </w:tcBorders>
            <w:vAlign w:val="center"/>
            <w:hideMark/>
          </w:tcPr>
          <w:p w14:paraId="00F432C1" w14:textId="77777777" w:rsidR="00324D1B" w:rsidRDefault="00324D1B" w:rsidP="008C4558">
            <w:pPr>
              <w:pStyle w:val="BodyText"/>
              <w:jc w:val="center"/>
            </w:pPr>
            <w:r>
              <w:t>Moderate</w:t>
            </w:r>
          </w:p>
        </w:tc>
      </w:tr>
      <w:tr w:rsidR="00324D1B" w14:paraId="44425E43"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7DAF7575" w14:textId="77777777" w:rsidR="00324D1B" w:rsidRDefault="00324D1B" w:rsidP="008C4558">
            <w:pPr>
              <w:pStyle w:val="BodyText"/>
              <w:jc w:val="center"/>
            </w:pPr>
            <w:r>
              <w:t>Likelihood</w:t>
            </w:r>
          </w:p>
        </w:tc>
        <w:tc>
          <w:tcPr>
            <w:tcW w:w="2268" w:type="dxa"/>
            <w:tcBorders>
              <w:top w:val="single" w:sz="8" w:space="0" w:color="CDDC29" w:themeColor="text2"/>
              <w:left w:val="nil"/>
              <w:bottom w:val="single" w:sz="8" w:space="0" w:color="CDDC29" w:themeColor="text2"/>
              <w:right w:val="nil"/>
            </w:tcBorders>
            <w:vAlign w:val="center"/>
            <w:hideMark/>
          </w:tcPr>
          <w:p w14:paraId="4F39F92F" w14:textId="77777777" w:rsidR="00324D1B" w:rsidRDefault="00324D1B" w:rsidP="008C4558">
            <w:pPr>
              <w:pStyle w:val="BodyText"/>
              <w:jc w:val="center"/>
            </w:pPr>
            <w:r>
              <w:t>Almost Certain</w:t>
            </w:r>
          </w:p>
        </w:tc>
        <w:tc>
          <w:tcPr>
            <w:tcW w:w="2268" w:type="dxa"/>
            <w:tcBorders>
              <w:top w:val="single" w:sz="8" w:space="0" w:color="CDDC29" w:themeColor="text2"/>
              <w:left w:val="nil"/>
              <w:bottom w:val="single" w:sz="8" w:space="0" w:color="CDDC29" w:themeColor="text2"/>
              <w:right w:val="nil"/>
            </w:tcBorders>
            <w:vAlign w:val="center"/>
            <w:hideMark/>
          </w:tcPr>
          <w:p w14:paraId="7E19630D" w14:textId="77777777" w:rsidR="00324D1B" w:rsidRDefault="00324D1B" w:rsidP="008C4558">
            <w:pPr>
              <w:pStyle w:val="BodyText"/>
              <w:jc w:val="center"/>
              <w:rPr>
                <w:sz w:val="16"/>
                <w:szCs w:val="16"/>
              </w:rPr>
            </w:pPr>
            <w:r>
              <w:t>Likely</w:t>
            </w:r>
          </w:p>
        </w:tc>
        <w:tc>
          <w:tcPr>
            <w:tcW w:w="2268" w:type="dxa"/>
            <w:tcBorders>
              <w:top w:val="single" w:sz="8" w:space="0" w:color="CDDC29" w:themeColor="text2"/>
              <w:left w:val="nil"/>
              <w:bottom w:val="single" w:sz="8" w:space="0" w:color="CDDC29" w:themeColor="text2"/>
              <w:right w:val="nil"/>
            </w:tcBorders>
            <w:vAlign w:val="center"/>
            <w:hideMark/>
          </w:tcPr>
          <w:p w14:paraId="2EF9E7E7" w14:textId="77777777" w:rsidR="00324D1B" w:rsidRDefault="00324D1B" w:rsidP="008C4558">
            <w:pPr>
              <w:pStyle w:val="BodyText"/>
              <w:jc w:val="center"/>
            </w:pPr>
            <w:r>
              <w:t>Likely</w:t>
            </w:r>
          </w:p>
        </w:tc>
      </w:tr>
      <w:tr w:rsidR="00324D1B" w14:paraId="393C2C38"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412705E9" w14:textId="77777777" w:rsidR="00324D1B" w:rsidRDefault="00324D1B" w:rsidP="008C4558">
            <w:pPr>
              <w:pStyle w:val="BodyText"/>
              <w:jc w:val="center"/>
            </w:pPr>
            <w:r>
              <w:t>Overall risk rating</w:t>
            </w:r>
          </w:p>
        </w:tc>
        <w:tc>
          <w:tcPr>
            <w:tcW w:w="2268" w:type="dxa"/>
            <w:tcBorders>
              <w:top w:val="single" w:sz="8" w:space="0" w:color="CDDC29" w:themeColor="text2"/>
              <w:left w:val="nil"/>
              <w:bottom w:val="single" w:sz="8" w:space="0" w:color="CDDC29" w:themeColor="text2"/>
              <w:right w:val="nil"/>
            </w:tcBorders>
            <w:shd w:val="clear" w:color="auto" w:fill="FF0000"/>
            <w:vAlign w:val="center"/>
            <w:hideMark/>
          </w:tcPr>
          <w:p w14:paraId="111A7FC2" w14:textId="77777777" w:rsidR="00324D1B" w:rsidRDefault="00324D1B" w:rsidP="008C4558">
            <w:pPr>
              <w:pStyle w:val="BodyText"/>
              <w:jc w:val="center"/>
            </w:pPr>
            <w:r>
              <w:t>High</w:t>
            </w:r>
          </w:p>
        </w:tc>
        <w:tc>
          <w:tcPr>
            <w:tcW w:w="2268" w:type="dxa"/>
            <w:tcBorders>
              <w:top w:val="single" w:sz="8" w:space="0" w:color="CDDC29" w:themeColor="text2"/>
              <w:left w:val="nil"/>
              <w:bottom w:val="single" w:sz="8" w:space="0" w:color="CDDC29" w:themeColor="text2"/>
              <w:right w:val="nil"/>
            </w:tcBorders>
            <w:shd w:val="clear" w:color="auto" w:fill="FFC000"/>
            <w:vAlign w:val="center"/>
            <w:hideMark/>
          </w:tcPr>
          <w:p w14:paraId="40A3ED39" w14:textId="77777777" w:rsidR="00324D1B" w:rsidRDefault="00324D1B" w:rsidP="008C4558">
            <w:pPr>
              <w:pStyle w:val="BodyText"/>
              <w:jc w:val="center"/>
              <w:rPr>
                <w:sz w:val="16"/>
                <w:szCs w:val="16"/>
              </w:rPr>
            </w:pPr>
            <w:r>
              <w:t>Significant</w:t>
            </w:r>
          </w:p>
        </w:tc>
        <w:tc>
          <w:tcPr>
            <w:tcW w:w="2268" w:type="dxa"/>
            <w:tcBorders>
              <w:top w:val="single" w:sz="8" w:space="0" w:color="CDDC29" w:themeColor="text2"/>
              <w:left w:val="nil"/>
              <w:bottom w:val="single" w:sz="8" w:space="0" w:color="CDDC29" w:themeColor="text2"/>
              <w:right w:val="nil"/>
            </w:tcBorders>
            <w:shd w:val="clear" w:color="auto" w:fill="FFC000"/>
            <w:vAlign w:val="center"/>
            <w:hideMark/>
          </w:tcPr>
          <w:p w14:paraId="6BD082F0" w14:textId="77777777" w:rsidR="00324D1B" w:rsidRDefault="00324D1B" w:rsidP="008C4558">
            <w:pPr>
              <w:pStyle w:val="BodyText"/>
              <w:jc w:val="center"/>
            </w:pPr>
            <w:r>
              <w:t>Significant</w:t>
            </w:r>
          </w:p>
        </w:tc>
      </w:tr>
    </w:tbl>
    <w:p w14:paraId="54794413" w14:textId="66FF0F89" w:rsidR="00324D1B" w:rsidRPr="00FF310C" w:rsidRDefault="00324D1B" w:rsidP="006670D2">
      <w:pPr>
        <w:pStyle w:val="Caption"/>
      </w:pPr>
      <w:r w:rsidRPr="00FF310C">
        <w:t xml:space="preserve">Table </w:t>
      </w:r>
      <w:r w:rsidRPr="00291BDC">
        <w:rPr>
          <w:bCs/>
        </w:rPr>
        <w:fldChar w:fldCharType="begin"/>
      </w:r>
      <w:r w:rsidRPr="00FF310C">
        <w:instrText>SEQ Table \* ARABIC</w:instrText>
      </w:r>
      <w:r w:rsidRPr="00291BDC">
        <w:rPr>
          <w:bCs/>
        </w:rPr>
        <w:fldChar w:fldCharType="separate"/>
      </w:r>
      <w:r w:rsidR="00692F0D">
        <w:rPr>
          <w:noProof/>
        </w:rPr>
        <w:t>107</w:t>
      </w:r>
      <w:r w:rsidRPr="00291BDC">
        <w:rPr>
          <w:bCs/>
        </w:rPr>
        <w:fldChar w:fldCharType="end"/>
      </w:r>
      <w:r w:rsidRPr="00FF310C">
        <w:t xml:space="preserve">. Forest Geebung risk ratings in the Gippsland RFA </w:t>
      </w:r>
      <w:r w:rsidR="00184CB0">
        <w:t>r</w:t>
      </w:r>
      <w:r w:rsidRPr="00FF310C">
        <w:t>egion:</w:t>
      </w:r>
    </w:p>
    <w:tbl>
      <w:tblPr>
        <w:tblStyle w:val="TableGrid"/>
        <w:tblW w:w="0" w:type="auto"/>
        <w:tblLook w:val="04A0" w:firstRow="1" w:lastRow="0" w:firstColumn="1" w:lastColumn="0" w:noHBand="0" w:noVBand="1"/>
      </w:tblPr>
      <w:tblGrid>
        <w:gridCol w:w="2268"/>
        <w:gridCol w:w="2268"/>
        <w:gridCol w:w="2268"/>
      </w:tblGrid>
      <w:tr w:rsidR="00324D1B" w14:paraId="0E04C4C8"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tcPr>
          <w:p w14:paraId="4B355DAD" w14:textId="77777777" w:rsidR="00324D1B" w:rsidRDefault="00324D1B" w:rsidP="006670D2">
            <w:pPr>
              <w:pStyle w:val="CaptionImageorFigure"/>
            </w:pPr>
          </w:p>
        </w:tc>
        <w:tc>
          <w:tcPr>
            <w:tcW w:w="2268" w:type="dxa"/>
            <w:tcBorders>
              <w:top w:val="single" w:sz="8" w:space="0" w:color="CDDC29" w:themeColor="text2"/>
              <w:left w:val="nil"/>
              <w:bottom w:val="single" w:sz="8" w:space="0" w:color="CDDC29" w:themeColor="text2"/>
              <w:right w:val="nil"/>
            </w:tcBorders>
            <w:vAlign w:val="center"/>
            <w:hideMark/>
          </w:tcPr>
          <w:p w14:paraId="59578858"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 Increased fire frequency and intensity</w:t>
            </w:r>
          </w:p>
        </w:tc>
        <w:tc>
          <w:tcPr>
            <w:tcW w:w="2268" w:type="dxa"/>
            <w:tcBorders>
              <w:top w:val="single" w:sz="8" w:space="0" w:color="CDDC29" w:themeColor="text2"/>
              <w:left w:val="nil"/>
              <w:bottom w:val="single" w:sz="8" w:space="0" w:color="CDDC29" w:themeColor="text2"/>
              <w:right w:val="nil"/>
            </w:tcBorders>
            <w:vAlign w:val="center"/>
            <w:hideMark/>
          </w:tcPr>
          <w:p w14:paraId="0E167149"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324D1B" w14:paraId="529D814C"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67FDD62A" w14:textId="77777777" w:rsidR="00324D1B" w:rsidRDefault="00324D1B" w:rsidP="003A0CD0">
            <w:pPr>
              <w:pStyle w:val="BodyText"/>
              <w:jc w:val="center"/>
            </w:pPr>
            <w:r>
              <w:t>Consequence</w:t>
            </w:r>
          </w:p>
        </w:tc>
        <w:tc>
          <w:tcPr>
            <w:tcW w:w="2268" w:type="dxa"/>
            <w:tcBorders>
              <w:top w:val="single" w:sz="8" w:space="0" w:color="CDDC29" w:themeColor="text2"/>
              <w:left w:val="nil"/>
              <w:bottom w:val="single" w:sz="8" w:space="0" w:color="CDDC29" w:themeColor="text2"/>
              <w:right w:val="nil"/>
            </w:tcBorders>
            <w:vAlign w:val="center"/>
            <w:hideMark/>
          </w:tcPr>
          <w:p w14:paraId="100DFB3A" w14:textId="77777777" w:rsidR="00324D1B" w:rsidRDefault="00324D1B" w:rsidP="003A0CD0">
            <w:pPr>
              <w:pStyle w:val="BodyText"/>
              <w:jc w:val="center"/>
            </w:pPr>
            <w:r>
              <w:t>Extreme</w:t>
            </w:r>
          </w:p>
        </w:tc>
        <w:tc>
          <w:tcPr>
            <w:tcW w:w="2268" w:type="dxa"/>
            <w:tcBorders>
              <w:top w:val="single" w:sz="8" w:space="0" w:color="CDDC29" w:themeColor="text2"/>
              <w:left w:val="nil"/>
              <w:bottom w:val="single" w:sz="8" w:space="0" w:color="CDDC29" w:themeColor="text2"/>
              <w:right w:val="nil"/>
            </w:tcBorders>
            <w:vAlign w:val="center"/>
            <w:hideMark/>
          </w:tcPr>
          <w:p w14:paraId="036B9E1D" w14:textId="77777777" w:rsidR="00324D1B" w:rsidRDefault="00324D1B" w:rsidP="003A0CD0">
            <w:pPr>
              <w:pStyle w:val="BodyText"/>
              <w:jc w:val="center"/>
            </w:pPr>
            <w:r>
              <w:t>Moderate</w:t>
            </w:r>
          </w:p>
        </w:tc>
      </w:tr>
      <w:tr w:rsidR="00324D1B" w14:paraId="3DCC175E"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7F761460" w14:textId="77777777" w:rsidR="00324D1B" w:rsidRDefault="00324D1B" w:rsidP="003A0CD0">
            <w:pPr>
              <w:pStyle w:val="BodyText"/>
              <w:jc w:val="center"/>
            </w:pPr>
            <w:r>
              <w:t>Likelihood</w:t>
            </w:r>
          </w:p>
        </w:tc>
        <w:tc>
          <w:tcPr>
            <w:tcW w:w="2268" w:type="dxa"/>
            <w:tcBorders>
              <w:top w:val="single" w:sz="8" w:space="0" w:color="CDDC29" w:themeColor="text2"/>
              <w:left w:val="nil"/>
              <w:bottom w:val="single" w:sz="8" w:space="0" w:color="CDDC29" w:themeColor="text2"/>
              <w:right w:val="nil"/>
            </w:tcBorders>
            <w:vAlign w:val="center"/>
            <w:hideMark/>
          </w:tcPr>
          <w:p w14:paraId="6FF8A9EC" w14:textId="77777777" w:rsidR="00324D1B" w:rsidRDefault="00324D1B" w:rsidP="003A0CD0">
            <w:pPr>
              <w:pStyle w:val="BodyText"/>
              <w:jc w:val="center"/>
            </w:pPr>
            <w:r>
              <w:t>Almost Certain</w:t>
            </w:r>
          </w:p>
        </w:tc>
        <w:tc>
          <w:tcPr>
            <w:tcW w:w="2268" w:type="dxa"/>
            <w:tcBorders>
              <w:top w:val="single" w:sz="8" w:space="0" w:color="CDDC29" w:themeColor="text2"/>
              <w:left w:val="nil"/>
              <w:bottom w:val="single" w:sz="8" w:space="0" w:color="CDDC29" w:themeColor="text2"/>
              <w:right w:val="nil"/>
            </w:tcBorders>
            <w:vAlign w:val="center"/>
            <w:hideMark/>
          </w:tcPr>
          <w:p w14:paraId="319BB719" w14:textId="77777777" w:rsidR="00324D1B" w:rsidRDefault="00324D1B" w:rsidP="003A0CD0">
            <w:pPr>
              <w:pStyle w:val="BodyText"/>
              <w:jc w:val="center"/>
            </w:pPr>
            <w:r>
              <w:t>Likely</w:t>
            </w:r>
          </w:p>
        </w:tc>
      </w:tr>
      <w:tr w:rsidR="00324D1B" w14:paraId="745B3957"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59A95075" w14:textId="77777777" w:rsidR="00324D1B" w:rsidRDefault="00324D1B" w:rsidP="003A0CD0">
            <w:pPr>
              <w:pStyle w:val="BodyText"/>
              <w:jc w:val="center"/>
            </w:pPr>
            <w:r>
              <w:t>Overall risk rating</w:t>
            </w:r>
          </w:p>
        </w:tc>
        <w:tc>
          <w:tcPr>
            <w:tcW w:w="2268" w:type="dxa"/>
            <w:tcBorders>
              <w:top w:val="single" w:sz="8" w:space="0" w:color="CDDC29" w:themeColor="text2"/>
              <w:left w:val="nil"/>
              <w:bottom w:val="single" w:sz="8" w:space="0" w:color="CDDC29" w:themeColor="text2"/>
              <w:right w:val="nil"/>
            </w:tcBorders>
            <w:shd w:val="clear" w:color="auto" w:fill="FF0000"/>
            <w:vAlign w:val="center"/>
            <w:hideMark/>
          </w:tcPr>
          <w:p w14:paraId="4F807424" w14:textId="77777777" w:rsidR="00324D1B" w:rsidRDefault="00324D1B" w:rsidP="003A0CD0">
            <w:pPr>
              <w:pStyle w:val="BodyText"/>
              <w:jc w:val="center"/>
            </w:pPr>
            <w:r>
              <w:t>High</w:t>
            </w:r>
          </w:p>
        </w:tc>
        <w:tc>
          <w:tcPr>
            <w:tcW w:w="2268" w:type="dxa"/>
            <w:tcBorders>
              <w:top w:val="single" w:sz="8" w:space="0" w:color="CDDC29" w:themeColor="text2"/>
              <w:left w:val="nil"/>
              <w:bottom w:val="single" w:sz="8" w:space="0" w:color="CDDC29" w:themeColor="text2"/>
              <w:right w:val="nil"/>
            </w:tcBorders>
            <w:shd w:val="clear" w:color="auto" w:fill="FFC000"/>
            <w:vAlign w:val="center"/>
            <w:hideMark/>
          </w:tcPr>
          <w:p w14:paraId="0DF4688A" w14:textId="77777777" w:rsidR="00324D1B" w:rsidRDefault="00324D1B" w:rsidP="003A0CD0">
            <w:pPr>
              <w:pStyle w:val="BodyText"/>
              <w:jc w:val="center"/>
            </w:pPr>
            <w:r>
              <w:t>Significant</w:t>
            </w:r>
          </w:p>
        </w:tc>
      </w:tr>
    </w:tbl>
    <w:p w14:paraId="6AB3BC2F" w14:textId="4DCAF748" w:rsidR="00324D1B" w:rsidRDefault="00324D1B" w:rsidP="007E5EBF">
      <w:pPr>
        <w:pStyle w:val="Heading3"/>
      </w:pPr>
      <w:r>
        <w:rPr>
          <w:noProof/>
        </w:rPr>
        <mc:AlternateContent>
          <mc:Choice Requires="wps">
            <w:drawing>
              <wp:anchor distT="0" distB="0" distL="114300" distR="114300" simplePos="0" relativeHeight="251658348" behindDoc="1" locked="1" layoutInCell="1" allowOverlap="1" wp14:anchorId="0F452793" wp14:editId="30F54E56">
                <wp:simplePos x="0" y="0"/>
                <wp:positionH relativeFrom="page">
                  <wp:posOffset>359410</wp:posOffset>
                </wp:positionH>
                <wp:positionV relativeFrom="page">
                  <wp:posOffset>9071610</wp:posOffset>
                </wp:positionV>
                <wp:extent cx="6840220" cy="431800"/>
                <wp:effectExtent l="0" t="0" r="0" b="0"/>
                <wp:wrapNone/>
                <wp:docPr id="1594" name="Text Box 1594"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C7604"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52793" id="Text Box 1594" o:spid="_x0000_s1077" type="#_x0000_t202" alt="Title: Decorative Cover Shape" style="position:absolute;left:0;text-align:left;margin-left:28.3pt;margin-top:714.3pt;width:538.6pt;height:34pt;z-index:-2516581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Dw2RVIgAIA&#10;AGIFAAAOAAAAAAAAAAAAAAAAAC4CAABkcnMvZTJvRG9jLnhtbFBLAQItABQABgAIAAAAIQCRaybX&#10;3QAAAA0BAAAPAAAAAAAAAAAAAAAAANoEAABkcnMvZG93bnJldi54bWxQSwUGAAAAAAQABADzAAAA&#10;5AUAAAAA&#10;" fillcolor="#201547" stroked="f" strokeweight=".5pt">
                <v:textbox inset="10mm,0,10mm,0">
                  <w:txbxContent>
                    <w:p w14:paraId="3FCC7604"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347" behindDoc="0" locked="1" layoutInCell="1" allowOverlap="1" wp14:anchorId="6B0BED25" wp14:editId="1800132F">
                <wp:simplePos x="0" y="0"/>
                <wp:positionH relativeFrom="page">
                  <wp:posOffset>360045</wp:posOffset>
                </wp:positionH>
                <wp:positionV relativeFrom="page">
                  <wp:posOffset>360045</wp:posOffset>
                </wp:positionV>
                <wp:extent cx="1864995" cy="1976120"/>
                <wp:effectExtent l="0" t="0" r="0" b="0"/>
                <wp:wrapNone/>
                <wp:docPr id="78" name="Freeform: Shape 7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5A723B2" id="Freeform: Shape 78" o:spid="_x0000_s1026" style="position:absolute;margin-left:28.35pt;margin-top:28.35pt;width:146.85pt;height:155.6pt;z-index:2516583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346" behindDoc="0" locked="1" layoutInCell="1" allowOverlap="1" wp14:anchorId="43958DDE" wp14:editId="473472EC">
                <wp:simplePos x="0" y="0"/>
                <wp:positionH relativeFrom="page">
                  <wp:posOffset>359410</wp:posOffset>
                </wp:positionH>
                <wp:positionV relativeFrom="page">
                  <wp:posOffset>359410</wp:posOffset>
                </wp:positionV>
                <wp:extent cx="1864995" cy="1976120"/>
                <wp:effectExtent l="0" t="0" r="0" b="0"/>
                <wp:wrapNone/>
                <wp:docPr id="81" name="Freeform: Shape 8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3694B56" id="Freeform: Shape 81" o:spid="_x0000_s1026" style="position:absolute;margin-left:28.3pt;margin-top:28.3pt;width:146.85pt;height:155.6pt;z-index:2516583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345" behindDoc="0" locked="1" layoutInCell="1" allowOverlap="1" wp14:anchorId="5B704700" wp14:editId="59859860">
                <wp:simplePos x="0" y="0"/>
                <wp:positionH relativeFrom="page">
                  <wp:posOffset>0</wp:posOffset>
                </wp:positionH>
                <wp:positionV relativeFrom="page">
                  <wp:align>bottom</wp:align>
                </wp:positionV>
                <wp:extent cx="3848100" cy="720090"/>
                <wp:effectExtent l="0" t="0" r="0" b="0"/>
                <wp:wrapNone/>
                <wp:docPr id="1597" name="Text Box 1597"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B1239" w14:textId="77777777" w:rsidR="00324D1B" w:rsidRDefault="00324D1B" w:rsidP="00324D1B">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04700" id="Text Box 1597" o:spid="_x0000_s1078" type="#_x0000_t202" style="position:absolute;left:0;text-align:left;margin-left:0;margin-top:0;width:303pt;height:56.7pt;z-index:2516583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" filled="f" stroked="f" strokeweight=".5pt">
                <v:textbox inset="20mm">
                  <w:txbxContent>
                    <w:p w14:paraId="038B1239" w14:textId="77777777" w:rsidR="00324D1B" w:rsidRDefault="00324D1B" w:rsidP="00324D1B">
                      <w:pPr>
                        <w:pStyle w:val="xWebCoverPage"/>
                      </w:pPr>
                      <w:r>
                        <w:t>delwp.vic.gov.au</w:t>
                      </w:r>
                    </w:p>
                  </w:txbxContent>
                </v:textbox>
                <w10:wrap anchorx="page" anchory="page"/>
                <w10:anchorlock/>
              </v:shape>
            </w:pict>
          </mc:Fallback>
        </mc:AlternateContent>
      </w:r>
      <w:r>
        <w:t>Climate change; Fire</w:t>
      </w:r>
    </w:p>
    <w:p w14:paraId="0C474167" w14:textId="52FEE22F" w:rsidR="00324D1B" w:rsidRDefault="00324D1B" w:rsidP="00324D1B">
      <w:pPr>
        <w:pStyle w:val="Heading5"/>
        <w:numPr>
          <w:ilvl w:val="0"/>
          <w:numId w:val="0"/>
        </w:numPr>
        <w:ind w:left="1008" w:hanging="1008"/>
      </w:pPr>
      <w:r>
        <w:t>Drying climate and increased fire frequency</w:t>
      </w:r>
      <w:r w:rsidR="003A0CD0">
        <w:t xml:space="preserve"> and </w:t>
      </w:r>
      <w:r>
        <w:t>intensity</w:t>
      </w:r>
    </w:p>
    <w:p w14:paraId="24A4B63B" w14:textId="6FC53ED9" w:rsidR="00324D1B" w:rsidRDefault="00324D1B" w:rsidP="00324D1B">
      <w:pPr>
        <w:pStyle w:val="BodyText"/>
      </w:pPr>
      <w:r>
        <w:t xml:space="preserve">Climatic warming and drying increase the risk of extreme drought stress resulting in recruitment failure following forestry operations, regeneration burning, or planned burns. </w:t>
      </w:r>
      <w:r w:rsidR="00770D26">
        <w:t>Climatic warming and drying</w:t>
      </w:r>
      <w:r>
        <w:t xml:space="preserve"> also increases fire risk resulting in increasing frequency, intensity</w:t>
      </w:r>
      <w:r w:rsidR="004921E8">
        <w:t>,</w:t>
      </w:r>
      <w:r>
        <w:t xml:space="preserve"> and landscape scale of uncontrolled bushfires at intervals shorter than the tolerable fire interval for the </w:t>
      </w:r>
      <w:r w:rsidR="001D3902">
        <w:t>species</w:t>
      </w:r>
      <w:r>
        <w:t xml:space="preserve">, which is inferred to be in the 50-80-year range or more. The </w:t>
      </w:r>
      <w:r w:rsidR="001D3902">
        <w:t>species</w:t>
      </w:r>
      <w:r>
        <w:t xml:space="preserve"> occurs in Cool Temperate Rainforest including most notably the state’s most extensive surviving stands of mature Cool Temperate Mixed Forest, both FFG-Listed threatened communities, and Wet Forest or Montane Wet Forest, attaining full maturity in old-growth rainforest ecotones. Although the </w:t>
      </w:r>
      <w:r w:rsidR="001D3902">
        <w:t>species</w:t>
      </w:r>
      <w:r>
        <w:t xml:space="preserve"> can recover both vegetatively through resprouting and through germination from the soil-stored seedbank, mortality of adult individuals and recruitment failure of both resprouts and seed-based recruits depletes the available seedbank and increases the risk of local extinction. Both vegetative resprouts and seed-based recruits are exposed to the risk of targeted browsing by Sambar. This hazard extends across all the </w:t>
      </w:r>
      <w:r w:rsidR="001D3902">
        <w:t>species’</w:t>
      </w:r>
      <w:r>
        <w:t xml:space="preserve"> distribution.</w:t>
      </w:r>
    </w:p>
    <w:p w14:paraId="5DEFB68B" w14:textId="77777777" w:rsidR="00324D1B" w:rsidRDefault="00324D1B" w:rsidP="00324D1B">
      <w:pPr>
        <w:pStyle w:val="BodyText"/>
      </w:pPr>
      <w:r>
        <w:t>Current existing controls for this hazard include:</w:t>
      </w:r>
    </w:p>
    <w:p w14:paraId="503AECC7" w14:textId="4CA8DA9F" w:rsidR="00324D1B" w:rsidRDefault="00324D1B" w:rsidP="006670D2">
      <w:pPr>
        <w:pStyle w:val="PullOutBoxBullet"/>
      </w:pPr>
      <w:r>
        <w:t>Planned burning and strategic bushfire management planning. These controls are considered ineffective in this case as the species’ habitat is generally not suitable for planned burning. Strategic fuel breaks and associated backburning may however provide valuable protection in some cases for this species and its habitat from severe bushfires.</w:t>
      </w:r>
    </w:p>
    <w:p w14:paraId="7F9A78EA" w14:textId="77777777" w:rsidR="00324D1B" w:rsidRDefault="00324D1B" w:rsidP="00324D1B">
      <w:pPr>
        <w:rPr>
          <w:rFonts w:cs="Times New Roman"/>
          <w:b/>
          <w:bCs/>
          <w:sz w:val="18"/>
        </w:rPr>
      </w:pPr>
      <w:r>
        <w:rPr>
          <w:rFonts w:cs="Times New Roman"/>
          <w:color w:val="auto"/>
          <w:sz w:val="18"/>
        </w:rPr>
        <w:br w:type="page"/>
      </w:r>
    </w:p>
    <w:p w14:paraId="641D950D" w14:textId="0D5985F3" w:rsidR="00324D1B" w:rsidRPr="00FF310C" w:rsidRDefault="00324D1B" w:rsidP="006670D2">
      <w:pPr>
        <w:pStyle w:val="Caption"/>
      </w:pPr>
      <w:r w:rsidRPr="00FF310C">
        <w:rPr>
          <w:rFonts w:cs="Times New Roman"/>
        </w:rPr>
        <w:t>T</w:t>
      </w:r>
      <w:r w:rsidRPr="00FF310C">
        <w:t xml:space="preserve">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108</w:t>
      </w:r>
      <w:r w:rsidR="000B6788" w:rsidRPr="00291BDC">
        <w:rPr>
          <w:bCs/>
          <w:noProof/>
        </w:rPr>
        <w:fldChar w:fldCharType="end"/>
      </w:r>
      <w:r w:rsidRPr="00FF310C">
        <w:t>. Forest Geebung protection requirements and recommendations for drying climate and increased fire frequency</w:t>
      </w:r>
      <w:r w:rsidR="003A0CD0" w:rsidRPr="00FF310C">
        <w:t xml:space="preserve"> and </w:t>
      </w:r>
      <w:r w:rsidRPr="00FF310C">
        <w:t>intensity</w:t>
      </w:r>
    </w:p>
    <w:tbl>
      <w:tblPr>
        <w:tblStyle w:val="TableGrid"/>
        <w:tblW w:w="0" w:type="auto"/>
        <w:tblLook w:val="04A0" w:firstRow="1" w:lastRow="0" w:firstColumn="1" w:lastColumn="0" w:noHBand="0" w:noVBand="1"/>
      </w:tblPr>
      <w:tblGrid>
        <w:gridCol w:w="2268"/>
        <w:gridCol w:w="7371"/>
      </w:tblGrid>
      <w:tr w:rsidR="00324D1B" w14:paraId="5BD246E4"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DEC113A"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445DC16D"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39410AC9" w14:textId="77777777" w:rsidTr="00140207">
        <w:tc>
          <w:tcPr>
            <w:tcW w:w="2268" w:type="dxa"/>
            <w:tcBorders>
              <w:top w:val="single" w:sz="8" w:space="0" w:color="CDDC29" w:themeColor="text2"/>
              <w:left w:val="nil"/>
              <w:bottom w:val="single" w:sz="8" w:space="0" w:color="CDDC29" w:themeColor="text2"/>
              <w:right w:val="nil"/>
            </w:tcBorders>
            <w:hideMark/>
          </w:tcPr>
          <w:p w14:paraId="2CF67FEE" w14:textId="04D7D736" w:rsidR="00324D1B" w:rsidRDefault="00DC299E" w:rsidP="00140207">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0796A4E8" w14:textId="77777777" w:rsidR="00324D1B" w:rsidRDefault="00324D1B" w:rsidP="00140207">
            <w:pPr>
              <w:pStyle w:val="BodyText"/>
            </w:pPr>
            <w:r>
              <w:t>Not required for this hazard as it is a longer-term threat.</w:t>
            </w:r>
          </w:p>
        </w:tc>
      </w:tr>
      <w:tr w:rsidR="00324D1B" w14:paraId="29992E10" w14:textId="77777777" w:rsidTr="00140207">
        <w:tc>
          <w:tcPr>
            <w:tcW w:w="2268" w:type="dxa"/>
            <w:tcBorders>
              <w:top w:val="single" w:sz="8" w:space="0" w:color="CDDC29" w:themeColor="text2"/>
              <w:left w:val="nil"/>
              <w:bottom w:val="single" w:sz="8" w:space="0" w:color="CDDC29" w:themeColor="text2"/>
              <w:right w:val="nil"/>
            </w:tcBorders>
            <w:hideMark/>
          </w:tcPr>
          <w:p w14:paraId="3D3F0649" w14:textId="7DCA63A6" w:rsidR="00324D1B" w:rsidRDefault="00DC299E" w:rsidP="00140207">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35E0E9D3" w14:textId="66606408" w:rsidR="00324D1B" w:rsidRDefault="00324D1B" w:rsidP="006670D2">
            <w:pPr>
              <w:pStyle w:val="PullOutBoxBullet"/>
            </w:pPr>
            <w:r>
              <w:t xml:space="preserve">Target at-risk parts of the </w:t>
            </w:r>
            <w:r w:rsidR="001D3902">
              <w:t>species’</w:t>
            </w:r>
            <w:r>
              <w:t xml:space="preserve"> range to sample a variety of genes that might better support climate adaptation work on the species; </w:t>
            </w:r>
          </w:p>
          <w:p w14:paraId="10770C30" w14:textId="77777777" w:rsidR="00324D1B" w:rsidRDefault="00324D1B" w:rsidP="006670D2">
            <w:pPr>
              <w:pStyle w:val="PullOutBoxBullet"/>
            </w:pPr>
            <w:r>
              <w:t>Target fire prevention and suppression activities to prevent high intensity bushfire impacting important populations; and</w:t>
            </w:r>
          </w:p>
          <w:p w14:paraId="421B3A52" w14:textId="77777777" w:rsidR="00324D1B" w:rsidRDefault="00324D1B" w:rsidP="006670D2">
            <w:pPr>
              <w:pStyle w:val="PullOutBoxBullet"/>
            </w:pPr>
            <w:r>
              <w:t xml:space="preserve">Avoid planned burning operations in or near important populations. </w:t>
            </w:r>
          </w:p>
        </w:tc>
      </w:tr>
    </w:tbl>
    <w:p w14:paraId="7488E038" w14:textId="77777777" w:rsidR="00324D1B" w:rsidRDefault="00324D1B" w:rsidP="007E5EBF">
      <w:pPr>
        <w:pStyle w:val="Heading3"/>
      </w:pPr>
      <w:r>
        <w:t>Forestry operations</w:t>
      </w:r>
    </w:p>
    <w:p w14:paraId="420EBE54" w14:textId="77777777" w:rsidR="00324D1B" w:rsidRDefault="00324D1B" w:rsidP="00324D1B">
      <w:pPr>
        <w:pStyle w:val="Heading5"/>
        <w:numPr>
          <w:ilvl w:val="0"/>
          <w:numId w:val="0"/>
        </w:numPr>
        <w:ind w:left="1008" w:hanging="1008"/>
      </w:pPr>
      <w:r>
        <w:t>Forestry operations</w:t>
      </w:r>
    </w:p>
    <w:p w14:paraId="4AA86B44" w14:textId="5AC61A62" w:rsidR="00324D1B" w:rsidRDefault="00324D1B" w:rsidP="00324D1B">
      <w:pPr>
        <w:pStyle w:val="BodyText"/>
      </w:pPr>
      <w:r>
        <w:t xml:space="preserve">Forest Geebung may be threatened by forestry operations in parts of its range, including the disturbance and removal of understorey species and invasion by weeds. Forestry operations in high elevation native forests in high rainfall zones generally involve the seed-tree silvicultural system </w:t>
      </w:r>
      <w:r w:rsidR="00381BD2">
        <w:t>to</w:t>
      </w:r>
      <w:r>
        <w:t xml:space="preserve"> maximise regeneration success. Such operations are likely to have a significant impact on understorey trees and shrubs, including mature stands of Forest Geebung</w:t>
      </w:r>
      <w:r>
        <w:rPr>
          <w:i/>
        </w:rPr>
        <w:t>.</w:t>
      </w:r>
      <w:r>
        <w:t xml:space="preserve"> Although the </w:t>
      </w:r>
      <w:r w:rsidR="001D3902">
        <w:t>species</w:t>
      </w:r>
      <w:r>
        <w:t xml:space="preserve"> is capable of resprouting from surviving rootstocks, it also responds by germination of soil-stored seed. It is a common component of Wet Forest, Montane Wet Forest</w:t>
      </w:r>
      <w:r w:rsidR="00381BD2">
        <w:t>,</w:t>
      </w:r>
      <w:r>
        <w:t xml:space="preserve"> and Cool Temperate Mixed Forest stands, particularly on the Errinundra Plateau. </w:t>
      </w:r>
    </w:p>
    <w:p w14:paraId="3A27E5DF" w14:textId="2CA55007" w:rsidR="00324D1B" w:rsidRPr="00F05594" w:rsidRDefault="00324D1B" w:rsidP="00324D1B">
      <w:pPr>
        <w:pStyle w:val="BodyText"/>
      </w:pPr>
      <w:r>
        <w:t xml:space="preserve">It’s possible that a partial loss of propagules occurs through the forestry regeneration process if seedlings or resprouts emerge following the initial </w:t>
      </w:r>
      <w:r w:rsidRPr="00F05594">
        <w:t>harvesting disturbance, which are then subsequently impacted by post-harvest regeneration burns, however a secondary cohort may recruit following the regeneration burn. Both resprouting and newly germinated juveniles are at elevated risk of recruitment failure through extreme drought stress, targeted browsing by Sambar or Black-tailed Wallaby and, potentially, by intense competition by fire-adapted sclerophyll species and exotic weeds, most notably Forest Blackberry</w:t>
      </w:r>
      <w:r w:rsidR="005A1226">
        <w:t>.</w:t>
      </w:r>
      <w:r w:rsidRPr="00F05594">
        <w:t xml:space="preserve"> </w:t>
      </w:r>
      <w:r w:rsidR="0071644F" w:rsidRPr="00FD57DB">
        <w:t>Based on the 2015 net harvest area laye</w:t>
      </w:r>
      <w:r w:rsidR="0007684F" w:rsidRPr="00FD57DB">
        <w:t>r</w:t>
      </w:r>
      <w:r w:rsidR="002740A5" w:rsidRPr="00FD57DB">
        <w:t>,</w:t>
      </w:r>
      <w:r w:rsidR="0007684F" w:rsidRPr="00FD57DB">
        <w:t xml:space="preserve"> 18% </w:t>
      </w:r>
      <w:r w:rsidR="005531E9" w:rsidRPr="00FD57DB">
        <w:t xml:space="preserve">of the </w:t>
      </w:r>
      <w:r w:rsidR="001D3902">
        <w:t>species’</w:t>
      </w:r>
      <w:r w:rsidR="0007684F" w:rsidRPr="00FD57DB">
        <w:t xml:space="preserve"> VBA records and 26% of </w:t>
      </w:r>
      <w:r w:rsidR="005531E9" w:rsidRPr="00FD57DB">
        <w:t xml:space="preserve">its </w:t>
      </w:r>
      <w:r w:rsidR="0007684F" w:rsidRPr="00FD57DB">
        <w:t xml:space="preserve">important populations are within merchantable areas. </w:t>
      </w:r>
      <w:r w:rsidR="0071644F" w:rsidRPr="00FD57DB">
        <w:t xml:space="preserve">Using the revised operable layer, this is reduced to </w:t>
      </w:r>
      <w:r w:rsidR="005531E9" w:rsidRPr="00FD57DB">
        <w:t>5</w:t>
      </w:r>
      <w:r w:rsidR="0071644F" w:rsidRPr="00FD57DB">
        <w:t>%</w:t>
      </w:r>
      <w:r w:rsidR="005531E9" w:rsidRPr="00FD57DB">
        <w:t xml:space="preserve"> of both VBA records and important populations.</w:t>
      </w:r>
    </w:p>
    <w:p w14:paraId="27AA7182" w14:textId="77777777" w:rsidR="00324D1B" w:rsidRPr="00F05594" w:rsidRDefault="00324D1B" w:rsidP="00324D1B">
      <w:pPr>
        <w:pStyle w:val="BodyText"/>
      </w:pPr>
      <w:r w:rsidRPr="00F05594">
        <w:t>Current existing controls for this hazard include:</w:t>
      </w:r>
    </w:p>
    <w:p w14:paraId="50D1455E" w14:textId="507B30F9" w:rsidR="00324D1B" w:rsidRPr="00F05594" w:rsidRDefault="00324D1B" w:rsidP="006670D2">
      <w:pPr>
        <w:pStyle w:val="PullOutBoxBullet"/>
      </w:pPr>
      <w:r w:rsidRPr="00F05594">
        <w:t xml:space="preserve">The </w:t>
      </w:r>
      <w:r w:rsidRPr="00F05594">
        <w:rPr>
          <w:i/>
          <w:iCs/>
        </w:rPr>
        <w:t xml:space="preserve">Code of Practice for Timber Production 2014. </w:t>
      </w:r>
      <w:r w:rsidRPr="00F05594">
        <w:t xml:space="preserve">There is no species-specific prescription for this </w:t>
      </w:r>
      <w:r w:rsidR="001D3902">
        <w:t>species</w:t>
      </w:r>
      <w:r w:rsidRPr="00F05594">
        <w:t xml:space="preserve"> in the Code, however the Code includes general protections for rainforest, old growth forest and waterways including a prohibition on harvesting, the application of buffers and </w:t>
      </w:r>
      <w:r w:rsidR="004F30F6" w:rsidRPr="00C02DCA">
        <w:t>design standards for roads, crossings</w:t>
      </w:r>
      <w:r w:rsidR="00381BD2" w:rsidRPr="00C02DCA">
        <w:t>,</w:t>
      </w:r>
      <w:r w:rsidR="004F30F6" w:rsidRPr="00C02DCA">
        <w:t xml:space="preserve"> and coupe infrastructure</w:t>
      </w:r>
      <w:r w:rsidR="004F30F6" w:rsidRPr="4F453272">
        <w:t xml:space="preserve">. </w:t>
      </w:r>
      <w:r w:rsidRPr="00F05594">
        <w:t xml:space="preserve">The lack of a specific prescription leads to the effectiveness of the Code being assessed as poor for this </w:t>
      </w:r>
      <w:r w:rsidR="001D3902">
        <w:t>species</w:t>
      </w:r>
      <w:r w:rsidRPr="00F05594">
        <w:t xml:space="preserve">. </w:t>
      </w:r>
    </w:p>
    <w:p w14:paraId="075F0962" w14:textId="4425D8F4" w:rsidR="00324D1B" w:rsidRPr="00F05594" w:rsidRDefault="00324D1B" w:rsidP="006670D2">
      <w:pPr>
        <w:pStyle w:val="PullOutBoxBullet"/>
        <w:rPr>
          <w:rFonts w:eastAsiaTheme="minorEastAsia" w:cstheme="minorBidi"/>
        </w:rPr>
      </w:pPr>
      <w:r w:rsidRPr="00F05594">
        <w:t xml:space="preserve">The CAR reserve system. The effectiveness of this control for this species has been evaluated as satisfactory as 60% of the </w:t>
      </w:r>
      <w:r w:rsidR="001D3902">
        <w:t>species’</w:t>
      </w:r>
      <w:r w:rsidRPr="00F05594">
        <w:t xml:space="preserve"> modelled distribution and 69% of important populations are within the reserve system</w:t>
      </w:r>
      <w:r w:rsidR="005E1477">
        <w:t>.</w:t>
      </w:r>
    </w:p>
    <w:p w14:paraId="63F7AD18" w14:textId="77777777" w:rsidR="00324D1B" w:rsidRPr="00F05594" w:rsidRDefault="00324D1B" w:rsidP="00324D1B">
      <w:pPr>
        <w:rPr>
          <w:b/>
          <w:bCs/>
          <w:sz w:val="18"/>
          <w:szCs w:val="18"/>
        </w:rPr>
      </w:pPr>
      <w:r w:rsidRPr="00F05594">
        <w:rPr>
          <w:color w:val="auto"/>
          <w:sz w:val="18"/>
          <w:szCs w:val="18"/>
        </w:rPr>
        <w:br w:type="page"/>
      </w:r>
    </w:p>
    <w:p w14:paraId="2FB87046" w14:textId="0B5AA7C0"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109</w:t>
      </w:r>
      <w:r w:rsidR="000B6788" w:rsidRPr="00291BDC">
        <w:rPr>
          <w:bCs/>
          <w:noProof/>
        </w:rPr>
        <w:fldChar w:fldCharType="end"/>
      </w:r>
      <w:r w:rsidRPr="00FF310C">
        <w:t>. Forest Geebung protection requirements and recommendations for forestry operations</w:t>
      </w:r>
    </w:p>
    <w:tbl>
      <w:tblPr>
        <w:tblStyle w:val="TableGrid"/>
        <w:tblW w:w="9639" w:type="dxa"/>
        <w:tblLayout w:type="fixed"/>
        <w:tblLook w:val="04A0" w:firstRow="1" w:lastRow="0" w:firstColumn="1" w:lastColumn="0" w:noHBand="0" w:noVBand="1"/>
      </w:tblPr>
      <w:tblGrid>
        <w:gridCol w:w="2268"/>
        <w:gridCol w:w="7371"/>
      </w:tblGrid>
      <w:tr w:rsidR="00187A7D" w14:paraId="0ABCF0C1" w14:textId="77777777" w:rsidTr="002D17E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hideMark/>
          </w:tcPr>
          <w:p w14:paraId="51B7FF40" w14:textId="77777777" w:rsidR="00324D1B" w:rsidRDefault="00324D1B" w:rsidP="002D17E4">
            <w:pPr>
              <w:pStyle w:val="BodyText"/>
            </w:pPr>
            <w:r>
              <w:t>Requirement</w:t>
            </w:r>
          </w:p>
        </w:tc>
        <w:tc>
          <w:tcPr>
            <w:tcW w:w="7371" w:type="dxa"/>
            <w:tcBorders>
              <w:top w:val="single" w:sz="8" w:space="0" w:color="CDDC29" w:themeColor="text2"/>
              <w:left w:val="nil"/>
              <w:bottom w:val="single" w:sz="8" w:space="0" w:color="CDDC29" w:themeColor="text2"/>
              <w:right w:val="nil"/>
            </w:tcBorders>
            <w:hideMark/>
          </w:tcPr>
          <w:p w14:paraId="1AC82194" w14:textId="77777777" w:rsidR="00324D1B" w:rsidRDefault="00324D1B" w:rsidP="002D17E4">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F25FD" w14:paraId="7DE07D74" w14:textId="77777777" w:rsidTr="002D17E4">
        <w:tc>
          <w:tcPr>
            <w:tcW w:w="2268" w:type="dxa"/>
            <w:tcBorders>
              <w:top w:val="single" w:sz="8" w:space="0" w:color="CDDC29" w:themeColor="text2"/>
              <w:left w:val="nil"/>
              <w:bottom w:val="single" w:sz="8" w:space="0" w:color="CDDC29" w:themeColor="text2"/>
              <w:right w:val="nil"/>
            </w:tcBorders>
            <w:hideMark/>
          </w:tcPr>
          <w:p w14:paraId="0D6CC241" w14:textId="77777777" w:rsidR="00324D1B" w:rsidRDefault="00324D1B" w:rsidP="002D17E4">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2064FC8D" w14:textId="647F7FDE" w:rsidR="00324D1B" w:rsidRDefault="00324D1B" w:rsidP="002D17E4">
            <w:pPr>
              <w:pStyle w:val="BodyText"/>
              <w:rPr>
                <w:rFonts w:eastAsia="Calibri"/>
              </w:rPr>
            </w:pPr>
            <w:r>
              <w:rPr>
                <w:rFonts w:eastAsia="Calibri"/>
              </w:rPr>
              <w:t>Within the East Gippsland and Gippsland RFA</w:t>
            </w:r>
            <w:r w:rsidR="00184CB0">
              <w:rPr>
                <w:rFonts w:eastAsia="Calibri"/>
              </w:rPr>
              <w:t xml:space="preserve"> region</w:t>
            </w:r>
            <w:r>
              <w:rPr>
                <w:rFonts w:eastAsia="Calibri"/>
              </w:rPr>
              <w:t>, the Secretary will establish Special Management Zone(s) over individual or collections of post-1970 VBA records (</w:t>
            </w:r>
            <w:r w:rsidR="0058098D">
              <w:rPr>
                <w:rFonts w:eastAsia="Calibri"/>
              </w:rPr>
              <w:t>records with an accuracy of 100 m or better</w:t>
            </w:r>
            <w:r>
              <w:rPr>
                <w:rFonts w:eastAsia="Calibri"/>
              </w:rPr>
              <w:t>) with the following conditions:</w:t>
            </w:r>
          </w:p>
          <w:p w14:paraId="5D3964E5" w14:textId="106F6CC2" w:rsidR="00324D1B" w:rsidRDefault="00324D1B" w:rsidP="006670D2">
            <w:pPr>
              <w:pStyle w:val="PullOutBoxBullet"/>
            </w:pPr>
            <w:r>
              <w:t>The managing authority is required to apply a management area of 200 m radius over individual or collections of post-1970 VBA records (</w:t>
            </w:r>
            <w:r w:rsidR="0058098D">
              <w:t>records with an accuracy of 100 m or better</w:t>
            </w:r>
            <w:r>
              <w:t>). Conduct a site inspection and detailed planning in consultation with the Department to ensure the species is adequately protected during timber harvesting operations</w:t>
            </w:r>
            <w:r w:rsidR="00A61297">
              <w:t xml:space="preserve"> (See Map 6a).</w:t>
            </w:r>
          </w:p>
        </w:tc>
      </w:tr>
      <w:tr w:rsidR="00585AB9" w14:paraId="3A58829F" w14:textId="77777777" w:rsidTr="002D17E4">
        <w:tc>
          <w:tcPr>
            <w:tcW w:w="2268" w:type="dxa"/>
            <w:tcBorders>
              <w:top w:val="single" w:sz="8" w:space="0" w:color="CDDC29" w:themeColor="text2"/>
              <w:left w:val="nil"/>
              <w:bottom w:val="single" w:sz="8" w:space="0" w:color="CDDC29" w:themeColor="text2"/>
              <w:right w:val="nil"/>
            </w:tcBorders>
          </w:tcPr>
          <w:p w14:paraId="17513B48" w14:textId="45AB5D45" w:rsidR="00252CFC" w:rsidRDefault="00252CFC" w:rsidP="002D17E4">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77CCC4CE" w14:textId="77777777" w:rsidR="005672B6" w:rsidRPr="00E31362" w:rsidRDefault="005672B6" w:rsidP="006670D2">
            <w:pPr>
              <w:pStyle w:val="PullOutBoxBullet"/>
            </w:pPr>
            <w:r w:rsidRPr="00E31362">
              <w:t>Comprehensively search likely habitat and map important populations; and</w:t>
            </w:r>
          </w:p>
          <w:p w14:paraId="225BE478" w14:textId="4AADB504" w:rsidR="00252CFC" w:rsidRDefault="005672B6" w:rsidP="006670D2">
            <w:pPr>
              <w:pStyle w:val="PullOutBoxBullet"/>
            </w:pPr>
            <w:r w:rsidRPr="00E31362">
              <w:t>Establish monitoring sites and collect baseline data.</w:t>
            </w:r>
          </w:p>
        </w:tc>
      </w:tr>
      <w:tr w:rsidR="003F25FD" w14:paraId="7D26425E" w14:textId="77777777" w:rsidTr="002D17E4">
        <w:tc>
          <w:tcPr>
            <w:tcW w:w="2268" w:type="dxa"/>
            <w:tcBorders>
              <w:top w:val="single" w:sz="8" w:space="0" w:color="CDDC29" w:themeColor="text2"/>
              <w:left w:val="nil"/>
              <w:bottom w:val="single" w:sz="8" w:space="0" w:color="CDDC29" w:themeColor="text2"/>
              <w:right w:val="nil"/>
            </w:tcBorders>
            <w:hideMark/>
          </w:tcPr>
          <w:p w14:paraId="2839CA4C" w14:textId="77777777" w:rsidR="00324D1B" w:rsidRDefault="00324D1B" w:rsidP="002D17E4">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4C128287" w14:textId="77777777" w:rsidR="00324D1B" w:rsidRDefault="00324D1B" w:rsidP="002D17E4">
            <w:pPr>
              <w:pStyle w:val="BodyText"/>
            </w:pPr>
            <w:r>
              <w:t>Additional permanent protections may be required in the longer-term.</w:t>
            </w:r>
          </w:p>
        </w:tc>
      </w:tr>
      <w:tr w:rsidR="003F25FD" w14:paraId="4EF18E79" w14:textId="77777777" w:rsidTr="002D17E4">
        <w:tc>
          <w:tcPr>
            <w:tcW w:w="2268" w:type="dxa"/>
            <w:tcBorders>
              <w:top w:val="single" w:sz="8" w:space="0" w:color="CDDC29" w:themeColor="text2"/>
              <w:left w:val="nil"/>
              <w:bottom w:val="single" w:sz="8" w:space="0" w:color="CDDC29" w:themeColor="text2"/>
              <w:right w:val="nil"/>
            </w:tcBorders>
            <w:hideMark/>
          </w:tcPr>
          <w:p w14:paraId="3FCCFB5F" w14:textId="2DD0B371" w:rsidR="00324D1B" w:rsidRDefault="00925D17" w:rsidP="002D17E4">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35D442A7" w14:textId="77777777" w:rsidR="00324D1B" w:rsidRDefault="00324D1B" w:rsidP="006670D2">
            <w:pPr>
              <w:pStyle w:val="PullOutBoxBullet"/>
            </w:pPr>
            <w:r>
              <w:t xml:space="preserve">Conduct thorough surveys of all scheduled coupes across the known range of the species to identify all stands for protection and buffering; and </w:t>
            </w:r>
          </w:p>
          <w:p w14:paraId="2B0DE406" w14:textId="6229C05B" w:rsidR="00324D1B" w:rsidRDefault="00324D1B" w:rsidP="006670D2">
            <w:pPr>
              <w:pStyle w:val="PullOutBoxBullet"/>
            </w:pPr>
            <w:r w:rsidRPr="00AB25A9">
              <w:rPr>
                <w:i/>
                <w:iCs/>
              </w:rPr>
              <w:t>Ex-situ</w:t>
            </w:r>
            <w:r>
              <w:t xml:space="preserve"> seed collection, as the </w:t>
            </w:r>
            <w:r w:rsidR="001D3902">
              <w:t>species</w:t>
            </w:r>
            <w:r>
              <w:t xml:space="preserve"> is currently present in the </w:t>
            </w:r>
            <w:r w:rsidR="000B671C">
              <w:t xml:space="preserve">VCS </w:t>
            </w:r>
            <w:r>
              <w:t xml:space="preserve">by a single collection. Ideally, multiple localities are included in the collection, which each comprise larger stands of the </w:t>
            </w:r>
            <w:r w:rsidR="001D3902">
              <w:t>species</w:t>
            </w:r>
            <w:r>
              <w:t xml:space="preserve"> and have good seed set at the time of collection and include wide ranging sites to accommodate some genetic variation in the interest of climate adaptation.</w:t>
            </w:r>
          </w:p>
        </w:tc>
      </w:tr>
    </w:tbl>
    <w:p w14:paraId="23F39F0F" w14:textId="44B8873B" w:rsidR="00324D1B" w:rsidRDefault="00324D1B" w:rsidP="007E5EBF">
      <w:pPr>
        <w:pStyle w:val="Heading3"/>
      </w:pPr>
      <w:r>
        <w:rPr>
          <w:noProof/>
        </w:rPr>
        <mc:AlternateContent>
          <mc:Choice Requires="wps">
            <w:drawing>
              <wp:anchor distT="0" distB="0" distL="114300" distR="114300" simplePos="0" relativeHeight="251658344" behindDoc="1" locked="1" layoutInCell="1" allowOverlap="1" wp14:anchorId="7D60C488" wp14:editId="0B93EB5A">
                <wp:simplePos x="0" y="0"/>
                <wp:positionH relativeFrom="page">
                  <wp:posOffset>359410</wp:posOffset>
                </wp:positionH>
                <wp:positionV relativeFrom="page">
                  <wp:posOffset>9071610</wp:posOffset>
                </wp:positionV>
                <wp:extent cx="6840220" cy="431800"/>
                <wp:effectExtent l="0" t="0" r="0" b="0"/>
                <wp:wrapNone/>
                <wp:docPr id="1589" name="Text Box 1589"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5E945"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C488" id="Text Box 1589" o:spid="_x0000_s1079" type="#_x0000_t202" alt="Title: Decorative Cover Shape" style="position:absolute;left:0;text-align:left;margin-left:28.3pt;margin-top:714.3pt;width:538.6pt;height:34pt;z-index:-251658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" fillcolor="#201547" stroked="f" strokeweight=".5pt">
                <v:textbox inset="10mm,0,10mm,0">
                  <w:txbxContent>
                    <w:p w14:paraId="7B15E945"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343" behindDoc="0" locked="1" layoutInCell="1" allowOverlap="1" wp14:anchorId="04608714" wp14:editId="5756285E">
                <wp:simplePos x="0" y="0"/>
                <wp:positionH relativeFrom="page">
                  <wp:posOffset>360045</wp:posOffset>
                </wp:positionH>
                <wp:positionV relativeFrom="page">
                  <wp:posOffset>360045</wp:posOffset>
                </wp:positionV>
                <wp:extent cx="1864995" cy="1976120"/>
                <wp:effectExtent l="0" t="0" r="0" b="0"/>
                <wp:wrapNone/>
                <wp:docPr id="82" name="Freeform: Shape 8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BE71540" id="Freeform: Shape 82" o:spid="_x0000_s1026" style="position:absolute;margin-left:28.35pt;margin-top:28.35pt;width:146.85pt;height:155.6pt;z-index:2516583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342" behindDoc="0" locked="1" layoutInCell="1" allowOverlap="1" wp14:anchorId="062AAC83" wp14:editId="503FBAD3">
                <wp:simplePos x="0" y="0"/>
                <wp:positionH relativeFrom="page">
                  <wp:posOffset>359410</wp:posOffset>
                </wp:positionH>
                <wp:positionV relativeFrom="page">
                  <wp:posOffset>359410</wp:posOffset>
                </wp:positionV>
                <wp:extent cx="1864995" cy="1976120"/>
                <wp:effectExtent l="0" t="0" r="0" b="0"/>
                <wp:wrapNone/>
                <wp:docPr id="83" name="Freeform: Shape 8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EC0172E" id="Freeform: Shape 83" o:spid="_x0000_s1026" style="position:absolute;margin-left:28.3pt;margin-top:28.3pt;width:146.85pt;height:155.6pt;z-index:2516583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341" behindDoc="0" locked="1" layoutInCell="1" allowOverlap="1" wp14:anchorId="2E28D171" wp14:editId="78599BE3">
                <wp:simplePos x="0" y="0"/>
                <wp:positionH relativeFrom="page">
                  <wp:posOffset>0</wp:posOffset>
                </wp:positionH>
                <wp:positionV relativeFrom="page">
                  <wp:align>bottom</wp:align>
                </wp:positionV>
                <wp:extent cx="3848100" cy="720090"/>
                <wp:effectExtent l="0" t="0" r="0" b="0"/>
                <wp:wrapNone/>
                <wp:docPr id="1592" name="Text Box 1592"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1E593" w14:textId="77777777" w:rsidR="00324D1B" w:rsidRDefault="00324D1B" w:rsidP="00324D1B">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8D171" id="Text Box 1592" o:spid="_x0000_s1080" type="#_x0000_t202" style="position:absolute;left:0;text-align:left;margin-left:0;margin-top:0;width:303pt;height:56.7pt;z-index:25165834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" filled="f" stroked="f" strokeweight=".5pt">
                <v:textbox inset="20mm">
                  <w:txbxContent>
                    <w:p w14:paraId="1041E593" w14:textId="77777777" w:rsidR="00324D1B" w:rsidRDefault="00324D1B" w:rsidP="00324D1B">
                      <w:pPr>
                        <w:pStyle w:val="xWebCoverPage"/>
                      </w:pPr>
                      <w:r>
                        <w:t>delwp.vic.gov.au</w:t>
                      </w:r>
                    </w:p>
                  </w:txbxContent>
                </v:textbox>
                <w10:wrap anchorx="page" anchory="page"/>
                <w10:anchorlock/>
              </v:shape>
            </w:pict>
          </mc:Fallback>
        </mc:AlternateContent>
      </w:r>
      <w:r>
        <w:t>Invasive species</w:t>
      </w:r>
    </w:p>
    <w:p w14:paraId="5429D9E4" w14:textId="77777777" w:rsidR="00324D1B" w:rsidRDefault="00324D1B" w:rsidP="00324D1B">
      <w:pPr>
        <w:pStyle w:val="Heading5"/>
        <w:numPr>
          <w:ilvl w:val="0"/>
          <w:numId w:val="0"/>
        </w:numPr>
        <w:ind w:left="1008" w:hanging="1008"/>
      </w:pPr>
      <w:r>
        <w:t>Invasive vertebrate (deer)</w:t>
      </w:r>
    </w:p>
    <w:p w14:paraId="6498D8B1" w14:textId="6B67E114" w:rsidR="00324D1B" w:rsidRPr="00F05594" w:rsidRDefault="00324D1B" w:rsidP="00324D1B">
      <w:pPr>
        <w:pStyle w:val="BodyText"/>
      </w:pPr>
      <w:r>
        <w:t>Sambar have been increasing in population across the East Gippsland region in the last decade (Watter et al. 2020), infiltrating all districts and forest types, often observed congregating in damper habitats including Cool Temperate Rainforest, Cool Temperate Mixed Forest, Wet Forest</w:t>
      </w:r>
      <w:r w:rsidR="00481EDE">
        <w:t>,</w:t>
      </w:r>
      <w:r>
        <w:t xml:space="preserve"> and Montane Wet Forest. Numerous plant taxa have been documented to be targeted by Sambar, either by browsing, antler rubbing, trampling</w:t>
      </w:r>
      <w:r w:rsidR="00481EDE">
        <w:t>,</w:t>
      </w:r>
      <w:r>
        <w:t xml:space="preserve"> or wallowing. </w:t>
      </w:r>
      <w:r w:rsidR="00AC3A12" w:rsidRPr="00915D82">
        <w:t>Red Deer</w:t>
      </w:r>
      <w:r w:rsidR="004A6650">
        <w:t xml:space="preserve"> (</w:t>
      </w:r>
      <w:r w:rsidR="00196FC2">
        <w:rPr>
          <w:i/>
          <w:iCs/>
        </w:rPr>
        <w:t>Cervus elaphus</w:t>
      </w:r>
      <w:r w:rsidR="00196FC2">
        <w:t>)</w:t>
      </w:r>
      <w:r w:rsidR="00AC3A12" w:rsidRPr="00915D82">
        <w:t xml:space="preserve"> are potentially expanding their range and are likely to overlap with forests that support Forest Geebung. </w:t>
      </w:r>
      <w:r>
        <w:t xml:space="preserve">Red Deer are likely to be similar in behaviour to Sambar, but possibly less abundant overall. While it is unclear how </w:t>
      </w:r>
      <w:r w:rsidRPr="00F05594">
        <w:t>frequently Sambar are likely to target Forest Geebung trees</w:t>
      </w:r>
      <w:r w:rsidRPr="00F05594">
        <w:rPr>
          <w:i/>
          <w:iCs/>
        </w:rPr>
        <w:t xml:space="preserve"> </w:t>
      </w:r>
      <w:r w:rsidRPr="00F05594">
        <w:t xml:space="preserve">for antler rubbing, Sambar have the capacity to completely ringbark numerous understorey shrubs and trees which, if maintained over successive seasons, risks the death of established adults. Sambar are also likely to target resprouting individuals and juvenile seed-based recruits for browsing following clear-fell </w:t>
      </w:r>
      <w:r w:rsidR="000A4796">
        <w:t>timber harvesting</w:t>
      </w:r>
      <w:r w:rsidRPr="00F05594">
        <w:t xml:space="preserve">, regeneration burning, scalping or bushfire. This hazard extends across all the </w:t>
      </w:r>
      <w:r w:rsidR="001D3902">
        <w:t>species’</w:t>
      </w:r>
      <w:r w:rsidRPr="00F05594">
        <w:t xml:space="preserve"> distribution.  </w:t>
      </w:r>
    </w:p>
    <w:p w14:paraId="56BDE879" w14:textId="77777777" w:rsidR="00324D1B" w:rsidRPr="00F05594" w:rsidRDefault="00324D1B" w:rsidP="00324D1B">
      <w:pPr>
        <w:pStyle w:val="BodyText"/>
      </w:pPr>
      <w:r w:rsidRPr="00F05594">
        <w:t>Current existing controls for this hazard include:</w:t>
      </w:r>
    </w:p>
    <w:p w14:paraId="4E8C528E" w14:textId="77777777" w:rsidR="00324D1B" w:rsidRPr="00F05594" w:rsidRDefault="00324D1B" w:rsidP="006670D2">
      <w:pPr>
        <w:pStyle w:val="PullOutBoxBullet"/>
        <w:rPr>
          <w:rStyle w:val="eop"/>
          <w:rFonts w:ascii="Arial" w:hAnsi="Arial"/>
          <w:color w:val="363534"/>
          <w:lang w:eastAsia="en-US"/>
        </w:rPr>
      </w:pPr>
      <w:r w:rsidRPr="00F05594">
        <w:rPr>
          <w:rStyle w:val="normaltextrun"/>
        </w:rPr>
        <w:t xml:space="preserve">Targeted deer control. The effectiveness of this control for this species has been evaluated as poor because targeted culling is patchy, expensive, and challenging to target in remote forest areas. Sambar deer occur across a large area so there is a reservoir of other areas to recolonise from. </w:t>
      </w:r>
      <w:r w:rsidRPr="00F05594">
        <w:t xml:space="preserve">It is important to note, however, that </w:t>
      </w:r>
      <w:r w:rsidRPr="00F05594">
        <w:rPr>
          <w:rStyle w:val="eop"/>
          <w:rFonts w:ascii="Arial" w:hAnsi="Arial"/>
          <w:color w:val="363534"/>
        </w:rPr>
        <w:t xml:space="preserve">recent deer control programs carried out throughout East Gippsland show significant advances in ground-based shooting by using thermal imaging, after-dark hunting and in some cases the use of silencers. Targeted control programs should not be considered inappropriate if program funding is sustainable and the target flora species for protection face significant threat from deer activity. </w:t>
      </w:r>
    </w:p>
    <w:p w14:paraId="7848014D" w14:textId="77777777" w:rsidR="00324D1B" w:rsidRPr="00F05594" w:rsidRDefault="00324D1B" w:rsidP="00324D1B">
      <w:pPr>
        <w:rPr>
          <w:b/>
          <w:bCs/>
          <w:sz w:val="18"/>
          <w:szCs w:val="18"/>
        </w:rPr>
      </w:pPr>
      <w:r w:rsidRPr="00F05594">
        <w:rPr>
          <w:color w:val="auto"/>
          <w:sz w:val="18"/>
          <w:szCs w:val="18"/>
        </w:rPr>
        <w:br w:type="page"/>
      </w:r>
    </w:p>
    <w:p w14:paraId="7D66E081" w14:textId="78F6FF2A"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110</w:t>
      </w:r>
      <w:r w:rsidR="000B6788" w:rsidRPr="00291BDC">
        <w:rPr>
          <w:bCs/>
          <w:noProof/>
        </w:rPr>
        <w:fldChar w:fldCharType="end"/>
      </w:r>
      <w:r w:rsidRPr="00FF310C">
        <w:t>. Forest Geebung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324D1B" w14:paraId="0AE9B92A"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6EBFA6AD"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496A37C1"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4D980B47" w14:textId="77777777" w:rsidTr="00845490">
        <w:tc>
          <w:tcPr>
            <w:tcW w:w="2268" w:type="dxa"/>
            <w:tcBorders>
              <w:top w:val="single" w:sz="8" w:space="0" w:color="CDDC29" w:themeColor="text2"/>
              <w:left w:val="nil"/>
              <w:bottom w:val="single" w:sz="8" w:space="0" w:color="CDDC29" w:themeColor="text2"/>
              <w:right w:val="nil"/>
            </w:tcBorders>
            <w:hideMark/>
          </w:tcPr>
          <w:p w14:paraId="43712FC3" w14:textId="433C24DF" w:rsidR="00324D1B" w:rsidRDefault="00925D17" w:rsidP="00845490">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68422BD2" w14:textId="77777777" w:rsidR="00324D1B" w:rsidRDefault="00324D1B" w:rsidP="00845490">
            <w:pPr>
              <w:pStyle w:val="BodyText"/>
            </w:pPr>
            <w:r>
              <w:t>Not required for this hazard.</w:t>
            </w:r>
          </w:p>
        </w:tc>
      </w:tr>
      <w:tr w:rsidR="00324D1B" w14:paraId="3C97BBE9" w14:textId="77777777" w:rsidTr="00845490">
        <w:tc>
          <w:tcPr>
            <w:tcW w:w="2268" w:type="dxa"/>
            <w:tcBorders>
              <w:top w:val="single" w:sz="8" w:space="0" w:color="CDDC29" w:themeColor="text2"/>
              <w:left w:val="nil"/>
              <w:bottom w:val="single" w:sz="8" w:space="0" w:color="CDDC29" w:themeColor="text2"/>
              <w:right w:val="nil"/>
            </w:tcBorders>
            <w:hideMark/>
          </w:tcPr>
          <w:p w14:paraId="714A0D6B" w14:textId="53B52290" w:rsidR="00324D1B" w:rsidRDefault="00925D17" w:rsidP="00845490">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40F1A2E7" w14:textId="77777777" w:rsidR="00324D1B" w:rsidRDefault="00324D1B" w:rsidP="006670D2">
            <w:pPr>
              <w:pStyle w:val="PullOutBoxBullet"/>
            </w:pPr>
            <w:r>
              <w:t xml:space="preserve">Monitor representative populations following clear-fell harvesting, regeneration burning, scalping or bushfire, as well as in healthy mature stands, to see evidence of antler rubbing or targeted browsing; </w:t>
            </w:r>
          </w:p>
          <w:p w14:paraId="11035A74" w14:textId="77777777" w:rsidR="00324D1B" w:rsidRDefault="00324D1B" w:rsidP="006670D2">
            <w:pPr>
              <w:pStyle w:val="PullOutBoxBullet"/>
            </w:pPr>
            <w:r>
              <w:t>Target Sambar for control particularly after major decline events such as fire or extremely severe drought;</w:t>
            </w:r>
          </w:p>
          <w:p w14:paraId="48B1C225" w14:textId="2F7A1586" w:rsidR="00324D1B" w:rsidRDefault="00324D1B" w:rsidP="006670D2">
            <w:pPr>
              <w:pStyle w:val="PullOutBoxBullet"/>
            </w:pPr>
            <w:r>
              <w:t>Include targeting</w:t>
            </w:r>
            <w:r w:rsidR="00E54E0B">
              <w:t xml:space="preserve"> of</w:t>
            </w:r>
            <w:r>
              <w:t xml:space="preserve"> Red Deer in the Bendoc-Goongerah area; and</w:t>
            </w:r>
          </w:p>
          <w:p w14:paraId="6671F382" w14:textId="099E1FA2" w:rsidR="00324D1B" w:rsidRDefault="00324D1B" w:rsidP="006670D2">
            <w:pPr>
              <w:pStyle w:val="PullOutBoxBullet"/>
            </w:pPr>
            <w:r w:rsidRPr="003A0CD0">
              <w:t xml:space="preserve">If significant clusters of plants can be identified that face critical threats, then this may justify targeted deer control or exclusion fencing, however fencing is generally not a practical option for this </w:t>
            </w:r>
            <w:r w:rsidR="001D3902">
              <w:t>species</w:t>
            </w:r>
            <w:r w:rsidRPr="003A0CD0">
              <w:t xml:space="preserve"> due to high costs and difficult terrain.</w:t>
            </w:r>
          </w:p>
        </w:tc>
      </w:tr>
    </w:tbl>
    <w:p w14:paraId="2410B2E3" w14:textId="77777777" w:rsidR="00324D1B" w:rsidRDefault="00324D1B" w:rsidP="00324D1B">
      <w:r>
        <w:rPr>
          <w:color w:val="auto"/>
        </w:rPr>
        <w:br w:type="page"/>
      </w:r>
    </w:p>
    <w:p w14:paraId="2FAB6EC1" w14:textId="77777777" w:rsidR="00324D1B" w:rsidRDefault="00324D1B" w:rsidP="00324D1B">
      <w:pPr>
        <w:spacing w:line="240" w:lineRule="auto"/>
        <w:textAlignment w:val="baseline"/>
      </w:pPr>
    </w:p>
    <w:p w14:paraId="5EC4B61B" w14:textId="77777777" w:rsidR="00324D1B" w:rsidRPr="00F05594" w:rsidRDefault="00324D1B" w:rsidP="00FB5A2B">
      <w:pPr>
        <w:pStyle w:val="Heading2"/>
        <w:ind w:left="0"/>
        <w:rPr>
          <w:i/>
          <w:iCs/>
        </w:rPr>
      </w:pPr>
      <w:bookmarkStart w:id="534" w:name="_Toc88565781"/>
      <w:bookmarkStart w:id="535" w:name="_Toc88725810"/>
      <w:bookmarkStart w:id="536" w:name="_Toc95234099"/>
      <w:bookmarkStart w:id="537" w:name="_Toc113271045"/>
      <w:r w:rsidRPr="00F05594">
        <w:t>Forest Phebalium </w:t>
      </w:r>
      <w:r w:rsidRPr="003A0CD0">
        <w:rPr>
          <w:i/>
          <w:iCs/>
        </w:rPr>
        <w:t>(Phebalium squamulosum</w:t>
      </w:r>
      <w:r w:rsidRPr="00F05594">
        <w:t xml:space="preserve"> subsp. </w:t>
      </w:r>
      <w:r w:rsidRPr="003A0CD0">
        <w:rPr>
          <w:i/>
          <w:iCs/>
        </w:rPr>
        <w:t>squamulosum)</w:t>
      </w:r>
      <w:bookmarkEnd w:id="534"/>
      <w:bookmarkEnd w:id="535"/>
      <w:bookmarkEnd w:id="536"/>
      <w:bookmarkEnd w:id="537"/>
      <w:r w:rsidRPr="00F05594">
        <w:t> </w:t>
      </w:r>
    </w:p>
    <w:p w14:paraId="3B8B1B67" w14:textId="398E2FD0" w:rsidR="00324D1B" w:rsidRDefault="00324D1B" w:rsidP="00324D1B">
      <w:pPr>
        <w:pStyle w:val="BodyText"/>
        <w:rPr>
          <w:rFonts w:ascii="Arial" w:hAnsi="Arial"/>
          <w:color w:val="363534"/>
        </w:rPr>
      </w:pPr>
      <w:r>
        <w:t xml:space="preserve">The Forest Phebalium was listed as Endangered in Victoria under the FFG Act in May 2021. The </w:t>
      </w:r>
      <w:r w:rsidR="00056109">
        <w:t>sub</w:t>
      </w:r>
      <w:r w:rsidR="001D3902">
        <w:t>species</w:t>
      </w:r>
      <w:r>
        <w:t xml:space="preserve"> has modelled habitat in the Central Highlands (52% of modelled habitat), East Gippsland (44% of modelled habitat) and Gippsland (4% of modelled habitat) RFA regions.</w:t>
      </w:r>
      <w:r>
        <w:rPr>
          <w:rStyle w:val="BodyTextChar"/>
        </w:rPr>
        <w:t xml:space="preserve"> </w:t>
      </w:r>
      <w:r w:rsidR="00F66772" w:rsidRPr="00C02DCA">
        <w:t xml:space="preserve">While the CAM </w:t>
      </w:r>
      <w:r w:rsidR="001C2909">
        <w:t>assessment</w:t>
      </w:r>
      <w:r w:rsidR="00F66772" w:rsidRPr="00C02DCA">
        <w:t xml:space="preserve"> focusses on the impacts of deer</w:t>
      </w:r>
      <w:r w:rsidR="001C2909">
        <w:t xml:space="preserve"> on this </w:t>
      </w:r>
      <w:r w:rsidR="00056109">
        <w:t>sub</w:t>
      </w:r>
      <w:r w:rsidR="001D3902">
        <w:t>species</w:t>
      </w:r>
      <w:r w:rsidR="00F66772" w:rsidRPr="00C02DCA">
        <w:t>,</w:t>
      </w:r>
      <w:r w:rsidR="0093241A">
        <w:t xml:space="preserve"> the</w:t>
      </w:r>
      <w:r w:rsidR="00F66772" w:rsidRPr="00C02DCA">
        <w:t xml:space="preserve"> expert</w:t>
      </w:r>
      <w:r w:rsidR="0093241A">
        <w:t>/s</w:t>
      </w:r>
      <w:r w:rsidR="00F66772" w:rsidRPr="00C02DCA">
        <w:t xml:space="preserve"> did not assess t</w:t>
      </w:r>
      <w:r w:rsidR="0093241A">
        <w:t>hat</w:t>
      </w:r>
      <w:r w:rsidR="00F66772" w:rsidRPr="00C02DCA">
        <w:t xml:space="preserve"> </w:t>
      </w:r>
      <w:r w:rsidR="0093241A">
        <w:t>hazard</w:t>
      </w:r>
      <w:r w:rsidR="00F66772" w:rsidRPr="00C02DCA">
        <w:t xml:space="preserve"> as part of this risk assessment.</w:t>
      </w:r>
      <w:r w:rsidR="00F66772">
        <w:t xml:space="preserve"> </w:t>
      </w:r>
      <w:r>
        <w:rPr>
          <w:rStyle w:val="BodyTextChar"/>
        </w:rPr>
        <w:t>Permanent protections are recommended to address any hazards identified at a significant or high risk, and all</w:t>
      </w:r>
      <w:r>
        <w:t xml:space="preserve"> hazards rated a medium risk or higher will be considered in future management planning.</w:t>
      </w:r>
      <w:r w:rsidR="00F66772" w:rsidRPr="00F66772">
        <w:rPr>
          <w:color w:val="7030A0"/>
        </w:rPr>
        <w:t xml:space="preserve"> </w:t>
      </w:r>
    </w:p>
    <w:p w14:paraId="62A6FFFA" w14:textId="77777777" w:rsidR="00324D1B" w:rsidRDefault="00324D1B" w:rsidP="007E5EBF">
      <w:pPr>
        <w:pStyle w:val="Heading3"/>
      </w:pPr>
      <w:bookmarkStart w:id="538" w:name="_Toc88725811"/>
      <w:r>
        <w:t>Risk Assessment</w:t>
      </w:r>
      <w:bookmarkEnd w:id="538"/>
    </w:p>
    <w:p w14:paraId="3BB7178D" w14:textId="1CB0BB8F" w:rsidR="00324D1B" w:rsidRPr="00FF310C" w:rsidRDefault="00324D1B" w:rsidP="006670D2">
      <w:pPr>
        <w:pStyle w:val="Caption"/>
      </w:pPr>
      <w:r w:rsidRPr="00FF310C">
        <w:t xml:space="preserve">Table </w:t>
      </w:r>
      <w:r w:rsidRPr="00291BDC">
        <w:rPr>
          <w:bCs/>
        </w:rPr>
        <w:fldChar w:fldCharType="begin"/>
      </w:r>
      <w:r w:rsidRPr="00FF310C">
        <w:instrText>SEQ Table \* ARABIC</w:instrText>
      </w:r>
      <w:r w:rsidRPr="00291BDC">
        <w:rPr>
          <w:bCs/>
        </w:rPr>
        <w:fldChar w:fldCharType="separate"/>
      </w:r>
      <w:r w:rsidR="00692F0D">
        <w:rPr>
          <w:noProof/>
        </w:rPr>
        <w:t>111</w:t>
      </w:r>
      <w:r w:rsidRPr="00291BDC">
        <w:rPr>
          <w:bCs/>
        </w:rPr>
        <w:fldChar w:fldCharType="end"/>
      </w:r>
      <w:r w:rsidRPr="00FF310C">
        <w:t>. Forest Phebalium risk ratings in East Gippsland and Gippsland RFA regions:</w:t>
      </w:r>
    </w:p>
    <w:tbl>
      <w:tblPr>
        <w:tblStyle w:val="TableGrid"/>
        <w:tblW w:w="6804" w:type="dxa"/>
        <w:tblLook w:val="04A0" w:firstRow="1" w:lastRow="0" w:firstColumn="1" w:lastColumn="0" w:noHBand="0" w:noVBand="1"/>
      </w:tblPr>
      <w:tblGrid>
        <w:gridCol w:w="2268"/>
        <w:gridCol w:w="2268"/>
        <w:gridCol w:w="2268"/>
      </w:tblGrid>
      <w:tr w:rsidR="00324D1B" w14:paraId="054D346C"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tcPr>
          <w:p w14:paraId="7A0F4E1E" w14:textId="77777777" w:rsidR="00324D1B" w:rsidRDefault="00324D1B" w:rsidP="006670D2">
            <w:pPr>
              <w:pStyle w:val="CaptionImageorFigure"/>
            </w:pPr>
          </w:p>
        </w:tc>
        <w:tc>
          <w:tcPr>
            <w:tcW w:w="2268" w:type="dxa"/>
            <w:tcBorders>
              <w:top w:val="single" w:sz="8" w:space="0" w:color="CDDC29" w:themeColor="text2"/>
              <w:left w:val="nil"/>
              <w:bottom w:val="single" w:sz="8" w:space="0" w:color="CDDC29" w:themeColor="text2"/>
              <w:right w:val="nil"/>
            </w:tcBorders>
            <w:vAlign w:val="center"/>
            <w:hideMark/>
          </w:tcPr>
          <w:p w14:paraId="3834C332"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2268" w:type="dxa"/>
            <w:tcBorders>
              <w:top w:val="single" w:sz="8" w:space="0" w:color="CDDC29" w:themeColor="text2"/>
              <w:left w:val="nil"/>
              <w:bottom w:val="single" w:sz="8" w:space="0" w:color="CDDC29" w:themeColor="text2"/>
              <w:right w:val="nil"/>
            </w:tcBorders>
            <w:vAlign w:val="center"/>
            <w:hideMark/>
          </w:tcPr>
          <w:p w14:paraId="5B311706"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r>
      <w:tr w:rsidR="00324D1B" w14:paraId="1C4392DF"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7DE0D4A5" w14:textId="77777777" w:rsidR="00324D1B" w:rsidRDefault="00324D1B" w:rsidP="003A0CD0">
            <w:pPr>
              <w:pStyle w:val="BodyText"/>
              <w:jc w:val="center"/>
            </w:pPr>
            <w:r>
              <w:t>Consequence</w:t>
            </w:r>
          </w:p>
        </w:tc>
        <w:tc>
          <w:tcPr>
            <w:tcW w:w="2268" w:type="dxa"/>
            <w:tcBorders>
              <w:top w:val="single" w:sz="8" w:space="0" w:color="CDDC29" w:themeColor="text2"/>
              <w:left w:val="nil"/>
              <w:bottom w:val="single" w:sz="8" w:space="0" w:color="CDDC29" w:themeColor="text2"/>
              <w:right w:val="nil"/>
            </w:tcBorders>
            <w:vAlign w:val="center"/>
            <w:hideMark/>
          </w:tcPr>
          <w:p w14:paraId="354AADBC" w14:textId="77777777" w:rsidR="00324D1B" w:rsidRDefault="00324D1B" w:rsidP="003A0CD0">
            <w:pPr>
              <w:pStyle w:val="BodyText"/>
              <w:jc w:val="center"/>
            </w:pPr>
            <w:r>
              <w:t>Moderate</w:t>
            </w:r>
          </w:p>
        </w:tc>
        <w:tc>
          <w:tcPr>
            <w:tcW w:w="2268" w:type="dxa"/>
            <w:tcBorders>
              <w:top w:val="single" w:sz="8" w:space="0" w:color="CDDC29" w:themeColor="text2"/>
              <w:left w:val="nil"/>
              <w:bottom w:val="single" w:sz="8" w:space="0" w:color="CDDC29" w:themeColor="text2"/>
              <w:right w:val="nil"/>
            </w:tcBorders>
            <w:vAlign w:val="center"/>
            <w:hideMark/>
          </w:tcPr>
          <w:p w14:paraId="0CF7DF70" w14:textId="77777777" w:rsidR="00324D1B" w:rsidRDefault="00324D1B" w:rsidP="003A0CD0">
            <w:pPr>
              <w:pStyle w:val="BodyText"/>
              <w:jc w:val="center"/>
            </w:pPr>
            <w:r>
              <w:t>Moderate</w:t>
            </w:r>
          </w:p>
        </w:tc>
      </w:tr>
      <w:tr w:rsidR="00324D1B" w14:paraId="15164809"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67663DEA" w14:textId="77777777" w:rsidR="00324D1B" w:rsidRDefault="00324D1B" w:rsidP="003A0CD0">
            <w:pPr>
              <w:pStyle w:val="BodyText"/>
              <w:jc w:val="center"/>
            </w:pPr>
            <w:r>
              <w:t>Likelihood</w:t>
            </w:r>
          </w:p>
        </w:tc>
        <w:tc>
          <w:tcPr>
            <w:tcW w:w="2268" w:type="dxa"/>
            <w:tcBorders>
              <w:top w:val="single" w:sz="8" w:space="0" w:color="CDDC29" w:themeColor="text2"/>
              <w:left w:val="nil"/>
              <w:bottom w:val="single" w:sz="8" w:space="0" w:color="CDDC29" w:themeColor="text2"/>
              <w:right w:val="nil"/>
            </w:tcBorders>
            <w:vAlign w:val="center"/>
            <w:hideMark/>
          </w:tcPr>
          <w:p w14:paraId="58623018" w14:textId="77777777" w:rsidR="00324D1B" w:rsidRDefault="00324D1B" w:rsidP="003A0CD0">
            <w:pPr>
              <w:pStyle w:val="BodyText"/>
              <w:jc w:val="center"/>
            </w:pPr>
            <w:r>
              <w:t>Possible</w:t>
            </w:r>
          </w:p>
        </w:tc>
        <w:tc>
          <w:tcPr>
            <w:tcW w:w="2268" w:type="dxa"/>
            <w:tcBorders>
              <w:top w:val="single" w:sz="8" w:space="0" w:color="CDDC29" w:themeColor="text2"/>
              <w:left w:val="nil"/>
              <w:bottom w:val="single" w:sz="8" w:space="0" w:color="CDDC29" w:themeColor="text2"/>
              <w:right w:val="nil"/>
            </w:tcBorders>
            <w:vAlign w:val="center"/>
            <w:hideMark/>
          </w:tcPr>
          <w:p w14:paraId="49DBECBF" w14:textId="77777777" w:rsidR="00324D1B" w:rsidRDefault="00324D1B" w:rsidP="003A0CD0">
            <w:pPr>
              <w:pStyle w:val="BodyText"/>
              <w:jc w:val="center"/>
            </w:pPr>
            <w:r>
              <w:t>Likely</w:t>
            </w:r>
          </w:p>
        </w:tc>
      </w:tr>
      <w:tr w:rsidR="00324D1B" w14:paraId="7AD342AA"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12D64349" w14:textId="77777777" w:rsidR="00324D1B" w:rsidRDefault="00324D1B" w:rsidP="003A0CD0">
            <w:pPr>
              <w:pStyle w:val="BodyText"/>
              <w:jc w:val="center"/>
            </w:pPr>
            <w:r>
              <w:t>Overall risk rating</w:t>
            </w:r>
          </w:p>
        </w:tc>
        <w:tc>
          <w:tcPr>
            <w:tcW w:w="2268" w:type="dxa"/>
            <w:tcBorders>
              <w:top w:val="single" w:sz="8" w:space="0" w:color="CDDC29" w:themeColor="text2"/>
              <w:left w:val="nil"/>
              <w:bottom w:val="single" w:sz="8" w:space="0" w:color="CDDC29" w:themeColor="text2"/>
              <w:right w:val="nil"/>
            </w:tcBorders>
            <w:shd w:val="clear" w:color="auto" w:fill="FFFF00"/>
            <w:vAlign w:val="center"/>
            <w:hideMark/>
          </w:tcPr>
          <w:p w14:paraId="40DFFBF8" w14:textId="77777777" w:rsidR="00324D1B" w:rsidRDefault="00324D1B" w:rsidP="003A0CD0">
            <w:pPr>
              <w:pStyle w:val="BodyText"/>
              <w:jc w:val="center"/>
            </w:pPr>
            <w:r>
              <w:t>Medium</w:t>
            </w:r>
          </w:p>
        </w:tc>
        <w:tc>
          <w:tcPr>
            <w:tcW w:w="2268" w:type="dxa"/>
            <w:tcBorders>
              <w:top w:val="single" w:sz="8" w:space="0" w:color="CDDC29" w:themeColor="text2"/>
              <w:left w:val="nil"/>
              <w:bottom w:val="single" w:sz="8" w:space="0" w:color="CDDC29" w:themeColor="text2"/>
              <w:right w:val="nil"/>
            </w:tcBorders>
            <w:shd w:val="clear" w:color="auto" w:fill="FFC000"/>
            <w:vAlign w:val="center"/>
            <w:hideMark/>
          </w:tcPr>
          <w:p w14:paraId="6BD238A0" w14:textId="77777777" w:rsidR="00324D1B" w:rsidRDefault="00324D1B" w:rsidP="003A0CD0">
            <w:pPr>
              <w:pStyle w:val="BodyText"/>
              <w:jc w:val="center"/>
            </w:pPr>
            <w:r>
              <w:t>Significant</w:t>
            </w:r>
          </w:p>
        </w:tc>
      </w:tr>
    </w:tbl>
    <w:p w14:paraId="15B16D5F" w14:textId="701DBB63" w:rsidR="00324D1B" w:rsidRPr="00FF310C" w:rsidRDefault="00324D1B" w:rsidP="006670D2">
      <w:pPr>
        <w:pStyle w:val="Caption"/>
      </w:pPr>
      <w:r w:rsidRPr="00FF310C">
        <w:t xml:space="preserve">Table </w:t>
      </w:r>
      <w:r w:rsidRPr="00291BDC">
        <w:rPr>
          <w:bCs/>
        </w:rPr>
        <w:fldChar w:fldCharType="begin"/>
      </w:r>
      <w:r w:rsidRPr="00FF310C">
        <w:instrText>SEQ Table \* ARABIC</w:instrText>
      </w:r>
      <w:r w:rsidRPr="00291BDC">
        <w:rPr>
          <w:bCs/>
        </w:rPr>
        <w:fldChar w:fldCharType="separate"/>
      </w:r>
      <w:r w:rsidR="00692F0D">
        <w:rPr>
          <w:noProof/>
        </w:rPr>
        <w:t>112</w:t>
      </w:r>
      <w:r w:rsidRPr="00291BDC">
        <w:rPr>
          <w:bCs/>
        </w:rPr>
        <w:fldChar w:fldCharType="end"/>
      </w:r>
      <w:r w:rsidRPr="00FF310C">
        <w:t>. Forest Phebalium risk ratings in Central Highlands RFA region:</w:t>
      </w:r>
    </w:p>
    <w:tbl>
      <w:tblPr>
        <w:tblStyle w:val="TableGrid"/>
        <w:tblW w:w="6804" w:type="dxa"/>
        <w:tblLook w:val="04A0" w:firstRow="1" w:lastRow="0" w:firstColumn="1" w:lastColumn="0" w:noHBand="0" w:noVBand="1"/>
      </w:tblPr>
      <w:tblGrid>
        <w:gridCol w:w="2268"/>
        <w:gridCol w:w="2268"/>
        <w:gridCol w:w="2268"/>
      </w:tblGrid>
      <w:tr w:rsidR="00324D1B" w14:paraId="019E3C45"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tcPr>
          <w:p w14:paraId="52BD817E" w14:textId="77777777" w:rsidR="00324D1B" w:rsidRDefault="00324D1B" w:rsidP="006670D2">
            <w:pPr>
              <w:pStyle w:val="CaptionImageorFigure"/>
            </w:pPr>
          </w:p>
        </w:tc>
        <w:tc>
          <w:tcPr>
            <w:tcW w:w="2268" w:type="dxa"/>
            <w:tcBorders>
              <w:top w:val="single" w:sz="8" w:space="0" w:color="CDDC29" w:themeColor="text2"/>
              <w:left w:val="nil"/>
              <w:bottom w:val="single" w:sz="8" w:space="0" w:color="CDDC29" w:themeColor="text2"/>
              <w:right w:val="nil"/>
            </w:tcBorders>
            <w:vAlign w:val="center"/>
            <w:hideMark/>
          </w:tcPr>
          <w:p w14:paraId="4B1DB084"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2268" w:type="dxa"/>
            <w:tcBorders>
              <w:top w:val="single" w:sz="8" w:space="0" w:color="CDDC29" w:themeColor="text2"/>
              <w:left w:val="nil"/>
              <w:bottom w:val="single" w:sz="8" w:space="0" w:color="CDDC29" w:themeColor="text2"/>
              <w:right w:val="nil"/>
            </w:tcBorders>
            <w:vAlign w:val="center"/>
            <w:hideMark/>
          </w:tcPr>
          <w:p w14:paraId="4D098774"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r>
      <w:tr w:rsidR="00324D1B" w14:paraId="53DC2D09"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2E7ACF5A" w14:textId="77777777" w:rsidR="00324D1B" w:rsidRDefault="00324D1B" w:rsidP="003A0CD0">
            <w:pPr>
              <w:pStyle w:val="BodyText"/>
              <w:jc w:val="center"/>
            </w:pPr>
            <w:r>
              <w:t>Consequence</w:t>
            </w:r>
          </w:p>
        </w:tc>
        <w:tc>
          <w:tcPr>
            <w:tcW w:w="2268" w:type="dxa"/>
            <w:tcBorders>
              <w:top w:val="single" w:sz="8" w:space="0" w:color="CDDC29" w:themeColor="text2"/>
              <w:left w:val="nil"/>
              <w:bottom w:val="single" w:sz="8" w:space="0" w:color="CDDC29" w:themeColor="text2"/>
              <w:right w:val="nil"/>
            </w:tcBorders>
            <w:vAlign w:val="center"/>
            <w:hideMark/>
          </w:tcPr>
          <w:p w14:paraId="38717096" w14:textId="77777777" w:rsidR="00324D1B" w:rsidRDefault="00324D1B" w:rsidP="003A0CD0">
            <w:pPr>
              <w:pStyle w:val="BodyText"/>
              <w:jc w:val="center"/>
            </w:pPr>
            <w:r>
              <w:t>Minor</w:t>
            </w:r>
          </w:p>
        </w:tc>
        <w:tc>
          <w:tcPr>
            <w:tcW w:w="2268" w:type="dxa"/>
            <w:tcBorders>
              <w:top w:val="single" w:sz="8" w:space="0" w:color="CDDC29" w:themeColor="text2"/>
              <w:left w:val="nil"/>
              <w:bottom w:val="single" w:sz="8" w:space="0" w:color="CDDC29" w:themeColor="text2"/>
              <w:right w:val="nil"/>
            </w:tcBorders>
            <w:vAlign w:val="center"/>
            <w:hideMark/>
          </w:tcPr>
          <w:p w14:paraId="72F8F501" w14:textId="77777777" w:rsidR="00324D1B" w:rsidRDefault="00324D1B" w:rsidP="003A0CD0">
            <w:pPr>
              <w:pStyle w:val="BodyText"/>
              <w:jc w:val="center"/>
            </w:pPr>
            <w:r>
              <w:t>Moderate</w:t>
            </w:r>
          </w:p>
        </w:tc>
      </w:tr>
      <w:tr w:rsidR="00324D1B" w14:paraId="61795D04"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40B88DE8" w14:textId="77777777" w:rsidR="00324D1B" w:rsidRDefault="00324D1B" w:rsidP="003A0CD0">
            <w:pPr>
              <w:pStyle w:val="BodyText"/>
              <w:jc w:val="center"/>
            </w:pPr>
            <w:r>
              <w:t>Likelihood</w:t>
            </w:r>
          </w:p>
        </w:tc>
        <w:tc>
          <w:tcPr>
            <w:tcW w:w="2268" w:type="dxa"/>
            <w:tcBorders>
              <w:top w:val="single" w:sz="8" w:space="0" w:color="CDDC29" w:themeColor="text2"/>
              <w:left w:val="nil"/>
              <w:bottom w:val="single" w:sz="8" w:space="0" w:color="CDDC29" w:themeColor="text2"/>
              <w:right w:val="nil"/>
            </w:tcBorders>
            <w:vAlign w:val="center"/>
            <w:hideMark/>
          </w:tcPr>
          <w:p w14:paraId="0328DCBE" w14:textId="77777777" w:rsidR="00324D1B" w:rsidRDefault="00324D1B" w:rsidP="003A0CD0">
            <w:pPr>
              <w:pStyle w:val="BodyText"/>
              <w:jc w:val="center"/>
            </w:pPr>
            <w:r>
              <w:t>Possible</w:t>
            </w:r>
          </w:p>
        </w:tc>
        <w:tc>
          <w:tcPr>
            <w:tcW w:w="2268" w:type="dxa"/>
            <w:tcBorders>
              <w:top w:val="single" w:sz="8" w:space="0" w:color="CDDC29" w:themeColor="text2"/>
              <w:left w:val="nil"/>
              <w:bottom w:val="single" w:sz="8" w:space="0" w:color="CDDC29" w:themeColor="text2"/>
              <w:right w:val="nil"/>
            </w:tcBorders>
            <w:vAlign w:val="center"/>
            <w:hideMark/>
          </w:tcPr>
          <w:p w14:paraId="51A9283C" w14:textId="77777777" w:rsidR="00324D1B" w:rsidRDefault="00324D1B" w:rsidP="003A0CD0">
            <w:pPr>
              <w:pStyle w:val="BodyText"/>
              <w:jc w:val="center"/>
            </w:pPr>
            <w:r>
              <w:t>Likely</w:t>
            </w:r>
          </w:p>
        </w:tc>
      </w:tr>
      <w:tr w:rsidR="00324D1B" w14:paraId="244CB41C"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07F23D6B" w14:textId="77777777" w:rsidR="00324D1B" w:rsidRDefault="00324D1B" w:rsidP="003A0CD0">
            <w:pPr>
              <w:pStyle w:val="BodyText"/>
              <w:jc w:val="center"/>
            </w:pPr>
            <w:r>
              <w:t>Overall risk rating</w:t>
            </w:r>
          </w:p>
        </w:tc>
        <w:tc>
          <w:tcPr>
            <w:tcW w:w="2268" w:type="dxa"/>
            <w:tcBorders>
              <w:top w:val="single" w:sz="8" w:space="0" w:color="CDDC29" w:themeColor="text2"/>
              <w:left w:val="nil"/>
              <w:bottom w:val="single" w:sz="8" w:space="0" w:color="CDDC29" w:themeColor="text2"/>
              <w:right w:val="nil"/>
            </w:tcBorders>
            <w:shd w:val="clear" w:color="auto" w:fill="FFFF00"/>
            <w:vAlign w:val="center"/>
            <w:hideMark/>
          </w:tcPr>
          <w:p w14:paraId="732AF8FA" w14:textId="77777777" w:rsidR="00324D1B" w:rsidRDefault="00324D1B" w:rsidP="003A0CD0">
            <w:pPr>
              <w:pStyle w:val="BodyText"/>
              <w:jc w:val="center"/>
            </w:pPr>
            <w:r>
              <w:t>Medium</w:t>
            </w:r>
          </w:p>
        </w:tc>
        <w:tc>
          <w:tcPr>
            <w:tcW w:w="2268" w:type="dxa"/>
            <w:tcBorders>
              <w:top w:val="single" w:sz="8" w:space="0" w:color="CDDC29" w:themeColor="text2"/>
              <w:left w:val="nil"/>
              <w:bottom w:val="single" w:sz="8" w:space="0" w:color="CDDC29" w:themeColor="text2"/>
              <w:right w:val="nil"/>
            </w:tcBorders>
            <w:shd w:val="clear" w:color="auto" w:fill="FFC000"/>
            <w:vAlign w:val="center"/>
            <w:hideMark/>
          </w:tcPr>
          <w:p w14:paraId="529E771F" w14:textId="77777777" w:rsidR="00324D1B" w:rsidRDefault="00324D1B" w:rsidP="003A0CD0">
            <w:pPr>
              <w:pStyle w:val="BodyText"/>
              <w:jc w:val="center"/>
            </w:pPr>
            <w:r>
              <w:t>Significant</w:t>
            </w:r>
          </w:p>
        </w:tc>
      </w:tr>
    </w:tbl>
    <w:p w14:paraId="2DA65377" w14:textId="77777777" w:rsidR="00324D1B" w:rsidRDefault="00324D1B" w:rsidP="007E5EBF">
      <w:pPr>
        <w:pStyle w:val="Heading3"/>
      </w:pPr>
      <w:bookmarkStart w:id="539" w:name="_Toc88725812"/>
      <w:bookmarkStart w:id="540" w:name="_Toc88725813"/>
      <w:bookmarkStart w:id="541" w:name="_Toc88725814"/>
      <w:bookmarkStart w:id="542" w:name="_Toc88725815"/>
      <w:bookmarkEnd w:id="539"/>
      <w:bookmarkEnd w:id="540"/>
      <w:bookmarkEnd w:id="541"/>
      <w:r>
        <w:t>Fire</w:t>
      </w:r>
      <w:bookmarkEnd w:id="542"/>
    </w:p>
    <w:p w14:paraId="60DCC608" w14:textId="77777777" w:rsidR="00324D1B" w:rsidRDefault="00324D1B" w:rsidP="00324D1B">
      <w:pPr>
        <w:pStyle w:val="Heading5"/>
        <w:numPr>
          <w:ilvl w:val="0"/>
          <w:numId w:val="0"/>
        </w:numPr>
        <w:ind w:left="1008" w:hanging="1008"/>
      </w:pPr>
      <w:r>
        <w:t>Increased fire frequency and intensity</w:t>
      </w:r>
    </w:p>
    <w:p w14:paraId="10A61DE4" w14:textId="5EA543ED" w:rsidR="00324D1B" w:rsidRDefault="00324D1B" w:rsidP="00324D1B">
      <w:pPr>
        <w:pStyle w:val="BodyText"/>
      </w:pPr>
      <w:r>
        <w:t xml:space="preserve">Bushfire at a frequency </w:t>
      </w:r>
      <w:r w:rsidR="00374CB4">
        <w:t>more</w:t>
      </w:r>
      <w:r>
        <w:t xml:space="preserve"> than the tolerable fire interval of the </w:t>
      </w:r>
      <w:r w:rsidR="00056109">
        <w:t>sub</w:t>
      </w:r>
      <w:r w:rsidR="001D3902">
        <w:t>species</w:t>
      </w:r>
      <w:r>
        <w:t xml:space="preserve"> would be seen as detrimental to the survival of the populations impacted. This impacts the </w:t>
      </w:r>
      <w:r w:rsidR="00056109">
        <w:t>sub</w:t>
      </w:r>
      <w:r w:rsidR="001D3902">
        <w:t>species</w:t>
      </w:r>
      <w:r>
        <w:t xml:space="preserve"> by not allowing it to reach its reproductive state of flowering and setting seed before fire, therefore impacting recruitment. Climate change can dry out the forest vegetation leading to higher fire frequency and intensity. This hazard extends across 70% of the </w:t>
      </w:r>
      <w:r w:rsidR="00056109">
        <w:t>sub</w:t>
      </w:r>
      <w:r w:rsidR="001D3902">
        <w:t>species’</w:t>
      </w:r>
      <w:r>
        <w:t xml:space="preserve"> modelled habitat in the Gippsland and East Gippsland RFA</w:t>
      </w:r>
      <w:r w:rsidR="00184CB0">
        <w:t xml:space="preserve"> region</w:t>
      </w:r>
      <w:r>
        <w:t xml:space="preserve">s, but across only 30% of the </w:t>
      </w:r>
      <w:r w:rsidR="00056109">
        <w:t>sub</w:t>
      </w:r>
      <w:r w:rsidR="001D3902">
        <w:t>species’</w:t>
      </w:r>
      <w:r>
        <w:t xml:space="preserve"> modelled habitat in the Central Highlands RFA</w:t>
      </w:r>
      <w:r w:rsidR="002A6069">
        <w:t xml:space="preserve"> region</w:t>
      </w:r>
      <w:r>
        <w:t xml:space="preserve"> due to the predominating wet and very damp forest in that region.</w:t>
      </w:r>
    </w:p>
    <w:p w14:paraId="4FD56667" w14:textId="77777777" w:rsidR="00324D1B" w:rsidRDefault="00324D1B" w:rsidP="00324D1B">
      <w:pPr>
        <w:pStyle w:val="BodyText"/>
      </w:pPr>
      <w:r>
        <w:t>Current existing controls for this hazard include:</w:t>
      </w:r>
    </w:p>
    <w:p w14:paraId="48C66E8F" w14:textId="3421A045" w:rsidR="00324D1B" w:rsidRDefault="00324D1B" w:rsidP="006670D2">
      <w:pPr>
        <w:pStyle w:val="PullOutBoxBullet"/>
      </w:pPr>
      <w:r>
        <w:t xml:space="preserve">Planned burning. This control may be effective in reducing the risk of severe bushfires in this </w:t>
      </w:r>
      <w:r w:rsidR="00056109">
        <w:t>sub</w:t>
      </w:r>
      <w:r>
        <w:t xml:space="preserve">species’ habitat depending on the location of the burns and the time elapsed since their implementation. Strategic </w:t>
      </w:r>
      <w:r w:rsidR="00294EA6">
        <w:t>fuel breaks</w:t>
      </w:r>
      <w:r>
        <w:t xml:space="preserve"> and associated backburning may also provide valuable protection in some cases for this </w:t>
      </w:r>
      <w:r w:rsidR="00056109">
        <w:t>sub</w:t>
      </w:r>
      <w:r>
        <w:t>species and its habitat from severe bushfires.</w:t>
      </w:r>
    </w:p>
    <w:p w14:paraId="7F8C486D" w14:textId="0D7846B1" w:rsidR="00324D1B" w:rsidRDefault="00324D1B" w:rsidP="006670D2">
      <w:pPr>
        <w:pStyle w:val="PullOutBoxBullet"/>
      </w:pPr>
      <w:r>
        <w:t xml:space="preserve">Values checking and strategic bushfire management planning. </w:t>
      </w:r>
      <w:r w:rsidR="00B43A0E" w:rsidRPr="00F26BEE">
        <w:t xml:space="preserve">Values checking and strategic bushfire management planning. </w:t>
      </w:r>
      <w:r w:rsidR="00B43A0E" w:rsidRPr="00BB09D4">
        <w:t>The effectiveness of these measures has been evaluated as poor</w:t>
      </w:r>
      <w:r w:rsidR="00B43A0E">
        <w:t xml:space="preserve"> to </w:t>
      </w:r>
      <w:r w:rsidR="00851242">
        <w:t>satisfactory</w:t>
      </w:r>
      <w:r w:rsidR="00B43A0E" w:rsidRPr="00BB09D4">
        <w:t xml:space="preserve"> at mitigating risk to this </w:t>
      </w:r>
      <w:r w:rsidR="00056109">
        <w:t>sub</w:t>
      </w:r>
      <w:r w:rsidR="00B43A0E" w:rsidRPr="00BB09D4">
        <w:t xml:space="preserve">species. Values checking relies on existing site records and modelled distribution, and for some </w:t>
      </w:r>
      <w:r w:rsidR="00B05B1A">
        <w:t>taxa</w:t>
      </w:r>
      <w:r w:rsidR="00B43A0E" w:rsidRPr="00BB09D4">
        <w:t xml:space="preserve"> site records are not comprehensive. Habitat modelling may also exaggerate actual distributions, particularly for poorly-know</w:t>
      </w:r>
      <w:r w:rsidR="000E687D">
        <w:t>n</w:t>
      </w:r>
      <w:r w:rsidR="00B43A0E" w:rsidRPr="00BB09D4">
        <w:t xml:space="preserve"> </w:t>
      </w:r>
      <w:r w:rsidR="00B05B1A">
        <w:t>taxa</w:t>
      </w:r>
      <w:r>
        <w:t xml:space="preserve">.   </w:t>
      </w:r>
    </w:p>
    <w:p w14:paraId="599C9E37" w14:textId="77777777" w:rsidR="00AB65FA" w:rsidRDefault="00AB65FA">
      <w:pPr>
        <w:rPr>
          <w:b/>
          <w:sz w:val="16"/>
          <w:szCs w:val="16"/>
        </w:rPr>
      </w:pPr>
      <w:r>
        <w:br w:type="page"/>
      </w:r>
    </w:p>
    <w:p w14:paraId="3B53EEF3" w14:textId="7F5BB644"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113</w:t>
      </w:r>
      <w:r w:rsidR="000B6788" w:rsidRPr="00291BDC">
        <w:rPr>
          <w:bCs/>
          <w:noProof/>
        </w:rPr>
        <w:fldChar w:fldCharType="end"/>
      </w:r>
      <w:r w:rsidRPr="00FF310C">
        <w:t>. Forest Phebalium protection requirements and recommendations for increased fire frequency</w:t>
      </w:r>
      <w:r w:rsidR="0040142E" w:rsidRPr="00FF310C">
        <w:t xml:space="preserve"> and </w:t>
      </w:r>
      <w:r w:rsidRPr="00FF310C">
        <w:t>intensity</w:t>
      </w:r>
    </w:p>
    <w:tbl>
      <w:tblPr>
        <w:tblStyle w:val="TableGrid"/>
        <w:tblW w:w="0" w:type="auto"/>
        <w:tblLook w:val="04A0" w:firstRow="1" w:lastRow="0" w:firstColumn="1" w:lastColumn="0" w:noHBand="0" w:noVBand="1"/>
      </w:tblPr>
      <w:tblGrid>
        <w:gridCol w:w="2268"/>
        <w:gridCol w:w="7371"/>
      </w:tblGrid>
      <w:tr w:rsidR="00324D1B" w14:paraId="61969DBA"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E02BD57"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6A267D02"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6E2187C1" w14:textId="77777777" w:rsidTr="00935C84">
        <w:tc>
          <w:tcPr>
            <w:tcW w:w="2268" w:type="dxa"/>
            <w:tcBorders>
              <w:top w:val="single" w:sz="8" w:space="0" w:color="CDDC29" w:themeColor="text2"/>
              <w:left w:val="nil"/>
              <w:bottom w:val="single" w:sz="8" w:space="0" w:color="CDDC29" w:themeColor="text2"/>
              <w:right w:val="nil"/>
            </w:tcBorders>
            <w:hideMark/>
          </w:tcPr>
          <w:p w14:paraId="6A2DC6E7" w14:textId="715EB84E" w:rsidR="00324D1B" w:rsidRDefault="00925D17" w:rsidP="00935C84">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7934800E" w14:textId="77777777" w:rsidR="00324D1B" w:rsidRDefault="00324D1B" w:rsidP="00935C84">
            <w:pPr>
              <w:pStyle w:val="BodyText"/>
            </w:pPr>
            <w:r>
              <w:t>Not required for this hazard as it is a longer-term threat.</w:t>
            </w:r>
          </w:p>
        </w:tc>
      </w:tr>
      <w:tr w:rsidR="00324D1B" w14:paraId="556CF36C" w14:textId="77777777" w:rsidTr="00935C84">
        <w:tc>
          <w:tcPr>
            <w:tcW w:w="2268" w:type="dxa"/>
            <w:tcBorders>
              <w:top w:val="single" w:sz="8" w:space="0" w:color="CDDC29" w:themeColor="text2"/>
              <w:left w:val="nil"/>
              <w:bottom w:val="single" w:sz="8" w:space="0" w:color="CDDC29" w:themeColor="text2"/>
              <w:right w:val="nil"/>
            </w:tcBorders>
            <w:hideMark/>
          </w:tcPr>
          <w:p w14:paraId="2F3D17DD" w14:textId="2C591344" w:rsidR="00324D1B" w:rsidRDefault="00925D17" w:rsidP="00935C84">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55C9360D" w14:textId="0DF03AC7" w:rsidR="00324D1B" w:rsidRDefault="0040142E" w:rsidP="006670D2">
            <w:pPr>
              <w:pStyle w:val="PullOutBoxBullet"/>
              <w:rPr>
                <w:rFonts w:ascii="Arial" w:hAnsi="Arial"/>
                <w:color w:val="363534"/>
              </w:rPr>
            </w:pPr>
            <w:r>
              <w:t>E</w:t>
            </w:r>
            <w:r w:rsidR="00324D1B">
              <w:t>nsure that important populations are mapped, recorded</w:t>
            </w:r>
            <w:r w:rsidR="00481EDE">
              <w:t>,</w:t>
            </w:r>
            <w:r w:rsidR="00324D1B">
              <w:t xml:space="preserve"> and made available for fire management planning purposes</w:t>
            </w:r>
            <w:r>
              <w:t>; and</w:t>
            </w:r>
          </w:p>
          <w:p w14:paraId="232B767A" w14:textId="44746899" w:rsidR="00324D1B" w:rsidRDefault="00324D1B" w:rsidP="006670D2">
            <w:pPr>
              <w:pStyle w:val="PullOutBoxBullet"/>
              <w:rPr>
                <w:rFonts w:ascii="Arial" w:hAnsi="Arial"/>
                <w:color w:val="363534"/>
              </w:rPr>
            </w:pPr>
            <w:r>
              <w:t xml:space="preserve">Investigate the biology of the </w:t>
            </w:r>
            <w:r w:rsidR="00B05B1A">
              <w:t>sub</w:t>
            </w:r>
            <w:r w:rsidR="001D3902">
              <w:t>species</w:t>
            </w:r>
            <w:r>
              <w:t xml:space="preserve"> to ascertain if it is an obligate seeder. </w:t>
            </w:r>
          </w:p>
        </w:tc>
      </w:tr>
    </w:tbl>
    <w:p w14:paraId="4FC34C8D" w14:textId="70D64C7E" w:rsidR="00324D1B" w:rsidRDefault="00324D1B" w:rsidP="007E5EBF">
      <w:pPr>
        <w:pStyle w:val="Heading3"/>
      </w:pPr>
      <w:bookmarkStart w:id="543" w:name="_Toc88725816"/>
      <w:bookmarkStart w:id="544" w:name="_Toc88725817"/>
      <w:bookmarkStart w:id="545" w:name="_Toc88725818"/>
      <w:bookmarkStart w:id="546" w:name="_Toc88725819"/>
      <w:bookmarkStart w:id="547" w:name="_Toc88725820"/>
      <w:bookmarkStart w:id="548" w:name="_Toc88725821"/>
      <w:bookmarkStart w:id="549" w:name="_Toc88725822"/>
      <w:bookmarkStart w:id="550" w:name="_Toc88725823"/>
      <w:bookmarkStart w:id="551" w:name="_Toc88725824"/>
      <w:bookmarkStart w:id="552" w:name="_Toc88725825"/>
      <w:bookmarkStart w:id="553" w:name="_Toc88725826"/>
      <w:bookmarkStart w:id="554" w:name="_Toc88725827"/>
      <w:bookmarkStart w:id="555" w:name="_Toc88725828"/>
      <w:bookmarkStart w:id="556" w:name="_Toc88725829"/>
      <w:bookmarkStart w:id="557" w:name="_Toc88725830"/>
      <w:bookmarkStart w:id="558" w:name="_Toc88725832"/>
      <w:bookmarkStart w:id="559" w:name="_Toc88725833"/>
      <w:bookmarkStart w:id="560" w:name="_Toc88725835"/>
      <w:bookmarkStart w:id="561" w:name="_Toc88725836"/>
      <w:bookmarkStart w:id="562" w:name="_Toc88725838"/>
      <w:bookmarkStart w:id="563" w:name="_Toc88725839"/>
      <w:bookmarkStart w:id="564" w:name="_Toc88725841"/>
      <w:bookmarkStart w:id="565" w:name="_Toc88725842"/>
      <w:bookmarkStart w:id="566" w:name="_Toc88725843"/>
      <w:bookmarkStart w:id="567" w:name="_Toc88725844"/>
      <w:bookmarkStart w:id="568" w:name="_Toc88725845"/>
      <w:bookmarkStart w:id="569" w:name="_Toc88725846"/>
      <w:bookmarkStart w:id="570" w:name="_Toc88725847"/>
      <w:bookmarkStart w:id="571" w:name="_Toc88725848"/>
      <w:bookmarkStart w:id="572" w:name="_Toc88725849"/>
      <w:bookmarkStart w:id="573" w:name="_Toc88725850"/>
      <w:bookmarkStart w:id="574" w:name="_Toc88725851"/>
      <w:bookmarkStart w:id="575" w:name="_Toc88725852"/>
      <w:bookmarkStart w:id="576" w:name="_Toc88725853"/>
      <w:bookmarkStart w:id="577" w:name="_Toc88725854"/>
      <w:bookmarkStart w:id="578" w:name="_Toc88725855"/>
      <w:bookmarkStart w:id="579" w:name="_Toc88725856"/>
      <w:bookmarkStart w:id="580" w:name="_Toc88725857"/>
      <w:bookmarkStart w:id="581" w:name="_Toc88725858"/>
      <w:bookmarkStart w:id="582" w:name="_Toc88725859"/>
      <w:bookmarkStart w:id="583" w:name="_Toc88725860"/>
      <w:bookmarkStart w:id="584" w:name="_Toc88725861"/>
      <w:bookmarkStart w:id="585" w:name="_Toc88725862"/>
      <w:bookmarkStart w:id="586" w:name="_Toc88725863"/>
      <w:bookmarkStart w:id="587" w:name="_Toc88725864"/>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Pr>
          <w:noProof/>
        </w:rPr>
        <mc:AlternateContent>
          <mc:Choice Requires="wps">
            <w:drawing>
              <wp:anchor distT="0" distB="0" distL="114300" distR="114300" simplePos="0" relativeHeight="251658352" behindDoc="1" locked="1" layoutInCell="1" allowOverlap="1" wp14:anchorId="6EF7AA33" wp14:editId="60106A99">
                <wp:simplePos x="0" y="0"/>
                <wp:positionH relativeFrom="page">
                  <wp:posOffset>359410</wp:posOffset>
                </wp:positionH>
                <wp:positionV relativeFrom="page">
                  <wp:posOffset>9071610</wp:posOffset>
                </wp:positionV>
                <wp:extent cx="6840220" cy="431800"/>
                <wp:effectExtent l="0" t="0" r="0" b="0"/>
                <wp:wrapNone/>
                <wp:docPr id="136" name="Text Box 136"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97A92"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7AA33" id="Text Box 136" o:spid="_x0000_s1081" type="#_x0000_t202" alt="Title: Decorative Cover Shape" style="position:absolute;left:0;text-align:left;margin-left:28.3pt;margin-top:714.3pt;width:538.6pt;height:34pt;z-index:-2516581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" fillcolor="#201547" stroked="f" strokeweight=".5pt">
                <v:textbox inset="10mm,0,10mm,0">
                  <w:txbxContent>
                    <w:p w14:paraId="64697A92"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351" behindDoc="0" locked="1" layoutInCell="1" allowOverlap="1" wp14:anchorId="2E4951AD" wp14:editId="11834974">
                <wp:simplePos x="0" y="0"/>
                <wp:positionH relativeFrom="page">
                  <wp:posOffset>360045</wp:posOffset>
                </wp:positionH>
                <wp:positionV relativeFrom="page">
                  <wp:posOffset>360045</wp:posOffset>
                </wp:positionV>
                <wp:extent cx="1864995" cy="1976120"/>
                <wp:effectExtent l="0" t="0" r="0" b="0"/>
                <wp:wrapNone/>
                <wp:docPr id="84" name="Freeform: Shape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CB98542" id="Freeform: Shape 84" o:spid="_x0000_s1026" style="position:absolute;margin-left:28.35pt;margin-top:28.35pt;width:146.85pt;height:155.6pt;z-index:2516583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350" behindDoc="0" locked="1" layoutInCell="1" allowOverlap="1" wp14:anchorId="4DCF2A18" wp14:editId="7EB0BB5A">
                <wp:simplePos x="0" y="0"/>
                <wp:positionH relativeFrom="page">
                  <wp:posOffset>359410</wp:posOffset>
                </wp:positionH>
                <wp:positionV relativeFrom="page">
                  <wp:posOffset>359410</wp:posOffset>
                </wp:positionV>
                <wp:extent cx="1864995" cy="1976120"/>
                <wp:effectExtent l="0" t="0" r="0" b="0"/>
                <wp:wrapNone/>
                <wp:docPr id="85" name="Freeform: Shape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AA2EBDF" id="Freeform: Shape 85" o:spid="_x0000_s1026" style="position:absolute;margin-left:28.3pt;margin-top:28.3pt;width:146.85pt;height:155.6pt;z-index:2516583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349" behindDoc="0" locked="1" layoutInCell="1" allowOverlap="1" wp14:anchorId="1F8EC92A" wp14:editId="0FF7ED90">
                <wp:simplePos x="0" y="0"/>
                <wp:positionH relativeFrom="page">
                  <wp:posOffset>0</wp:posOffset>
                </wp:positionH>
                <wp:positionV relativeFrom="page">
                  <wp:align>bottom</wp:align>
                </wp:positionV>
                <wp:extent cx="3848100" cy="720090"/>
                <wp:effectExtent l="0" t="0" r="0" b="0"/>
                <wp:wrapNone/>
                <wp:docPr id="139" name="Text Box 139"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224B0" w14:textId="77777777" w:rsidR="00324D1B" w:rsidRDefault="00324D1B" w:rsidP="00324D1B">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EC92A" id="Text Box 139" o:spid="_x0000_s1082" type="#_x0000_t202" style="position:absolute;left:0;text-align:left;margin-left:0;margin-top:0;width:303pt;height:56.7pt;z-index:25165834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" filled="f" stroked="f" strokeweight=".5pt">
                <v:textbox inset="20mm">
                  <w:txbxContent>
                    <w:p w14:paraId="5D2224B0" w14:textId="77777777" w:rsidR="00324D1B" w:rsidRDefault="00324D1B" w:rsidP="00324D1B">
                      <w:pPr>
                        <w:pStyle w:val="xWebCoverPage"/>
                      </w:pPr>
                      <w:r>
                        <w:t>delwp.vic.gov.au</w:t>
                      </w:r>
                    </w:p>
                  </w:txbxContent>
                </v:textbox>
                <w10:wrap anchorx="page" anchory="page"/>
                <w10:anchorlock/>
              </v:shape>
            </w:pict>
          </mc:Fallback>
        </mc:AlternateContent>
      </w:r>
      <w:bookmarkStart w:id="588" w:name="_Toc88725865"/>
      <w:bookmarkStart w:id="589" w:name="_Toc88725866"/>
      <w:bookmarkStart w:id="590" w:name="_Toc88725867"/>
      <w:bookmarkStart w:id="591" w:name="_Toc88725868"/>
      <w:bookmarkStart w:id="592" w:name="_Toc88725869"/>
      <w:bookmarkStart w:id="593" w:name="_Toc88725870"/>
      <w:bookmarkStart w:id="594" w:name="_Toc88725871"/>
      <w:bookmarkStart w:id="595" w:name="_Toc88725872"/>
      <w:bookmarkStart w:id="596" w:name="_Toc88725873"/>
      <w:bookmarkStart w:id="597" w:name="_Toc88725874"/>
      <w:bookmarkStart w:id="598" w:name="_Toc88725875"/>
      <w:bookmarkStart w:id="599" w:name="_Toc88725876"/>
      <w:bookmarkStart w:id="600" w:name="_Toc88725878"/>
      <w:bookmarkStart w:id="601" w:name="_Toc88725879"/>
      <w:bookmarkStart w:id="602" w:name="_Toc88725881"/>
      <w:bookmarkStart w:id="603" w:name="_Toc88725882"/>
      <w:bookmarkStart w:id="604" w:name="_Toc88725884"/>
      <w:bookmarkStart w:id="605" w:name="_Toc88725885"/>
      <w:bookmarkStart w:id="606" w:name="_Toc88725887"/>
      <w:bookmarkStart w:id="607" w:name="_Toc88725888"/>
      <w:bookmarkStart w:id="608" w:name="_Toc88725889"/>
      <w:bookmarkStart w:id="609" w:name="_Toc88725890"/>
      <w:bookmarkStart w:id="610" w:name="_Toc88725891"/>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t>Forestry operations</w:t>
      </w:r>
      <w:bookmarkEnd w:id="610"/>
    </w:p>
    <w:p w14:paraId="125CA0A8" w14:textId="77777777" w:rsidR="00324D1B" w:rsidRDefault="00324D1B" w:rsidP="00324D1B">
      <w:pPr>
        <w:pStyle w:val="Heading5"/>
        <w:numPr>
          <w:ilvl w:val="0"/>
          <w:numId w:val="0"/>
        </w:numPr>
      </w:pPr>
      <w:r>
        <w:t>Forestry operations</w:t>
      </w:r>
    </w:p>
    <w:p w14:paraId="068C01EF" w14:textId="63B01AED" w:rsidR="00324D1B" w:rsidRPr="00F05594" w:rsidRDefault="00324D1B" w:rsidP="00324D1B">
      <w:pPr>
        <w:pStyle w:val="BodyText"/>
      </w:pPr>
      <w:r>
        <w:t xml:space="preserve">The </w:t>
      </w:r>
      <w:r w:rsidR="00B05B1A">
        <w:t>sub</w:t>
      </w:r>
      <w:r w:rsidR="001D3902">
        <w:t>species</w:t>
      </w:r>
      <w:r>
        <w:t xml:space="preserve"> is estimated to be severely fragmented and is estimated to have fewer than ten locations. It has a continuing decline in </w:t>
      </w:r>
      <w:r w:rsidRPr="00F05594">
        <w:t xml:space="preserve">number of locations or subpopulations, based on the current and projected impact of the identified threats, including forestry operations. </w:t>
      </w:r>
      <w:r w:rsidR="004868D5" w:rsidRPr="00915D82">
        <w:t xml:space="preserve">As forestry operations open the landscape via track and road establishment, this may facilitate incursions of invasive species </w:t>
      </w:r>
      <w:r w:rsidR="004868D5" w:rsidRPr="00B6162A">
        <w:t>including deer.</w:t>
      </w:r>
      <w:r w:rsidR="004F63F1" w:rsidRPr="00FD57DB">
        <w:t xml:space="preserve"> </w:t>
      </w:r>
      <w:r w:rsidR="005531E9" w:rsidRPr="00FD57DB">
        <w:t>Based on the 2015 net harvest area layer</w:t>
      </w:r>
      <w:r w:rsidR="0072033B" w:rsidRPr="00FD57DB">
        <w:t>,</w:t>
      </w:r>
      <w:r w:rsidR="005531E9" w:rsidRPr="00FD57DB">
        <w:t xml:space="preserve"> 19% of the </w:t>
      </w:r>
      <w:r w:rsidR="00B05B1A">
        <w:t>sub</w:t>
      </w:r>
      <w:r w:rsidR="001D3902">
        <w:t>species’</w:t>
      </w:r>
      <w:r w:rsidR="005531E9" w:rsidRPr="00FD57DB">
        <w:t xml:space="preserve"> modelled habitat and 15% of its important populations occur in merchantable areas. Using the revised operable layer, this is reduced to 7</w:t>
      </w:r>
      <w:r w:rsidR="001A5F4B" w:rsidRPr="00FD57DB">
        <w:t xml:space="preserve">% of its modelled habitat and 9% of its important populations. </w:t>
      </w:r>
    </w:p>
    <w:p w14:paraId="4432EA71" w14:textId="77777777" w:rsidR="00324D1B" w:rsidRPr="00F05594" w:rsidRDefault="00324D1B" w:rsidP="00324D1B">
      <w:pPr>
        <w:pStyle w:val="BodyText"/>
      </w:pPr>
      <w:r w:rsidRPr="00F05594">
        <w:t>Current existing controls for this hazard include:</w:t>
      </w:r>
    </w:p>
    <w:p w14:paraId="7058C8DD" w14:textId="2FA34DA2" w:rsidR="00324D1B" w:rsidRPr="00F05594" w:rsidRDefault="00324D1B" w:rsidP="006670D2">
      <w:pPr>
        <w:pStyle w:val="PullOutBoxBullet"/>
      </w:pPr>
      <w:r w:rsidRPr="00F05594">
        <w:t xml:space="preserve">The </w:t>
      </w:r>
      <w:r w:rsidRPr="00F05594">
        <w:rPr>
          <w:i/>
          <w:iCs/>
        </w:rPr>
        <w:t xml:space="preserve">Code of Practice for Timber Production 2014. </w:t>
      </w:r>
      <w:r w:rsidRPr="00F05594">
        <w:t xml:space="preserve">There is no species-specific prescription for this </w:t>
      </w:r>
      <w:r w:rsidR="00B05B1A">
        <w:t>sub</w:t>
      </w:r>
      <w:r w:rsidR="001D3902">
        <w:t>species</w:t>
      </w:r>
      <w:r w:rsidRPr="00F05594">
        <w:t xml:space="preserve"> in the Code, however the Code includes general measure</w:t>
      </w:r>
      <w:r w:rsidR="00DF4469">
        <w:t>s</w:t>
      </w:r>
      <w:r w:rsidRPr="00F05594">
        <w:t xml:space="preserve"> that may provide indirect protection. The lack of a specific prescription leads to the effectiveness of the Code being assessed as poor for this </w:t>
      </w:r>
      <w:r w:rsidR="00B05B1A">
        <w:t>sub</w:t>
      </w:r>
      <w:r w:rsidR="001D3902">
        <w:t>species</w:t>
      </w:r>
      <w:r w:rsidRPr="00F05594">
        <w:t xml:space="preserve">. </w:t>
      </w:r>
    </w:p>
    <w:p w14:paraId="191EC1FF" w14:textId="3D11CBE4" w:rsidR="00324D1B" w:rsidRPr="00F05594" w:rsidRDefault="00324D1B" w:rsidP="006670D2">
      <w:pPr>
        <w:pStyle w:val="PullOutBoxBullet"/>
        <w:rPr>
          <w:rFonts w:eastAsiaTheme="minorEastAsia" w:cstheme="minorBidi"/>
        </w:rPr>
      </w:pPr>
      <w:r w:rsidRPr="00F05594">
        <w:t xml:space="preserve">The CAR reserve system. The effectiveness of this control for this </w:t>
      </w:r>
      <w:r w:rsidR="00B05B1A">
        <w:t>sub</w:t>
      </w:r>
      <w:r w:rsidRPr="00F05594">
        <w:t xml:space="preserve">species has been evaluated as satisfactory as 52% of the </w:t>
      </w:r>
      <w:r w:rsidR="00B05B1A">
        <w:t>sub</w:t>
      </w:r>
      <w:r w:rsidR="001D3902">
        <w:t>species’</w:t>
      </w:r>
      <w:r w:rsidRPr="00F05594">
        <w:t xml:space="preserve"> habitat distribution model and 73% of important populations are within the reserve system</w:t>
      </w:r>
      <w:r w:rsidR="005E1477">
        <w:t>.</w:t>
      </w:r>
    </w:p>
    <w:p w14:paraId="4C0502EB" w14:textId="53CF66CB"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114</w:t>
      </w:r>
      <w:r w:rsidR="000B6788" w:rsidRPr="00291BDC">
        <w:rPr>
          <w:bCs/>
          <w:noProof/>
        </w:rPr>
        <w:fldChar w:fldCharType="end"/>
      </w:r>
      <w:r w:rsidRPr="00FF310C">
        <w:t xml:space="preserve">. Forest Phebalium protection requirements and recommendations for </w:t>
      </w:r>
      <w:r w:rsidR="0040142E" w:rsidRPr="00FF310C">
        <w:t>f</w:t>
      </w:r>
      <w:r w:rsidRPr="00FF310C">
        <w:t>orestry operations</w:t>
      </w:r>
    </w:p>
    <w:tbl>
      <w:tblPr>
        <w:tblStyle w:val="TableGrid"/>
        <w:tblW w:w="9639" w:type="dxa"/>
        <w:tblInd w:w="-5" w:type="dxa"/>
        <w:tblLayout w:type="fixed"/>
        <w:tblLook w:val="04A0" w:firstRow="1" w:lastRow="0" w:firstColumn="1" w:lastColumn="0" w:noHBand="0" w:noVBand="1"/>
      </w:tblPr>
      <w:tblGrid>
        <w:gridCol w:w="2268"/>
        <w:gridCol w:w="7371"/>
      </w:tblGrid>
      <w:tr w:rsidR="00187A7D" w14:paraId="400A7BE3" w14:textId="77777777" w:rsidTr="002D17E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774DBC72"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C4361C3"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F25FD" w14:paraId="758B09A9" w14:textId="77777777" w:rsidTr="002D17E4">
        <w:tc>
          <w:tcPr>
            <w:tcW w:w="2268" w:type="dxa"/>
            <w:tcBorders>
              <w:top w:val="single" w:sz="8" w:space="0" w:color="CDDC29" w:themeColor="text2"/>
              <w:left w:val="nil"/>
              <w:bottom w:val="single" w:sz="8" w:space="0" w:color="CDDC29" w:themeColor="text2"/>
              <w:right w:val="nil"/>
            </w:tcBorders>
            <w:hideMark/>
          </w:tcPr>
          <w:p w14:paraId="6D3F8BA7" w14:textId="77777777" w:rsidR="00324D1B" w:rsidRDefault="00324D1B" w:rsidP="00BD2A26">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39DD7DDB" w14:textId="14F1A7A9" w:rsidR="00324D1B" w:rsidRDefault="00324D1B" w:rsidP="00BD2A26">
            <w:pPr>
              <w:pStyle w:val="BodyText"/>
              <w:rPr>
                <w:rFonts w:eastAsia="Calibri"/>
              </w:rPr>
            </w:pPr>
            <w:r>
              <w:rPr>
                <w:rFonts w:eastAsia="Calibri"/>
              </w:rPr>
              <w:t>Within the Central Highlands, Gippsland and East Gippsland RFA</w:t>
            </w:r>
            <w:r w:rsidR="002A6069">
              <w:rPr>
                <w:rFonts w:eastAsia="Calibri"/>
              </w:rPr>
              <w:t xml:space="preserve"> regions</w:t>
            </w:r>
            <w:r>
              <w:rPr>
                <w:rFonts w:eastAsia="Calibri"/>
              </w:rPr>
              <w:t>, the Secretary will establish Special Management Zone(s) over individual or collections of post-1970 VBA records (</w:t>
            </w:r>
            <w:r w:rsidR="0058098D">
              <w:rPr>
                <w:rFonts w:eastAsia="Calibri"/>
              </w:rPr>
              <w:t>records with an accuracy of 100 m or better</w:t>
            </w:r>
            <w:r>
              <w:rPr>
                <w:rFonts w:eastAsia="Calibri"/>
              </w:rPr>
              <w:t>) with the following conditions:</w:t>
            </w:r>
          </w:p>
          <w:p w14:paraId="0131FB87" w14:textId="0A4F2C29" w:rsidR="00324D1B" w:rsidRDefault="00324D1B" w:rsidP="006670D2">
            <w:pPr>
              <w:pStyle w:val="PullOutBoxBullet"/>
            </w:pPr>
            <w:r>
              <w:t>The managing authority is required to apply a management area of 200 m radius over individual or collections of post-1970 VBA records (</w:t>
            </w:r>
            <w:r w:rsidR="0058098D">
              <w:t>records with an accuracy of 100 m or better</w:t>
            </w:r>
            <w:r>
              <w:t xml:space="preserve">). Conduct a site inspection and detailed planning in consultation with the Department to ensure the </w:t>
            </w:r>
            <w:r w:rsidR="00B05B1A">
              <w:t>sub</w:t>
            </w:r>
            <w:r>
              <w:t>species is adequately protected during timber harvesting operations</w:t>
            </w:r>
            <w:r w:rsidR="00280BAA">
              <w:t xml:space="preserve"> (See Maps 6a and 6b).</w:t>
            </w:r>
          </w:p>
        </w:tc>
      </w:tr>
      <w:tr w:rsidR="00585AB9" w14:paraId="76F743EE" w14:textId="77777777" w:rsidTr="002D17E4">
        <w:tc>
          <w:tcPr>
            <w:tcW w:w="2268" w:type="dxa"/>
            <w:tcBorders>
              <w:top w:val="single" w:sz="8" w:space="0" w:color="CDDC29" w:themeColor="text2"/>
              <w:left w:val="nil"/>
              <w:bottom w:val="single" w:sz="8" w:space="0" w:color="CDDC29" w:themeColor="text2"/>
              <w:right w:val="nil"/>
            </w:tcBorders>
          </w:tcPr>
          <w:p w14:paraId="09F729BE" w14:textId="6175F2C3" w:rsidR="001C0512" w:rsidRDefault="001C0512" w:rsidP="00BD2A26">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0A10DBD4" w14:textId="77777777" w:rsidR="005672B6" w:rsidRPr="00E31362" w:rsidRDefault="005672B6" w:rsidP="006670D2">
            <w:pPr>
              <w:pStyle w:val="PullOutBoxBullet"/>
            </w:pPr>
            <w:r w:rsidRPr="00E31362">
              <w:t>Comprehensively search likely habitat and map important populations; and</w:t>
            </w:r>
          </w:p>
          <w:p w14:paraId="6A09044F" w14:textId="58959AFE" w:rsidR="001C0512" w:rsidRDefault="005672B6" w:rsidP="006670D2">
            <w:pPr>
              <w:pStyle w:val="PullOutBoxBullet"/>
            </w:pPr>
            <w:r w:rsidRPr="00E31362">
              <w:t>Establish monitoring sites and collect baseline data.</w:t>
            </w:r>
          </w:p>
        </w:tc>
      </w:tr>
      <w:tr w:rsidR="003F25FD" w14:paraId="79523D7E" w14:textId="77777777" w:rsidTr="002D17E4">
        <w:tc>
          <w:tcPr>
            <w:tcW w:w="2268" w:type="dxa"/>
            <w:tcBorders>
              <w:top w:val="single" w:sz="8" w:space="0" w:color="CDDC29" w:themeColor="text2"/>
              <w:left w:val="nil"/>
              <w:bottom w:val="single" w:sz="8" w:space="0" w:color="CDDC29" w:themeColor="text2"/>
              <w:right w:val="nil"/>
            </w:tcBorders>
            <w:hideMark/>
          </w:tcPr>
          <w:p w14:paraId="71FE8B42" w14:textId="77777777" w:rsidR="00324D1B" w:rsidRDefault="00324D1B" w:rsidP="00BD2A26">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4D3159E3" w14:textId="77777777" w:rsidR="00324D1B" w:rsidRDefault="00324D1B" w:rsidP="00BD2A26">
            <w:pPr>
              <w:pStyle w:val="BodyText"/>
            </w:pPr>
            <w:r>
              <w:t>Additional permanent protections may be required in the longer-term.</w:t>
            </w:r>
          </w:p>
        </w:tc>
      </w:tr>
      <w:tr w:rsidR="003F25FD" w14:paraId="1EB78772" w14:textId="77777777" w:rsidTr="002D17E4">
        <w:tc>
          <w:tcPr>
            <w:tcW w:w="2268" w:type="dxa"/>
            <w:tcBorders>
              <w:top w:val="single" w:sz="8" w:space="0" w:color="CDDC29" w:themeColor="text2"/>
              <w:left w:val="nil"/>
              <w:bottom w:val="single" w:sz="8" w:space="0" w:color="CDDC29" w:themeColor="text2"/>
              <w:right w:val="nil"/>
            </w:tcBorders>
            <w:hideMark/>
          </w:tcPr>
          <w:p w14:paraId="630DF76B" w14:textId="5F779696" w:rsidR="00324D1B" w:rsidRDefault="00925D17" w:rsidP="00BD2A26">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29D9AC66" w14:textId="6BFC2F35" w:rsidR="00324D1B" w:rsidRDefault="00324D1B" w:rsidP="006670D2">
            <w:pPr>
              <w:pStyle w:val="PullOutBoxBullet"/>
            </w:pPr>
            <w:r>
              <w:t>Consider introducing a species-specific code prescription as part of any future Code amendments</w:t>
            </w:r>
            <w:r w:rsidR="00DF4469">
              <w:t>.</w:t>
            </w:r>
          </w:p>
        </w:tc>
      </w:tr>
    </w:tbl>
    <w:p w14:paraId="01D3D159" w14:textId="77777777" w:rsidR="00324D1B" w:rsidRDefault="00324D1B" w:rsidP="00324D1B">
      <w:pPr>
        <w:pStyle w:val="BodyText"/>
      </w:pPr>
    </w:p>
    <w:p w14:paraId="3612E7E6" w14:textId="77777777" w:rsidR="00324D1B" w:rsidRDefault="00324D1B" w:rsidP="00324D1B">
      <w:pPr>
        <w:rPr>
          <w:rFonts w:ascii="Arial" w:hAnsi="Arial" w:cs="Times New Roman"/>
          <w:color w:val="363534"/>
          <w:lang w:eastAsia="en-US"/>
        </w:rPr>
      </w:pPr>
      <w:r>
        <w:rPr>
          <w:rFonts w:ascii="Arial" w:hAnsi="Arial"/>
          <w:color w:val="363534"/>
        </w:rPr>
        <w:br w:type="page"/>
      </w:r>
    </w:p>
    <w:p w14:paraId="0E572E9D" w14:textId="77777777" w:rsidR="00324D1B" w:rsidRPr="00F05594" w:rsidRDefault="00324D1B" w:rsidP="00FB5A2B">
      <w:pPr>
        <w:pStyle w:val="Heading2"/>
        <w:ind w:left="0"/>
        <w:rPr>
          <w:rFonts w:asciiTheme="minorHAnsi" w:hAnsiTheme="minorHAnsi"/>
          <w:i/>
          <w:iCs/>
        </w:rPr>
      </w:pPr>
      <w:bookmarkStart w:id="611" w:name="_Toc95234100"/>
      <w:bookmarkStart w:id="612" w:name="_Toc113271046"/>
      <w:r w:rsidRPr="00F05594">
        <w:t xml:space="preserve">Forest Sedge </w:t>
      </w:r>
      <w:r w:rsidRPr="0040142E">
        <w:rPr>
          <w:i/>
          <w:iCs/>
        </w:rPr>
        <w:t>(Carex alsophila)</w:t>
      </w:r>
      <w:bookmarkEnd w:id="611"/>
      <w:bookmarkEnd w:id="612"/>
    </w:p>
    <w:p w14:paraId="41A3EF2A" w14:textId="6001AD40" w:rsidR="00324D1B" w:rsidRDefault="00324D1B" w:rsidP="00324D1B">
      <w:pPr>
        <w:pStyle w:val="BodyText"/>
      </w:pPr>
      <w:r>
        <w:t>The Forest Sedge was listed as Endangered in Australia under the FFG Act in May</w:t>
      </w:r>
      <w:r w:rsidR="00BA7327">
        <w:t xml:space="preserve"> 2021</w:t>
      </w:r>
      <w:r>
        <w:t xml:space="preserve">. The </w:t>
      </w:r>
      <w:r w:rsidR="001D3902">
        <w:t>species</w:t>
      </w:r>
      <w:r>
        <w:t xml:space="preserve"> has modelled habitat in the Central Highlands (98% of modelled habitat) and Gippsland (2% of modelled habitat) RFA regions. </w:t>
      </w:r>
      <w:r>
        <w:rPr>
          <w:rStyle w:val="BodyTextChar"/>
        </w:rPr>
        <w:t>Permanent protections are recommended to address any hazards identified at a significant or high risk, and all</w:t>
      </w:r>
      <w:r>
        <w:t xml:space="preserve"> hazards rated a medium risk or higher will be considered in future management planning.</w:t>
      </w:r>
    </w:p>
    <w:p w14:paraId="491AE597" w14:textId="77777777" w:rsidR="00324D1B" w:rsidRDefault="00324D1B" w:rsidP="007E5EBF">
      <w:pPr>
        <w:pStyle w:val="Heading3"/>
      </w:pPr>
      <w:r>
        <w:t>Risk Assessment</w:t>
      </w:r>
    </w:p>
    <w:p w14:paraId="27E6A8B3" w14:textId="61FAD82F"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115</w:t>
      </w:r>
      <w:r w:rsidR="000B6788" w:rsidRPr="00291BDC">
        <w:rPr>
          <w:bCs/>
          <w:noProof/>
        </w:rPr>
        <w:fldChar w:fldCharType="end"/>
      </w:r>
      <w:r w:rsidRPr="00FF310C">
        <w:t>. Forest Sedge risk ratings in the Central Highlands RFA region:</w:t>
      </w:r>
    </w:p>
    <w:tbl>
      <w:tblPr>
        <w:tblStyle w:val="TableGrid"/>
        <w:tblW w:w="0" w:type="auto"/>
        <w:tblLook w:val="04A0" w:firstRow="1" w:lastRow="0" w:firstColumn="1" w:lastColumn="0" w:noHBand="0" w:noVBand="1"/>
      </w:tblPr>
      <w:tblGrid>
        <w:gridCol w:w="2410"/>
        <w:gridCol w:w="2410"/>
        <w:gridCol w:w="2410"/>
      </w:tblGrid>
      <w:tr w:rsidR="00324D1B" w14:paraId="78D97241" w14:textId="77777777" w:rsidTr="0040142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tcBorders>
              <w:top w:val="single" w:sz="8" w:space="0" w:color="CDDC29" w:themeColor="text2"/>
              <w:left w:val="nil"/>
              <w:bottom w:val="single" w:sz="8" w:space="0" w:color="CDDC29" w:themeColor="text2"/>
              <w:right w:val="nil"/>
            </w:tcBorders>
            <w:vAlign w:val="center"/>
          </w:tcPr>
          <w:p w14:paraId="56E2A282" w14:textId="77777777" w:rsidR="00324D1B" w:rsidRDefault="00324D1B" w:rsidP="006670D2">
            <w:pPr>
              <w:pStyle w:val="CaptionImageorFigure"/>
            </w:pPr>
          </w:p>
        </w:tc>
        <w:tc>
          <w:tcPr>
            <w:tcW w:w="2410" w:type="dxa"/>
            <w:tcBorders>
              <w:top w:val="single" w:sz="8" w:space="0" w:color="CDDC29" w:themeColor="text2"/>
              <w:left w:val="nil"/>
              <w:bottom w:val="single" w:sz="8" w:space="0" w:color="CDDC29" w:themeColor="text2"/>
              <w:right w:val="nil"/>
            </w:tcBorders>
            <w:vAlign w:val="center"/>
            <w:hideMark/>
          </w:tcPr>
          <w:p w14:paraId="4F813A01"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w:t>
            </w:r>
          </w:p>
        </w:tc>
        <w:tc>
          <w:tcPr>
            <w:tcW w:w="2410" w:type="dxa"/>
            <w:tcBorders>
              <w:top w:val="single" w:sz="8" w:space="0" w:color="CDDC29" w:themeColor="text2"/>
              <w:left w:val="nil"/>
              <w:bottom w:val="single" w:sz="8" w:space="0" w:color="CDDC29" w:themeColor="text2"/>
              <w:right w:val="nil"/>
            </w:tcBorders>
            <w:vAlign w:val="center"/>
            <w:hideMark/>
          </w:tcPr>
          <w:p w14:paraId="2B9B1DF8"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r>
      <w:tr w:rsidR="00324D1B" w14:paraId="73E5DB3C" w14:textId="77777777" w:rsidTr="0040142E">
        <w:tc>
          <w:tcPr>
            <w:tcW w:w="2410" w:type="dxa"/>
            <w:tcBorders>
              <w:top w:val="single" w:sz="8" w:space="0" w:color="CDDC29" w:themeColor="text2"/>
              <w:left w:val="nil"/>
              <w:bottom w:val="single" w:sz="8" w:space="0" w:color="CDDC29" w:themeColor="text2"/>
              <w:right w:val="nil"/>
            </w:tcBorders>
            <w:vAlign w:val="center"/>
            <w:hideMark/>
          </w:tcPr>
          <w:p w14:paraId="49012C89" w14:textId="77777777" w:rsidR="00324D1B" w:rsidRDefault="00324D1B" w:rsidP="0040142E">
            <w:pPr>
              <w:pStyle w:val="BodyText"/>
              <w:jc w:val="center"/>
            </w:pPr>
            <w:r>
              <w:t>Consequence</w:t>
            </w:r>
          </w:p>
        </w:tc>
        <w:tc>
          <w:tcPr>
            <w:tcW w:w="2410" w:type="dxa"/>
            <w:tcBorders>
              <w:top w:val="single" w:sz="8" w:space="0" w:color="CDDC29" w:themeColor="text2"/>
              <w:left w:val="nil"/>
              <w:bottom w:val="single" w:sz="8" w:space="0" w:color="CDDC29" w:themeColor="text2"/>
              <w:right w:val="nil"/>
            </w:tcBorders>
            <w:hideMark/>
          </w:tcPr>
          <w:p w14:paraId="4D166699" w14:textId="77777777" w:rsidR="00324D1B" w:rsidRDefault="00324D1B" w:rsidP="0040142E">
            <w:pPr>
              <w:pStyle w:val="BodyText"/>
              <w:jc w:val="center"/>
            </w:pPr>
            <w:r>
              <w:t>Moderate</w:t>
            </w:r>
          </w:p>
        </w:tc>
        <w:tc>
          <w:tcPr>
            <w:tcW w:w="2410" w:type="dxa"/>
            <w:tcBorders>
              <w:top w:val="single" w:sz="8" w:space="0" w:color="CDDC29" w:themeColor="text2"/>
              <w:left w:val="nil"/>
              <w:bottom w:val="single" w:sz="8" w:space="0" w:color="CDDC29" w:themeColor="text2"/>
              <w:right w:val="nil"/>
            </w:tcBorders>
            <w:hideMark/>
          </w:tcPr>
          <w:p w14:paraId="6F6AEBD2" w14:textId="77777777" w:rsidR="00324D1B" w:rsidRDefault="00324D1B" w:rsidP="0040142E">
            <w:pPr>
              <w:pStyle w:val="BodyText"/>
              <w:jc w:val="center"/>
            </w:pPr>
            <w:r>
              <w:t>Moderate</w:t>
            </w:r>
          </w:p>
        </w:tc>
      </w:tr>
      <w:tr w:rsidR="00324D1B" w14:paraId="7469B91B" w14:textId="77777777" w:rsidTr="0040142E">
        <w:tc>
          <w:tcPr>
            <w:tcW w:w="2410" w:type="dxa"/>
            <w:tcBorders>
              <w:top w:val="single" w:sz="8" w:space="0" w:color="CDDC29" w:themeColor="text2"/>
              <w:left w:val="nil"/>
              <w:bottom w:val="single" w:sz="8" w:space="0" w:color="CDDC29" w:themeColor="text2"/>
              <w:right w:val="nil"/>
            </w:tcBorders>
            <w:vAlign w:val="center"/>
            <w:hideMark/>
          </w:tcPr>
          <w:p w14:paraId="5418880E" w14:textId="77777777" w:rsidR="00324D1B" w:rsidRDefault="00324D1B" w:rsidP="0040142E">
            <w:pPr>
              <w:pStyle w:val="BodyText"/>
              <w:jc w:val="center"/>
            </w:pPr>
            <w:r>
              <w:t>Likelihood</w:t>
            </w:r>
          </w:p>
        </w:tc>
        <w:tc>
          <w:tcPr>
            <w:tcW w:w="2410" w:type="dxa"/>
            <w:tcBorders>
              <w:top w:val="single" w:sz="8" w:space="0" w:color="CDDC29" w:themeColor="text2"/>
              <w:left w:val="nil"/>
              <w:bottom w:val="single" w:sz="8" w:space="0" w:color="CDDC29" w:themeColor="text2"/>
              <w:right w:val="nil"/>
            </w:tcBorders>
            <w:hideMark/>
          </w:tcPr>
          <w:p w14:paraId="4C285348" w14:textId="77777777" w:rsidR="00324D1B" w:rsidRDefault="00324D1B" w:rsidP="0040142E">
            <w:pPr>
              <w:pStyle w:val="BodyText"/>
              <w:jc w:val="center"/>
            </w:pPr>
            <w:r>
              <w:t>Possible</w:t>
            </w:r>
          </w:p>
        </w:tc>
        <w:tc>
          <w:tcPr>
            <w:tcW w:w="2410" w:type="dxa"/>
            <w:tcBorders>
              <w:top w:val="single" w:sz="8" w:space="0" w:color="CDDC29" w:themeColor="text2"/>
              <w:left w:val="nil"/>
              <w:bottom w:val="single" w:sz="8" w:space="0" w:color="CDDC29" w:themeColor="text2"/>
              <w:right w:val="nil"/>
            </w:tcBorders>
            <w:hideMark/>
          </w:tcPr>
          <w:p w14:paraId="420FD4F6" w14:textId="77777777" w:rsidR="00324D1B" w:rsidRDefault="00324D1B" w:rsidP="0040142E">
            <w:pPr>
              <w:pStyle w:val="BodyText"/>
              <w:jc w:val="center"/>
            </w:pPr>
            <w:r>
              <w:t>Possible</w:t>
            </w:r>
          </w:p>
        </w:tc>
      </w:tr>
      <w:tr w:rsidR="00324D1B" w14:paraId="510DBD91" w14:textId="77777777" w:rsidTr="0040142E">
        <w:tc>
          <w:tcPr>
            <w:tcW w:w="2410" w:type="dxa"/>
            <w:tcBorders>
              <w:top w:val="single" w:sz="8" w:space="0" w:color="CDDC29" w:themeColor="text2"/>
              <w:left w:val="nil"/>
              <w:bottom w:val="single" w:sz="8" w:space="0" w:color="CDDC29" w:themeColor="text2"/>
              <w:right w:val="nil"/>
            </w:tcBorders>
            <w:vAlign w:val="center"/>
            <w:hideMark/>
          </w:tcPr>
          <w:p w14:paraId="16EF358D" w14:textId="77777777" w:rsidR="00324D1B" w:rsidRDefault="00324D1B" w:rsidP="0040142E">
            <w:pPr>
              <w:pStyle w:val="BodyText"/>
              <w:jc w:val="center"/>
            </w:pPr>
            <w:r>
              <w:t>Overall risk rating</w:t>
            </w:r>
          </w:p>
        </w:tc>
        <w:tc>
          <w:tcPr>
            <w:tcW w:w="2410" w:type="dxa"/>
            <w:tcBorders>
              <w:top w:val="single" w:sz="8" w:space="0" w:color="CDDC29" w:themeColor="text2"/>
              <w:left w:val="nil"/>
              <w:bottom w:val="single" w:sz="8" w:space="0" w:color="CDDC29" w:themeColor="text2"/>
              <w:right w:val="nil"/>
            </w:tcBorders>
            <w:shd w:val="clear" w:color="auto" w:fill="FFFF00"/>
            <w:hideMark/>
          </w:tcPr>
          <w:p w14:paraId="71E615B2" w14:textId="77777777" w:rsidR="00324D1B" w:rsidRDefault="00324D1B" w:rsidP="0040142E">
            <w:pPr>
              <w:pStyle w:val="BodyText"/>
              <w:jc w:val="center"/>
            </w:pPr>
            <w:r>
              <w:t>Medium</w:t>
            </w:r>
          </w:p>
        </w:tc>
        <w:tc>
          <w:tcPr>
            <w:tcW w:w="2410" w:type="dxa"/>
            <w:tcBorders>
              <w:top w:val="single" w:sz="8" w:space="0" w:color="CDDC29" w:themeColor="text2"/>
              <w:left w:val="nil"/>
              <w:bottom w:val="single" w:sz="8" w:space="0" w:color="CDDC29" w:themeColor="text2"/>
              <w:right w:val="nil"/>
            </w:tcBorders>
            <w:shd w:val="clear" w:color="auto" w:fill="FFFF00"/>
            <w:hideMark/>
          </w:tcPr>
          <w:p w14:paraId="22DB45B4" w14:textId="77777777" w:rsidR="00324D1B" w:rsidRDefault="00324D1B" w:rsidP="0040142E">
            <w:pPr>
              <w:pStyle w:val="BodyText"/>
              <w:jc w:val="center"/>
            </w:pPr>
            <w:r>
              <w:t>Medium</w:t>
            </w:r>
          </w:p>
        </w:tc>
      </w:tr>
    </w:tbl>
    <w:p w14:paraId="172E3FD7" w14:textId="77777777" w:rsidR="00324D1B" w:rsidRDefault="00324D1B" w:rsidP="007E5EBF">
      <w:pPr>
        <w:pStyle w:val="Heading3"/>
        <w:jc w:val="both"/>
      </w:pPr>
      <w:r>
        <w:t xml:space="preserve">Climate change </w:t>
      </w:r>
    </w:p>
    <w:p w14:paraId="6453DE9D" w14:textId="77777777" w:rsidR="00324D1B" w:rsidRDefault="00324D1B" w:rsidP="00324D1B">
      <w:pPr>
        <w:pStyle w:val="Heading5"/>
        <w:numPr>
          <w:ilvl w:val="0"/>
          <w:numId w:val="0"/>
        </w:numPr>
        <w:ind w:left="1008" w:hanging="1008"/>
      </w:pPr>
      <w:r>
        <w:t>Drying climate</w:t>
      </w:r>
    </w:p>
    <w:p w14:paraId="00902021" w14:textId="2C1681D5" w:rsidR="00324D1B" w:rsidRDefault="00324D1B" w:rsidP="00324D1B">
      <w:pPr>
        <w:pStyle w:val="BodyText"/>
      </w:pPr>
      <w:r>
        <w:t xml:space="preserve">The </w:t>
      </w:r>
      <w:r w:rsidR="001D3902">
        <w:t>species</w:t>
      </w:r>
      <w:r>
        <w:t xml:space="preserve"> is potentially susceptible to climatic drying as well as any disruption to the hydrology of wetlands and streams across 100% of its distribution. Minor drainage lines which support the </w:t>
      </w:r>
      <w:r w:rsidR="001D3902">
        <w:t>species’</w:t>
      </w:r>
      <w:r>
        <w:t xml:space="preserve"> habitat may become drier and more fire prone, potentially opening canopy over time and reducing habitat suitability. Changes to rainfall in the next 20 years may not change significantly enough to observe decline in the </w:t>
      </w:r>
      <w:r w:rsidR="001D3902">
        <w:t>species</w:t>
      </w:r>
      <w:r>
        <w:t xml:space="preserve"> from the drying of the climate alone, however the cumulative impacts of drying and increase</w:t>
      </w:r>
      <w:r w:rsidR="00606DA5">
        <w:t>d</w:t>
      </w:r>
      <w:r>
        <w:t xml:space="preserve"> fire possibly contribute to </w:t>
      </w:r>
      <w:r w:rsidR="000F0F74">
        <w:t xml:space="preserve">the </w:t>
      </w:r>
      <w:r>
        <w:t xml:space="preserve">altering </w:t>
      </w:r>
      <w:r w:rsidR="000F0F74">
        <w:t xml:space="preserve">of </w:t>
      </w:r>
      <w:r>
        <w:t>vegetation structure. There is also some uncertainty as to how vegetation along drainage lines and creeks will be impacted within 20 years due to predicted changes to climate. It is possible that more than one major fire event may occur in this period within the Central Highlands, and if so, some populations may be lost with the transitioning of wet vegetation types into drier communities.</w:t>
      </w:r>
    </w:p>
    <w:p w14:paraId="47CEB7E7" w14:textId="181AA00E" w:rsidR="00324D1B" w:rsidRDefault="00324D1B" w:rsidP="00324D1B">
      <w:pPr>
        <w:pStyle w:val="BodyText"/>
      </w:pPr>
      <w:r>
        <w:t xml:space="preserve">Current control measures for this hazard are not effective in managing the risk to this </w:t>
      </w:r>
      <w:r w:rsidR="001D3902">
        <w:t>species</w:t>
      </w:r>
      <w:r>
        <w:t xml:space="preserve"> at the scale relevant to its conservation</w:t>
      </w:r>
    </w:p>
    <w:p w14:paraId="6071FDCF" w14:textId="02F4E3CE"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116</w:t>
      </w:r>
      <w:r w:rsidR="000B6788" w:rsidRPr="00291BDC">
        <w:rPr>
          <w:bCs/>
          <w:noProof/>
        </w:rPr>
        <w:fldChar w:fldCharType="end"/>
      </w:r>
      <w:r w:rsidRPr="00FF310C">
        <w:t>. Forest Sedge protection requirements and recommendations for drying climate</w:t>
      </w:r>
    </w:p>
    <w:tbl>
      <w:tblPr>
        <w:tblStyle w:val="TableGrid"/>
        <w:tblW w:w="0" w:type="auto"/>
        <w:tblLook w:val="04A0" w:firstRow="1" w:lastRow="0" w:firstColumn="1" w:lastColumn="0" w:noHBand="0" w:noVBand="1"/>
      </w:tblPr>
      <w:tblGrid>
        <w:gridCol w:w="2268"/>
        <w:gridCol w:w="7371"/>
      </w:tblGrid>
      <w:tr w:rsidR="00324D1B" w14:paraId="498FF43E"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022CB1D"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21D6D401"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71A3356C" w14:textId="77777777" w:rsidTr="00BD2A26">
        <w:tc>
          <w:tcPr>
            <w:tcW w:w="2268" w:type="dxa"/>
            <w:tcBorders>
              <w:top w:val="single" w:sz="8" w:space="0" w:color="CDDC29" w:themeColor="text2"/>
              <w:left w:val="nil"/>
              <w:bottom w:val="single" w:sz="8" w:space="0" w:color="CDDC29" w:themeColor="text2"/>
              <w:right w:val="nil"/>
            </w:tcBorders>
            <w:hideMark/>
          </w:tcPr>
          <w:p w14:paraId="3299CC1C" w14:textId="42D41607" w:rsidR="00324D1B" w:rsidRDefault="00925D17" w:rsidP="00BD2A26">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513822FD" w14:textId="77777777" w:rsidR="00324D1B" w:rsidRDefault="00324D1B" w:rsidP="00BD2A26">
            <w:pPr>
              <w:pStyle w:val="BodyText"/>
            </w:pPr>
            <w:r>
              <w:t>Not required for this hazard as it is a longer-term threat.</w:t>
            </w:r>
          </w:p>
        </w:tc>
      </w:tr>
      <w:tr w:rsidR="00324D1B" w14:paraId="4BE3681F" w14:textId="77777777" w:rsidTr="00BD2A26">
        <w:tc>
          <w:tcPr>
            <w:tcW w:w="2268" w:type="dxa"/>
            <w:tcBorders>
              <w:top w:val="single" w:sz="8" w:space="0" w:color="CDDC29" w:themeColor="text2"/>
              <w:left w:val="nil"/>
              <w:bottom w:val="single" w:sz="8" w:space="0" w:color="CDDC29" w:themeColor="text2"/>
              <w:right w:val="nil"/>
            </w:tcBorders>
            <w:hideMark/>
          </w:tcPr>
          <w:p w14:paraId="2A8E84D5" w14:textId="5349363F" w:rsidR="00324D1B" w:rsidRDefault="00925D17" w:rsidP="00BD2A26">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388AB699" w14:textId="77777777" w:rsidR="00324D1B" w:rsidRDefault="00324D1B" w:rsidP="006670D2">
            <w:pPr>
              <w:pStyle w:val="PullOutBoxBullet"/>
            </w:pPr>
            <w:r>
              <w:t xml:space="preserve">Allocate watering to creeks containing populations where possible and monitor effect; </w:t>
            </w:r>
          </w:p>
          <w:p w14:paraId="3C8BCF8B" w14:textId="77777777" w:rsidR="00324D1B" w:rsidRDefault="00324D1B" w:rsidP="006670D2">
            <w:pPr>
              <w:pStyle w:val="PullOutBoxBullet"/>
            </w:pPr>
            <w:r>
              <w:t xml:space="preserve">Undertake minor engineering to remove disused dams or other works to restore suitable hydrological regime; </w:t>
            </w:r>
          </w:p>
          <w:p w14:paraId="5AA5D7AB" w14:textId="77777777" w:rsidR="00324D1B" w:rsidRDefault="00324D1B" w:rsidP="006670D2">
            <w:pPr>
              <w:pStyle w:val="PullOutBoxBullet"/>
            </w:pPr>
            <w:r>
              <w:t xml:space="preserve">Increase deer control in catchment areas, to improve resilience of the vegetation to climate change related impacts; </w:t>
            </w:r>
          </w:p>
          <w:p w14:paraId="274FA299" w14:textId="77777777" w:rsidR="00324D1B" w:rsidRDefault="00324D1B" w:rsidP="006670D2">
            <w:pPr>
              <w:pStyle w:val="PullOutBoxBullet"/>
            </w:pPr>
            <w:r>
              <w:t xml:space="preserve">Propagate and establish new populations in drainage line vegetation where there are clear gains for ecological improvement; and </w:t>
            </w:r>
          </w:p>
          <w:p w14:paraId="351D9B81" w14:textId="77777777" w:rsidR="00324D1B" w:rsidRDefault="00324D1B" w:rsidP="006670D2">
            <w:pPr>
              <w:pStyle w:val="PullOutBoxBullet"/>
            </w:pPr>
            <w:r>
              <w:t xml:space="preserve">Identify sites based on likely security with watering and retention of water in lower gradient forest creeks/swamps. </w:t>
            </w:r>
          </w:p>
        </w:tc>
      </w:tr>
    </w:tbl>
    <w:p w14:paraId="6E1E594E" w14:textId="77777777" w:rsidR="00324D1B" w:rsidRDefault="00324D1B" w:rsidP="007E5EBF">
      <w:pPr>
        <w:pStyle w:val="Heading3"/>
        <w:jc w:val="both"/>
      </w:pPr>
      <w:r>
        <w:t>Forestry operations</w:t>
      </w:r>
    </w:p>
    <w:p w14:paraId="1D5502B2" w14:textId="77777777" w:rsidR="00324D1B" w:rsidRPr="00915D82" w:rsidRDefault="00324D1B" w:rsidP="00324D1B">
      <w:pPr>
        <w:pStyle w:val="Heading5"/>
        <w:numPr>
          <w:ilvl w:val="0"/>
          <w:numId w:val="0"/>
        </w:numPr>
        <w:ind w:left="1008" w:hanging="1008"/>
        <w:rPr>
          <w:rFonts w:asciiTheme="minorHAnsi" w:eastAsia="Times New Roman" w:hAnsiTheme="minorHAnsi" w:cs="Times New Roman"/>
          <w:i w:val="0"/>
          <w:color w:val="363534" w:themeColor="text1"/>
          <w:sz w:val="18"/>
          <w:szCs w:val="18"/>
          <w:lang w:eastAsia="en-US"/>
        </w:rPr>
      </w:pPr>
      <w:r>
        <w:t>Forestry operations</w:t>
      </w:r>
    </w:p>
    <w:p w14:paraId="615515CB" w14:textId="3BC67ADB" w:rsidR="00324D1B" w:rsidRPr="00CB1C33" w:rsidRDefault="001A5F4B" w:rsidP="00324D1B">
      <w:pPr>
        <w:pStyle w:val="BodyText"/>
      </w:pPr>
      <w:r w:rsidRPr="00FD57DB">
        <w:t>Based on the 2015 net harvest area layer, the modelled habitat contains</w:t>
      </w:r>
      <w:r w:rsidR="00A45772" w:rsidRPr="00FD57DB">
        <w:t xml:space="preserve"> </w:t>
      </w:r>
      <w:r w:rsidRPr="00FD57DB">
        <w:t>23% of merchantable timber. Using the revised operable layer, this is reduced to 9%.</w:t>
      </w:r>
      <w:r w:rsidR="00324D1B" w:rsidRPr="00B6162A">
        <w:t xml:space="preserve"> </w:t>
      </w:r>
      <w:r w:rsidR="00DB7B56" w:rsidRPr="00915D82">
        <w:t xml:space="preserve">The main impacts of forestry operations on the </w:t>
      </w:r>
      <w:r w:rsidR="001D3902">
        <w:t>species</w:t>
      </w:r>
      <w:r w:rsidR="00DB7B56" w:rsidRPr="00915D82">
        <w:t xml:space="preserve"> include changes to the quantity of runoff and potential sedimentation into drainage lines. Sediment input can slow down water flow and make a previously occupied site too swampy. The </w:t>
      </w:r>
      <w:r w:rsidR="001D3902">
        <w:t>species</w:t>
      </w:r>
      <w:r w:rsidR="00DB7B56" w:rsidRPr="00915D82">
        <w:t xml:space="preserve"> occupies lower gradient gullies in areas that are not fast flowing, and if the hydrological conditions change, habitat loss or direct mortality may occur. Weed invasion can also be encouraged by changes to hydrology and sedimentation.</w:t>
      </w:r>
      <w:r w:rsidR="00DB7B56">
        <w:t xml:space="preserve"> </w:t>
      </w:r>
      <w:r w:rsidR="00324D1B" w:rsidRPr="00CB1C33">
        <w:t xml:space="preserve">This could subsequently encourage deer to wallow in newly created muddy areas. </w:t>
      </w:r>
    </w:p>
    <w:p w14:paraId="1831F041" w14:textId="77777777" w:rsidR="00324D1B" w:rsidRPr="00CB1C33" w:rsidRDefault="00324D1B" w:rsidP="00324D1B">
      <w:pPr>
        <w:pStyle w:val="BodyText"/>
      </w:pPr>
      <w:r w:rsidRPr="00CB1C33">
        <w:t>Current existing controls for this hazard include:</w:t>
      </w:r>
    </w:p>
    <w:p w14:paraId="4EDAA97B" w14:textId="63431559" w:rsidR="00324D1B" w:rsidRPr="00CB1C33" w:rsidRDefault="00324D1B" w:rsidP="006670D2">
      <w:pPr>
        <w:pStyle w:val="PullOutBoxBullet"/>
        <w:rPr>
          <w:rFonts w:eastAsiaTheme="minorEastAsia" w:cstheme="minorBidi"/>
        </w:rPr>
      </w:pPr>
      <w:r w:rsidRPr="00CB1C33">
        <w:t xml:space="preserve">The </w:t>
      </w:r>
      <w:r w:rsidRPr="00CB1C33">
        <w:rPr>
          <w:i/>
          <w:iCs/>
        </w:rPr>
        <w:t xml:space="preserve">Code of Practice for Timber Production 2014. </w:t>
      </w:r>
      <w:r w:rsidRPr="00CB1C33">
        <w:t xml:space="preserve">There </w:t>
      </w:r>
      <w:r w:rsidR="00294EA6" w:rsidRPr="00CB1C33">
        <w:t>is</w:t>
      </w:r>
      <w:r w:rsidRPr="00CB1C33">
        <w:t xml:space="preserve"> no species-specific prescription for this </w:t>
      </w:r>
      <w:r w:rsidR="001D3902">
        <w:t>species</w:t>
      </w:r>
      <w:r w:rsidRPr="00CB1C33">
        <w:t xml:space="preserve"> in the Code, however the Code includes general protections for riparian habitat and waterways including a prohibition on harvesting, the application of buffers and </w:t>
      </w:r>
      <w:r w:rsidR="004F30F6" w:rsidRPr="00C02DCA">
        <w:t>design standards for roads, crossings</w:t>
      </w:r>
      <w:r w:rsidR="00B35349" w:rsidRPr="00C02DCA">
        <w:t>,</w:t>
      </w:r>
      <w:r w:rsidR="004F30F6" w:rsidRPr="00C02DCA">
        <w:t xml:space="preserve"> and coupe infrastructure</w:t>
      </w:r>
      <w:r w:rsidR="004F30F6" w:rsidRPr="4F453272">
        <w:t xml:space="preserve">. </w:t>
      </w:r>
      <w:r w:rsidRPr="00CB1C33">
        <w:t xml:space="preserve">The lack of a specific prescription leads to the effectiveness of the Code being assessed as poor for this </w:t>
      </w:r>
      <w:r w:rsidR="001D3902">
        <w:t>species</w:t>
      </w:r>
      <w:r w:rsidRPr="00CB1C33">
        <w:t>.</w:t>
      </w:r>
    </w:p>
    <w:p w14:paraId="35A4B28B" w14:textId="790E4934" w:rsidR="00324D1B" w:rsidRPr="00CB1C33" w:rsidRDefault="00324D1B" w:rsidP="006670D2">
      <w:pPr>
        <w:pStyle w:val="PullOutBoxBullet"/>
      </w:pPr>
      <w:r w:rsidRPr="00CB1C33">
        <w:t xml:space="preserve">Pre-harvest surveys. The effectiveness of this control for this species has been evaluated as good, provided surveyors can accurately identify the </w:t>
      </w:r>
      <w:r w:rsidR="001D3902">
        <w:t>species</w:t>
      </w:r>
      <w:r w:rsidRPr="00CB1C33">
        <w:t xml:space="preserve"> and gather appropriate data.</w:t>
      </w:r>
    </w:p>
    <w:p w14:paraId="0A6256B1" w14:textId="2F66B977" w:rsidR="00324D1B" w:rsidRPr="00CB1C33" w:rsidRDefault="00324D1B" w:rsidP="006670D2">
      <w:pPr>
        <w:pStyle w:val="PullOutBoxBullet"/>
        <w:rPr>
          <w:rFonts w:eastAsiaTheme="minorEastAsia" w:cstheme="minorBidi"/>
        </w:rPr>
      </w:pPr>
      <w:r w:rsidRPr="00CB1C33">
        <w:t xml:space="preserve">The CAR reserve system. The effectiveness of this control for this species has been evaluated as satisfactory as 50% of the </w:t>
      </w:r>
      <w:r w:rsidR="001D3902">
        <w:t>species’</w:t>
      </w:r>
      <w:r w:rsidRPr="00CB1C33">
        <w:t xml:space="preserve"> modelled distribution and 72% of important populations are within the reserve system</w:t>
      </w:r>
      <w:r w:rsidR="005E1477">
        <w:t>.</w:t>
      </w:r>
    </w:p>
    <w:p w14:paraId="79A46FC2" w14:textId="6FE723CB"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117</w:t>
      </w:r>
      <w:r w:rsidR="000B6788" w:rsidRPr="00291BDC">
        <w:rPr>
          <w:bCs/>
          <w:noProof/>
        </w:rPr>
        <w:fldChar w:fldCharType="end"/>
      </w:r>
      <w:r w:rsidRPr="00FF310C">
        <w:t xml:space="preserve">. Forest Sedge protection requirements and recommendations for </w:t>
      </w:r>
      <w:r w:rsidR="0040142E" w:rsidRPr="00FF310C">
        <w:t>f</w:t>
      </w:r>
      <w:r w:rsidRPr="00FF310C">
        <w:t>orestry operations</w:t>
      </w:r>
    </w:p>
    <w:tbl>
      <w:tblPr>
        <w:tblStyle w:val="TableGrid"/>
        <w:tblW w:w="0" w:type="auto"/>
        <w:tblLook w:val="04A0" w:firstRow="1" w:lastRow="0" w:firstColumn="1" w:lastColumn="0" w:noHBand="0" w:noVBand="1"/>
      </w:tblPr>
      <w:tblGrid>
        <w:gridCol w:w="2268"/>
        <w:gridCol w:w="7371"/>
      </w:tblGrid>
      <w:tr w:rsidR="00324D1B" w14:paraId="601964A9"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4604CCE"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6D6F40E4"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6E18C54D" w14:textId="77777777" w:rsidTr="00BD2A26">
        <w:tc>
          <w:tcPr>
            <w:tcW w:w="2268" w:type="dxa"/>
            <w:tcBorders>
              <w:top w:val="single" w:sz="8" w:space="0" w:color="CDDC29" w:themeColor="text2"/>
              <w:left w:val="nil"/>
              <w:bottom w:val="single" w:sz="8" w:space="0" w:color="CDDC29" w:themeColor="text2"/>
              <w:right w:val="nil"/>
            </w:tcBorders>
            <w:hideMark/>
          </w:tcPr>
          <w:p w14:paraId="49378EB8" w14:textId="5D5E86EB" w:rsidR="00324D1B" w:rsidRDefault="00324D1B" w:rsidP="00BD2A26">
            <w:pPr>
              <w:pStyle w:val="BodyText"/>
            </w:pPr>
            <w:r>
              <w:t>Interim protections</w:t>
            </w:r>
            <w:r w:rsidR="009A0891">
              <w:t xml:space="preserve"> </w:t>
            </w:r>
          </w:p>
        </w:tc>
        <w:tc>
          <w:tcPr>
            <w:tcW w:w="7371" w:type="dxa"/>
            <w:tcBorders>
              <w:top w:val="single" w:sz="8" w:space="0" w:color="CDDC29" w:themeColor="text2"/>
              <w:left w:val="nil"/>
              <w:bottom w:val="single" w:sz="8" w:space="0" w:color="CDDC29" w:themeColor="text2"/>
              <w:right w:val="nil"/>
            </w:tcBorders>
            <w:hideMark/>
          </w:tcPr>
          <w:p w14:paraId="736B1530" w14:textId="77777777" w:rsidR="00324D1B" w:rsidRDefault="00324D1B" w:rsidP="00BD2A26">
            <w:pPr>
              <w:pStyle w:val="BodyText"/>
            </w:pPr>
            <w:r>
              <w:t>Not required for this hazard based on the overall risk level of medium.</w:t>
            </w:r>
          </w:p>
        </w:tc>
      </w:tr>
      <w:tr w:rsidR="00A96EAF" w14:paraId="525858FF" w14:textId="77777777" w:rsidTr="00BD2A26">
        <w:tc>
          <w:tcPr>
            <w:tcW w:w="2268" w:type="dxa"/>
            <w:tcBorders>
              <w:top w:val="single" w:sz="8" w:space="0" w:color="CDDC29" w:themeColor="text2"/>
              <w:left w:val="nil"/>
              <w:bottom w:val="single" w:sz="8" w:space="0" w:color="CDDC29" w:themeColor="text2"/>
              <w:right w:val="nil"/>
            </w:tcBorders>
          </w:tcPr>
          <w:p w14:paraId="0639A636" w14:textId="225B125E" w:rsidR="00A96EAF" w:rsidRDefault="00A96EAF" w:rsidP="00BD2A26">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6CAA0A41" w14:textId="087B10C0" w:rsidR="00A96EAF" w:rsidRDefault="00A96EAF" w:rsidP="00BD2A26">
            <w:pPr>
              <w:pStyle w:val="BodyText"/>
            </w:pPr>
            <w:r>
              <w:t>Not required for this hazard based on the overall risk level of medium.</w:t>
            </w:r>
          </w:p>
        </w:tc>
      </w:tr>
      <w:tr w:rsidR="00324D1B" w14:paraId="519EFE79" w14:textId="77777777" w:rsidTr="00BD2A26">
        <w:tc>
          <w:tcPr>
            <w:tcW w:w="2268" w:type="dxa"/>
            <w:tcBorders>
              <w:top w:val="single" w:sz="8" w:space="0" w:color="CDDC29" w:themeColor="text2"/>
              <w:left w:val="nil"/>
              <w:bottom w:val="single" w:sz="8" w:space="0" w:color="CDDC29" w:themeColor="text2"/>
              <w:right w:val="nil"/>
            </w:tcBorders>
            <w:hideMark/>
          </w:tcPr>
          <w:p w14:paraId="47560658" w14:textId="77777777" w:rsidR="00324D1B" w:rsidRDefault="00324D1B" w:rsidP="00BD2A26">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4A3E430C" w14:textId="77777777" w:rsidR="00324D1B" w:rsidRDefault="00324D1B" w:rsidP="00BD2A26">
            <w:pPr>
              <w:pStyle w:val="BodyText"/>
            </w:pPr>
            <w:r>
              <w:t>Additional permanent protections may be required in the longer-term.</w:t>
            </w:r>
          </w:p>
        </w:tc>
      </w:tr>
      <w:tr w:rsidR="00324D1B" w14:paraId="09F242A2" w14:textId="77777777" w:rsidTr="00BD2A26">
        <w:tc>
          <w:tcPr>
            <w:tcW w:w="2268" w:type="dxa"/>
            <w:tcBorders>
              <w:top w:val="single" w:sz="8" w:space="0" w:color="CDDC29" w:themeColor="text2"/>
              <w:left w:val="nil"/>
              <w:bottom w:val="single" w:sz="8" w:space="0" w:color="CDDC29" w:themeColor="text2"/>
              <w:right w:val="nil"/>
            </w:tcBorders>
            <w:hideMark/>
          </w:tcPr>
          <w:p w14:paraId="5B953D00" w14:textId="0E6ACD26" w:rsidR="00324D1B" w:rsidRDefault="009A0891" w:rsidP="00BD2A26">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338ED79C" w14:textId="4D4A5278" w:rsidR="00324D1B" w:rsidRDefault="00324D1B" w:rsidP="006670D2">
            <w:pPr>
              <w:pStyle w:val="PullOutBoxBullet"/>
            </w:pPr>
            <w:r>
              <w:t>Consider introducing a species-specific code prescription as part of any future Code amendments</w:t>
            </w:r>
            <w:r w:rsidR="006D13BE">
              <w:t>.</w:t>
            </w:r>
          </w:p>
        </w:tc>
      </w:tr>
    </w:tbl>
    <w:p w14:paraId="2DF2F4DA" w14:textId="77777777" w:rsidR="00324D1B" w:rsidRDefault="00324D1B" w:rsidP="00324D1B">
      <w:pPr>
        <w:pStyle w:val="BodyText"/>
      </w:pPr>
    </w:p>
    <w:p w14:paraId="5CA82B48" w14:textId="77777777" w:rsidR="00324D1B" w:rsidRDefault="00324D1B" w:rsidP="00324D1B">
      <w:pPr>
        <w:rPr>
          <w:rFonts w:cs="Times New Roman"/>
          <w:lang w:eastAsia="en-US"/>
        </w:rPr>
      </w:pPr>
      <w:r>
        <w:rPr>
          <w:color w:val="auto"/>
        </w:rPr>
        <w:br w:type="page"/>
      </w:r>
    </w:p>
    <w:p w14:paraId="3299AB44" w14:textId="77777777" w:rsidR="00324D1B" w:rsidRPr="00CB1C33" w:rsidRDefault="00324D1B" w:rsidP="00FB5A2B">
      <w:pPr>
        <w:pStyle w:val="Heading2"/>
        <w:ind w:left="0"/>
        <w:rPr>
          <w:i/>
          <w:iCs/>
        </w:rPr>
      </w:pPr>
      <w:bookmarkStart w:id="613" w:name="_Toc88565784"/>
      <w:bookmarkStart w:id="614" w:name="_Toc95234102"/>
      <w:bookmarkStart w:id="615" w:name="_Toc113271047"/>
      <w:r w:rsidRPr="00CB1C33">
        <w:t>Gippsland Stringybark </w:t>
      </w:r>
      <w:r w:rsidRPr="005F7D8C">
        <w:rPr>
          <w:i/>
          <w:iCs/>
        </w:rPr>
        <w:t>(Eucalyptus mackintii)</w:t>
      </w:r>
      <w:bookmarkEnd w:id="613"/>
      <w:bookmarkEnd w:id="614"/>
      <w:bookmarkEnd w:id="615"/>
      <w:r w:rsidRPr="005F7D8C">
        <w:rPr>
          <w:i/>
          <w:iCs/>
        </w:rPr>
        <w:t> </w:t>
      </w:r>
    </w:p>
    <w:p w14:paraId="4C4C2545" w14:textId="0D5182E7" w:rsidR="00324D1B" w:rsidRDefault="00324D1B" w:rsidP="00324D1B">
      <w:pPr>
        <w:pStyle w:val="BodyText"/>
      </w:pPr>
      <w:r>
        <w:t xml:space="preserve">The Gippsland Stringybark was listed as Vulnerable in Australia under the FFG Act in May 2021. The </w:t>
      </w:r>
      <w:r w:rsidR="001D3902">
        <w:t>species</w:t>
      </w:r>
      <w:r>
        <w:t xml:space="preserve"> has modelled habitat in the East Gippsland (91% of modelled habitat), and Gippsland (9% of modelled habitat) RFA regions. </w:t>
      </w:r>
      <w:r w:rsidR="0093241A" w:rsidRPr="00C02DCA">
        <w:t xml:space="preserve">While </w:t>
      </w:r>
      <w:r w:rsidR="00F40922">
        <w:t>it is</w:t>
      </w:r>
      <w:r w:rsidR="0093241A" w:rsidRPr="00C02DCA">
        <w:t xml:space="preserve"> </w:t>
      </w:r>
      <w:r w:rsidR="003E340B">
        <w:t>acknowledge</w:t>
      </w:r>
      <w:r w:rsidR="00F40922">
        <w:t>d</w:t>
      </w:r>
      <w:r w:rsidR="00A56273">
        <w:t xml:space="preserve"> that</w:t>
      </w:r>
      <w:r w:rsidR="00A75A4F">
        <w:t xml:space="preserve"> other hazards </w:t>
      </w:r>
      <w:r w:rsidR="00F40922">
        <w:t>i</w:t>
      </w:r>
      <w:r w:rsidR="00A75A4F">
        <w:t xml:space="preserve">mpact on this </w:t>
      </w:r>
      <w:r w:rsidR="001D3902">
        <w:t>species</w:t>
      </w:r>
      <w:r w:rsidR="00A75A4F">
        <w:t>,</w:t>
      </w:r>
      <w:r w:rsidR="00786333">
        <w:t xml:space="preserve"> as per the CAM assessment,</w:t>
      </w:r>
      <w:r w:rsidR="00A75A4F">
        <w:t xml:space="preserve"> </w:t>
      </w:r>
      <w:r w:rsidR="0093241A">
        <w:t>the</w:t>
      </w:r>
      <w:r w:rsidR="0093241A" w:rsidRPr="00C02DCA">
        <w:t xml:space="preserve"> expert</w:t>
      </w:r>
      <w:r w:rsidR="0093241A">
        <w:t>/s</w:t>
      </w:r>
      <w:r w:rsidR="0093241A" w:rsidRPr="00C02DCA">
        <w:t xml:space="preserve"> </w:t>
      </w:r>
      <w:r w:rsidR="00A75A4F">
        <w:t xml:space="preserve">only assessed forestry operations as part of </w:t>
      </w:r>
      <w:r w:rsidR="0093241A" w:rsidRPr="00C02DCA">
        <w:t>this risk assessment.</w:t>
      </w:r>
      <w:r w:rsidR="001C2909">
        <w:t xml:space="preserve"> </w:t>
      </w:r>
      <w:r>
        <w:rPr>
          <w:rStyle w:val="BodyTextChar"/>
        </w:rPr>
        <w:t>Permanent protections are recommended to address any hazards identified at a significant or high risk, and all</w:t>
      </w:r>
      <w:r>
        <w:t xml:space="preserve"> hazards rated a medium risk or higher will be considered in future management planning.</w:t>
      </w:r>
    </w:p>
    <w:p w14:paraId="203EB28B" w14:textId="77777777" w:rsidR="00324D1B" w:rsidRDefault="00324D1B" w:rsidP="007E5EBF">
      <w:pPr>
        <w:pStyle w:val="Heading3"/>
      </w:pPr>
      <w:r>
        <w:t>Risk Assessment</w:t>
      </w:r>
    </w:p>
    <w:p w14:paraId="2054363F" w14:textId="3260B7C9"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118</w:t>
      </w:r>
      <w:r w:rsidR="000B6788" w:rsidRPr="00291BDC">
        <w:rPr>
          <w:bCs/>
          <w:noProof/>
        </w:rPr>
        <w:fldChar w:fldCharType="end"/>
      </w:r>
      <w:r w:rsidRPr="00FF310C">
        <w:t>. Gippsland Stringybark risk ratings in the East Gippsland and Gippsland RFA regions:</w:t>
      </w:r>
    </w:p>
    <w:tbl>
      <w:tblPr>
        <w:tblStyle w:val="TableGrid"/>
        <w:tblW w:w="0" w:type="auto"/>
        <w:tblLook w:val="04A0" w:firstRow="1" w:lastRow="0" w:firstColumn="1" w:lastColumn="0" w:noHBand="0" w:noVBand="1"/>
      </w:tblPr>
      <w:tblGrid>
        <w:gridCol w:w="2410"/>
        <w:gridCol w:w="2410"/>
      </w:tblGrid>
      <w:tr w:rsidR="00324D1B" w14:paraId="57159905" w14:textId="77777777" w:rsidTr="0040142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tcBorders>
              <w:top w:val="single" w:sz="8" w:space="0" w:color="CDDC29" w:themeColor="text2"/>
              <w:left w:val="nil"/>
              <w:bottom w:val="single" w:sz="8" w:space="0" w:color="CDDC29" w:themeColor="text2"/>
              <w:right w:val="nil"/>
            </w:tcBorders>
            <w:vAlign w:val="center"/>
          </w:tcPr>
          <w:p w14:paraId="59B1C7C2" w14:textId="77777777" w:rsidR="00324D1B" w:rsidRDefault="00324D1B" w:rsidP="006670D2">
            <w:pPr>
              <w:pStyle w:val="CaptionImageorFigure"/>
            </w:pPr>
          </w:p>
        </w:tc>
        <w:tc>
          <w:tcPr>
            <w:tcW w:w="2410" w:type="dxa"/>
            <w:tcBorders>
              <w:top w:val="single" w:sz="8" w:space="0" w:color="CDDC29" w:themeColor="text2"/>
              <w:left w:val="nil"/>
              <w:bottom w:val="single" w:sz="8" w:space="0" w:color="CDDC29" w:themeColor="text2"/>
              <w:right w:val="nil"/>
            </w:tcBorders>
            <w:vAlign w:val="center"/>
            <w:hideMark/>
          </w:tcPr>
          <w:p w14:paraId="14493226"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r>
      <w:tr w:rsidR="00324D1B" w14:paraId="06A20272" w14:textId="77777777" w:rsidTr="0040142E">
        <w:tc>
          <w:tcPr>
            <w:tcW w:w="2410" w:type="dxa"/>
            <w:tcBorders>
              <w:top w:val="single" w:sz="8" w:space="0" w:color="CDDC29" w:themeColor="text2"/>
              <w:left w:val="nil"/>
              <w:bottom w:val="single" w:sz="8" w:space="0" w:color="CDDC29" w:themeColor="text2"/>
              <w:right w:val="nil"/>
            </w:tcBorders>
            <w:vAlign w:val="center"/>
            <w:hideMark/>
          </w:tcPr>
          <w:p w14:paraId="729C3E03" w14:textId="77777777" w:rsidR="00324D1B" w:rsidRDefault="00324D1B" w:rsidP="0040142E">
            <w:pPr>
              <w:pStyle w:val="BodyText"/>
              <w:jc w:val="center"/>
            </w:pPr>
            <w:r>
              <w:t>Consequence</w:t>
            </w:r>
          </w:p>
        </w:tc>
        <w:tc>
          <w:tcPr>
            <w:tcW w:w="2410" w:type="dxa"/>
            <w:tcBorders>
              <w:top w:val="single" w:sz="8" w:space="0" w:color="CDDC29" w:themeColor="text2"/>
              <w:left w:val="nil"/>
              <w:bottom w:val="single" w:sz="8" w:space="0" w:color="CDDC29" w:themeColor="text2"/>
              <w:right w:val="nil"/>
            </w:tcBorders>
            <w:vAlign w:val="center"/>
            <w:hideMark/>
          </w:tcPr>
          <w:p w14:paraId="6F03FA30" w14:textId="77777777" w:rsidR="00324D1B" w:rsidRDefault="00324D1B" w:rsidP="0040142E">
            <w:pPr>
              <w:pStyle w:val="BodyText"/>
              <w:jc w:val="center"/>
            </w:pPr>
            <w:r>
              <w:t>Moderate</w:t>
            </w:r>
          </w:p>
        </w:tc>
      </w:tr>
      <w:tr w:rsidR="00324D1B" w14:paraId="73DCD472" w14:textId="77777777" w:rsidTr="0040142E">
        <w:tc>
          <w:tcPr>
            <w:tcW w:w="2410" w:type="dxa"/>
            <w:tcBorders>
              <w:top w:val="single" w:sz="8" w:space="0" w:color="CDDC29" w:themeColor="text2"/>
              <w:left w:val="nil"/>
              <w:bottom w:val="single" w:sz="8" w:space="0" w:color="CDDC29" w:themeColor="text2"/>
              <w:right w:val="nil"/>
            </w:tcBorders>
            <w:vAlign w:val="center"/>
            <w:hideMark/>
          </w:tcPr>
          <w:p w14:paraId="10447E66" w14:textId="77777777" w:rsidR="00324D1B" w:rsidRDefault="00324D1B" w:rsidP="0040142E">
            <w:pPr>
              <w:pStyle w:val="BodyText"/>
              <w:jc w:val="center"/>
            </w:pPr>
            <w:r>
              <w:t>Likelihood</w:t>
            </w:r>
          </w:p>
        </w:tc>
        <w:tc>
          <w:tcPr>
            <w:tcW w:w="2410" w:type="dxa"/>
            <w:tcBorders>
              <w:top w:val="single" w:sz="8" w:space="0" w:color="CDDC29" w:themeColor="text2"/>
              <w:left w:val="nil"/>
              <w:bottom w:val="single" w:sz="8" w:space="0" w:color="CDDC29" w:themeColor="text2"/>
              <w:right w:val="nil"/>
            </w:tcBorders>
            <w:vAlign w:val="center"/>
            <w:hideMark/>
          </w:tcPr>
          <w:p w14:paraId="2EB1BE43" w14:textId="77777777" w:rsidR="00324D1B" w:rsidRDefault="00324D1B" w:rsidP="0040142E">
            <w:pPr>
              <w:pStyle w:val="BodyText"/>
              <w:jc w:val="center"/>
            </w:pPr>
            <w:r>
              <w:t>Possible</w:t>
            </w:r>
          </w:p>
        </w:tc>
      </w:tr>
      <w:tr w:rsidR="00324D1B" w14:paraId="1FE8E3C6" w14:textId="77777777" w:rsidTr="0040142E">
        <w:tc>
          <w:tcPr>
            <w:tcW w:w="2410" w:type="dxa"/>
            <w:tcBorders>
              <w:top w:val="single" w:sz="8" w:space="0" w:color="CDDC29" w:themeColor="text2"/>
              <w:left w:val="nil"/>
              <w:bottom w:val="single" w:sz="8" w:space="0" w:color="CDDC29" w:themeColor="text2"/>
              <w:right w:val="nil"/>
            </w:tcBorders>
            <w:vAlign w:val="center"/>
            <w:hideMark/>
          </w:tcPr>
          <w:p w14:paraId="79CF1DE2" w14:textId="77777777" w:rsidR="00324D1B" w:rsidRDefault="00324D1B" w:rsidP="0040142E">
            <w:pPr>
              <w:pStyle w:val="BodyText"/>
              <w:jc w:val="center"/>
            </w:pPr>
            <w:r>
              <w:t>Overall risk rating</w:t>
            </w:r>
          </w:p>
        </w:tc>
        <w:tc>
          <w:tcPr>
            <w:tcW w:w="2410" w:type="dxa"/>
            <w:tcBorders>
              <w:top w:val="single" w:sz="8" w:space="0" w:color="CDDC29" w:themeColor="text2"/>
              <w:left w:val="nil"/>
              <w:bottom w:val="single" w:sz="8" w:space="0" w:color="CDDC29" w:themeColor="text2"/>
              <w:right w:val="nil"/>
            </w:tcBorders>
            <w:shd w:val="clear" w:color="auto" w:fill="FFFF00"/>
            <w:vAlign w:val="center"/>
            <w:hideMark/>
          </w:tcPr>
          <w:p w14:paraId="19BA6CB4" w14:textId="77777777" w:rsidR="00324D1B" w:rsidRDefault="00324D1B" w:rsidP="0040142E">
            <w:pPr>
              <w:pStyle w:val="BodyText"/>
              <w:jc w:val="center"/>
            </w:pPr>
            <w:r>
              <w:t>Medium</w:t>
            </w:r>
          </w:p>
        </w:tc>
      </w:tr>
    </w:tbl>
    <w:p w14:paraId="208D289E" w14:textId="77777777" w:rsidR="00324D1B" w:rsidRDefault="00324D1B" w:rsidP="007E5EBF">
      <w:pPr>
        <w:pStyle w:val="Heading3"/>
      </w:pPr>
      <w:r>
        <w:t>Forestry operations</w:t>
      </w:r>
    </w:p>
    <w:p w14:paraId="625BEA25" w14:textId="77777777" w:rsidR="00324D1B" w:rsidRDefault="00324D1B" w:rsidP="00324D1B">
      <w:pPr>
        <w:pStyle w:val="Heading5"/>
        <w:numPr>
          <w:ilvl w:val="0"/>
          <w:numId w:val="0"/>
        </w:numPr>
        <w:ind w:left="1008" w:hanging="1008"/>
      </w:pPr>
      <w:r>
        <w:t>Forestry operations</w:t>
      </w:r>
    </w:p>
    <w:p w14:paraId="7B3288D8" w14:textId="1FB28182" w:rsidR="00324D1B" w:rsidRPr="00CB1C33" w:rsidRDefault="00324D1B" w:rsidP="00324D1B">
      <w:pPr>
        <w:pStyle w:val="BodyText"/>
      </w:pPr>
      <w:r>
        <w:t xml:space="preserve">The </w:t>
      </w:r>
      <w:r w:rsidR="001D3902">
        <w:t>species</w:t>
      </w:r>
      <w:r>
        <w:t xml:space="preserve"> occurs in mixed species forest subject to timber harvesting. </w:t>
      </w:r>
      <w:r w:rsidR="00A77DC4">
        <w:t xml:space="preserve">When coupes are clearfell harvested, the regenerating forest often shifts to be dominated by Silvertop Ash </w:t>
      </w:r>
      <w:r w:rsidR="00A77DC4">
        <w:rPr>
          <w:noProof/>
        </w:rPr>
        <w:t>(</w:t>
      </w:r>
      <w:r w:rsidR="00A77DC4">
        <w:rPr>
          <w:i/>
          <w:iCs/>
          <w:noProof/>
        </w:rPr>
        <w:t>Eucalyptus sieberi</w:t>
      </w:r>
      <w:r w:rsidR="00A77DC4">
        <w:rPr>
          <w:noProof/>
        </w:rPr>
        <w:t>)</w:t>
      </w:r>
      <w:r w:rsidR="00A77DC4">
        <w:t xml:space="preserve">, impacting Gippsland Stringybark recovery. </w:t>
      </w:r>
      <w:r>
        <w:t>Silvertop Ash is faster growing and therefore dominates regeneration, which may also occur due to regeneration burning</w:t>
      </w:r>
      <w:r w:rsidR="002E6E86">
        <w:t xml:space="preserve"> and bushfire</w:t>
      </w:r>
      <w:r>
        <w:t xml:space="preserve">. </w:t>
      </w:r>
      <w:r w:rsidR="00941BB1">
        <w:t xml:space="preserve">Following harvesting, </w:t>
      </w:r>
      <w:r>
        <w:t xml:space="preserve">Gippsland Stringybark is highly dependent on </w:t>
      </w:r>
      <w:r w:rsidR="00677C7B">
        <w:t xml:space="preserve">the </w:t>
      </w:r>
      <w:r>
        <w:t>availability of seed in</w:t>
      </w:r>
      <w:r w:rsidR="00F93E8D">
        <w:t xml:space="preserve"> </w:t>
      </w:r>
      <w:r>
        <w:t>retained trees</w:t>
      </w:r>
      <w:r w:rsidR="00425886" w:rsidRPr="00425886">
        <w:t xml:space="preserve"> </w:t>
      </w:r>
      <w:r w:rsidR="00425886">
        <w:t>to regenerate</w:t>
      </w:r>
      <w:r>
        <w:t>. Once it is established it persists well with good growth rates, however it is vulnerable to disturbance</w:t>
      </w:r>
      <w:r w:rsidR="00F93E8D">
        <w:t>s</w:t>
      </w:r>
      <w:r>
        <w:t xml:space="preserve"> that remove most of the individuals in a site as it then relies on a few individuals that may not have as much seed to compete with more prolific seeders. This </w:t>
      </w:r>
      <w:r w:rsidR="006F2DD2">
        <w:t>may be</w:t>
      </w:r>
      <w:r>
        <w:t xml:space="preserve"> an issue in seed tree retention or adaptive retention harvesting approaches. In terms of intensity of disturbance, adaptive retention harvesting is quite severe compared to fire, as very rarely does fire </w:t>
      </w:r>
      <w:r w:rsidR="00983214">
        <w:t>kill</w:t>
      </w:r>
      <w:r>
        <w:t xml:space="preserve"> Gippsland Stringybark outright. In drier ridge type areas where it becomes the predominate </w:t>
      </w:r>
      <w:r w:rsidR="001D3902">
        <w:t>species</w:t>
      </w:r>
      <w:r>
        <w:t xml:space="preserve">, harvesting does not typically occur. Where it is at most risk is in lowland </w:t>
      </w:r>
      <w:r w:rsidRPr="00CB1C33">
        <w:t xml:space="preserve">coastal plains where it tends to occur as a minor </w:t>
      </w:r>
      <w:r w:rsidR="001D3902">
        <w:t>species</w:t>
      </w:r>
      <w:r w:rsidR="00776B96" w:rsidRPr="00776B96">
        <w:t xml:space="preserve"> </w:t>
      </w:r>
      <w:r w:rsidR="00776B96">
        <w:t>scattered throughout the forest</w:t>
      </w:r>
      <w:r w:rsidR="00E33495">
        <w:t>,</w:t>
      </w:r>
      <w:r w:rsidR="00776B96">
        <w:t xml:space="preserve"> and generally in a lower proportion compared to other eucalypts</w:t>
      </w:r>
      <w:r w:rsidRPr="00CB1C33">
        <w:t xml:space="preserve">. It is a moderately preferred harvesting timber as it is not particularly fast growing, however it has properties that make it suitable for construction and woodchips. </w:t>
      </w:r>
      <w:r w:rsidR="00F44DA7">
        <w:t>M</w:t>
      </w:r>
      <w:r w:rsidRPr="00CB1C33">
        <w:t>ultiple disturbance scenario</w:t>
      </w:r>
      <w:r w:rsidR="00F44DA7">
        <w:t>s</w:t>
      </w:r>
      <w:r w:rsidR="00FE3E48">
        <w:t>,</w:t>
      </w:r>
      <w:r w:rsidRPr="00CB1C33">
        <w:t xml:space="preserve"> where timber harvesting occurs followed by fire</w:t>
      </w:r>
      <w:r w:rsidR="00FE3E48">
        <w:t>,</w:t>
      </w:r>
      <w:r w:rsidRPr="00CB1C33">
        <w:t xml:space="preserve"> could exacerbate the issue of recruitment and lead to further declines</w:t>
      </w:r>
      <w:r w:rsidRPr="00B6162A">
        <w:t xml:space="preserve">. </w:t>
      </w:r>
      <w:r w:rsidR="00A45772" w:rsidRPr="00FD57DB">
        <w:t xml:space="preserve">Based on the 2015 net harvest area layer, </w:t>
      </w:r>
      <w:r w:rsidR="00FE3E48" w:rsidRPr="00FD57DB">
        <w:t xml:space="preserve">26% of the </w:t>
      </w:r>
      <w:r w:rsidR="001D3902">
        <w:t>species’</w:t>
      </w:r>
      <w:r w:rsidR="00FE3E48" w:rsidRPr="00FD57DB">
        <w:t xml:space="preserve"> </w:t>
      </w:r>
      <w:r w:rsidR="00A45772" w:rsidRPr="00FD57DB">
        <w:t>modelled habitat contains</w:t>
      </w:r>
      <w:r w:rsidR="00FE3E48" w:rsidRPr="00FD57DB">
        <w:t xml:space="preserve"> </w:t>
      </w:r>
      <w:r w:rsidR="00A45772" w:rsidRPr="00FD57DB">
        <w:t xml:space="preserve">merchantable timber. Using the revised operable layer, this is reduced to 9%. </w:t>
      </w:r>
    </w:p>
    <w:p w14:paraId="5CB8CCE4" w14:textId="77777777" w:rsidR="00324D1B" w:rsidRPr="00CB1C33" w:rsidRDefault="00324D1B" w:rsidP="00324D1B">
      <w:pPr>
        <w:pStyle w:val="BodyText"/>
      </w:pPr>
      <w:r w:rsidRPr="00CB1C33">
        <w:t>Current existing controls for this hazard include:</w:t>
      </w:r>
    </w:p>
    <w:p w14:paraId="38991B93" w14:textId="10FD817D" w:rsidR="00324D1B" w:rsidRPr="00CB1C33" w:rsidRDefault="00324D1B" w:rsidP="006670D2">
      <w:pPr>
        <w:pStyle w:val="PullOutBoxBullet"/>
      </w:pPr>
      <w:r w:rsidRPr="00CB1C33">
        <w:t xml:space="preserve">The </w:t>
      </w:r>
      <w:r w:rsidRPr="00CB1C33">
        <w:rPr>
          <w:i/>
          <w:iCs/>
        </w:rPr>
        <w:t>Code of Practice for Timber Production 2014.</w:t>
      </w:r>
      <w:r w:rsidRPr="00CB1C33">
        <w:t xml:space="preserve"> This has been evaluated as uncontrolled as there </w:t>
      </w:r>
      <w:r w:rsidR="00690DDB">
        <w:t>is</w:t>
      </w:r>
      <w:r w:rsidRPr="00CB1C33">
        <w:t xml:space="preserve"> no species-specific prescription and no requirement for retention. </w:t>
      </w:r>
    </w:p>
    <w:p w14:paraId="64C39A96" w14:textId="02EAB6FA" w:rsidR="00324D1B" w:rsidRPr="00CB1C33" w:rsidRDefault="00324D1B" w:rsidP="006670D2">
      <w:pPr>
        <w:pStyle w:val="PullOutBoxBullet"/>
        <w:rPr>
          <w:rFonts w:eastAsiaTheme="minorEastAsia" w:cstheme="minorBidi"/>
        </w:rPr>
      </w:pPr>
      <w:r w:rsidRPr="00CB1C33">
        <w:t xml:space="preserve">The CAR reserve system. The effectiveness of this control for this species has been evaluated as poor as 47% of the </w:t>
      </w:r>
      <w:r w:rsidR="001D3902">
        <w:t>species’</w:t>
      </w:r>
      <w:r w:rsidRPr="00CB1C33">
        <w:t xml:space="preserve"> modelled distribution and 31% of important populations are within the reserve system</w:t>
      </w:r>
      <w:r w:rsidR="005E1477">
        <w:t>.</w:t>
      </w:r>
    </w:p>
    <w:p w14:paraId="3F0E5192" w14:textId="11D06314" w:rsidR="00324D1B" w:rsidRPr="00CB1C33" w:rsidRDefault="00324D1B" w:rsidP="006670D2">
      <w:pPr>
        <w:pStyle w:val="PullOutBoxBullet"/>
      </w:pPr>
      <w:r w:rsidRPr="00CB1C33">
        <w:t xml:space="preserve">Adaptive Management Approaches. The effectiveness of this control for this species has been evaluated as good as </w:t>
      </w:r>
      <w:r w:rsidR="00F31C27" w:rsidRPr="00CB1C33">
        <w:t>several</w:t>
      </w:r>
      <w:r w:rsidRPr="00CB1C33">
        <w:t xml:space="preserve"> coupes close to Bruthen where the </w:t>
      </w:r>
      <w:r w:rsidR="001D3902">
        <w:t>species</w:t>
      </w:r>
      <w:r w:rsidRPr="00CB1C33">
        <w:t xml:space="preserve"> was identified were put into harvesting retention areas. However, it is a challenging </w:t>
      </w:r>
      <w:r w:rsidR="001D3902">
        <w:t>species</w:t>
      </w:r>
      <w:r w:rsidRPr="00CB1C33">
        <w:t xml:space="preserve"> to identify in the field as it is very similar to Stringybark</w:t>
      </w:r>
      <w:r w:rsidR="00700539">
        <w:t>.</w:t>
      </w:r>
    </w:p>
    <w:p w14:paraId="235C2927" w14:textId="77777777" w:rsidR="00324D1B" w:rsidRDefault="00324D1B" w:rsidP="00324D1B">
      <w:pPr>
        <w:rPr>
          <w:b/>
          <w:bCs/>
          <w:sz w:val="16"/>
        </w:rPr>
      </w:pPr>
      <w:r>
        <w:rPr>
          <w:color w:val="auto"/>
        </w:rPr>
        <w:br w:type="page"/>
      </w:r>
    </w:p>
    <w:p w14:paraId="21A39237" w14:textId="072F8B6B"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119</w:t>
      </w:r>
      <w:r w:rsidR="000B6788" w:rsidRPr="00291BDC">
        <w:rPr>
          <w:bCs/>
          <w:noProof/>
        </w:rPr>
        <w:fldChar w:fldCharType="end"/>
      </w:r>
      <w:r w:rsidRPr="00FF310C">
        <w:t xml:space="preserve">. Gippsland Stringybark protection requirements and recommendations for </w:t>
      </w:r>
      <w:r w:rsidR="006C4869" w:rsidRPr="00FF310C">
        <w:t>f</w:t>
      </w:r>
      <w:r w:rsidRPr="00FF310C">
        <w:t>orestry operations</w:t>
      </w:r>
    </w:p>
    <w:tbl>
      <w:tblPr>
        <w:tblStyle w:val="TableGrid"/>
        <w:tblW w:w="0" w:type="auto"/>
        <w:tblLook w:val="04A0" w:firstRow="1" w:lastRow="0" w:firstColumn="1" w:lastColumn="0" w:noHBand="0" w:noVBand="1"/>
      </w:tblPr>
      <w:tblGrid>
        <w:gridCol w:w="2268"/>
        <w:gridCol w:w="7371"/>
      </w:tblGrid>
      <w:tr w:rsidR="00324D1B" w14:paraId="07EAB1AA"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B2D01AE"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28A61E72"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26585D8F" w14:textId="77777777" w:rsidTr="00BD2A26">
        <w:tc>
          <w:tcPr>
            <w:tcW w:w="2268" w:type="dxa"/>
            <w:tcBorders>
              <w:top w:val="single" w:sz="8" w:space="0" w:color="CDDC29" w:themeColor="text2"/>
              <w:left w:val="nil"/>
              <w:bottom w:val="single" w:sz="8" w:space="0" w:color="CDDC29" w:themeColor="text2"/>
              <w:right w:val="nil"/>
            </w:tcBorders>
            <w:hideMark/>
          </w:tcPr>
          <w:p w14:paraId="51AE8DB7" w14:textId="4E28EE05" w:rsidR="00324D1B" w:rsidRDefault="00324D1B" w:rsidP="00BD2A26">
            <w:pPr>
              <w:pStyle w:val="BodyText"/>
            </w:pPr>
            <w:r>
              <w:t>Interim protections</w:t>
            </w:r>
            <w:r w:rsidR="009A0891">
              <w:t xml:space="preserve"> </w:t>
            </w:r>
          </w:p>
        </w:tc>
        <w:tc>
          <w:tcPr>
            <w:tcW w:w="7371" w:type="dxa"/>
            <w:tcBorders>
              <w:top w:val="single" w:sz="8" w:space="0" w:color="CDDC29" w:themeColor="text2"/>
              <w:left w:val="nil"/>
              <w:bottom w:val="single" w:sz="8" w:space="0" w:color="CDDC29" w:themeColor="text2"/>
              <w:right w:val="nil"/>
            </w:tcBorders>
            <w:hideMark/>
          </w:tcPr>
          <w:p w14:paraId="307F7FD8" w14:textId="77777777" w:rsidR="00324D1B" w:rsidRDefault="00324D1B" w:rsidP="00BD2A26">
            <w:pPr>
              <w:pStyle w:val="BodyText"/>
            </w:pPr>
            <w:r>
              <w:t>Not required for this hazard based on the overall risk level of medium.</w:t>
            </w:r>
          </w:p>
        </w:tc>
      </w:tr>
      <w:tr w:rsidR="00A96EAF" w14:paraId="0B9CDA9A" w14:textId="77777777" w:rsidTr="00BD2A26">
        <w:tc>
          <w:tcPr>
            <w:tcW w:w="2268" w:type="dxa"/>
            <w:tcBorders>
              <w:top w:val="single" w:sz="8" w:space="0" w:color="CDDC29" w:themeColor="text2"/>
              <w:left w:val="nil"/>
              <w:bottom w:val="single" w:sz="8" w:space="0" w:color="CDDC29" w:themeColor="text2"/>
              <w:right w:val="nil"/>
            </w:tcBorders>
          </w:tcPr>
          <w:p w14:paraId="43B8B6EF" w14:textId="1B7B075C" w:rsidR="00A96EAF" w:rsidRDefault="00A96EAF" w:rsidP="00BD2A26">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204ED70D" w14:textId="5E70DE80" w:rsidR="00A96EAF" w:rsidRDefault="00A96EAF" w:rsidP="00BD2A26">
            <w:pPr>
              <w:pStyle w:val="BodyText"/>
            </w:pPr>
            <w:r>
              <w:t>Not required for this hazard based on the overall risk level of medium.</w:t>
            </w:r>
          </w:p>
        </w:tc>
      </w:tr>
      <w:tr w:rsidR="00324D1B" w14:paraId="764B2239" w14:textId="77777777" w:rsidTr="00BD2A26">
        <w:tc>
          <w:tcPr>
            <w:tcW w:w="2268" w:type="dxa"/>
            <w:tcBorders>
              <w:top w:val="single" w:sz="8" w:space="0" w:color="CDDC29" w:themeColor="text2"/>
              <w:left w:val="nil"/>
              <w:bottom w:val="single" w:sz="8" w:space="0" w:color="CDDC29" w:themeColor="text2"/>
              <w:right w:val="nil"/>
            </w:tcBorders>
            <w:hideMark/>
          </w:tcPr>
          <w:p w14:paraId="2709F37E" w14:textId="77777777" w:rsidR="00324D1B" w:rsidRDefault="00324D1B" w:rsidP="00BD2A26">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43CEF99F" w14:textId="77777777" w:rsidR="00324D1B" w:rsidRDefault="00324D1B" w:rsidP="00BD2A26">
            <w:pPr>
              <w:pStyle w:val="BodyText"/>
            </w:pPr>
            <w:r>
              <w:t>Additional permanent protections may be required in the longer-term.</w:t>
            </w:r>
          </w:p>
        </w:tc>
      </w:tr>
      <w:tr w:rsidR="00324D1B" w14:paraId="464D173F" w14:textId="77777777" w:rsidTr="00BD2A26">
        <w:tc>
          <w:tcPr>
            <w:tcW w:w="2268" w:type="dxa"/>
            <w:tcBorders>
              <w:top w:val="single" w:sz="8" w:space="0" w:color="CDDC29" w:themeColor="text2"/>
              <w:left w:val="nil"/>
              <w:bottom w:val="single" w:sz="8" w:space="0" w:color="CDDC29" w:themeColor="text2"/>
              <w:right w:val="nil"/>
            </w:tcBorders>
            <w:hideMark/>
          </w:tcPr>
          <w:p w14:paraId="3B6CE044" w14:textId="13400EC2" w:rsidR="00324D1B" w:rsidRDefault="009A0891" w:rsidP="00BD2A26">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5AE45868" w14:textId="2D3A3185" w:rsidR="00324D1B" w:rsidRDefault="00324D1B" w:rsidP="006670D2">
            <w:pPr>
              <w:pStyle w:val="PullOutBoxBullet"/>
            </w:pPr>
            <w:r>
              <w:rPr>
                <w:noProof/>
              </w:rPr>
              <w:t>Consider the introduction of species-specific</w:t>
            </w:r>
            <w:r>
              <w:t xml:space="preserve"> prescriptions in any future Code amendments</w:t>
            </w:r>
            <w:r w:rsidR="00787BE1">
              <w:t>;</w:t>
            </w:r>
          </w:p>
          <w:p w14:paraId="05208778" w14:textId="1B82F342" w:rsidR="00324D1B" w:rsidRDefault="00324D1B" w:rsidP="006670D2">
            <w:pPr>
              <w:pStyle w:val="PullOutBoxBullet"/>
            </w:pPr>
            <w:r>
              <w:t xml:space="preserve">Prioritise seed collection for the </w:t>
            </w:r>
            <w:r w:rsidR="000B671C">
              <w:t>VCS</w:t>
            </w:r>
            <w:r>
              <w:t xml:space="preserve"> from multiple sites from a wide geographic range; and</w:t>
            </w:r>
          </w:p>
          <w:p w14:paraId="4BF9B978" w14:textId="77777777" w:rsidR="00324D1B" w:rsidRDefault="00324D1B" w:rsidP="006670D2">
            <w:pPr>
              <w:pStyle w:val="PullOutBoxBullet"/>
            </w:pPr>
            <w:r>
              <w:t>Re-seed the species in forestry coupes to reverse population decline.</w:t>
            </w:r>
          </w:p>
        </w:tc>
      </w:tr>
    </w:tbl>
    <w:p w14:paraId="16819FE2" w14:textId="77777777" w:rsidR="00324D1B" w:rsidRDefault="00324D1B" w:rsidP="00324D1B">
      <w:pPr>
        <w:pStyle w:val="BodyText"/>
      </w:pPr>
    </w:p>
    <w:p w14:paraId="05DF6C55" w14:textId="77777777" w:rsidR="00324D1B" w:rsidRDefault="00324D1B" w:rsidP="00324D1B">
      <w:pPr>
        <w:rPr>
          <w:rFonts w:cs="Times New Roman"/>
          <w:lang w:eastAsia="en-US"/>
        </w:rPr>
      </w:pPr>
      <w:r>
        <w:rPr>
          <w:color w:val="auto"/>
        </w:rPr>
        <w:br w:type="page"/>
      </w:r>
    </w:p>
    <w:p w14:paraId="674BBA70" w14:textId="77777777" w:rsidR="00324D1B" w:rsidRPr="00CB1C33" w:rsidRDefault="00324D1B" w:rsidP="00FB5A2B">
      <w:pPr>
        <w:pStyle w:val="Heading2"/>
        <w:ind w:left="0"/>
        <w:rPr>
          <w:i/>
          <w:iCs/>
        </w:rPr>
      </w:pPr>
      <w:bookmarkStart w:id="616" w:name="_Toc88565785"/>
      <w:bookmarkStart w:id="617" w:name="_Toc88725892"/>
      <w:bookmarkStart w:id="618" w:name="_Toc95234103"/>
      <w:bookmarkStart w:id="619" w:name="_Toc113271048"/>
      <w:r w:rsidRPr="00CB1C33">
        <w:t>Jungle Bristle-fern </w:t>
      </w:r>
      <w:r w:rsidRPr="005F7D8C">
        <w:rPr>
          <w:i/>
          <w:iCs/>
        </w:rPr>
        <w:t>(Abrodictyum caudatum)</w:t>
      </w:r>
      <w:bookmarkEnd w:id="616"/>
      <w:bookmarkEnd w:id="617"/>
      <w:bookmarkEnd w:id="618"/>
      <w:bookmarkEnd w:id="619"/>
      <w:r w:rsidRPr="00CB1C33">
        <w:t> </w:t>
      </w:r>
    </w:p>
    <w:p w14:paraId="5F3C586A" w14:textId="770C0F0C" w:rsidR="00324D1B" w:rsidRDefault="00324D1B" w:rsidP="00324D1B">
      <w:pPr>
        <w:pStyle w:val="BodyText"/>
        <w:rPr>
          <w:rFonts w:ascii="Arial" w:hAnsi="Arial"/>
          <w:color w:val="363534"/>
        </w:rPr>
      </w:pPr>
      <w:r>
        <w:t xml:space="preserve">The Jungle Bristle-fern was listed as Endangered in Victoria under the FFG Act in May 2021. The </w:t>
      </w:r>
      <w:r w:rsidR="001D3902">
        <w:t>species</w:t>
      </w:r>
      <w:r>
        <w:t xml:space="preserve"> has modelled habitat in the East Gippsland (54% of modelled habitat), Central Highlands (37% of modelled habitat) and Gippsland (10% of modelled habitat) RFA regions.</w:t>
      </w:r>
      <w:r>
        <w:rPr>
          <w:rStyle w:val="BodyTextChar"/>
        </w:rPr>
        <w:t xml:space="preserve"> Permanent protections are recommended to address any hazards identified at a significant or high risk, and all</w:t>
      </w:r>
      <w:r>
        <w:t xml:space="preserve"> hazards rated a medium risk or higher will be considered in future management planning.</w:t>
      </w:r>
    </w:p>
    <w:p w14:paraId="2918D2C5" w14:textId="77777777" w:rsidR="00324D1B" w:rsidRDefault="00324D1B" w:rsidP="007E5EBF">
      <w:pPr>
        <w:pStyle w:val="Heading3"/>
      </w:pPr>
      <w:bookmarkStart w:id="620" w:name="_Toc88725893"/>
      <w:r>
        <w:t>Risk Assessment</w:t>
      </w:r>
      <w:bookmarkEnd w:id="620"/>
    </w:p>
    <w:p w14:paraId="385A9780" w14:textId="19C65CEA" w:rsidR="00324D1B" w:rsidRPr="00FF310C" w:rsidRDefault="00324D1B" w:rsidP="006670D2">
      <w:pPr>
        <w:pStyle w:val="Caption"/>
      </w:pPr>
      <w:r w:rsidRPr="00FF310C">
        <w:t xml:space="preserve">Table </w:t>
      </w:r>
      <w:r w:rsidRPr="00291BDC">
        <w:rPr>
          <w:bCs/>
        </w:rPr>
        <w:fldChar w:fldCharType="begin"/>
      </w:r>
      <w:r w:rsidRPr="00FF310C">
        <w:instrText>SEQ Table \* ARABIC</w:instrText>
      </w:r>
      <w:r w:rsidRPr="00291BDC">
        <w:rPr>
          <w:bCs/>
        </w:rPr>
        <w:fldChar w:fldCharType="separate"/>
      </w:r>
      <w:r w:rsidR="00692F0D">
        <w:rPr>
          <w:noProof/>
        </w:rPr>
        <w:t>120</w:t>
      </w:r>
      <w:r w:rsidRPr="00291BDC">
        <w:rPr>
          <w:bCs/>
        </w:rPr>
        <w:fldChar w:fldCharType="end"/>
      </w:r>
      <w:r w:rsidRPr="00FF310C">
        <w:t xml:space="preserve">. Jungle Bristle-fern risk ratings in the </w:t>
      </w:r>
      <w:r w:rsidR="00F0312E" w:rsidRPr="00FF310C">
        <w:t xml:space="preserve">Central Highlands and </w:t>
      </w:r>
      <w:r w:rsidRPr="00FF310C">
        <w:t>East Gippsland RFA region</w:t>
      </w:r>
      <w:r w:rsidR="00F0312E" w:rsidRPr="00FF310C">
        <w:t>s</w:t>
      </w:r>
      <w:r w:rsidRPr="00FF310C">
        <w:t>:</w:t>
      </w:r>
    </w:p>
    <w:tbl>
      <w:tblPr>
        <w:tblStyle w:val="TableGrid"/>
        <w:tblW w:w="9781" w:type="dxa"/>
        <w:tblLook w:val="04A0" w:firstRow="1" w:lastRow="0" w:firstColumn="1" w:lastColumn="0" w:noHBand="0" w:noVBand="1"/>
      </w:tblPr>
      <w:tblGrid>
        <w:gridCol w:w="1956"/>
        <w:gridCol w:w="1956"/>
        <w:gridCol w:w="1956"/>
        <w:gridCol w:w="1956"/>
        <w:gridCol w:w="1957"/>
      </w:tblGrid>
      <w:tr w:rsidR="00324D1B" w14:paraId="3F411861"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56" w:type="dxa"/>
            <w:tcBorders>
              <w:top w:val="single" w:sz="8" w:space="0" w:color="CDDC29" w:themeColor="text2"/>
              <w:left w:val="nil"/>
              <w:bottom w:val="single" w:sz="8" w:space="0" w:color="CDDC29" w:themeColor="text2"/>
              <w:right w:val="nil"/>
            </w:tcBorders>
            <w:vAlign w:val="center"/>
          </w:tcPr>
          <w:p w14:paraId="0672CB5E" w14:textId="77777777" w:rsidR="00324D1B" w:rsidRDefault="00324D1B" w:rsidP="006670D2">
            <w:pPr>
              <w:pStyle w:val="CaptionImageorFigure"/>
            </w:pPr>
          </w:p>
        </w:tc>
        <w:tc>
          <w:tcPr>
            <w:tcW w:w="1956" w:type="dxa"/>
            <w:tcBorders>
              <w:top w:val="single" w:sz="8" w:space="0" w:color="CDDC29" w:themeColor="text2"/>
              <w:left w:val="nil"/>
              <w:bottom w:val="single" w:sz="8" w:space="0" w:color="CDDC29" w:themeColor="text2"/>
              <w:right w:val="nil"/>
            </w:tcBorders>
            <w:vAlign w:val="center"/>
            <w:hideMark/>
          </w:tcPr>
          <w:p w14:paraId="7CF07BA8"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956" w:type="dxa"/>
            <w:tcBorders>
              <w:top w:val="single" w:sz="8" w:space="0" w:color="CDDC29" w:themeColor="text2"/>
              <w:left w:val="nil"/>
              <w:bottom w:val="single" w:sz="8" w:space="0" w:color="CDDC29" w:themeColor="text2"/>
              <w:right w:val="nil"/>
            </w:tcBorders>
            <w:vAlign w:val="center"/>
            <w:hideMark/>
          </w:tcPr>
          <w:p w14:paraId="30C4EA2C"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1956" w:type="dxa"/>
            <w:tcBorders>
              <w:top w:val="single" w:sz="8" w:space="0" w:color="CDDC29" w:themeColor="text2"/>
              <w:left w:val="nil"/>
              <w:bottom w:val="single" w:sz="8" w:space="0" w:color="CDDC29" w:themeColor="text2"/>
              <w:right w:val="nil"/>
            </w:tcBorders>
            <w:vAlign w:val="center"/>
            <w:hideMark/>
          </w:tcPr>
          <w:p w14:paraId="0D58637E"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c>
          <w:tcPr>
            <w:tcW w:w="1957" w:type="dxa"/>
            <w:tcBorders>
              <w:top w:val="single" w:sz="8" w:space="0" w:color="CDDC29" w:themeColor="text2"/>
              <w:left w:val="nil"/>
              <w:bottom w:val="single" w:sz="8" w:space="0" w:color="CDDC29" w:themeColor="text2"/>
              <w:right w:val="nil"/>
            </w:tcBorders>
            <w:vAlign w:val="center"/>
            <w:hideMark/>
          </w:tcPr>
          <w:p w14:paraId="12ED9385" w14:textId="4DD1849D"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Planned burning</w:t>
            </w:r>
            <w:r w:rsidR="00F0312E">
              <w:t>*</w:t>
            </w:r>
          </w:p>
        </w:tc>
      </w:tr>
      <w:tr w:rsidR="00324D1B" w14:paraId="06A4F433" w14:textId="77777777" w:rsidTr="00324D1B">
        <w:tc>
          <w:tcPr>
            <w:tcW w:w="1956" w:type="dxa"/>
            <w:tcBorders>
              <w:top w:val="single" w:sz="8" w:space="0" w:color="CDDC29" w:themeColor="text2"/>
              <w:left w:val="nil"/>
              <w:bottom w:val="single" w:sz="8" w:space="0" w:color="CDDC29" w:themeColor="text2"/>
              <w:right w:val="nil"/>
            </w:tcBorders>
            <w:vAlign w:val="center"/>
            <w:hideMark/>
          </w:tcPr>
          <w:p w14:paraId="3F510A85" w14:textId="77777777" w:rsidR="00324D1B" w:rsidRDefault="00324D1B" w:rsidP="0042650F">
            <w:pPr>
              <w:pStyle w:val="BodyText"/>
              <w:jc w:val="center"/>
            </w:pPr>
            <w:r>
              <w:t>Consequence</w:t>
            </w:r>
          </w:p>
        </w:tc>
        <w:tc>
          <w:tcPr>
            <w:tcW w:w="1956" w:type="dxa"/>
            <w:tcBorders>
              <w:top w:val="single" w:sz="8" w:space="0" w:color="CDDC29" w:themeColor="text2"/>
              <w:left w:val="nil"/>
              <w:bottom w:val="single" w:sz="8" w:space="0" w:color="CDDC29" w:themeColor="text2"/>
              <w:right w:val="nil"/>
            </w:tcBorders>
            <w:vAlign w:val="center"/>
            <w:hideMark/>
          </w:tcPr>
          <w:p w14:paraId="230D5C85" w14:textId="77777777" w:rsidR="00324D1B" w:rsidRDefault="00324D1B" w:rsidP="0042650F">
            <w:pPr>
              <w:pStyle w:val="BodyText"/>
              <w:jc w:val="center"/>
            </w:pPr>
            <w:r>
              <w:t>Extreme</w:t>
            </w:r>
          </w:p>
        </w:tc>
        <w:tc>
          <w:tcPr>
            <w:tcW w:w="1956" w:type="dxa"/>
            <w:tcBorders>
              <w:top w:val="single" w:sz="8" w:space="0" w:color="CDDC29" w:themeColor="text2"/>
              <w:left w:val="nil"/>
              <w:bottom w:val="single" w:sz="8" w:space="0" w:color="CDDC29" w:themeColor="text2"/>
              <w:right w:val="nil"/>
            </w:tcBorders>
            <w:vAlign w:val="center"/>
            <w:hideMark/>
          </w:tcPr>
          <w:p w14:paraId="52A329BD" w14:textId="77777777" w:rsidR="00324D1B" w:rsidRDefault="00324D1B" w:rsidP="0042650F">
            <w:pPr>
              <w:pStyle w:val="BodyText"/>
              <w:jc w:val="center"/>
            </w:pPr>
            <w:r>
              <w:t>Moderate</w:t>
            </w:r>
          </w:p>
        </w:tc>
        <w:tc>
          <w:tcPr>
            <w:tcW w:w="1956" w:type="dxa"/>
            <w:tcBorders>
              <w:top w:val="single" w:sz="8" w:space="0" w:color="CDDC29" w:themeColor="text2"/>
              <w:left w:val="nil"/>
              <w:bottom w:val="single" w:sz="8" w:space="0" w:color="CDDC29" w:themeColor="text2"/>
              <w:right w:val="nil"/>
            </w:tcBorders>
            <w:vAlign w:val="center"/>
            <w:hideMark/>
          </w:tcPr>
          <w:p w14:paraId="5885262E" w14:textId="77777777" w:rsidR="00324D1B" w:rsidRDefault="00324D1B" w:rsidP="0042650F">
            <w:pPr>
              <w:pStyle w:val="BodyText"/>
              <w:jc w:val="center"/>
            </w:pPr>
            <w:r>
              <w:t>Moderate</w:t>
            </w:r>
          </w:p>
        </w:tc>
        <w:tc>
          <w:tcPr>
            <w:tcW w:w="1957" w:type="dxa"/>
            <w:tcBorders>
              <w:top w:val="single" w:sz="8" w:space="0" w:color="CDDC29" w:themeColor="text2"/>
              <w:left w:val="nil"/>
              <w:bottom w:val="single" w:sz="8" w:space="0" w:color="CDDC29" w:themeColor="text2"/>
              <w:right w:val="nil"/>
            </w:tcBorders>
            <w:vAlign w:val="center"/>
            <w:hideMark/>
          </w:tcPr>
          <w:p w14:paraId="0716897B" w14:textId="77777777" w:rsidR="00324D1B" w:rsidRDefault="00324D1B" w:rsidP="0042650F">
            <w:pPr>
              <w:pStyle w:val="BodyText"/>
              <w:jc w:val="center"/>
            </w:pPr>
            <w:r>
              <w:t>Moderate</w:t>
            </w:r>
          </w:p>
        </w:tc>
      </w:tr>
      <w:tr w:rsidR="00324D1B" w14:paraId="527E638E" w14:textId="77777777" w:rsidTr="00324D1B">
        <w:tc>
          <w:tcPr>
            <w:tcW w:w="1956" w:type="dxa"/>
            <w:tcBorders>
              <w:top w:val="single" w:sz="8" w:space="0" w:color="CDDC29" w:themeColor="text2"/>
              <w:left w:val="nil"/>
              <w:bottom w:val="single" w:sz="8" w:space="0" w:color="CDDC29" w:themeColor="text2"/>
              <w:right w:val="nil"/>
            </w:tcBorders>
            <w:vAlign w:val="center"/>
            <w:hideMark/>
          </w:tcPr>
          <w:p w14:paraId="01390B11" w14:textId="77777777" w:rsidR="00324D1B" w:rsidRDefault="00324D1B" w:rsidP="0042650F">
            <w:pPr>
              <w:pStyle w:val="BodyText"/>
              <w:jc w:val="center"/>
            </w:pPr>
            <w:r>
              <w:t>Likelihood</w:t>
            </w:r>
          </w:p>
        </w:tc>
        <w:tc>
          <w:tcPr>
            <w:tcW w:w="1956" w:type="dxa"/>
            <w:tcBorders>
              <w:top w:val="single" w:sz="8" w:space="0" w:color="CDDC29" w:themeColor="text2"/>
              <w:left w:val="nil"/>
              <w:bottom w:val="single" w:sz="8" w:space="0" w:color="CDDC29" w:themeColor="text2"/>
              <w:right w:val="nil"/>
            </w:tcBorders>
            <w:vAlign w:val="center"/>
            <w:hideMark/>
          </w:tcPr>
          <w:p w14:paraId="046A4A0B" w14:textId="77777777" w:rsidR="00324D1B" w:rsidRDefault="00324D1B" w:rsidP="0042650F">
            <w:pPr>
              <w:pStyle w:val="BodyText"/>
              <w:jc w:val="center"/>
            </w:pPr>
            <w:r>
              <w:t>Almost Certain</w:t>
            </w:r>
          </w:p>
        </w:tc>
        <w:tc>
          <w:tcPr>
            <w:tcW w:w="1956" w:type="dxa"/>
            <w:tcBorders>
              <w:top w:val="single" w:sz="8" w:space="0" w:color="CDDC29" w:themeColor="text2"/>
              <w:left w:val="nil"/>
              <w:bottom w:val="single" w:sz="8" w:space="0" w:color="CDDC29" w:themeColor="text2"/>
              <w:right w:val="nil"/>
            </w:tcBorders>
            <w:vAlign w:val="center"/>
            <w:hideMark/>
          </w:tcPr>
          <w:p w14:paraId="7CA74AAE" w14:textId="77777777" w:rsidR="00324D1B" w:rsidRDefault="00324D1B" w:rsidP="0042650F">
            <w:pPr>
              <w:pStyle w:val="BodyText"/>
              <w:jc w:val="center"/>
            </w:pPr>
            <w:r>
              <w:t>Likely</w:t>
            </w:r>
          </w:p>
        </w:tc>
        <w:tc>
          <w:tcPr>
            <w:tcW w:w="1956" w:type="dxa"/>
            <w:tcBorders>
              <w:top w:val="single" w:sz="8" w:space="0" w:color="CDDC29" w:themeColor="text2"/>
              <w:left w:val="nil"/>
              <w:bottom w:val="single" w:sz="8" w:space="0" w:color="CDDC29" w:themeColor="text2"/>
              <w:right w:val="nil"/>
            </w:tcBorders>
            <w:vAlign w:val="center"/>
            <w:hideMark/>
          </w:tcPr>
          <w:p w14:paraId="38E8F3E0" w14:textId="77777777" w:rsidR="00324D1B" w:rsidRDefault="00324D1B" w:rsidP="0042650F">
            <w:pPr>
              <w:pStyle w:val="BodyText"/>
              <w:jc w:val="center"/>
            </w:pPr>
            <w:r>
              <w:t>Likely</w:t>
            </w:r>
          </w:p>
        </w:tc>
        <w:tc>
          <w:tcPr>
            <w:tcW w:w="1957" w:type="dxa"/>
            <w:tcBorders>
              <w:top w:val="single" w:sz="8" w:space="0" w:color="CDDC29" w:themeColor="text2"/>
              <w:left w:val="nil"/>
              <w:bottom w:val="single" w:sz="8" w:space="0" w:color="CDDC29" w:themeColor="text2"/>
              <w:right w:val="nil"/>
            </w:tcBorders>
            <w:vAlign w:val="center"/>
            <w:hideMark/>
          </w:tcPr>
          <w:p w14:paraId="5BE099F0" w14:textId="77777777" w:rsidR="00324D1B" w:rsidRDefault="00324D1B" w:rsidP="0042650F">
            <w:pPr>
              <w:pStyle w:val="BodyText"/>
              <w:jc w:val="center"/>
            </w:pPr>
            <w:r>
              <w:t>Possible</w:t>
            </w:r>
          </w:p>
        </w:tc>
      </w:tr>
      <w:tr w:rsidR="00324D1B" w14:paraId="134D53BA" w14:textId="77777777" w:rsidTr="00324D1B">
        <w:tc>
          <w:tcPr>
            <w:tcW w:w="1956" w:type="dxa"/>
            <w:tcBorders>
              <w:top w:val="single" w:sz="8" w:space="0" w:color="CDDC29" w:themeColor="text2"/>
              <w:left w:val="nil"/>
              <w:bottom w:val="single" w:sz="8" w:space="0" w:color="CDDC29" w:themeColor="text2"/>
              <w:right w:val="nil"/>
            </w:tcBorders>
            <w:vAlign w:val="center"/>
            <w:hideMark/>
          </w:tcPr>
          <w:p w14:paraId="55BE107B" w14:textId="77777777" w:rsidR="00324D1B" w:rsidRDefault="00324D1B" w:rsidP="0042650F">
            <w:pPr>
              <w:pStyle w:val="BodyText"/>
              <w:jc w:val="center"/>
            </w:pPr>
            <w:r>
              <w:t>Overall risk rating</w:t>
            </w:r>
          </w:p>
        </w:tc>
        <w:tc>
          <w:tcPr>
            <w:tcW w:w="1956" w:type="dxa"/>
            <w:tcBorders>
              <w:top w:val="single" w:sz="8" w:space="0" w:color="CDDC29" w:themeColor="text2"/>
              <w:left w:val="nil"/>
              <w:bottom w:val="single" w:sz="8" w:space="0" w:color="CDDC29" w:themeColor="text2"/>
              <w:right w:val="nil"/>
            </w:tcBorders>
            <w:shd w:val="clear" w:color="auto" w:fill="FF0000"/>
            <w:vAlign w:val="center"/>
            <w:hideMark/>
          </w:tcPr>
          <w:p w14:paraId="778B2CFA" w14:textId="77777777" w:rsidR="00324D1B" w:rsidRDefault="00324D1B" w:rsidP="0042650F">
            <w:pPr>
              <w:pStyle w:val="BodyText"/>
              <w:jc w:val="center"/>
            </w:pPr>
            <w:r>
              <w:t>High</w:t>
            </w:r>
          </w:p>
        </w:tc>
        <w:tc>
          <w:tcPr>
            <w:tcW w:w="1956" w:type="dxa"/>
            <w:tcBorders>
              <w:top w:val="single" w:sz="8" w:space="0" w:color="CDDC29" w:themeColor="text2"/>
              <w:left w:val="nil"/>
              <w:bottom w:val="single" w:sz="8" w:space="0" w:color="CDDC29" w:themeColor="text2"/>
              <w:right w:val="nil"/>
            </w:tcBorders>
            <w:shd w:val="clear" w:color="auto" w:fill="FFC000"/>
            <w:vAlign w:val="center"/>
            <w:hideMark/>
          </w:tcPr>
          <w:p w14:paraId="31495B0C" w14:textId="77777777" w:rsidR="00324D1B" w:rsidRDefault="00324D1B" w:rsidP="0042650F">
            <w:pPr>
              <w:pStyle w:val="BodyText"/>
              <w:jc w:val="center"/>
            </w:pPr>
            <w:r>
              <w:t>Significant</w:t>
            </w:r>
          </w:p>
        </w:tc>
        <w:tc>
          <w:tcPr>
            <w:tcW w:w="1956" w:type="dxa"/>
            <w:tcBorders>
              <w:top w:val="single" w:sz="8" w:space="0" w:color="CDDC29" w:themeColor="text2"/>
              <w:left w:val="nil"/>
              <w:bottom w:val="single" w:sz="8" w:space="0" w:color="CDDC29" w:themeColor="text2"/>
              <w:right w:val="nil"/>
            </w:tcBorders>
            <w:shd w:val="clear" w:color="auto" w:fill="FFC000"/>
            <w:vAlign w:val="center"/>
            <w:hideMark/>
          </w:tcPr>
          <w:p w14:paraId="6636A84F" w14:textId="77777777" w:rsidR="00324D1B" w:rsidRDefault="00324D1B" w:rsidP="0042650F">
            <w:pPr>
              <w:pStyle w:val="BodyText"/>
              <w:jc w:val="center"/>
            </w:pPr>
            <w:r>
              <w:t>Significant</w:t>
            </w:r>
          </w:p>
        </w:tc>
        <w:tc>
          <w:tcPr>
            <w:tcW w:w="1957" w:type="dxa"/>
            <w:tcBorders>
              <w:top w:val="single" w:sz="8" w:space="0" w:color="CDDC29" w:themeColor="text2"/>
              <w:left w:val="nil"/>
              <w:bottom w:val="single" w:sz="8" w:space="0" w:color="CDDC29" w:themeColor="text2"/>
              <w:right w:val="nil"/>
            </w:tcBorders>
            <w:shd w:val="clear" w:color="auto" w:fill="FFFF00"/>
            <w:vAlign w:val="center"/>
            <w:hideMark/>
          </w:tcPr>
          <w:p w14:paraId="59E3CD71" w14:textId="77777777" w:rsidR="00324D1B" w:rsidRDefault="00324D1B" w:rsidP="0042650F">
            <w:pPr>
              <w:pStyle w:val="BodyText"/>
              <w:jc w:val="center"/>
            </w:pPr>
            <w:r>
              <w:t>Medium</w:t>
            </w:r>
          </w:p>
        </w:tc>
      </w:tr>
    </w:tbl>
    <w:p w14:paraId="67FC9CEF" w14:textId="77777777" w:rsidR="00324D1B" w:rsidRDefault="00324D1B" w:rsidP="007E5EBF">
      <w:pPr>
        <w:pStyle w:val="Heading3"/>
      </w:pPr>
      <w:bookmarkStart w:id="621" w:name="_Toc88725894"/>
      <w:bookmarkStart w:id="622" w:name="_Toc88725895"/>
      <w:bookmarkEnd w:id="621"/>
      <w:bookmarkEnd w:id="622"/>
      <w:r>
        <w:t>Fire</w:t>
      </w:r>
    </w:p>
    <w:p w14:paraId="611D662C" w14:textId="77777777" w:rsidR="00324D1B" w:rsidRDefault="00324D1B" w:rsidP="00324D1B">
      <w:pPr>
        <w:pStyle w:val="Heading5"/>
        <w:numPr>
          <w:ilvl w:val="0"/>
          <w:numId w:val="0"/>
        </w:numPr>
        <w:ind w:left="1008" w:hanging="1008"/>
      </w:pPr>
      <w:r>
        <w:t>Increased fire frequency and intensity</w:t>
      </w:r>
    </w:p>
    <w:p w14:paraId="3FE58EA9" w14:textId="1ACA3A43" w:rsidR="00324D1B" w:rsidRDefault="00324D1B" w:rsidP="00324D1B">
      <w:pPr>
        <w:pStyle w:val="BodyText"/>
      </w:pPr>
      <w:r>
        <w:t xml:space="preserve">Altered fire regimes under climate change are projected to continue to threaten this </w:t>
      </w:r>
      <w:r w:rsidR="001D3902">
        <w:t>species</w:t>
      </w:r>
      <w:r>
        <w:t xml:space="preserve"> and its habitat. Many locations have already been severely burnt as an early climate change signal with </w:t>
      </w:r>
      <w:r w:rsidR="006F38C5">
        <w:t>many</w:t>
      </w:r>
      <w:r>
        <w:t xml:space="preserve"> sites burnt in the last 40 years (e.g., 1983 Ash Wednesday fire, 2009 Black Saturday fires and, most recently, the Black Summer fires of 2019</w:t>
      </w:r>
      <w:r w:rsidR="00792F93">
        <w:t>-</w:t>
      </w:r>
      <w:r>
        <w:t xml:space="preserve">20). The threat incorporates drought stress and includes increasing fire risk, with each catastrophic fire event resulting from incremental impacts which accrue over decades. The </w:t>
      </w:r>
      <w:r w:rsidR="001D3902">
        <w:t>species</w:t>
      </w:r>
      <w:r>
        <w:t xml:space="preserve"> is likely to have been significantly depleted </w:t>
      </w:r>
      <w:r w:rsidR="00A17F10">
        <w:t xml:space="preserve">across its range </w:t>
      </w:r>
      <w:r w:rsidR="00606C7D">
        <w:t>because of</w:t>
      </w:r>
      <w:r>
        <w:t xml:space="preserve"> the documented contraction and elimination of Cool and Warm Temperate Rainforest stands, which is the critical habitat of the </w:t>
      </w:r>
      <w:r w:rsidR="001D3902">
        <w:t>species</w:t>
      </w:r>
      <w:r>
        <w:t>, in response to catastrophic bushfire.</w:t>
      </w:r>
    </w:p>
    <w:p w14:paraId="649EB9B7" w14:textId="55E195F1" w:rsidR="00324D1B" w:rsidRDefault="00324D1B" w:rsidP="00324D1B">
      <w:pPr>
        <w:pStyle w:val="BodyText"/>
      </w:pPr>
      <w:r>
        <w:t xml:space="preserve">The Jungle Bristle-fern is unusual amongst Victorian taxa of epiphytic ferns in being commonly associated with </w:t>
      </w:r>
      <w:r w:rsidR="00057DF5">
        <w:t>Rough Tree-fern (</w:t>
      </w:r>
      <w:r>
        <w:rPr>
          <w:i/>
          <w:iCs/>
        </w:rPr>
        <w:t>Cyathea australis</w:t>
      </w:r>
      <w:r w:rsidR="00057DF5">
        <w:t xml:space="preserve">) </w:t>
      </w:r>
      <w:r>
        <w:t xml:space="preserve">rather than </w:t>
      </w:r>
      <w:r w:rsidR="00057DF5">
        <w:t>Soft Tree-fern</w:t>
      </w:r>
      <w:r>
        <w:t xml:space="preserve"> which is the favoured host of almost all other Victorian epiphytes. Since the Rough Tree-fern typically occupies drier, upslope and often ecotonal rainforest sites, Jungle Bristle-fern clones typically occur in sites at greater risk of fire ingress and exposure to desiccating winds and insolation than all other related filmy ferns and bristle ferns. Vegetative regeneration of established mature plants from rhizomes protected within the trunks of tree ferns post-fire are likely to be at elevated risk of antler rubbing by Sambar which tend to congregate in mesic habitats in gullies and on lower slopes, particularly following intense landscape-scale bushfires. </w:t>
      </w:r>
    </w:p>
    <w:p w14:paraId="384796E5" w14:textId="6E4A1444" w:rsidR="00324D1B" w:rsidRDefault="00324D1B" w:rsidP="00324D1B">
      <w:pPr>
        <w:pStyle w:val="BodyText"/>
      </w:pPr>
      <w:r>
        <w:t>When a large fire hits a rainforest or rainforest margin with sufficient intensity to destroy the canopy</w:t>
      </w:r>
      <w:r w:rsidR="006519E6">
        <w:t>,</w:t>
      </w:r>
      <w:r>
        <w:t xml:space="preserve"> there is a high chance of sclerophyll invasion and stand replacement by eucalypt forest. Many examples of this have been seen where stands of rainforest have been impacted by severe fire events. Whilst the </w:t>
      </w:r>
      <w:r w:rsidR="001D3902">
        <w:t>species</w:t>
      </w:r>
      <w:r>
        <w:t xml:space="preserve"> has the capacity to resprout from established rhizomes immediately post-fire, its clones in sites which undergo succession to eucalypt forest are projected to undergo significant drying out of the tree fern trunk and dramatically increased insolation, both projected to result in the wilting and death of these clones. This hazard extends across all the </w:t>
      </w:r>
      <w:r w:rsidR="001D3902">
        <w:t>species’</w:t>
      </w:r>
      <w:r>
        <w:t xml:space="preserve"> populations.</w:t>
      </w:r>
    </w:p>
    <w:p w14:paraId="2D749ADF" w14:textId="77777777" w:rsidR="00324D1B" w:rsidRPr="00CB1C33" w:rsidRDefault="00324D1B" w:rsidP="00324D1B">
      <w:pPr>
        <w:pStyle w:val="BodyText"/>
      </w:pPr>
      <w:r>
        <w:t>Current existing controls for this hazard include:</w:t>
      </w:r>
    </w:p>
    <w:p w14:paraId="6D662205" w14:textId="183D13C4" w:rsidR="00F0312E" w:rsidRDefault="00324D1B" w:rsidP="006670D2">
      <w:pPr>
        <w:pStyle w:val="PullOutBoxBullet"/>
      </w:pPr>
      <w:r w:rsidRPr="00CB1C33">
        <w:t xml:space="preserve">Planned burning. This control is considered ineffective in this case as the species’ habitat is generally not suitable for planned burning. Strategic </w:t>
      </w:r>
      <w:r w:rsidR="00294EA6" w:rsidRPr="00CB1C33">
        <w:t>fuel breaks</w:t>
      </w:r>
      <w:r w:rsidRPr="00CB1C33">
        <w:t xml:space="preserve"> and associated backburning may however provide valuable protection in some cases for this species and its habitat from severe bushfires.</w:t>
      </w:r>
    </w:p>
    <w:p w14:paraId="014A78AD" w14:textId="17DA4F14" w:rsidR="00324D1B" w:rsidRPr="00F0312E" w:rsidRDefault="00F0312E" w:rsidP="00FD57DB">
      <w:pPr>
        <w:rPr>
          <w:rFonts w:eastAsia="Calibri"/>
        </w:rPr>
      </w:pPr>
      <w:r>
        <w:br w:type="page"/>
      </w:r>
    </w:p>
    <w:p w14:paraId="0233FED3" w14:textId="619BCFA0"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121</w:t>
      </w:r>
      <w:r w:rsidR="000B6788" w:rsidRPr="00291BDC">
        <w:rPr>
          <w:bCs/>
          <w:noProof/>
        </w:rPr>
        <w:fldChar w:fldCharType="end"/>
      </w:r>
      <w:r w:rsidRPr="00FF310C">
        <w:t>. Jungle Bristle-fern protection requirements and recommendations for increased fire frequency</w:t>
      </w:r>
      <w:r w:rsidR="009A0891" w:rsidRPr="00FF310C">
        <w:t xml:space="preserve"> and </w:t>
      </w:r>
      <w:r w:rsidRPr="00FF310C">
        <w:t>intensity</w:t>
      </w:r>
    </w:p>
    <w:tbl>
      <w:tblPr>
        <w:tblStyle w:val="TableGrid"/>
        <w:tblW w:w="0" w:type="auto"/>
        <w:tblLook w:val="04A0" w:firstRow="1" w:lastRow="0" w:firstColumn="1" w:lastColumn="0" w:noHBand="0" w:noVBand="1"/>
      </w:tblPr>
      <w:tblGrid>
        <w:gridCol w:w="2268"/>
        <w:gridCol w:w="7371"/>
      </w:tblGrid>
      <w:tr w:rsidR="00324D1B" w14:paraId="166F0319" w14:textId="77777777" w:rsidTr="00BD2A2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hideMark/>
          </w:tcPr>
          <w:p w14:paraId="1FC39270" w14:textId="77777777" w:rsidR="00324D1B" w:rsidRDefault="00324D1B" w:rsidP="00BD2A26">
            <w:pPr>
              <w:pStyle w:val="BodyText"/>
            </w:pPr>
            <w:r>
              <w:t>Requirement</w:t>
            </w:r>
          </w:p>
        </w:tc>
        <w:tc>
          <w:tcPr>
            <w:tcW w:w="7371" w:type="dxa"/>
            <w:tcBorders>
              <w:top w:val="single" w:sz="8" w:space="0" w:color="CDDC29" w:themeColor="text2"/>
              <w:left w:val="nil"/>
              <w:bottom w:val="single" w:sz="8" w:space="0" w:color="CDDC29" w:themeColor="text2"/>
              <w:right w:val="nil"/>
            </w:tcBorders>
            <w:hideMark/>
          </w:tcPr>
          <w:p w14:paraId="2CD5857E" w14:textId="77777777" w:rsidR="00324D1B" w:rsidRDefault="00324D1B" w:rsidP="00BD2A2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26BE58EB" w14:textId="77777777" w:rsidTr="00BD2A26">
        <w:tc>
          <w:tcPr>
            <w:tcW w:w="2268" w:type="dxa"/>
            <w:tcBorders>
              <w:top w:val="single" w:sz="8" w:space="0" w:color="CDDC29" w:themeColor="text2"/>
              <w:left w:val="nil"/>
              <w:bottom w:val="single" w:sz="8" w:space="0" w:color="CDDC29" w:themeColor="text2"/>
              <w:right w:val="nil"/>
            </w:tcBorders>
            <w:hideMark/>
          </w:tcPr>
          <w:p w14:paraId="3BD6A522" w14:textId="1E1E02AC" w:rsidR="00324D1B" w:rsidRDefault="009A0891" w:rsidP="00BD2A26">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3489D508" w14:textId="77777777" w:rsidR="00324D1B" w:rsidRDefault="00324D1B" w:rsidP="00BD2A26">
            <w:pPr>
              <w:pStyle w:val="BodyText"/>
            </w:pPr>
            <w:r>
              <w:t>Not required for this hazard as it is a longer-term threat.</w:t>
            </w:r>
          </w:p>
        </w:tc>
      </w:tr>
      <w:tr w:rsidR="00324D1B" w14:paraId="40959529" w14:textId="77777777" w:rsidTr="00BD2A26">
        <w:tc>
          <w:tcPr>
            <w:tcW w:w="2268" w:type="dxa"/>
            <w:tcBorders>
              <w:top w:val="single" w:sz="8" w:space="0" w:color="CDDC29" w:themeColor="text2"/>
              <w:left w:val="nil"/>
              <w:bottom w:val="single" w:sz="8" w:space="0" w:color="CDDC29" w:themeColor="text2"/>
              <w:right w:val="nil"/>
            </w:tcBorders>
            <w:hideMark/>
          </w:tcPr>
          <w:p w14:paraId="2CACBFEC" w14:textId="53D2627C" w:rsidR="00324D1B" w:rsidRDefault="009A0891" w:rsidP="00BD2A26">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7A4B94BA" w14:textId="77777777" w:rsidR="00324D1B" w:rsidRDefault="00324D1B" w:rsidP="006670D2">
            <w:pPr>
              <w:pStyle w:val="PullOutBoxBullet"/>
              <w:rPr>
                <w:rFonts w:ascii="Arial" w:hAnsi="Arial"/>
                <w:color w:val="363534"/>
              </w:rPr>
            </w:pPr>
            <w:r>
              <w:t xml:space="preserve">Undertake targeted removal of eucalypts invading former rainforest following intense bushfire. </w:t>
            </w:r>
          </w:p>
        </w:tc>
      </w:tr>
    </w:tbl>
    <w:p w14:paraId="45882DD2" w14:textId="77777777" w:rsidR="00324D1B" w:rsidRDefault="00324D1B" w:rsidP="007E5EBF">
      <w:pPr>
        <w:pStyle w:val="Heading5"/>
      </w:pPr>
      <w:bookmarkStart w:id="623" w:name="_Toc88725897"/>
      <w:r>
        <w:t>Planned burning</w:t>
      </w:r>
    </w:p>
    <w:p w14:paraId="1452A8A9" w14:textId="18FA3669" w:rsidR="00324D1B" w:rsidRPr="00CB1C33" w:rsidRDefault="00324D1B" w:rsidP="00324D1B">
      <w:pPr>
        <w:pStyle w:val="BodyText"/>
      </w:pPr>
      <w:r>
        <w:t>Traditionally, planned burns in the general vicinity of rainforest and other riparian vegetation have been reliant on differential moisture gradients to reduce the intensity and impact of fire on all fire-sensitive vegetation types in the riparian environment. Whilst this approach has often worked satisfactorily in the past, recent experience and climate change projections</w:t>
      </w:r>
      <w:r w:rsidR="00110FCA">
        <w:t xml:space="preserve"> (CSIRO &amp; Bureau of Meteorology 2020)</w:t>
      </w:r>
      <w:r>
        <w:t xml:space="preserve"> demonstrate the increasing risk of even well-controlled </w:t>
      </w:r>
      <w:r w:rsidR="00920AE4">
        <w:t xml:space="preserve">planned </w:t>
      </w:r>
      <w:r>
        <w:t xml:space="preserve">burns entering rainforest and its buffers. This hazard extends across 10-25% of the </w:t>
      </w:r>
      <w:r w:rsidR="001D3902">
        <w:t>species’</w:t>
      </w:r>
      <w:r>
        <w:t xml:space="preserve"> populations with all fire in the ecotonal environment threatening to expose fire-sensitive plants to mortality and local extinction. Fire in the ecotonal environment, with the risk of fire ingress into the mature rainforest stand, risks the destruction of the closed canopy and invasion of sclerophyll taxa such as eucalypts and acacias. Although the </w:t>
      </w:r>
      <w:r w:rsidR="001D3902">
        <w:t>species</w:t>
      </w:r>
      <w:r>
        <w:t xml:space="preserve"> can recover vegetatively from established rhizomes protected within the densely interwoven rootlets which constitute the stem or caudex of tree ferns, immediately post-fire surviving clones of the Jungle Bristle fern and their tree fern hosts are likely to decline in health as the maturing eucalypts draw moisture out of the soil</w:t>
      </w:r>
      <w:r w:rsidRPr="00CB1C33">
        <w:t>, open the understorey to light and drying winds and shed highly flammable leaf and small woody litter which increases the risk of intense future fire. Planned burning acts synergistically with increasing drought stress to increase the risk of mortality or crown death of fire-sensitive plants including, in extreme cases, tree fern hosts.</w:t>
      </w:r>
    </w:p>
    <w:p w14:paraId="421D06EE" w14:textId="77777777" w:rsidR="00324D1B" w:rsidRPr="00CB1C33" w:rsidRDefault="00324D1B" w:rsidP="00324D1B">
      <w:pPr>
        <w:pStyle w:val="BodyText"/>
      </w:pPr>
      <w:r w:rsidRPr="00CB1C33">
        <w:t>Current existing controls for this hazard include:</w:t>
      </w:r>
    </w:p>
    <w:p w14:paraId="2256EF6F" w14:textId="6808CD4A" w:rsidR="00CB1C33" w:rsidRPr="00796DC3" w:rsidRDefault="00A12B90" w:rsidP="006670D2">
      <w:pPr>
        <w:pStyle w:val="PullOutBoxBullet"/>
        <w:rPr>
          <w:b/>
          <w:bCs/>
          <w:sz w:val="16"/>
        </w:rPr>
      </w:pPr>
      <w:r w:rsidRPr="00F26BEE">
        <w:t xml:space="preserve">Values checking and strategic bushfire management planning. </w:t>
      </w:r>
      <w:r w:rsidRPr="00BB09D4">
        <w:t xml:space="preserve">The effectiveness of these measures has been evaluated as poor at mitigating risk to this species. Values checking relies on existing site records and modelled distribution, and for some </w:t>
      </w:r>
      <w:r w:rsidR="009430A5">
        <w:t>taxa</w:t>
      </w:r>
      <w:r w:rsidRPr="00BB09D4">
        <w:t xml:space="preserve"> site records are not comprehensive. Habitat modelling may also exaggerate actual distributions, particularly for poorly-know</w:t>
      </w:r>
      <w:r w:rsidR="000E687D">
        <w:t>n</w:t>
      </w:r>
      <w:r w:rsidRPr="00BB09D4">
        <w:t xml:space="preserve"> </w:t>
      </w:r>
      <w:r w:rsidR="009430A5">
        <w:t>taxa</w:t>
      </w:r>
      <w:r w:rsidR="00324D1B" w:rsidRPr="00CB1C33">
        <w:t xml:space="preserve">.   </w:t>
      </w:r>
    </w:p>
    <w:p w14:paraId="7CD9048D" w14:textId="2A84760A"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122</w:t>
      </w:r>
      <w:r w:rsidR="000B6788" w:rsidRPr="00291BDC">
        <w:rPr>
          <w:bCs/>
          <w:noProof/>
        </w:rPr>
        <w:fldChar w:fldCharType="end"/>
      </w:r>
      <w:r w:rsidRPr="00FF310C">
        <w:t>. Jungle Bristle-fern protection requirements and recommendations for planned burning</w:t>
      </w:r>
    </w:p>
    <w:tbl>
      <w:tblPr>
        <w:tblStyle w:val="TableGrid"/>
        <w:tblW w:w="0" w:type="auto"/>
        <w:tblLook w:val="04A0" w:firstRow="1" w:lastRow="0" w:firstColumn="1" w:lastColumn="0" w:noHBand="0" w:noVBand="1"/>
      </w:tblPr>
      <w:tblGrid>
        <w:gridCol w:w="2268"/>
        <w:gridCol w:w="7371"/>
      </w:tblGrid>
      <w:tr w:rsidR="00324D1B" w14:paraId="17B21323" w14:textId="77777777" w:rsidTr="00BD2A2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hideMark/>
          </w:tcPr>
          <w:p w14:paraId="2C90888A" w14:textId="77777777" w:rsidR="00324D1B" w:rsidRDefault="00324D1B" w:rsidP="00BD2A26">
            <w:pPr>
              <w:pStyle w:val="BodyText"/>
            </w:pPr>
            <w:r>
              <w:t>Requirement</w:t>
            </w:r>
          </w:p>
        </w:tc>
        <w:tc>
          <w:tcPr>
            <w:tcW w:w="7371" w:type="dxa"/>
            <w:tcBorders>
              <w:top w:val="single" w:sz="8" w:space="0" w:color="CDDC29" w:themeColor="text2"/>
              <w:left w:val="nil"/>
              <w:bottom w:val="single" w:sz="8" w:space="0" w:color="CDDC29" w:themeColor="text2"/>
              <w:right w:val="nil"/>
            </w:tcBorders>
            <w:hideMark/>
          </w:tcPr>
          <w:p w14:paraId="3FD2DE97" w14:textId="77777777" w:rsidR="00324D1B" w:rsidRDefault="00324D1B" w:rsidP="00BD2A2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6BF43A60" w14:textId="77777777" w:rsidTr="00BD2A26">
        <w:tc>
          <w:tcPr>
            <w:tcW w:w="2268" w:type="dxa"/>
            <w:tcBorders>
              <w:top w:val="single" w:sz="8" w:space="0" w:color="CDDC29" w:themeColor="text2"/>
              <w:left w:val="nil"/>
              <w:bottom w:val="single" w:sz="8" w:space="0" w:color="CDDC29" w:themeColor="text2"/>
              <w:right w:val="nil"/>
            </w:tcBorders>
            <w:hideMark/>
          </w:tcPr>
          <w:p w14:paraId="2594D5BF" w14:textId="67428D03" w:rsidR="00324D1B" w:rsidRDefault="00546666" w:rsidP="00BD2A26">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59D8C46C" w14:textId="77777777" w:rsidR="00324D1B" w:rsidRDefault="00324D1B" w:rsidP="00BD2A26">
            <w:pPr>
              <w:pStyle w:val="BodyText"/>
            </w:pPr>
            <w:r>
              <w:t>Not required for this hazard based on the overall risk level of medium.</w:t>
            </w:r>
          </w:p>
        </w:tc>
      </w:tr>
      <w:tr w:rsidR="00324D1B" w14:paraId="2AEA418C" w14:textId="77777777" w:rsidTr="00BD2A26">
        <w:tc>
          <w:tcPr>
            <w:tcW w:w="2268" w:type="dxa"/>
            <w:tcBorders>
              <w:top w:val="single" w:sz="8" w:space="0" w:color="CDDC29" w:themeColor="text2"/>
              <w:left w:val="nil"/>
              <w:bottom w:val="single" w:sz="8" w:space="0" w:color="CDDC29" w:themeColor="text2"/>
              <w:right w:val="nil"/>
            </w:tcBorders>
            <w:hideMark/>
          </w:tcPr>
          <w:p w14:paraId="691B5AB4" w14:textId="1ED71C93" w:rsidR="00324D1B" w:rsidRDefault="00546666" w:rsidP="00BD2A26">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5973AB5E" w14:textId="77777777" w:rsidR="00324D1B" w:rsidRDefault="00324D1B" w:rsidP="006670D2">
            <w:pPr>
              <w:pStyle w:val="PullOutBoxBullet"/>
            </w:pPr>
            <w:r>
              <w:t xml:space="preserve">Provide a generous exclusion zone in all planned burning corridors in the vicinity of all Warm Temperate Rainforest stands; and </w:t>
            </w:r>
          </w:p>
          <w:p w14:paraId="45821847" w14:textId="64D6C430" w:rsidR="00324D1B" w:rsidRDefault="00324D1B" w:rsidP="006670D2">
            <w:pPr>
              <w:pStyle w:val="PullOutBoxBullet"/>
            </w:pPr>
            <w:r>
              <w:t xml:space="preserve">Continue to expand and improve on rainforest mapping for use in burn planning, aiming to update mapping </w:t>
            </w:r>
            <w:r w:rsidR="00562032">
              <w:t>considering</w:t>
            </w:r>
            <w:r>
              <w:t xml:space="preserve"> rainforest loss through destruction of closed canopy and invasion by sclerophyll taxa. </w:t>
            </w:r>
          </w:p>
        </w:tc>
      </w:tr>
    </w:tbl>
    <w:p w14:paraId="77E164F5" w14:textId="29B4A3E5" w:rsidR="00324D1B" w:rsidRDefault="00324D1B" w:rsidP="007E5EBF">
      <w:pPr>
        <w:pStyle w:val="Heading3"/>
      </w:pPr>
      <w:r>
        <w:rPr>
          <w:noProof/>
        </w:rPr>
        <mc:AlternateContent>
          <mc:Choice Requires="wps">
            <w:drawing>
              <wp:anchor distT="0" distB="0" distL="114300" distR="114300" simplePos="0" relativeHeight="251658304" behindDoc="1" locked="1" layoutInCell="1" allowOverlap="1" wp14:anchorId="43C8200E" wp14:editId="5EDE7A52">
                <wp:simplePos x="0" y="0"/>
                <wp:positionH relativeFrom="page">
                  <wp:posOffset>359410</wp:posOffset>
                </wp:positionH>
                <wp:positionV relativeFrom="page">
                  <wp:posOffset>9071610</wp:posOffset>
                </wp:positionV>
                <wp:extent cx="6840220" cy="431800"/>
                <wp:effectExtent l="0" t="0" r="0" b="0"/>
                <wp:wrapNone/>
                <wp:docPr id="176" name="Text Box 176"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B874A"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8200E" id="Text Box 176" o:spid="_x0000_s1083" type="#_x0000_t202" alt="Title: Decorative Cover Shape" style="position:absolute;left:0;text-align:left;margin-left:28.3pt;margin-top:714.3pt;width:538.6pt;height:34pt;z-index:-2516581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Cw6kuJ/AgAA&#10;YgUAAA4AAAAAAAAAAAAAAAAALgIAAGRycy9lMm9Eb2MueG1sUEsBAi0AFAAGAAgAAAAhAJFrJtfd&#10;AAAADQEAAA8AAAAAAAAAAAAAAAAA2QQAAGRycy9kb3ducmV2LnhtbFBLBQYAAAAABAAEAPMAAADj&#10;BQAAAAA=&#10;" fillcolor="#201547" stroked="f" strokeweight=".5pt">
                <v:textbox inset="10mm,0,10mm,0">
                  <w:txbxContent>
                    <w:p w14:paraId="7FEB874A"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303" behindDoc="0" locked="1" layoutInCell="1" allowOverlap="1" wp14:anchorId="6F82A415" wp14:editId="23EE5935">
                <wp:simplePos x="0" y="0"/>
                <wp:positionH relativeFrom="page">
                  <wp:posOffset>360045</wp:posOffset>
                </wp:positionH>
                <wp:positionV relativeFrom="page">
                  <wp:posOffset>360045</wp:posOffset>
                </wp:positionV>
                <wp:extent cx="1864995" cy="1976120"/>
                <wp:effectExtent l="0" t="0" r="0" b="0"/>
                <wp:wrapNone/>
                <wp:docPr id="177" name="Freeform: Shape 17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7EE1E3" id="Freeform: Shape 177" o:spid="_x0000_s1026" style="position:absolute;margin-left:28.35pt;margin-top:28.35pt;width:146.85pt;height:155.6pt;z-index:25165830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302" behindDoc="0" locked="1" layoutInCell="1" allowOverlap="1" wp14:anchorId="01DDA228" wp14:editId="1065664D">
                <wp:simplePos x="0" y="0"/>
                <wp:positionH relativeFrom="page">
                  <wp:posOffset>359410</wp:posOffset>
                </wp:positionH>
                <wp:positionV relativeFrom="page">
                  <wp:posOffset>359410</wp:posOffset>
                </wp:positionV>
                <wp:extent cx="1864995" cy="1976120"/>
                <wp:effectExtent l="0" t="0" r="0" b="0"/>
                <wp:wrapNone/>
                <wp:docPr id="178" name="Freeform: Shape 17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752ED23" id="Freeform: Shape 178" o:spid="_x0000_s1026" style="position:absolute;margin-left:28.3pt;margin-top:28.3pt;width:146.85pt;height:155.6pt;z-index:25165830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301" behindDoc="0" locked="1" layoutInCell="1" allowOverlap="1" wp14:anchorId="2EA29AFE" wp14:editId="6D7E8905">
                <wp:simplePos x="0" y="0"/>
                <wp:positionH relativeFrom="page">
                  <wp:posOffset>0</wp:posOffset>
                </wp:positionH>
                <wp:positionV relativeFrom="page">
                  <wp:align>bottom</wp:align>
                </wp:positionV>
                <wp:extent cx="3848100" cy="720090"/>
                <wp:effectExtent l="0" t="0" r="0" b="0"/>
                <wp:wrapNone/>
                <wp:docPr id="179" name="Text Box 179"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B53B7" w14:textId="77777777" w:rsidR="00324D1B" w:rsidRDefault="00324D1B" w:rsidP="00324D1B">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9AFE" id="Text Box 179" o:spid="_x0000_s1084" type="#_x0000_t202" style="position:absolute;left:0;text-align:left;margin-left:0;margin-top:0;width:303pt;height:56.7pt;z-index:25165830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" filled="f" stroked="f" strokeweight=".5pt">
                <v:textbox inset="20mm">
                  <w:txbxContent>
                    <w:p w14:paraId="142B53B7" w14:textId="77777777" w:rsidR="00324D1B" w:rsidRDefault="00324D1B" w:rsidP="00324D1B">
                      <w:pPr>
                        <w:pStyle w:val="xWebCoverPage"/>
                      </w:pPr>
                      <w:r>
                        <w:t>delwp.vic.gov.au</w:t>
                      </w:r>
                    </w:p>
                  </w:txbxContent>
                </v:textbox>
                <w10:wrap anchorx="page" anchory="page"/>
                <w10:anchorlock/>
              </v:shape>
            </w:pict>
          </mc:Fallback>
        </mc:AlternateContent>
      </w:r>
      <w:bookmarkStart w:id="624" w:name="_Toc88725898"/>
      <w:bookmarkStart w:id="625" w:name="_Toc88725899"/>
      <w:bookmarkStart w:id="626" w:name="_Toc88725900"/>
      <w:bookmarkStart w:id="627" w:name="_Toc88725901"/>
      <w:bookmarkStart w:id="628" w:name="_Toc88725902"/>
      <w:bookmarkStart w:id="629" w:name="_Toc88725903"/>
      <w:bookmarkStart w:id="630" w:name="_Toc88725904"/>
      <w:bookmarkStart w:id="631" w:name="_Toc88725905"/>
      <w:bookmarkStart w:id="632" w:name="_Toc88725906"/>
      <w:bookmarkStart w:id="633" w:name="_Toc88725907"/>
      <w:bookmarkStart w:id="634" w:name="_Toc88725908"/>
      <w:bookmarkStart w:id="635" w:name="_Toc88725910"/>
      <w:bookmarkStart w:id="636" w:name="_Toc88725912"/>
      <w:bookmarkStart w:id="637" w:name="_Toc88725914"/>
      <w:bookmarkStart w:id="638" w:name="_Toc88725916"/>
      <w:bookmarkStart w:id="639" w:name="_Toc88725917"/>
      <w:bookmarkStart w:id="640" w:name="_Toc88725918"/>
      <w:bookmarkStart w:id="641" w:name="_Toc88725919"/>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t>Forestry operations</w:t>
      </w:r>
      <w:bookmarkEnd w:id="641"/>
    </w:p>
    <w:p w14:paraId="1CEB07B0" w14:textId="77777777" w:rsidR="00324D1B" w:rsidRDefault="00324D1B" w:rsidP="00324D1B">
      <w:pPr>
        <w:pStyle w:val="Heading5"/>
        <w:numPr>
          <w:ilvl w:val="0"/>
          <w:numId w:val="0"/>
        </w:numPr>
        <w:ind w:left="1008" w:hanging="1008"/>
      </w:pPr>
      <w:r>
        <w:t>Forestry operations</w:t>
      </w:r>
    </w:p>
    <w:p w14:paraId="7F92A800" w14:textId="02BCFEA5" w:rsidR="00324D1B" w:rsidRPr="00CB1C33" w:rsidRDefault="00390086" w:rsidP="00324D1B">
      <w:pPr>
        <w:pStyle w:val="BodyText"/>
      </w:pPr>
      <w:r w:rsidRPr="00FD57DB">
        <w:t xml:space="preserve">This </w:t>
      </w:r>
      <w:r w:rsidR="001D3902">
        <w:t>species</w:t>
      </w:r>
      <w:r w:rsidRPr="00FD57DB">
        <w:t xml:space="preserve"> generally occurs in association with rainforest. An analysis of VBA records showed that ~</w:t>
      </w:r>
      <w:r w:rsidR="00757046">
        <w:t>28</w:t>
      </w:r>
      <w:r w:rsidRPr="00FD57DB">
        <w:t>% occurred within mapped rainforest or its buffers. In this situation, occurrences should be adequately protected from forestry operations due to the requirements of the Code. The risk to this species from forestry operations in the East Gippsland RFA region was re-assessed in light of new information about the exposure to forestry operations. The experts concluded that, where the species occurred on the margins or outside rainforest and/or its buffers, and especially where the rainforest habitat might have been burnt by bushfires or otherwise disturbed, protection could not be assumed. The experts emphasised the need for additional protections that targeted both the known occurrences and the rainforest habitat where it had been disturbed</w:t>
      </w:r>
      <w:r w:rsidR="00313C16" w:rsidRPr="00FD57DB">
        <w:t xml:space="preserve"> and</w:t>
      </w:r>
      <w:r w:rsidRPr="00FD57DB">
        <w:t xml:space="preserve"> stressed the importance of greater survey effort to improve understanding of the distribution and abundance of this </w:t>
      </w:r>
      <w:r w:rsidR="001D3902">
        <w:t>species</w:t>
      </w:r>
      <w:r w:rsidR="00EC7D6D" w:rsidRPr="00FD57DB">
        <w:t>.</w:t>
      </w:r>
      <w:r w:rsidR="00324D1B" w:rsidRPr="00CB1C33">
        <w:t xml:space="preserve"> </w:t>
      </w:r>
    </w:p>
    <w:p w14:paraId="384409A0" w14:textId="351AA991" w:rsidR="00324D1B" w:rsidRPr="00CB1C33" w:rsidRDefault="00324D1B" w:rsidP="00324D1B">
      <w:pPr>
        <w:pStyle w:val="BodyText"/>
      </w:pPr>
      <w:r w:rsidRPr="00CB1C33">
        <w:t xml:space="preserve">The extent of this hazard is sporadic across the range of the </w:t>
      </w:r>
      <w:r w:rsidR="001D3902">
        <w:t>species</w:t>
      </w:r>
      <w:r w:rsidRPr="00CB1C33">
        <w:t xml:space="preserve"> with 24% of modelled habitat in the East Gippsland RFA</w:t>
      </w:r>
      <w:r w:rsidR="002A6069">
        <w:t xml:space="preserve"> region</w:t>
      </w:r>
      <w:r w:rsidRPr="00CB1C33">
        <w:t xml:space="preserve"> and 16% of modelled habitat in the Central Highlands RFA</w:t>
      </w:r>
      <w:r w:rsidR="002A6069">
        <w:t xml:space="preserve"> region</w:t>
      </w:r>
      <w:r w:rsidRPr="00CB1C33">
        <w:t xml:space="preserve"> potentially available for harvesting</w:t>
      </w:r>
      <w:r w:rsidR="00CF3C5E" w:rsidRPr="00FD57DB">
        <w:t xml:space="preserve">, based on the 2015 net harvest area layer. </w:t>
      </w:r>
      <w:r w:rsidR="00A932F3" w:rsidRPr="00FD57DB">
        <w:t xml:space="preserve">Using the revised operable area layer </w:t>
      </w:r>
      <w:r w:rsidR="00CF3C5E" w:rsidRPr="00FD57DB">
        <w:t xml:space="preserve">this is reduced to </w:t>
      </w:r>
      <w:r w:rsidR="00A932F3" w:rsidRPr="00FD57DB">
        <w:t xml:space="preserve">7% of the </w:t>
      </w:r>
      <w:r w:rsidR="001D3902">
        <w:t>species’</w:t>
      </w:r>
      <w:r w:rsidR="00A932F3" w:rsidRPr="00FD57DB">
        <w:t xml:space="preserve"> modelled habitat in the East Gippsland RFA</w:t>
      </w:r>
      <w:r w:rsidR="002A6069">
        <w:t xml:space="preserve"> region</w:t>
      </w:r>
      <w:r w:rsidR="00AA65CC" w:rsidRPr="00FD57DB">
        <w:t xml:space="preserve">, </w:t>
      </w:r>
      <w:r w:rsidR="00A932F3" w:rsidRPr="00FD57DB">
        <w:t>8%</w:t>
      </w:r>
      <w:r w:rsidR="00C65E42" w:rsidRPr="00FD57DB">
        <w:t xml:space="preserve"> in the Central Highlands RFA</w:t>
      </w:r>
      <w:r w:rsidR="002A6069">
        <w:t xml:space="preserve"> region</w:t>
      </w:r>
      <w:r w:rsidR="00AA65CC" w:rsidRPr="00FD57DB">
        <w:t xml:space="preserve"> and</w:t>
      </w:r>
      <w:r w:rsidR="00C65E42" w:rsidRPr="00FD57DB">
        <w:t xml:space="preserve"> 7% state</w:t>
      </w:r>
      <w:r w:rsidR="00AA65CC" w:rsidRPr="00FD57DB">
        <w:t>-</w:t>
      </w:r>
      <w:r w:rsidR="00C65E42" w:rsidRPr="00FD57DB">
        <w:t>wide.</w:t>
      </w:r>
    </w:p>
    <w:p w14:paraId="25322242" w14:textId="77777777" w:rsidR="00324D1B" w:rsidRPr="00CB1C33" w:rsidRDefault="00324D1B" w:rsidP="00324D1B">
      <w:pPr>
        <w:pStyle w:val="BodyText"/>
      </w:pPr>
      <w:r w:rsidRPr="00CB1C33">
        <w:t>Current existing controls for this hazard include:</w:t>
      </w:r>
    </w:p>
    <w:p w14:paraId="0F58FD5F" w14:textId="0C09606B" w:rsidR="00324D1B" w:rsidRPr="00CB1C33" w:rsidRDefault="00324D1B" w:rsidP="006670D2">
      <w:pPr>
        <w:pStyle w:val="PullOutBoxBullet"/>
        <w:rPr>
          <w:rFonts w:eastAsiaTheme="minorEastAsia" w:cstheme="minorBidi"/>
        </w:rPr>
      </w:pPr>
      <w:r w:rsidRPr="00CB1C33">
        <w:t xml:space="preserve">The </w:t>
      </w:r>
      <w:r w:rsidRPr="00CB1C33">
        <w:rPr>
          <w:i/>
          <w:iCs/>
        </w:rPr>
        <w:t xml:space="preserve">Code of Practice for Timber Production 2014. </w:t>
      </w:r>
      <w:r w:rsidR="00760445" w:rsidRPr="00915D82">
        <w:t xml:space="preserve">The effectiveness of this control for this species was rated as poor. Concerns regarding the accurate field identification of rainforest following disturbance warrants a more reliable approach to its protection. There is no species-specific prescription for this </w:t>
      </w:r>
      <w:r w:rsidR="001D3902">
        <w:t>species</w:t>
      </w:r>
      <w:r w:rsidR="00760445" w:rsidRPr="00915D82">
        <w:t xml:space="preserve"> in the Code, however the Code includes general protections for waterways and rainforest including a prohibition on harvesting, the application of buffers and </w:t>
      </w:r>
      <w:r w:rsidR="004F30F6" w:rsidRPr="00C02DCA">
        <w:t>design standards for roads, crossings</w:t>
      </w:r>
      <w:r w:rsidR="00313C16" w:rsidRPr="00C02DCA">
        <w:t>,</w:t>
      </w:r>
      <w:r w:rsidR="004F30F6" w:rsidRPr="00C02DCA">
        <w:t xml:space="preserve"> and coupe infrastructure</w:t>
      </w:r>
      <w:r w:rsidR="004F30F6" w:rsidRPr="4F453272">
        <w:t xml:space="preserve">. </w:t>
      </w:r>
    </w:p>
    <w:p w14:paraId="63FCCC3F" w14:textId="4D759E22" w:rsidR="00324D1B" w:rsidRPr="00CB1C33" w:rsidRDefault="00324D1B" w:rsidP="006670D2">
      <w:pPr>
        <w:pStyle w:val="PullOutBoxBullet"/>
        <w:rPr>
          <w:rFonts w:eastAsiaTheme="minorEastAsia" w:cstheme="minorBidi"/>
        </w:rPr>
      </w:pPr>
      <w:r w:rsidRPr="00CB1C33">
        <w:t xml:space="preserve">The CAR reserve system. The effectiveness of this control for this species has been evaluated as satisfactory as 63% of the </w:t>
      </w:r>
      <w:r w:rsidR="001D3902">
        <w:t>species’</w:t>
      </w:r>
      <w:r w:rsidRPr="00CB1C33">
        <w:t xml:space="preserve"> modelled distribution and 86% of important populations are within the reserve system</w:t>
      </w:r>
      <w:r w:rsidR="005E1477">
        <w:t>.</w:t>
      </w:r>
    </w:p>
    <w:p w14:paraId="74348991" w14:textId="731DE7EA"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123</w:t>
      </w:r>
      <w:r w:rsidR="000B6788" w:rsidRPr="00291BDC">
        <w:rPr>
          <w:bCs/>
          <w:noProof/>
        </w:rPr>
        <w:fldChar w:fldCharType="end"/>
      </w:r>
      <w:r w:rsidRPr="00FF310C">
        <w:t>. Jungle Bristle-fern protection requirements and recommendations for Forestry operations</w:t>
      </w:r>
    </w:p>
    <w:tbl>
      <w:tblPr>
        <w:tblStyle w:val="TableGrid"/>
        <w:tblW w:w="9639" w:type="dxa"/>
        <w:tblLook w:val="04A0" w:firstRow="1" w:lastRow="0" w:firstColumn="1" w:lastColumn="0" w:noHBand="0" w:noVBand="1"/>
      </w:tblPr>
      <w:tblGrid>
        <w:gridCol w:w="2268"/>
        <w:gridCol w:w="7371"/>
      </w:tblGrid>
      <w:tr w:rsidR="00324D1B" w14:paraId="6C631B63" w14:textId="77777777" w:rsidTr="0045799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E8E631C"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577CDE25"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4315C6B4" w14:textId="77777777" w:rsidTr="0045799B">
        <w:tc>
          <w:tcPr>
            <w:tcW w:w="2268" w:type="dxa"/>
            <w:tcBorders>
              <w:top w:val="single" w:sz="8" w:space="0" w:color="CDDC29" w:themeColor="text2"/>
              <w:left w:val="nil"/>
              <w:bottom w:val="single" w:sz="8" w:space="0" w:color="CDDC29" w:themeColor="text2"/>
              <w:right w:val="nil"/>
            </w:tcBorders>
            <w:hideMark/>
          </w:tcPr>
          <w:p w14:paraId="311E9F06" w14:textId="77777777" w:rsidR="00324D1B" w:rsidRDefault="00324D1B" w:rsidP="001A4A89">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7A0F9D0B" w14:textId="39AB9D1D" w:rsidR="00F0312E" w:rsidRPr="00013BFB" w:rsidRDefault="00F0312E" w:rsidP="00F0312E">
            <w:pPr>
              <w:pStyle w:val="BodyText"/>
              <w:rPr>
                <w:rFonts w:eastAsia="Calibri"/>
              </w:rPr>
            </w:pPr>
            <w:r w:rsidRPr="00013BFB">
              <w:rPr>
                <w:rFonts w:eastAsia="Calibri"/>
              </w:rPr>
              <w:t>Within the East Gippsland</w:t>
            </w:r>
            <w:r w:rsidR="008E5592">
              <w:rPr>
                <w:rFonts w:eastAsia="Calibri"/>
              </w:rPr>
              <w:t xml:space="preserve"> and Gippsland</w:t>
            </w:r>
            <w:r w:rsidRPr="00013BFB">
              <w:rPr>
                <w:rFonts w:eastAsia="Calibri"/>
              </w:rPr>
              <w:t xml:space="preserve"> RFA region</w:t>
            </w:r>
            <w:r w:rsidR="008E5592">
              <w:rPr>
                <w:rFonts w:eastAsia="Calibri"/>
              </w:rPr>
              <w:t>s</w:t>
            </w:r>
            <w:r w:rsidRPr="00013BFB">
              <w:rPr>
                <w:rFonts w:eastAsia="Calibri"/>
              </w:rPr>
              <w:t>, the Secretary will establish Special Protection Zone(s) to protect Warm Temperate Rainforest</w:t>
            </w:r>
            <w:r w:rsidR="00CF4FB0">
              <w:rPr>
                <w:rFonts w:eastAsia="Calibri"/>
              </w:rPr>
              <w:t xml:space="preserve"> and Cool Temperate Rainforest</w:t>
            </w:r>
            <w:r w:rsidRPr="00013BFB">
              <w:rPr>
                <w:rFonts w:eastAsia="Calibri"/>
              </w:rPr>
              <w:t xml:space="preserve"> communities including relevant buffers based on </w:t>
            </w:r>
            <w:r w:rsidR="00225397">
              <w:rPr>
                <w:rFonts w:eastAsia="Calibri"/>
              </w:rPr>
              <w:t xml:space="preserve">the </w:t>
            </w:r>
            <w:r w:rsidRPr="00013BFB">
              <w:rPr>
                <w:rFonts w:eastAsia="Calibri"/>
              </w:rPr>
              <w:t xml:space="preserve">Department’s corporate spatial dataset RAINFOR where the rainforest extent has been impacted by high severity fire in the last 10 years (since 2012) (DELWP 2019-20 Fire Severity: Crown Burn and High Crown Scorch). This is to provide protection for the habitat of unrecorded populations of this </w:t>
            </w:r>
            <w:r w:rsidR="001D3902">
              <w:rPr>
                <w:rFonts w:eastAsia="Calibri"/>
              </w:rPr>
              <w:t>species</w:t>
            </w:r>
            <w:r w:rsidRPr="00013BFB">
              <w:rPr>
                <w:rFonts w:eastAsia="Calibri"/>
              </w:rPr>
              <w:t xml:space="preserve"> where it has been recently disturbed</w:t>
            </w:r>
            <w:r w:rsidR="00280BAA">
              <w:rPr>
                <w:rFonts w:eastAsia="Calibri"/>
              </w:rPr>
              <w:t xml:space="preserve"> (See Map 4).</w:t>
            </w:r>
          </w:p>
          <w:p w14:paraId="4408A768" w14:textId="1B48453B" w:rsidR="00F0312E" w:rsidRPr="00013BFB" w:rsidRDefault="00F0312E" w:rsidP="00F0312E">
            <w:pPr>
              <w:pStyle w:val="BodyText"/>
              <w:rPr>
                <w:rFonts w:eastAsia="Calibri"/>
              </w:rPr>
            </w:pPr>
            <w:r w:rsidRPr="00013BFB">
              <w:rPr>
                <w:rFonts w:eastAsia="Calibri"/>
              </w:rPr>
              <w:t xml:space="preserve">Within </w:t>
            </w:r>
            <w:r>
              <w:rPr>
                <w:rFonts w:eastAsia="Calibri"/>
              </w:rPr>
              <w:t xml:space="preserve">the Central Highlands, </w:t>
            </w:r>
            <w:r w:rsidRPr="00013BFB">
              <w:rPr>
                <w:rFonts w:eastAsia="Calibri"/>
              </w:rPr>
              <w:t>East Gippsland</w:t>
            </w:r>
            <w:r w:rsidR="00144B83">
              <w:rPr>
                <w:rFonts w:eastAsia="Calibri"/>
              </w:rPr>
              <w:t xml:space="preserve"> and Gippsland</w:t>
            </w:r>
            <w:r w:rsidRPr="00013BFB">
              <w:rPr>
                <w:rFonts w:eastAsia="Calibri"/>
              </w:rPr>
              <w:t xml:space="preserve"> RFA region</w:t>
            </w:r>
            <w:r w:rsidR="00144B83">
              <w:rPr>
                <w:rFonts w:eastAsia="Calibri"/>
              </w:rPr>
              <w:t>s</w:t>
            </w:r>
            <w:r w:rsidRPr="00013BFB">
              <w:rPr>
                <w:rFonts w:eastAsia="Calibri"/>
              </w:rPr>
              <w:t xml:space="preserve">, the Secretary will establish Special Management Zone(s) of 200 m radius around post-1970 VBA records of this </w:t>
            </w:r>
            <w:r w:rsidR="001D3902">
              <w:rPr>
                <w:rFonts w:eastAsia="Calibri"/>
              </w:rPr>
              <w:t>species</w:t>
            </w:r>
            <w:r w:rsidRPr="00013BFB">
              <w:rPr>
                <w:rFonts w:eastAsia="Calibri"/>
              </w:rPr>
              <w:t xml:space="preserve"> with 100 m or better accuracy and any new records</w:t>
            </w:r>
            <w:r w:rsidR="00280BAA">
              <w:rPr>
                <w:rFonts w:eastAsia="Calibri"/>
              </w:rPr>
              <w:t xml:space="preserve"> (See Maps 5a and 5b).</w:t>
            </w:r>
          </w:p>
          <w:p w14:paraId="465EEF79" w14:textId="6870FDDF" w:rsidR="00324D1B" w:rsidRDefault="00F0312E" w:rsidP="001A4A89">
            <w:pPr>
              <w:pStyle w:val="BodyText"/>
            </w:pPr>
            <w:r w:rsidRPr="00013BFB">
              <w:rPr>
                <w:rFonts w:eastAsia="Calibri"/>
              </w:rPr>
              <w:t>Note that permanent protections have been recommended for two Warm Temperate Rainforest communities in East Gippsland (</w:t>
            </w:r>
            <w:r w:rsidRPr="00013BFB">
              <w:t>Warm Temperate Rainforest - East Gippsland Alluvial Terraces and Warm Temperate Rainforest - Far East Gippsland)</w:t>
            </w:r>
            <w:r w:rsidRPr="00013BFB">
              <w:rPr>
                <w:rFonts w:eastAsia="Calibri"/>
              </w:rPr>
              <w:t>. This measure may also provide additional protection and may overlap with areas identified above.</w:t>
            </w:r>
          </w:p>
        </w:tc>
      </w:tr>
      <w:tr w:rsidR="000C7C91" w14:paraId="641FB3FB" w14:textId="77777777" w:rsidTr="0045799B">
        <w:tc>
          <w:tcPr>
            <w:tcW w:w="0" w:type="dxa"/>
            <w:tcBorders>
              <w:top w:val="single" w:sz="8" w:space="0" w:color="CDDC29" w:themeColor="text2"/>
              <w:left w:val="nil"/>
              <w:bottom w:val="single" w:sz="8" w:space="0" w:color="CDDC29" w:themeColor="text2"/>
              <w:right w:val="nil"/>
            </w:tcBorders>
          </w:tcPr>
          <w:p w14:paraId="324D02FF" w14:textId="2F488A63" w:rsidR="000C7C91" w:rsidRDefault="000C7C91" w:rsidP="001A4A89">
            <w:pPr>
              <w:pStyle w:val="BodyText"/>
            </w:pPr>
            <w:r>
              <w:t>Priority management actions</w:t>
            </w:r>
          </w:p>
        </w:tc>
        <w:tc>
          <w:tcPr>
            <w:tcW w:w="0" w:type="dxa"/>
            <w:tcBorders>
              <w:top w:val="single" w:sz="8" w:space="0" w:color="CDDC29" w:themeColor="text2"/>
              <w:left w:val="nil"/>
              <w:bottom w:val="single" w:sz="8" w:space="0" w:color="CDDC29" w:themeColor="text2"/>
              <w:right w:val="nil"/>
            </w:tcBorders>
          </w:tcPr>
          <w:p w14:paraId="7E5A43AD" w14:textId="77777777" w:rsidR="005672B6" w:rsidRPr="00E31362" w:rsidRDefault="005672B6" w:rsidP="006670D2">
            <w:pPr>
              <w:pStyle w:val="PullOutBoxBullet"/>
            </w:pPr>
            <w:r w:rsidRPr="00E31362">
              <w:t>Comprehensively search likely habitat and map important populations; and</w:t>
            </w:r>
          </w:p>
          <w:p w14:paraId="4F78B0B3" w14:textId="710F7ABB" w:rsidR="000C7C91" w:rsidRDefault="005672B6" w:rsidP="006670D2">
            <w:pPr>
              <w:pStyle w:val="PullOutBoxBullet"/>
            </w:pPr>
            <w:r w:rsidRPr="00E31362">
              <w:t>Establish monitoring sites and collect baseline data.</w:t>
            </w:r>
          </w:p>
        </w:tc>
      </w:tr>
      <w:tr w:rsidR="00324D1B" w14:paraId="4D1BCFAF" w14:textId="77777777" w:rsidTr="0045799B">
        <w:tc>
          <w:tcPr>
            <w:tcW w:w="0" w:type="dxa"/>
            <w:tcBorders>
              <w:top w:val="single" w:sz="8" w:space="0" w:color="CDDC29" w:themeColor="text2"/>
              <w:left w:val="nil"/>
              <w:bottom w:val="single" w:sz="8" w:space="0" w:color="CDDC29" w:themeColor="text2"/>
              <w:right w:val="nil"/>
            </w:tcBorders>
            <w:hideMark/>
          </w:tcPr>
          <w:p w14:paraId="3574C7C0" w14:textId="77777777" w:rsidR="00324D1B" w:rsidRDefault="00324D1B" w:rsidP="001A4A89">
            <w:pPr>
              <w:pStyle w:val="BodyText"/>
            </w:pPr>
            <w:r>
              <w:t>Permanent protections</w:t>
            </w:r>
          </w:p>
        </w:tc>
        <w:tc>
          <w:tcPr>
            <w:tcW w:w="0" w:type="dxa"/>
            <w:tcBorders>
              <w:top w:val="single" w:sz="8" w:space="0" w:color="CDDC29" w:themeColor="text2"/>
              <w:left w:val="nil"/>
              <w:bottom w:val="single" w:sz="8" w:space="0" w:color="CDDC29" w:themeColor="text2"/>
              <w:right w:val="nil"/>
            </w:tcBorders>
            <w:hideMark/>
          </w:tcPr>
          <w:p w14:paraId="5C1FDADA" w14:textId="77777777" w:rsidR="00324D1B" w:rsidRDefault="00324D1B" w:rsidP="001A4A89">
            <w:pPr>
              <w:pStyle w:val="BodyText"/>
            </w:pPr>
            <w:r>
              <w:t>Additional permanent protections may be required in the longer-term.</w:t>
            </w:r>
          </w:p>
        </w:tc>
      </w:tr>
      <w:tr w:rsidR="00324D1B" w14:paraId="7CEE2471" w14:textId="77777777" w:rsidTr="0045799B">
        <w:tc>
          <w:tcPr>
            <w:tcW w:w="2268" w:type="dxa"/>
            <w:tcBorders>
              <w:top w:val="single" w:sz="8" w:space="0" w:color="CDDC29" w:themeColor="text2"/>
              <w:left w:val="nil"/>
              <w:bottom w:val="single" w:sz="8" w:space="0" w:color="CDDC29" w:themeColor="text2"/>
              <w:right w:val="nil"/>
            </w:tcBorders>
            <w:hideMark/>
          </w:tcPr>
          <w:p w14:paraId="3EFB5B65" w14:textId="5F69431F" w:rsidR="00324D1B" w:rsidRDefault="00546666" w:rsidP="001A4A89">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0434E97D" w14:textId="0BC1E9B8" w:rsidR="00324D1B" w:rsidRDefault="00324D1B" w:rsidP="006670D2">
            <w:pPr>
              <w:pStyle w:val="PullOutBoxBullet"/>
              <w:rPr>
                <w:rFonts w:ascii="Arial" w:hAnsi="Arial"/>
                <w:color w:val="363534"/>
              </w:rPr>
            </w:pPr>
            <w:r>
              <w:t>Species-specific code prescriptions should be considered in any future Code amendments</w:t>
            </w:r>
            <w:r w:rsidR="001845B8">
              <w:t>.</w:t>
            </w:r>
          </w:p>
        </w:tc>
      </w:tr>
    </w:tbl>
    <w:p w14:paraId="56F9008E" w14:textId="37B71961" w:rsidR="00324D1B" w:rsidRDefault="00324D1B" w:rsidP="007E5EBF">
      <w:pPr>
        <w:pStyle w:val="Heading3"/>
      </w:pPr>
      <w:bookmarkStart w:id="642" w:name="_Toc88725920"/>
      <w:bookmarkStart w:id="643" w:name="_Toc88725921"/>
      <w:bookmarkStart w:id="644" w:name="_Toc88725922"/>
      <w:bookmarkStart w:id="645" w:name="_Toc88725923"/>
      <w:bookmarkStart w:id="646" w:name="_Toc88725924"/>
      <w:bookmarkStart w:id="647" w:name="_Toc88725925"/>
      <w:bookmarkStart w:id="648" w:name="_Toc88725926"/>
      <w:bookmarkStart w:id="649" w:name="_Toc88725927"/>
      <w:bookmarkStart w:id="650" w:name="_Toc88725928"/>
      <w:bookmarkStart w:id="651" w:name="_Toc88725929"/>
      <w:bookmarkStart w:id="652" w:name="_Toc88725930"/>
      <w:bookmarkStart w:id="653" w:name="_Toc88725942"/>
      <w:bookmarkStart w:id="654" w:name="_Toc88725943"/>
      <w:bookmarkStart w:id="655" w:name="_Toc88725944"/>
      <w:bookmarkStart w:id="656" w:name="_Toc88725946"/>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Pr>
          <w:noProof/>
        </w:rPr>
        <mc:AlternateContent>
          <mc:Choice Requires="wps">
            <w:drawing>
              <wp:anchor distT="0" distB="0" distL="114300" distR="114300" simplePos="0" relativeHeight="251658308" behindDoc="1" locked="1" layoutInCell="1" allowOverlap="1" wp14:anchorId="2F20E089" wp14:editId="32245AAB">
                <wp:simplePos x="0" y="0"/>
                <wp:positionH relativeFrom="page">
                  <wp:posOffset>359410</wp:posOffset>
                </wp:positionH>
                <wp:positionV relativeFrom="page">
                  <wp:posOffset>9071610</wp:posOffset>
                </wp:positionV>
                <wp:extent cx="6840220" cy="431800"/>
                <wp:effectExtent l="0" t="0" r="0" b="0"/>
                <wp:wrapNone/>
                <wp:docPr id="186" name="Text Box 186"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FF6BC"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E089" id="Text Box 186" o:spid="_x0000_s1085" type="#_x0000_t202" alt="Title: Decorative Cover Shape" style="position:absolute;left:0;text-align:left;margin-left:28.3pt;margin-top:714.3pt;width:538.6pt;height:34pt;z-index:-2516581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" fillcolor="#201547" stroked="f" strokeweight=".5pt">
                <v:textbox inset="10mm,0,10mm,0">
                  <w:txbxContent>
                    <w:p w14:paraId="2F6FF6BC"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307" behindDoc="0" locked="1" layoutInCell="1" allowOverlap="1" wp14:anchorId="1B52C595" wp14:editId="74F63889">
                <wp:simplePos x="0" y="0"/>
                <wp:positionH relativeFrom="page">
                  <wp:posOffset>360045</wp:posOffset>
                </wp:positionH>
                <wp:positionV relativeFrom="page">
                  <wp:posOffset>360045</wp:posOffset>
                </wp:positionV>
                <wp:extent cx="1864995" cy="1976120"/>
                <wp:effectExtent l="0" t="0" r="0" b="0"/>
                <wp:wrapNone/>
                <wp:docPr id="187" name="Freeform: Shape 1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88252F8" id="Freeform: Shape 187" o:spid="_x0000_s1026" style="position:absolute;margin-left:28.35pt;margin-top:28.35pt;width:146.85pt;height:155.6pt;z-index:25165830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306" behindDoc="0" locked="1" layoutInCell="1" allowOverlap="1" wp14:anchorId="5172A87D" wp14:editId="5E7E313E">
                <wp:simplePos x="0" y="0"/>
                <wp:positionH relativeFrom="page">
                  <wp:posOffset>359410</wp:posOffset>
                </wp:positionH>
                <wp:positionV relativeFrom="page">
                  <wp:posOffset>359410</wp:posOffset>
                </wp:positionV>
                <wp:extent cx="1864995" cy="1976120"/>
                <wp:effectExtent l="0" t="0" r="0" b="0"/>
                <wp:wrapNone/>
                <wp:docPr id="188" name="Freeform: Shape 1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BD2D37C" id="Freeform: Shape 188" o:spid="_x0000_s1026" style="position:absolute;margin-left:28.3pt;margin-top:28.3pt;width:146.85pt;height:155.6pt;z-index:25165830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305" behindDoc="0" locked="1" layoutInCell="1" allowOverlap="1" wp14:anchorId="36B6A890" wp14:editId="200916F7">
                <wp:simplePos x="0" y="0"/>
                <wp:positionH relativeFrom="page">
                  <wp:posOffset>0</wp:posOffset>
                </wp:positionH>
                <wp:positionV relativeFrom="page">
                  <wp:align>bottom</wp:align>
                </wp:positionV>
                <wp:extent cx="3848100" cy="720090"/>
                <wp:effectExtent l="0" t="0" r="0" b="0"/>
                <wp:wrapNone/>
                <wp:docPr id="189" name="Text Box 189"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16877" w14:textId="77777777" w:rsidR="00324D1B" w:rsidRDefault="00324D1B" w:rsidP="00324D1B">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6A890" id="Text Box 189" o:spid="_x0000_s1086" type="#_x0000_t202" style="position:absolute;left:0;text-align:left;margin-left:0;margin-top:0;width:303pt;height:56.7pt;z-index:25165830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" filled="f" stroked="f" strokeweight=".5pt">
                <v:textbox inset="20mm">
                  <w:txbxContent>
                    <w:p w14:paraId="7E416877" w14:textId="77777777" w:rsidR="00324D1B" w:rsidRDefault="00324D1B" w:rsidP="00324D1B">
                      <w:pPr>
                        <w:pStyle w:val="xWebCoverPage"/>
                      </w:pPr>
                      <w:r>
                        <w:t>delwp.vic.gov.au</w:t>
                      </w:r>
                    </w:p>
                  </w:txbxContent>
                </v:textbox>
                <w10:wrap anchorx="page" anchory="page"/>
                <w10:anchorlock/>
              </v:shape>
            </w:pict>
          </mc:Fallback>
        </mc:AlternateContent>
      </w:r>
      <w:bookmarkStart w:id="657" w:name="_Toc88725947"/>
      <w:bookmarkStart w:id="658" w:name="_Toc88725948"/>
      <w:bookmarkStart w:id="659" w:name="_Toc88725949"/>
      <w:bookmarkStart w:id="660" w:name="_Toc88725950"/>
      <w:bookmarkStart w:id="661" w:name="_Toc88725951"/>
      <w:bookmarkStart w:id="662" w:name="_Toc88725952"/>
      <w:bookmarkStart w:id="663" w:name="_Toc88725953"/>
      <w:bookmarkStart w:id="664" w:name="_Toc88725954"/>
      <w:bookmarkStart w:id="665" w:name="_Toc88725955"/>
      <w:bookmarkStart w:id="666" w:name="_Toc88725956"/>
      <w:bookmarkStart w:id="667" w:name="_Toc88725957"/>
      <w:bookmarkStart w:id="668" w:name="_Toc88725959"/>
      <w:bookmarkStart w:id="669" w:name="_Toc88725961"/>
      <w:bookmarkStart w:id="670" w:name="_Toc88725963"/>
      <w:bookmarkStart w:id="671" w:name="_Toc88725965"/>
      <w:bookmarkStart w:id="672" w:name="_Toc88725966"/>
      <w:bookmarkStart w:id="673" w:name="_Toc88725967"/>
      <w:bookmarkStart w:id="674" w:name="_Toc88725968"/>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t>Invasive species</w:t>
      </w:r>
      <w:bookmarkEnd w:id="674"/>
    </w:p>
    <w:p w14:paraId="29972B04" w14:textId="77777777" w:rsidR="00324D1B" w:rsidRDefault="00324D1B" w:rsidP="00324D1B">
      <w:pPr>
        <w:pStyle w:val="Heading5"/>
        <w:numPr>
          <w:ilvl w:val="0"/>
          <w:numId w:val="0"/>
        </w:numPr>
        <w:ind w:left="1008" w:hanging="1008"/>
      </w:pPr>
      <w:r>
        <w:t>Invasive vertebrate (deer)</w:t>
      </w:r>
    </w:p>
    <w:p w14:paraId="275A13B8" w14:textId="6C0AFA16" w:rsidR="00324D1B" w:rsidRPr="00CB1C33" w:rsidRDefault="00324D1B" w:rsidP="00324D1B">
      <w:pPr>
        <w:pStyle w:val="BodyText"/>
      </w:pPr>
      <w:r>
        <w:t xml:space="preserve">Sambar have been increasing in population across the East Gippsland region in the last decade (Watter et al. 2020), infiltrating all districts and forest types, often observed congregating in damper habitats including Warm Temperate Rainforest. Although it is unclear whether Sambar actively target the </w:t>
      </w:r>
      <w:r w:rsidR="001D3902">
        <w:t>species’</w:t>
      </w:r>
      <w:r>
        <w:t xml:space="preserve"> host tree fern species, they have been documented to impact lowland and coastal rainforest communities, targeting a wide range of obligate rainforest taxa. This hazard occurs across all the </w:t>
      </w:r>
      <w:r w:rsidR="001D3902">
        <w:t>species’</w:t>
      </w:r>
      <w:r>
        <w:t xml:space="preserve"> populations in the East Gippsland and Central Highlands RFA regions. While it is unclear how frequently Sambar are likely to target tree ferns for antler rubbing, they have the capacity to trample, browse and decimate understorey vegetation in rainforest and Riparian Forest which are the critical habitat of tree fern hosts on which the </w:t>
      </w:r>
      <w:r w:rsidRPr="00CB1C33">
        <w:t>Jungle Bristle-fern</w:t>
      </w:r>
      <w:r w:rsidRPr="00CB1C33">
        <w:rPr>
          <w:i/>
          <w:iCs/>
        </w:rPr>
        <w:t xml:space="preserve"> </w:t>
      </w:r>
      <w:r w:rsidRPr="00CB1C33">
        <w:t xml:space="preserve">depends, which can result in the demise of current populations and their local extinction. Sambar often target regenerating stands following bushfire, planned burns and regenerating </w:t>
      </w:r>
      <w:r w:rsidR="000A4796">
        <w:t>timber harvesting</w:t>
      </w:r>
      <w:r w:rsidRPr="00CB1C33">
        <w:t xml:space="preserve"> coupes, resulting in recruitment failure of seed recruits or resprouting individuals at their most vulnerable stage of development. </w:t>
      </w:r>
    </w:p>
    <w:p w14:paraId="45B33676" w14:textId="77777777" w:rsidR="00324D1B" w:rsidRPr="00CB1C33" w:rsidRDefault="00324D1B" w:rsidP="00324D1B">
      <w:pPr>
        <w:pStyle w:val="BodyText"/>
      </w:pPr>
      <w:r w:rsidRPr="00CB1C33">
        <w:t>Current existing controls for this hazard include:</w:t>
      </w:r>
    </w:p>
    <w:p w14:paraId="073D24B0" w14:textId="59DB4698" w:rsidR="006C4869" w:rsidRDefault="00324D1B" w:rsidP="006670D2">
      <w:pPr>
        <w:pStyle w:val="PullOutBoxBullet"/>
        <w:rPr>
          <w:rStyle w:val="normaltextrun"/>
        </w:rPr>
      </w:pPr>
      <w:r w:rsidRPr="00CB1C33">
        <w:rPr>
          <w:rStyle w:val="normaltextrun"/>
        </w:rPr>
        <w:t>Targeted deer control. The effectiveness of this control for this species has been evaluated as poor because targeted culling is patchy, expensive, and challenging to target in remote forest areas. Sambar deer occur across a large area so there is a reservoir of other areas to recolonise from.</w:t>
      </w:r>
      <w:r w:rsidR="00EA4898" w:rsidRPr="00EA4898">
        <w:t xml:space="preserve"> </w:t>
      </w:r>
      <w:r w:rsidR="00EA4898" w:rsidRPr="00F05594">
        <w:t xml:space="preserve">It is important to note, however, that </w:t>
      </w:r>
      <w:r w:rsidR="00EA4898" w:rsidRPr="00F05594">
        <w:rPr>
          <w:rStyle w:val="eop"/>
          <w:rFonts w:ascii="Arial" w:hAnsi="Arial"/>
          <w:color w:val="363534"/>
        </w:rPr>
        <w:t xml:space="preserve">recent deer control programs carried out throughout East Gippsland show significant advances in ground-based shooting by using thermal imaging, after-dark hunting and in some cases the use of silencers. Targeted control programs should not be considered inappropriate if program funding is sustainable and the target flora species for protection face significant threat from deer activity. </w:t>
      </w:r>
    </w:p>
    <w:p w14:paraId="4FB522EB" w14:textId="7F8E5C62"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124</w:t>
      </w:r>
      <w:r w:rsidR="000B6788" w:rsidRPr="00291BDC">
        <w:rPr>
          <w:bCs/>
          <w:noProof/>
        </w:rPr>
        <w:fldChar w:fldCharType="end"/>
      </w:r>
      <w:r w:rsidRPr="00FF310C">
        <w:t>. Jungle Bristle-fern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324D1B" w14:paraId="19FD0495"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730966F0"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4ABEEFA9"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410B4888" w14:textId="77777777" w:rsidTr="001A4A89">
        <w:tc>
          <w:tcPr>
            <w:tcW w:w="2268" w:type="dxa"/>
            <w:tcBorders>
              <w:top w:val="single" w:sz="8" w:space="0" w:color="CDDC29" w:themeColor="text2"/>
              <w:left w:val="nil"/>
              <w:bottom w:val="single" w:sz="8" w:space="0" w:color="CDDC29" w:themeColor="text2"/>
              <w:right w:val="nil"/>
            </w:tcBorders>
            <w:hideMark/>
          </w:tcPr>
          <w:p w14:paraId="1AA587F8" w14:textId="5FFDA49E" w:rsidR="00324D1B" w:rsidRDefault="002418E7" w:rsidP="001A4A89">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5B5E05A4" w14:textId="77777777" w:rsidR="00324D1B" w:rsidRDefault="00324D1B" w:rsidP="001A4A89">
            <w:pPr>
              <w:pStyle w:val="BodyText"/>
            </w:pPr>
            <w:r>
              <w:t>Not required for this hazard.</w:t>
            </w:r>
          </w:p>
        </w:tc>
      </w:tr>
      <w:tr w:rsidR="00324D1B" w14:paraId="15E381CE" w14:textId="77777777" w:rsidTr="001A4A89">
        <w:tc>
          <w:tcPr>
            <w:tcW w:w="2268" w:type="dxa"/>
            <w:tcBorders>
              <w:top w:val="single" w:sz="8" w:space="0" w:color="CDDC29" w:themeColor="text2"/>
              <w:left w:val="nil"/>
              <w:bottom w:val="single" w:sz="8" w:space="0" w:color="CDDC29" w:themeColor="text2"/>
              <w:right w:val="nil"/>
            </w:tcBorders>
            <w:hideMark/>
          </w:tcPr>
          <w:p w14:paraId="4A50E3DE" w14:textId="1E7AB8A8" w:rsidR="00324D1B" w:rsidRDefault="002418E7" w:rsidP="001A4A89">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1C429A6F" w14:textId="686451D6" w:rsidR="00324D1B" w:rsidRDefault="00324D1B" w:rsidP="006670D2">
            <w:pPr>
              <w:pStyle w:val="PullOutBoxBullet"/>
              <w:rPr>
                <w:rFonts w:ascii="Arial" w:hAnsi="Arial"/>
                <w:color w:val="363534"/>
              </w:rPr>
            </w:pPr>
            <w:r>
              <w:t xml:space="preserve">Monitor representative populations following </w:t>
            </w:r>
            <w:r w:rsidR="000A4796">
              <w:t>timber harvesting</w:t>
            </w:r>
            <w:r>
              <w:t>, planned burning and bushfire, as well as in healthy mature stands, to see evidence of antler rubbing of the Rough Tree-fern</w:t>
            </w:r>
            <w:r>
              <w:rPr>
                <w:i/>
                <w:iCs/>
              </w:rPr>
              <w:t xml:space="preserve"> </w:t>
            </w:r>
            <w:r>
              <w:t xml:space="preserve">which is the favoured host of the </w:t>
            </w:r>
            <w:r w:rsidR="001D3902">
              <w:t>species</w:t>
            </w:r>
            <w:r>
              <w:t xml:space="preserve">; and </w:t>
            </w:r>
          </w:p>
          <w:p w14:paraId="422B658C" w14:textId="77777777" w:rsidR="00324D1B" w:rsidRDefault="00324D1B" w:rsidP="006670D2">
            <w:pPr>
              <w:pStyle w:val="PullOutBoxBullet"/>
              <w:rPr>
                <w:rFonts w:ascii="Arial" w:hAnsi="Arial"/>
                <w:color w:val="363534"/>
              </w:rPr>
            </w:pPr>
            <w:r>
              <w:t>Target Sambar for control particularly after major decline events such as fire or extremely severe drought.</w:t>
            </w:r>
          </w:p>
        </w:tc>
      </w:tr>
    </w:tbl>
    <w:p w14:paraId="5ECB7338" w14:textId="77777777" w:rsidR="002418E7" w:rsidRDefault="002418E7" w:rsidP="002418E7">
      <w:pPr>
        <w:pStyle w:val="BodyText"/>
        <w:rPr>
          <w:color w:val="auto"/>
        </w:rPr>
      </w:pPr>
    </w:p>
    <w:p w14:paraId="09FC72B8" w14:textId="77777777" w:rsidR="002418E7" w:rsidRDefault="002418E7">
      <w:pPr>
        <w:rPr>
          <w:rFonts w:cs="Times New Roman"/>
          <w:color w:val="auto"/>
          <w:sz w:val="18"/>
          <w:szCs w:val="18"/>
          <w:lang w:eastAsia="en-US"/>
        </w:rPr>
      </w:pPr>
      <w:r>
        <w:rPr>
          <w:color w:val="auto"/>
        </w:rPr>
        <w:br w:type="page"/>
      </w:r>
    </w:p>
    <w:p w14:paraId="18F2AE39" w14:textId="77777777" w:rsidR="00324D1B" w:rsidRPr="007E31F4" w:rsidRDefault="00324D1B" w:rsidP="00FB5A2B">
      <w:pPr>
        <w:pStyle w:val="Heading2"/>
        <w:ind w:left="0"/>
        <w:rPr>
          <w:i/>
          <w:iCs/>
        </w:rPr>
      </w:pPr>
      <w:bookmarkStart w:id="675" w:name="_Toc95234105"/>
      <w:bookmarkStart w:id="676" w:name="_Toc113271049"/>
      <w:r w:rsidRPr="007E31F4">
        <w:t xml:space="preserve">Lacey River Buttercup </w:t>
      </w:r>
      <w:r w:rsidRPr="005F7D8C">
        <w:rPr>
          <w:i/>
          <w:iCs/>
        </w:rPr>
        <w:t>(Ranunculus amplus)</w:t>
      </w:r>
      <w:bookmarkEnd w:id="675"/>
      <w:bookmarkEnd w:id="676"/>
    </w:p>
    <w:p w14:paraId="31127C6D" w14:textId="1FA70719" w:rsidR="00324D1B" w:rsidRDefault="00324D1B" w:rsidP="00324D1B">
      <w:pPr>
        <w:pStyle w:val="BodyText"/>
      </w:pPr>
      <w:r>
        <w:t xml:space="preserve">The Lacey River Buttercup was listed as Critically Endangered in Australia under the FFG Act in May 2021. The </w:t>
      </w:r>
      <w:r w:rsidR="001D3902">
        <w:t>species</w:t>
      </w:r>
      <w:r>
        <w:t xml:space="preserve"> has modelled habitat in the West (70% of modelled habitat), Gippsland (26% of modelled habitat), and Central Highlands (2% of modelled habitat) RFA regions, with 3% of modelled habitat in non-RFA regions. </w:t>
      </w:r>
      <w:r>
        <w:rPr>
          <w:rStyle w:val="BodyTextChar"/>
        </w:rPr>
        <w:t>Permanent protections are recommended to address any hazards identified at a significant or high risk, and all</w:t>
      </w:r>
      <w:r>
        <w:t xml:space="preserve"> hazards rated a medium risk or higher will be considered in future management planning.</w:t>
      </w:r>
    </w:p>
    <w:p w14:paraId="2D3C3286" w14:textId="77777777" w:rsidR="00324D1B" w:rsidRDefault="00324D1B" w:rsidP="007E5EBF">
      <w:pPr>
        <w:pStyle w:val="Heading3"/>
      </w:pPr>
      <w:r>
        <w:t>Risk Assessment</w:t>
      </w:r>
    </w:p>
    <w:p w14:paraId="796AF8BF" w14:textId="7F596486"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125</w:t>
      </w:r>
      <w:r w:rsidR="000B6788" w:rsidRPr="00291BDC">
        <w:rPr>
          <w:bCs/>
          <w:noProof/>
        </w:rPr>
        <w:fldChar w:fldCharType="end"/>
      </w:r>
      <w:r w:rsidRPr="00FF310C">
        <w:t>. Lacey River Buttercup risk ratings in the Gippsland RFA region:</w:t>
      </w:r>
    </w:p>
    <w:tbl>
      <w:tblPr>
        <w:tblStyle w:val="TableGrid"/>
        <w:tblW w:w="9639" w:type="dxa"/>
        <w:tblLayout w:type="fixed"/>
        <w:tblLook w:val="04A0" w:firstRow="1" w:lastRow="0" w:firstColumn="1" w:lastColumn="0" w:noHBand="0" w:noVBand="1"/>
      </w:tblPr>
      <w:tblGrid>
        <w:gridCol w:w="1377"/>
        <w:gridCol w:w="1377"/>
        <w:gridCol w:w="1377"/>
        <w:gridCol w:w="1377"/>
        <w:gridCol w:w="1377"/>
        <w:gridCol w:w="1377"/>
        <w:gridCol w:w="1377"/>
      </w:tblGrid>
      <w:tr w:rsidR="0088086F" w14:paraId="71E3DCB4"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77" w:type="dxa"/>
            <w:tcBorders>
              <w:top w:val="single" w:sz="8" w:space="0" w:color="CDDC29" w:themeColor="text2"/>
              <w:left w:val="nil"/>
              <w:bottom w:val="single" w:sz="8" w:space="0" w:color="CDDC29" w:themeColor="text2"/>
              <w:right w:val="nil"/>
            </w:tcBorders>
            <w:vAlign w:val="center"/>
          </w:tcPr>
          <w:p w14:paraId="17D5AED3" w14:textId="77777777" w:rsidR="0088086F" w:rsidRDefault="0088086F" w:rsidP="006670D2">
            <w:pPr>
              <w:pStyle w:val="CaptionImageorFigure"/>
            </w:pPr>
          </w:p>
        </w:tc>
        <w:tc>
          <w:tcPr>
            <w:tcW w:w="1377" w:type="dxa"/>
            <w:tcBorders>
              <w:top w:val="single" w:sz="8" w:space="0" w:color="CDDC29" w:themeColor="text2"/>
              <w:left w:val="nil"/>
              <w:bottom w:val="single" w:sz="8" w:space="0" w:color="CDDC29" w:themeColor="text2"/>
              <w:right w:val="nil"/>
            </w:tcBorders>
            <w:vAlign w:val="center"/>
            <w:hideMark/>
          </w:tcPr>
          <w:p w14:paraId="04E8F5C3" w14:textId="77777777" w:rsidR="0088086F" w:rsidRDefault="0088086F"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Altered rainfall patterns</w:t>
            </w:r>
          </w:p>
        </w:tc>
        <w:tc>
          <w:tcPr>
            <w:tcW w:w="1377" w:type="dxa"/>
            <w:tcBorders>
              <w:top w:val="single" w:sz="8" w:space="0" w:color="CDDC29" w:themeColor="text2"/>
              <w:left w:val="nil"/>
              <w:bottom w:val="single" w:sz="8" w:space="0" w:color="CDDC29" w:themeColor="text2"/>
              <w:right w:val="nil"/>
            </w:tcBorders>
            <w:vAlign w:val="center"/>
            <w:hideMark/>
          </w:tcPr>
          <w:p w14:paraId="7828E3F2" w14:textId="77777777" w:rsidR="0088086F" w:rsidRDefault="0088086F"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c>
          <w:tcPr>
            <w:tcW w:w="1377" w:type="dxa"/>
            <w:tcBorders>
              <w:top w:val="single" w:sz="8" w:space="0" w:color="CDDC29" w:themeColor="text2"/>
              <w:left w:val="nil"/>
              <w:bottom w:val="single" w:sz="8" w:space="0" w:color="CDDC29" w:themeColor="text2"/>
              <w:right w:val="nil"/>
            </w:tcBorders>
            <w:vAlign w:val="center"/>
          </w:tcPr>
          <w:p w14:paraId="6BB887CE" w14:textId="6DDCA641" w:rsidR="0088086F" w:rsidRDefault="0088086F"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Loss of instream habitat</w:t>
            </w:r>
          </w:p>
        </w:tc>
        <w:tc>
          <w:tcPr>
            <w:tcW w:w="1377" w:type="dxa"/>
            <w:tcBorders>
              <w:top w:val="single" w:sz="8" w:space="0" w:color="CDDC29" w:themeColor="text2"/>
              <w:left w:val="nil"/>
              <w:bottom w:val="single" w:sz="8" w:space="0" w:color="CDDC29" w:themeColor="text2"/>
              <w:right w:val="nil"/>
            </w:tcBorders>
            <w:vAlign w:val="center"/>
          </w:tcPr>
          <w:p w14:paraId="3EC07F91" w14:textId="44E30586" w:rsidR="0088086F" w:rsidRDefault="0088086F"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Reduced flooding and flow volumes</w:t>
            </w:r>
          </w:p>
        </w:tc>
        <w:tc>
          <w:tcPr>
            <w:tcW w:w="1377" w:type="dxa"/>
            <w:tcBorders>
              <w:top w:val="single" w:sz="8" w:space="0" w:color="CDDC29" w:themeColor="text2"/>
              <w:left w:val="nil"/>
              <w:bottom w:val="single" w:sz="8" w:space="0" w:color="CDDC29" w:themeColor="text2"/>
              <w:right w:val="nil"/>
            </w:tcBorders>
            <w:vAlign w:val="center"/>
            <w:hideMark/>
          </w:tcPr>
          <w:p w14:paraId="53BDBE43" w14:textId="52526A2F" w:rsidR="0088086F" w:rsidRDefault="0088086F"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(pigs)</w:t>
            </w:r>
          </w:p>
        </w:tc>
        <w:tc>
          <w:tcPr>
            <w:tcW w:w="1377" w:type="dxa"/>
            <w:tcBorders>
              <w:top w:val="single" w:sz="8" w:space="0" w:color="CDDC29" w:themeColor="text2"/>
              <w:left w:val="nil"/>
              <w:bottom w:val="single" w:sz="8" w:space="0" w:color="CDDC29" w:themeColor="text2"/>
              <w:right w:val="nil"/>
            </w:tcBorders>
            <w:vAlign w:val="center"/>
            <w:hideMark/>
          </w:tcPr>
          <w:p w14:paraId="3138FA37" w14:textId="77777777" w:rsidR="0088086F" w:rsidRDefault="0088086F"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plant (weeds)</w:t>
            </w:r>
          </w:p>
        </w:tc>
      </w:tr>
      <w:tr w:rsidR="0088086F" w14:paraId="6A8BFB3B" w14:textId="77777777" w:rsidTr="00296E0F">
        <w:tc>
          <w:tcPr>
            <w:tcW w:w="1377" w:type="dxa"/>
            <w:tcBorders>
              <w:top w:val="single" w:sz="8" w:space="0" w:color="CDDC29" w:themeColor="text2"/>
              <w:left w:val="nil"/>
              <w:bottom w:val="single" w:sz="8" w:space="0" w:color="CDDC29" w:themeColor="text2"/>
              <w:right w:val="nil"/>
            </w:tcBorders>
            <w:vAlign w:val="center"/>
            <w:hideMark/>
          </w:tcPr>
          <w:p w14:paraId="4D96E598" w14:textId="77777777" w:rsidR="0088086F" w:rsidRDefault="0088086F" w:rsidP="0088086F">
            <w:pPr>
              <w:pStyle w:val="BodyText"/>
              <w:jc w:val="center"/>
            </w:pPr>
            <w:r>
              <w:t>Consequence</w:t>
            </w:r>
          </w:p>
        </w:tc>
        <w:tc>
          <w:tcPr>
            <w:tcW w:w="1377" w:type="dxa"/>
            <w:tcBorders>
              <w:top w:val="single" w:sz="8" w:space="0" w:color="CDDC29" w:themeColor="text2"/>
              <w:left w:val="nil"/>
              <w:bottom w:val="single" w:sz="8" w:space="0" w:color="CDDC29" w:themeColor="text2"/>
              <w:right w:val="nil"/>
            </w:tcBorders>
            <w:vAlign w:val="center"/>
            <w:hideMark/>
          </w:tcPr>
          <w:p w14:paraId="080CE177" w14:textId="77777777" w:rsidR="0088086F" w:rsidRDefault="0088086F" w:rsidP="0088086F">
            <w:pPr>
              <w:pStyle w:val="BodyText"/>
              <w:jc w:val="center"/>
            </w:pPr>
            <w:r>
              <w:t>Major</w:t>
            </w:r>
          </w:p>
        </w:tc>
        <w:tc>
          <w:tcPr>
            <w:tcW w:w="1377" w:type="dxa"/>
            <w:tcBorders>
              <w:top w:val="single" w:sz="8" w:space="0" w:color="CDDC29" w:themeColor="text2"/>
              <w:left w:val="nil"/>
              <w:bottom w:val="single" w:sz="8" w:space="0" w:color="CDDC29" w:themeColor="text2"/>
              <w:right w:val="nil"/>
            </w:tcBorders>
            <w:vAlign w:val="center"/>
            <w:hideMark/>
          </w:tcPr>
          <w:p w14:paraId="71323811" w14:textId="77777777" w:rsidR="0088086F" w:rsidRDefault="0088086F" w:rsidP="0088086F">
            <w:pPr>
              <w:pStyle w:val="BodyText"/>
              <w:jc w:val="center"/>
            </w:pPr>
            <w:r>
              <w:t>Moderate</w:t>
            </w:r>
          </w:p>
        </w:tc>
        <w:tc>
          <w:tcPr>
            <w:tcW w:w="1377" w:type="dxa"/>
            <w:tcBorders>
              <w:top w:val="single" w:sz="8" w:space="0" w:color="CDDC29" w:themeColor="text2"/>
              <w:left w:val="nil"/>
              <w:bottom w:val="single" w:sz="8" w:space="0" w:color="CDDC29" w:themeColor="text2"/>
              <w:right w:val="nil"/>
            </w:tcBorders>
            <w:vAlign w:val="center"/>
          </w:tcPr>
          <w:p w14:paraId="0E6DED79" w14:textId="5457AD89" w:rsidR="0088086F" w:rsidRDefault="0088086F" w:rsidP="0088086F">
            <w:pPr>
              <w:pStyle w:val="BodyText"/>
              <w:jc w:val="center"/>
            </w:pPr>
            <w:r>
              <w:t>Major</w:t>
            </w:r>
          </w:p>
        </w:tc>
        <w:tc>
          <w:tcPr>
            <w:tcW w:w="1377" w:type="dxa"/>
            <w:tcBorders>
              <w:top w:val="single" w:sz="8" w:space="0" w:color="CDDC29" w:themeColor="text2"/>
              <w:left w:val="nil"/>
              <w:bottom w:val="single" w:sz="8" w:space="0" w:color="CDDC29" w:themeColor="text2"/>
              <w:right w:val="nil"/>
            </w:tcBorders>
            <w:vAlign w:val="center"/>
          </w:tcPr>
          <w:p w14:paraId="004C5043" w14:textId="42A94207" w:rsidR="0088086F" w:rsidRDefault="0088086F" w:rsidP="0088086F">
            <w:pPr>
              <w:pStyle w:val="BodyText"/>
              <w:jc w:val="center"/>
            </w:pPr>
            <w:r>
              <w:t>Moderate</w:t>
            </w:r>
          </w:p>
        </w:tc>
        <w:tc>
          <w:tcPr>
            <w:tcW w:w="1377" w:type="dxa"/>
            <w:tcBorders>
              <w:top w:val="single" w:sz="8" w:space="0" w:color="CDDC29" w:themeColor="text2"/>
              <w:left w:val="nil"/>
              <w:bottom w:val="single" w:sz="8" w:space="0" w:color="CDDC29" w:themeColor="text2"/>
              <w:right w:val="nil"/>
            </w:tcBorders>
            <w:vAlign w:val="center"/>
            <w:hideMark/>
          </w:tcPr>
          <w:p w14:paraId="2E9DD9F7" w14:textId="26B81D64" w:rsidR="0088086F" w:rsidRDefault="0088086F" w:rsidP="0088086F">
            <w:pPr>
              <w:pStyle w:val="BodyText"/>
              <w:jc w:val="center"/>
            </w:pPr>
            <w:r>
              <w:t>Major</w:t>
            </w:r>
          </w:p>
        </w:tc>
        <w:tc>
          <w:tcPr>
            <w:tcW w:w="1377" w:type="dxa"/>
            <w:tcBorders>
              <w:top w:val="single" w:sz="8" w:space="0" w:color="CDDC29" w:themeColor="text2"/>
              <w:left w:val="nil"/>
              <w:bottom w:val="single" w:sz="8" w:space="0" w:color="CDDC29" w:themeColor="text2"/>
              <w:right w:val="nil"/>
            </w:tcBorders>
            <w:vAlign w:val="center"/>
            <w:hideMark/>
          </w:tcPr>
          <w:p w14:paraId="78BFA0E2" w14:textId="77777777" w:rsidR="0088086F" w:rsidRDefault="0088086F" w:rsidP="0088086F">
            <w:pPr>
              <w:pStyle w:val="BodyText"/>
              <w:jc w:val="center"/>
            </w:pPr>
            <w:r>
              <w:t>Moderate</w:t>
            </w:r>
          </w:p>
        </w:tc>
      </w:tr>
      <w:tr w:rsidR="0088086F" w14:paraId="1FA7C6DB" w14:textId="77777777" w:rsidTr="00296E0F">
        <w:tc>
          <w:tcPr>
            <w:tcW w:w="1377" w:type="dxa"/>
            <w:tcBorders>
              <w:top w:val="single" w:sz="8" w:space="0" w:color="CDDC29" w:themeColor="text2"/>
              <w:left w:val="nil"/>
              <w:bottom w:val="single" w:sz="8" w:space="0" w:color="CDDC29" w:themeColor="text2"/>
              <w:right w:val="nil"/>
            </w:tcBorders>
            <w:vAlign w:val="center"/>
            <w:hideMark/>
          </w:tcPr>
          <w:p w14:paraId="1731ED76" w14:textId="77777777" w:rsidR="0088086F" w:rsidRDefault="0088086F" w:rsidP="0088086F">
            <w:pPr>
              <w:pStyle w:val="BodyText"/>
              <w:jc w:val="center"/>
            </w:pPr>
            <w:r>
              <w:t>Likelihood</w:t>
            </w:r>
          </w:p>
        </w:tc>
        <w:tc>
          <w:tcPr>
            <w:tcW w:w="1377" w:type="dxa"/>
            <w:tcBorders>
              <w:top w:val="single" w:sz="8" w:space="0" w:color="CDDC29" w:themeColor="text2"/>
              <w:left w:val="nil"/>
              <w:bottom w:val="single" w:sz="8" w:space="0" w:color="CDDC29" w:themeColor="text2"/>
              <w:right w:val="nil"/>
            </w:tcBorders>
            <w:vAlign w:val="center"/>
            <w:hideMark/>
          </w:tcPr>
          <w:p w14:paraId="278670BB" w14:textId="77777777" w:rsidR="0088086F" w:rsidRDefault="0088086F" w:rsidP="0088086F">
            <w:pPr>
              <w:pStyle w:val="BodyText"/>
              <w:jc w:val="center"/>
            </w:pPr>
            <w:r>
              <w:t>Likely</w:t>
            </w:r>
          </w:p>
        </w:tc>
        <w:tc>
          <w:tcPr>
            <w:tcW w:w="1377" w:type="dxa"/>
            <w:tcBorders>
              <w:top w:val="single" w:sz="8" w:space="0" w:color="CDDC29" w:themeColor="text2"/>
              <w:left w:val="nil"/>
              <w:bottom w:val="single" w:sz="8" w:space="0" w:color="CDDC29" w:themeColor="text2"/>
              <w:right w:val="nil"/>
            </w:tcBorders>
            <w:vAlign w:val="center"/>
            <w:hideMark/>
          </w:tcPr>
          <w:p w14:paraId="6B9F82A8" w14:textId="77777777" w:rsidR="0088086F" w:rsidRDefault="0088086F" w:rsidP="0088086F">
            <w:pPr>
              <w:pStyle w:val="BodyText"/>
              <w:jc w:val="center"/>
            </w:pPr>
            <w:r>
              <w:t>Likely</w:t>
            </w:r>
          </w:p>
        </w:tc>
        <w:tc>
          <w:tcPr>
            <w:tcW w:w="1377" w:type="dxa"/>
            <w:tcBorders>
              <w:top w:val="single" w:sz="8" w:space="0" w:color="CDDC29" w:themeColor="text2"/>
              <w:left w:val="nil"/>
              <w:bottom w:val="single" w:sz="8" w:space="0" w:color="CDDC29" w:themeColor="text2"/>
              <w:right w:val="nil"/>
            </w:tcBorders>
            <w:vAlign w:val="center"/>
          </w:tcPr>
          <w:p w14:paraId="2D438B8C" w14:textId="7256D78A" w:rsidR="0088086F" w:rsidRDefault="0088086F" w:rsidP="0088086F">
            <w:pPr>
              <w:pStyle w:val="BodyText"/>
              <w:jc w:val="center"/>
            </w:pPr>
            <w:r>
              <w:t>Possible</w:t>
            </w:r>
          </w:p>
        </w:tc>
        <w:tc>
          <w:tcPr>
            <w:tcW w:w="1377" w:type="dxa"/>
            <w:tcBorders>
              <w:top w:val="single" w:sz="8" w:space="0" w:color="CDDC29" w:themeColor="text2"/>
              <w:left w:val="nil"/>
              <w:bottom w:val="single" w:sz="8" w:space="0" w:color="CDDC29" w:themeColor="text2"/>
              <w:right w:val="nil"/>
            </w:tcBorders>
            <w:vAlign w:val="center"/>
          </w:tcPr>
          <w:p w14:paraId="76F86E91" w14:textId="0897B08A" w:rsidR="0088086F" w:rsidRDefault="0088086F" w:rsidP="0088086F">
            <w:pPr>
              <w:pStyle w:val="BodyText"/>
              <w:jc w:val="center"/>
            </w:pPr>
            <w:r>
              <w:t>Possible</w:t>
            </w:r>
          </w:p>
        </w:tc>
        <w:tc>
          <w:tcPr>
            <w:tcW w:w="1377" w:type="dxa"/>
            <w:tcBorders>
              <w:top w:val="single" w:sz="8" w:space="0" w:color="CDDC29" w:themeColor="text2"/>
              <w:left w:val="nil"/>
              <w:bottom w:val="single" w:sz="8" w:space="0" w:color="CDDC29" w:themeColor="text2"/>
              <w:right w:val="nil"/>
            </w:tcBorders>
            <w:vAlign w:val="center"/>
            <w:hideMark/>
          </w:tcPr>
          <w:p w14:paraId="6164673B" w14:textId="66236577" w:rsidR="0088086F" w:rsidRDefault="0088086F" w:rsidP="0088086F">
            <w:pPr>
              <w:pStyle w:val="BodyText"/>
              <w:jc w:val="center"/>
            </w:pPr>
            <w:r>
              <w:t>Likely</w:t>
            </w:r>
          </w:p>
        </w:tc>
        <w:tc>
          <w:tcPr>
            <w:tcW w:w="1377" w:type="dxa"/>
            <w:tcBorders>
              <w:top w:val="single" w:sz="8" w:space="0" w:color="CDDC29" w:themeColor="text2"/>
              <w:left w:val="nil"/>
              <w:bottom w:val="single" w:sz="8" w:space="0" w:color="CDDC29" w:themeColor="text2"/>
              <w:right w:val="nil"/>
            </w:tcBorders>
            <w:vAlign w:val="center"/>
            <w:hideMark/>
          </w:tcPr>
          <w:p w14:paraId="63D93A8B" w14:textId="77777777" w:rsidR="0088086F" w:rsidRDefault="0088086F" w:rsidP="0088086F">
            <w:pPr>
              <w:pStyle w:val="BodyText"/>
              <w:jc w:val="center"/>
            </w:pPr>
            <w:r>
              <w:t>Almost Certain</w:t>
            </w:r>
          </w:p>
        </w:tc>
      </w:tr>
      <w:tr w:rsidR="0088086F" w14:paraId="632DA933" w14:textId="77777777" w:rsidTr="0088086F">
        <w:tc>
          <w:tcPr>
            <w:tcW w:w="1377" w:type="dxa"/>
            <w:tcBorders>
              <w:top w:val="single" w:sz="8" w:space="0" w:color="CDDC29" w:themeColor="text2"/>
              <w:left w:val="nil"/>
              <w:bottom w:val="single" w:sz="8" w:space="0" w:color="CDDC29" w:themeColor="text2"/>
              <w:right w:val="nil"/>
            </w:tcBorders>
            <w:vAlign w:val="center"/>
            <w:hideMark/>
          </w:tcPr>
          <w:p w14:paraId="028489AB" w14:textId="77777777" w:rsidR="0088086F" w:rsidRDefault="0088086F" w:rsidP="0088086F">
            <w:pPr>
              <w:pStyle w:val="BodyText"/>
              <w:jc w:val="center"/>
            </w:pPr>
            <w:r>
              <w:t>Overall risk rating</w:t>
            </w:r>
          </w:p>
        </w:tc>
        <w:tc>
          <w:tcPr>
            <w:tcW w:w="1377" w:type="dxa"/>
            <w:tcBorders>
              <w:top w:val="single" w:sz="8" w:space="0" w:color="CDDC29" w:themeColor="text2"/>
              <w:left w:val="nil"/>
              <w:bottom w:val="single" w:sz="8" w:space="0" w:color="CDDC29" w:themeColor="text2"/>
              <w:right w:val="nil"/>
            </w:tcBorders>
            <w:shd w:val="clear" w:color="auto" w:fill="FF0000"/>
            <w:vAlign w:val="center"/>
            <w:hideMark/>
          </w:tcPr>
          <w:p w14:paraId="7D143703" w14:textId="77777777" w:rsidR="0088086F" w:rsidRDefault="0088086F" w:rsidP="0088086F">
            <w:pPr>
              <w:pStyle w:val="BodyText"/>
              <w:jc w:val="center"/>
            </w:pPr>
            <w:r>
              <w:t>High</w:t>
            </w:r>
          </w:p>
        </w:tc>
        <w:tc>
          <w:tcPr>
            <w:tcW w:w="1377" w:type="dxa"/>
            <w:tcBorders>
              <w:top w:val="single" w:sz="8" w:space="0" w:color="CDDC29" w:themeColor="text2"/>
              <w:left w:val="nil"/>
              <w:bottom w:val="single" w:sz="8" w:space="0" w:color="CDDC29" w:themeColor="text2"/>
              <w:right w:val="nil"/>
            </w:tcBorders>
            <w:shd w:val="clear" w:color="auto" w:fill="FFC000"/>
            <w:vAlign w:val="center"/>
            <w:hideMark/>
          </w:tcPr>
          <w:p w14:paraId="0B8F61C8" w14:textId="77777777" w:rsidR="0088086F" w:rsidRDefault="0088086F" w:rsidP="0088086F">
            <w:pPr>
              <w:pStyle w:val="BodyText"/>
              <w:jc w:val="center"/>
            </w:pPr>
            <w:r>
              <w:t>Significant</w:t>
            </w:r>
          </w:p>
        </w:tc>
        <w:tc>
          <w:tcPr>
            <w:tcW w:w="1377" w:type="dxa"/>
            <w:tcBorders>
              <w:top w:val="single" w:sz="8" w:space="0" w:color="CDDC29" w:themeColor="text2"/>
              <w:left w:val="nil"/>
              <w:bottom w:val="single" w:sz="8" w:space="0" w:color="CDDC29" w:themeColor="text2"/>
              <w:right w:val="nil"/>
            </w:tcBorders>
            <w:shd w:val="clear" w:color="auto" w:fill="FFC000"/>
            <w:vAlign w:val="center"/>
          </w:tcPr>
          <w:p w14:paraId="6D1FBA8F" w14:textId="3E5C44B9" w:rsidR="0088086F" w:rsidRDefault="0088086F" w:rsidP="0088086F">
            <w:pPr>
              <w:pStyle w:val="BodyText"/>
              <w:jc w:val="center"/>
            </w:pPr>
            <w:r>
              <w:t>Significant</w:t>
            </w:r>
          </w:p>
        </w:tc>
        <w:tc>
          <w:tcPr>
            <w:tcW w:w="1377" w:type="dxa"/>
            <w:tcBorders>
              <w:top w:val="single" w:sz="8" w:space="0" w:color="CDDC29" w:themeColor="text2"/>
              <w:left w:val="nil"/>
              <w:bottom w:val="single" w:sz="8" w:space="0" w:color="CDDC29" w:themeColor="text2"/>
              <w:right w:val="nil"/>
            </w:tcBorders>
            <w:shd w:val="clear" w:color="auto" w:fill="FFFF00"/>
            <w:vAlign w:val="center"/>
          </w:tcPr>
          <w:p w14:paraId="0BC7C154" w14:textId="74C53596" w:rsidR="0088086F" w:rsidRDefault="0088086F" w:rsidP="0088086F">
            <w:pPr>
              <w:pStyle w:val="BodyText"/>
              <w:jc w:val="center"/>
            </w:pPr>
            <w:r>
              <w:t>Medium</w:t>
            </w:r>
          </w:p>
        </w:tc>
        <w:tc>
          <w:tcPr>
            <w:tcW w:w="1377" w:type="dxa"/>
            <w:tcBorders>
              <w:top w:val="single" w:sz="8" w:space="0" w:color="CDDC29" w:themeColor="text2"/>
              <w:left w:val="nil"/>
              <w:bottom w:val="single" w:sz="8" w:space="0" w:color="CDDC29" w:themeColor="text2"/>
              <w:right w:val="nil"/>
            </w:tcBorders>
            <w:shd w:val="clear" w:color="auto" w:fill="FF0000"/>
            <w:vAlign w:val="center"/>
            <w:hideMark/>
          </w:tcPr>
          <w:p w14:paraId="16A6FA85" w14:textId="3042BFE0" w:rsidR="0088086F" w:rsidRDefault="0088086F" w:rsidP="0088086F">
            <w:pPr>
              <w:pStyle w:val="BodyText"/>
              <w:jc w:val="center"/>
            </w:pPr>
            <w:r>
              <w:t>High</w:t>
            </w:r>
          </w:p>
        </w:tc>
        <w:tc>
          <w:tcPr>
            <w:tcW w:w="1377" w:type="dxa"/>
            <w:tcBorders>
              <w:top w:val="single" w:sz="8" w:space="0" w:color="CDDC29" w:themeColor="text2"/>
              <w:left w:val="nil"/>
              <w:bottom w:val="single" w:sz="8" w:space="0" w:color="CDDC29" w:themeColor="text2"/>
              <w:right w:val="nil"/>
            </w:tcBorders>
            <w:shd w:val="clear" w:color="auto" w:fill="FF0000"/>
            <w:vAlign w:val="center"/>
            <w:hideMark/>
          </w:tcPr>
          <w:p w14:paraId="1EE57106" w14:textId="77777777" w:rsidR="0088086F" w:rsidRDefault="0088086F" w:rsidP="0088086F">
            <w:pPr>
              <w:pStyle w:val="BodyText"/>
              <w:jc w:val="center"/>
            </w:pPr>
            <w:r>
              <w:t>High</w:t>
            </w:r>
          </w:p>
        </w:tc>
      </w:tr>
    </w:tbl>
    <w:p w14:paraId="69C1084E" w14:textId="7C48C3AC"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126</w:t>
      </w:r>
      <w:r w:rsidR="000B6788" w:rsidRPr="00291BDC">
        <w:rPr>
          <w:bCs/>
          <w:noProof/>
        </w:rPr>
        <w:fldChar w:fldCharType="end"/>
      </w:r>
      <w:r w:rsidRPr="00FF310C">
        <w:t>. Lacey River Buttercup risk ratings in the West RFA region:</w:t>
      </w:r>
    </w:p>
    <w:tbl>
      <w:tblPr>
        <w:tblStyle w:val="TableGrid"/>
        <w:tblW w:w="9639" w:type="dxa"/>
        <w:tblLayout w:type="fixed"/>
        <w:tblLook w:val="04A0" w:firstRow="1" w:lastRow="0" w:firstColumn="1" w:lastColumn="0" w:noHBand="0" w:noVBand="1"/>
      </w:tblPr>
      <w:tblGrid>
        <w:gridCol w:w="1377"/>
        <w:gridCol w:w="1377"/>
        <w:gridCol w:w="1377"/>
        <w:gridCol w:w="1377"/>
        <w:gridCol w:w="1377"/>
        <w:gridCol w:w="1377"/>
        <w:gridCol w:w="1377"/>
      </w:tblGrid>
      <w:tr w:rsidR="0088086F" w14:paraId="08C59CE0"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77" w:type="dxa"/>
            <w:tcBorders>
              <w:top w:val="single" w:sz="8" w:space="0" w:color="CDDC29" w:themeColor="text2"/>
              <w:left w:val="nil"/>
              <w:bottom w:val="single" w:sz="8" w:space="0" w:color="CDDC29" w:themeColor="text2"/>
              <w:right w:val="nil"/>
            </w:tcBorders>
            <w:vAlign w:val="center"/>
          </w:tcPr>
          <w:p w14:paraId="2D687F10" w14:textId="77777777" w:rsidR="0088086F" w:rsidRDefault="0088086F" w:rsidP="006670D2">
            <w:pPr>
              <w:pStyle w:val="CaptionImageorFigure"/>
            </w:pPr>
          </w:p>
        </w:tc>
        <w:tc>
          <w:tcPr>
            <w:tcW w:w="1377" w:type="dxa"/>
            <w:tcBorders>
              <w:top w:val="single" w:sz="8" w:space="0" w:color="CDDC29" w:themeColor="text2"/>
              <w:left w:val="nil"/>
              <w:bottom w:val="single" w:sz="8" w:space="0" w:color="CDDC29" w:themeColor="text2"/>
              <w:right w:val="nil"/>
            </w:tcBorders>
            <w:vAlign w:val="center"/>
            <w:hideMark/>
          </w:tcPr>
          <w:p w14:paraId="40C7815B" w14:textId="77777777" w:rsidR="0088086F" w:rsidRDefault="0088086F"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Altered rainfall patterns</w:t>
            </w:r>
          </w:p>
        </w:tc>
        <w:tc>
          <w:tcPr>
            <w:tcW w:w="1377" w:type="dxa"/>
            <w:tcBorders>
              <w:top w:val="single" w:sz="8" w:space="0" w:color="CDDC29" w:themeColor="text2"/>
              <w:left w:val="nil"/>
              <w:bottom w:val="single" w:sz="8" w:space="0" w:color="CDDC29" w:themeColor="text2"/>
              <w:right w:val="nil"/>
            </w:tcBorders>
            <w:vAlign w:val="center"/>
            <w:hideMark/>
          </w:tcPr>
          <w:p w14:paraId="40BA53E7" w14:textId="77777777" w:rsidR="0088086F" w:rsidRDefault="0088086F"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c>
          <w:tcPr>
            <w:tcW w:w="1377" w:type="dxa"/>
            <w:tcBorders>
              <w:top w:val="single" w:sz="8" w:space="0" w:color="CDDC29" w:themeColor="text2"/>
              <w:left w:val="nil"/>
              <w:bottom w:val="single" w:sz="8" w:space="0" w:color="CDDC29" w:themeColor="text2"/>
              <w:right w:val="nil"/>
            </w:tcBorders>
            <w:vAlign w:val="center"/>
          </w:tcPr>
          <w:p w14:paraId="1EA9B11E" w14:textId="17031281" w:rsidR="0088086F" w:rsidRDefault="0088086F"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Loss of instream habitat</w:t>
            </w:r>
          </w:p>
        </w:tc>
        <w:tc>
          <w:tcPr>
            <w:tcW w:w="1377" w:type="dxa"/>
            <w:tcBorders>
              <w:top w:val="single" w:sz="8" w:space="0" w:color="CDDC29" w:themeColor="text2"/>
              <w:left w:val="nil"/>
              <w:bottom w:val="single" w:sz="8" w:space="0" w:color="CDDC29" w:themeColor="text2"/>
              <w:right w:val="nil"/>
            </w:tcBorders>
            <w:vAlign w:val="center"/>
          </w:tcPr>
          <w:p w14:paraId="12FE0AE8" w14:textId="6BE99DE0" w:rsidR="0088086F" w:rsidRDefault="0088086F"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Reduced flooding and flow volumes</w:t>
            </w:r>
          </w:p>
        </w:tc>
        <w:tc>
          <w:tcPr>
            <w:tcW w:w="1377" w:type="dxa"/>
            <w:tcBorders>
              <w:top w:val="single" w:sz="8" w:space="0" w:color="CDDC29" w:themeColor="text2"/>
              <w:left w:val="nil"/>
              <w:bottom w:val="single" w:sz="8" w:space="0" w:color="CDDC29" w:themeColor="text2"/>
              <w:right w:val="nil"/>
            </w:tcBorders>
            <w:vAlign w:val="center"/>
            <w:hideMark/>
          </w:tcPr>
          <w:p w14:paraId="4731A893" w14:textId="3536D109" w:rsidR="0088086F" w:rsidRDefault="0088086F"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(pigs)</w:t>
            </w:r>
          </w:p>
        </w:tc>
        <w:tc>
          <w:tcPr>
            <w:tcW w:w="1377" w:type="dxa"/>
            <w:tcBorders>
              <w:top w:val="single" w:sz="8" w:space="0" w:color="CDDC29" w:themeColor="text2"/>
              <w:left w:val="nil"/>
              <w:bottom w:val="single" w:sz="8" w:space="0" w:color="CDDC29" w:themeColor="text2"/>
              <w:right w:val="nil"/>
            </w:tcBorders>
            <w:vAlign w:val="center"/>
            <w:hideMark/>
          </w:tcPr>
          <w:p w14:paraId="571CD935" w14:textId="77777777" w:rsidR="0088086F" w:rsidRDefault="0088086F"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plant (weeds)</w:t>
            </w:r>
          </w:p>
        </w:tc>
      </w:tr>
      <w:tr w:rsidR="0088086F" w14:paraId="186C841B" w14:textId="77777777" w:rsidTr="00296E0F">
        <w:tc>
          <w:tcPr>
            <w:tcW w:w="1377" w:type="dxa"/>
            <w:tcBorders>
              <w:top w:val="single" w:sz="8" w:space="0" w:color="CDDC29" w:themeColor="text2"/>
              <w:left w:val="nil"/>
              <w:bottom w:val="single" w:sz="8" w:space="0" w:color="CDDC29" w:themeColor="text2"/>
              <w:right w:val="nil"/>
            </w:tcBorders>
            <w:vAlign w:val="center"/>
            <w:hideMark/>
          </w:tcPr>
          <w:p w14:paraId="201FEFF4" w14:textId="77777777" w:rsidR="0088086F" w:rsidRDefault="0088086F" w:rsidP="0088086F">
            <w:pPr>
              <w:pStyle w:val="BodyText"/>
              <w:jc w:val="center"/>
            </w:pPr>
            <w:r>
              <w:t>Consequence</w:t>
            </w:r>
          </w:p>
        </w:tc>
        <w:tc>
          <w:tcPr>
            <w:tcW w:w="1377" w:type="dxa"/>
            <w:tcBorders>
              <w:top w:val="single" w:sz="8" w:space="0" w:color="CDDC29" w:themeColor="text2"/>
              <w:left w:val="nil"/>
              <w:bottom w:val="single" w:sz="8" w:space="0" w:color="CDDC29" w:themeColor="text2"/>
              <w:right w:val="nil"/>
            </w:tcBorders>
            <w:vAlign w:val="center"/>
            <w:hideMark/>
          </w:tcPr>
          <w:p w14:paraId="7F117D6C" w14:textId="77777777" w:rsidR="0088086F" w:rsidRDefault="0088086F" w:rsidP="0088086F">
            <w:pPr>
              <w:pStyle w:val="BodyText"/>
              <w:jc w:val="center"/>
            </w:pPr>
            <w:r>
              <w:t>Major</w:t>
            </w:r>
          </w:p>
        </w:tc>
        <w:tc>
          <w:tcPr>
            <w:tcW w:w="1377" w:type="dxa"/>
            <w:tcBorders>
              <w:top w:val="single" w:sz="8" w:space="0" w:color="CDDC29" w:themeColor="text2"/>
              <w:left w:val="nil"/>
              <w:bottom w:val="single" w:sz="8" w:space="0" w:color="CDDC29" w:themeColor="text2"/>
              <w:right w:val="nil"/>
            </w:tcBorders>
            <w:vAlign w:val="center"/>
            <w:hideMark/>
          </w:tcPr>
          <w:p w14:paraId="5D058E3F" w14:textId="77777777" w:rsidR="0088086F" w:rsidRDefault="0088086F" w:rsidP="0088086F">
            <w:pPr>
              <w:pStyle w:val="BodyText"/>
              <w:jc w:val="center"/>
            </w:pPr>
            <w:r>
              <w:t>Moderate</w:t>
            </w:r>
          </w:p>
        </w:tc>
        <w:tc>
          <w:tcPr>
            <w:tcW w:w="1377" w:type="dxa"/>
            <w:tcBorders>
              <w:top w:val="single" w:sz="8" w:space="0" w:color="CDDC29" w:themeColor="text2"/>
              <w:left w:val="nil"/>
              <w:bottom w:val="single" w:sz="8" w:space="0" w:color="CDDC29" w:themeColor="text2"/>
              <w:right w:val="nil"/>
            </w:tcBorders>
            <w:vAlign w:val="center"/>
          </w:tcPr>
          <w:p w14:paraId="3260B6F5" w14:textId="7C5A915C" w:rsidR="0088086F" w:rsidRDefault="0088086F" w:rsidP="0088086F">
            <w:pPr>
              <w:pStyle w:val="BodyText"/>
              <w:jc w:val="center"/>
            </w:pPr>
            <w:r>
              <w:t>Major</w:t>
            </w:r>
          </w:p>
        </w:tc>
        <w:tc>
          <w:tcPr>
            <w:tcW w:w="1377" w:type="dxa"/>
            <w:tcBorders>
              <w:top w:val="single" w:sz="8" w:space="0" w:color="CDDC29" w:themeColor="text2"/>
              <w:left w:val="nil"/>
              <w:bottom w:val="single" w:sz="8" w:space="0" w:color="CDDC29" w:themeColor="text2"/>
              <w:right w:val="nil"/>
            </w:tcBorders>
            <w:vAlign w:val="center"/>
          </w:tcPr>
          <w:p w14:paraId="3E69B435" w14:textId="39876158" w:rsidR="0088086F" w:rsidRDefault="0088086F" w:rsidP="0088086F">
            <w:pPr>
              <w:pStyle w:val="BodyText"/>
              <w:jc w:val="center"/>
            </w:pPr>
            <w:r>
              <w:t>Moderate</w:t>
            </w:r>
          </w:p>
        </w:tc>
        <w:tc>
          <w:tcPr>
            <w:tcW w:w="1377" w:type="dxa"/>
            <w:tcBorders>
              <w:top w:val="single" w:sz="8" w:space="0" w:color="CDDC29" w:themeColor="text2"/>
              <w:left w:val="nil"/>
              <w:bottom w:val="single" w:sz="8" w:space="0" w:color="CDDC29" w:themeColor="text2"/>
              <w:right w:val="nil"/>
            </w:tcBorders>
            <w:vAlign w:val="center"/>
            <w:hideMark/>
          </w:tcPr>
          <w:p w14:paraId="392EE406" w14:textId="5FF112C3" w:rsidR="0088086F" w:rsidRDefault="0088086F" w:rsidP="0088086F">
            <w:pPr>
              <w:pStyle w:val="BodyText"/>
              <w:jc w:val="center"/>
            </w:pPr>
            <w:r>
              <w:t>Major</w:t>
            </w:r>
          </w:p>
        </w:tc>
        <w:tc>
          <w:tcPr>
            <w:tcW w:w="1377" w:type="dxa"/>
            <w:tcBorders>
              <w:top w:val="single" w:sz="8" w:space="0" w:color="CDDC29" w:themeColor="text2"/>
              <w:left w:val="nil"/>
              <w:bottom w:val="single" w:sz="8" w:space="0" w:color="CDDC29" w:themeColor="text2"/>
              <w:right w:val="nil"/>
            </w:tcBorders>
            <w:vAlign w:val="center"/>
            <w:hideMark/>
          </w:tcPr>
          <w:p w14:paraId="56EE8B8D" w14:textId="77777777" w:rsidR="0088086F" w:rsidRDefault="0088086F" w:rsidP="0088086F">
            <w:pPr>
              <w:pStyle w:val="BodyText"/>
              <w:jc w:val="center"/>
            </w:pPr>
            <w:r>
              <w:t>Moderate</w:t>
            </w:r>
          </w:p>
        </w:tc>
      </w:tr>
      <w:tr w:rsidR="0088086F" w14:paraId="71715165" w14:textId="77777777" w:rsidTr="00296E0F">
        <w:tc>
          <w:tcPr>
            <w:tcW w:w="1377" w:type="dxa"/>
            <w:tcBorders>
              <w:top w:val="single" w:sz="8" w:space="0" w:color="CDDC29" w:themeColor="text2"/>
              <w:left w:val="nil"/>
              <w:bottom w:val="single" w:sz="8" w:space="0" w:color="CDDC29" w:themeColor="text2"/>
              <w:right w:val="nil"/>
            </w:tcBorders>
            <w:vAlign w:val="center"/>
            <w:hideMark/>
          </w:tcPr>
          <w:p w14:paraId="1614B828" w14:textId="77777777" w:rsidR="0088086F" w:rsidRDefault="0088086F" w:rsidP="0088086F">
            <w:pPr>
              <w:pStyle w:val="BodyText"/>
              <w:jc w:val="center"/>
            </w:pPr>
            <w:r>
              <w:t>Likelihood</w:t>
            </w:r>
          </w:p>
        </w:tc>
        <w:tc>
          <w:tcPr>
            <w:tcW w:w="1377" w:type="dxa"/>
            <w:tcBorders>
              <w:top w:val="single" w:sz="8" w:space="0" w:color="CDDC29" w:themeColor="text2"/>
              <w:left w:val="nil"/>
              <w:bottom w:val="single" w:sz="8" w:space="0" w:color="CDDC29" w:themeColor="text2"/>
              <w:right w:val="nil"/>
            </w:tcBorders>
            <w:vAlign w:val="center"/>
            <w:hideMark/>
          </w:tcPr>
          <w:p w14:paraId="78312134" w14:textId="77777777" w:rsidR="0088086F" w:rsidRDefault="0088086F" w:rsidP="0088086F">
            <w:pPr>
              <w:pStyle w:val="BodyText"/>
              <w:jc w:val="center"/>
            </w:pPr>
            <w:r>
              <w:t>Likely</w:t>
            </w:r>
          </w:p>
        </w:tc>
        <w:tc>
          <w:tcPr>
            <w:tcW w:w="1377" w:type="dxa"/>
            <w:tcBorders>
              <w:top w:val="single" w:sz="8" w:space="0" w:color="CDDC29" w:themeColor="text2"/>
              <w:left w:val="nil"/>
              <w:bottom w:val="single" w:sz="8" w:space="0" w:color="CDDC29" w:themeColor="text2"/>
              <w:right w:val="nil"/>
            </w:tcBorders>
            <w:vAlign w:val="center"/>
            <w:hideMark/>
          </w:tcPr>
          <w:p w14:paraId="0FD3BB49" w14:textId="77777777" w:rsidR="0088086F" w:rsidRDefault="0088086F" w:rsidP="0088086F">
            <w:pPr>
              <w:pStyle w:val="BodyText"/>
              <w:jc w:val="center"/>
            </w:pPr>
            <w:r>
              <w:t>Likely</w:t>
            </w:r>
          </w:p>
        </w:tc>
        <w:tc>
          <w:tcPr>
            <w:tcW w:w="1377" w:type="dxa"/>
            <w:tcBorders>
              <w:top w:val="single" w:sz="8" w:space="0" w:color="CDDC29" w:themeColor="text2"/>
              <w:left w:val="nil"/>
              <w:bottom w:val="single" w:sz="8" w:space="0" w:color="CDDC29" w:themeColor="text2"/>
              <w:right w:val="nil"/>
            </w:tcBorders>
            <w:vAlign w:val="center"/>
          </w:tcPr>
          <w:p w14:paraId="6ED4FEE7" w14:textId="19AE4E9A" w:rsidR="0088086F" w:rsidRDefault="0088086F" w:rsidP="0088086F">
            <w:pPr>
              <w:pStyle w:val="BodyText"/>
              <w:jc w:val="center"/>
            </w:pPr>
            <w:r>
              <w:t>Likely</w:t>
            </w:r>
          </w:p>
        </w:tc>
        <w:tc>
          <w:tcPr>
            <w:tcW w:w="1377" w:type="dxa"/>
            <w:tcBorders>
              <w:top w:val="single" w:sz="8" w:space="0" w:color="CDDC29" w:themeColor="text2"/>
              <w:left w:val="nil"/>
              <w:bottom w:val="single" w:sz="8" w:space="0" w:color="CDDC29" w:themeColor="text2"/>
              <w:right w:val="nil"/>
            </w:tcBorders>
            <w:vAlign w:val="center"/>
          </w:tcPr>
          <w:p w14:paraId="70A2447C" w14:textId="4F0A376C" w:rsidR="0088086F" w:rsidRDefault="0088086F" w:rsidP="0088086F">
            <w:pPr>
              <w:pStyle w:val="BodyText"/>
              <w:jc w:val="center"/>
            </w:pPr>
            <w:r>
              <w:t>Possible</w:t>
            </w:r>
          </w:p>
        </w:tc>
        <w:tc>
          <w:tcPr>
            <w:tcW w:w="1377" w:type="dxa"/>
            <w:tcBorders>
              <w:top w:val="single" w:sz="8" w:space="0" w:color="CDDC29" w:themeColor="text2"/>
              <w:left w:val="nil"/>
              <w:bottom w:val="single" w:sz="8" w:space="0" w:color="CDDC29" w:themeColor="text2"/>
              <w:right w:val="nil"/>
            </w:tcBorders>
            <w:vAlign w:val="center"/>
            <w:hideMark/>
          </w:tcPr>
          <w:p w14:paraId="48C48881" w14:textId="67A99ABD" w:rsidR="0088086F" w:rsidRDefault="0088086F" w:rsidP="0088086F">
            <w:pPr>
              <w:pStyle w:val="BodyText"/>
              <w:jc w:val="center"/>
            </w:pPr>
            <w:r>
              <w:t>Likely</w:t>
            </w:r>
          </w:p>
        </w:tc>
        <w:tc>
          <w:tcPr>
            <w:tcW w:w="1377" w:type="dxa"/>
            <w:tcBorders>
              <w:top w:val="single" w:sz="8" w:space="0" w:color="CDDC29" w:themeColor="text2"/>
              <w:left w:val="nil"/>
              <w:bottom w:val="single" w:sz="8" w:space="0" w:color="CDDC29" w:themeColor="text2"/>
              <w:right w:val="nil"/>
            </w:tcBorders>
            <w:vAlign w:val="center"/>
            <w:hideMark/>
          </w:tcPr>
          <w:p w14:paraId="36B5A46A" w14:textId="77777777" w:rsidR="0088086F" w:rsidRDefault="0088086F" w:rsidP="0088086F">
            <w:pPr>
              <w:pStyle w:val="BodyText"/>
              <w:jc w:val="center"/>
            </w:pPr>
            <w:r>
              <w:t>Almost Certain</w:t>
            </w:r>
          </w:p>
        </w:tc>
      </w:tr>
      <w:tr w:rsidR="0088086F" w14:paraId="6D1EF590" w14:textId="77777777" w:rsidTr="0088086F">
        <w:tc>
          <w:tcPr>
            <w:tcW w:w="1377" w:type="dxa"/>
            <w:tcBorders>
              <w:top w:val="single" w:sz="8" w:space="0" w:color="CDDC29" w:themeColor="text2"/>
              <w:left w:val="nil"/>
              <w:bottom w:val="single" w:sz="8" w:space="0" w:color="CDDC29" w:themeColor="text2"/>
              <w:right w:val="nil"/>
            </w:tcBorders>
            <w:vAlign w:val="center"/>
            <w:hideMark/>
          </w:tcPr>
          <w:p w14:paraId="234C7632" w14:textId="77777777" w:rsidR="0088086F" w:rsidRDefault="0088086F" w:rsidP="0088086F">
            <w:pPr>
              <w:pStyle w:val="BodyText"/>
              <w:jc w:val="center"/>
            </w:pPr>
            <w:r>
              <w:t>Overall risk rating</w:t>
            </w:r>
          </w:p>
        </w:tc>
        <w:tc>
          <w:tcPr>
            <w:tcW w:w="1377" w:type="dxa"/>
            <w:tcBorders>
              <w:top w:val="single" w:sz="8" w:space="0" w:color="CDDC29" w:themeColor="text2"/>
              <w:left w:val="nil"/>
              <w:bottom w:val="single" w:sz="8" w:space="0" w:color="CDDC29" w:themeColor="text2"/>
              <w:right w:val="nil"/>
            </w:tcBorders>
            <w:shd w:val="clear" w:color="auto" w:fill="FF0000"/>
            <w:vAlign w:val="center"/>
            <w:hideMark/>
          </w:tcPr>
          <w:p w14:paraId="41967D86" w14:textId="77777777" w:rsidR="0088086F" w:rsidRDefault="0088086F" w:rsidP="0088086F">
            <w:pPr>
              <w:pStyle w:val="BodyText"/>
              <w:jc w:val="center"/>
            </w:pPr>
            <w:r>
              <w:t>High</w:t>
            </w:r>
          </w:p>
        </w:tc>
        <w:tc>
          <w:tcPr>
            <w:tcW w:w="1377" w:type="dxa"/>
            <w:tcBorders>
              <w:top w:val="single" w:sz="8" w:space="0" w:color="CDDC29" w:themeColor="text2"/>
              <w:left w:val="nil"/>
              <w:bottom w:val="single" w:sz="8" w:space="0" w:color="CDDC29" w:themeColor="text2"/>
              <w:right w:val="nil"/>
            </w:tcBorders>
            <w:shd w:val="clear" w:color="auto" w:fill="FFC000"/>
            <w:vAlign w:val="center"/>
            <w:hideMark/>
          </w:tcPr>
          <w:p w14:paraId="455A5C17" w14:textId="77777777" w:rsidR="0088086F" w:rsidRDefault="0088086F" w:rsidP="0088086F">
            <w:pPr>
              <w:pStyle w:val="BodyText"/>
              <w:jc w:val="center"/>
            </w:pPr>
            <w:r>
              <w:t>Significant</w:t>
            </w:r>
          </w:p>
        </w:tc>
        <w:tc>
          <w:tcPr>
            <w:tcW w:w="1377" w:type="dxa"/>
            <w:tcBorders>
              <w:top w:val="single" w:sz="8" w:space="0" w:color="CDDC29" w:themeColor="text2"/>
              <w:left w:val="nil"/>
              <w:bottom w:val="single" w:sz="8" w:space="0" w:color="CDDC29" w:themeColor="text2"/>
              <w:right w:val="nil"/>
            </w:tcBorders>
            <w:shd w:val="clear" w:color="auto" w:fill="FF0000"/>
            <w:vAlign w:val="center"/>
          </w:tcPr>
          <w:p w14:paraId="42C072C7" w14:textId="55FCFD07" w:rsidR="0088086F" w:rsidRDefault="0088086F" w:rsidP="0088086F">
            <w:pPr>
              <w:pStyle w:val="BodyText"/>
              <w:jc w:val="center"/>
            </w:pPr>
            <w:r>
              <w:t>High</w:t>
            </w:r>
          </w:p>
        </w:tc>
        <w:tc>
          <w:tcPr>
            <w:tcW w:w="1377" w:type="dxa"/>
            <w:tcBorders>
              <w:top w:val="single" w:sz="8" w:space="0" w:color="CDDC29" w:themeColor="text2"/>
              <w:left w:val="nil"/>
              <w:bottom w:val="single" w:sz="8" w:space="0" w:color="CDDC29" w:themeColor="text2"/>
              <w:right w:val="nil"/>
            </w:tcBorders>
            <w:shd w:val="clear" w:color="auto" w:fill="FFFF00"/>
            <w:vAlign w:val="center"/>
          </w:tcPr>
          <w:p w14:paraId="6DC5A72B" w14:textId="6583EABB" w:rsidR="0088086F" w:rsidRDefault="0088086F" w:rsidP="0088086F">
            <w:pPr>
              <w:pStyle w:val="BodyText"/>
              <w:jc w:val="center"/>
            </w:pPr>
            <w:r>
              <w:t>Medium</w:t>
            </w:r>
          </w:p>
        </w:tc>
        <w:tc>
          <w:tcPr>
            <w:tcW w:w="1377" w:type="dxa"/>
            <w:tcBorders>
              <w:top w:val="single" w:sz="8" w:space="0" w:color="CDDC29" w:themeColor="text2"/>
              <w:left w:val="nil"/>
              <w:bottom w:val="single" w:sz="8" w:space="0" w:color="CDDC29" w:themeColor="text2"/>
              <w:right w:val="nil"/>
            </w:tcBorders>
            <w:shd w:val="clear" w:color="auto" w:fill="FF0000"/>
            <w:vAlign w:val="center"/>
            <w:hideMark/>
          </w:tcPr>
          <w:p w14:paraId="368BB31A" w14:textId="5CD18AC6" w:rsidR="0088086F" w:rsidRDefault="0088086F" w:rsidP="0088086F">
            <w:pPr>
              <w:pStyle w:val="BodyText"/>
              <w:jc w:val="center"/>
            </w:pPr>
            <w:r>
              <w:t>High</w:t>
            </w:r>
          </w:p>
        </w:tc>
        <w:tc>
          <w:tcPr>
            <w:tcW w:w="1377" w:type="dxa"/>
            <w:tcBorders>
              <w:top w:val="single" w:sz="8" w:space="0" w:color="CDDC29" w:themeColor="text2"/>
              <w:left w:val="nil"/>
              <w:bottom w:val="single" w:sz="8" w:space="0" w:color="CDDC29" w:themeColor="text2"/>
              <w:right w:val="nil"/>
            </w:tcBorders>
            <w:shd w:val="clear" w:color="auto" w:fill="FF0000"/>
            <w:vAlign w:val="center"/>
            <w:hideMark/>
          </w:tcPr>
          <w:p w14:paraId="2862B0A2" w14:textId="77777777" w:rsidR="0088086F" w:rsidRDefault="0088086F" w:rsidP="0088086F">
            <w:pPr>
              <w:pStyle w:val="BodyText"/>
              <w:jc w:val="center"/>
            </w:pPr>
            <w:r>
              <w:t>High</w:t>
            </w:r>
          </w:p>
        </w:tc>
      </w:tr>
    </w:tbl>
    <w:p w14:paraId="372D14EF" w14:textId="77777777" w:rsidR="00324D1B" w:rsidRDefault="00324D1B" w:rsidP="007E5EBF">
      <w:pPr>
        <w:pStyle w:val="Heading3"/>
        <w:jc w:val="both"/>
      </w:pPr>
      <w:r>
        <w:t xml:space="preserve">Climate change </w:t>
      </w:r>
    </w:p>
    <w:p w14:paraId="5788F4CE" w14:textId="77777777" w:rsidR="00324D1B" w:rsidRDefault="00324D1B" w:rsidP="00324D1B">
      <w:pPr>
        <w:pStyle w:val="Heading5"/>
        <w:numPr>
          <w:ilvl w:val="0"/>
          <w:numId w:val="0"/>
        </w:numPr>
        <w:tabs>
          <w:tab w:val="left" w:pos="720"/>
        </w:tabs>
        <w:ind w:left="1008" w:hanging="1008"/>
      </w:pPr>
      <w:r>
        <w:t>Altered rainfall patterns</w:t>
      </w:r>
    </w:p>
    <w:p w14:paraId="3C2476D3" w14:textId="4781C427" w:rsidR="00324D1B" w:rsidRDefault="00324D1B" w:rsidP="00324D1B">
      <w:pPr>
        <w:pStyle w:val="BodyText"/>
      </w:pPr>
      <w:r>
        <w:t xml:space="preserve">Potential climate change impacts to the </w:t>
      </w:r>
      <w:r w:rsidR="001D3902">
        <w:t>species</w:t>
      </w:r>
      <w:r>
        <w:t xml:space="preserve"> include reduced rainfall, increased evaporation</w:t>
      </w:r>
      <w:r w:rsidR="00EF09EC">
        <w:t>,</w:t>
      </w:r>
      <w:r w:rsidR="00C56C3E">
        <w:t xml:space="preserve"> </w:t>
      </w:r>
      <w:r>
        <w:t xml:space="preserve">and extreme temperatures, which can reduce the </w:t>
      </w:r>
      <w:r w:rsidR="001D3902">
        <w:t>species’</w:t>
      </w:r>
      <w:r>
        <w:t xml:space="preserve"> population sizes and increase habitat loss. Continuing drying of wetlands, either through climate-change effects or water table draw down from plantations, could concentrate the destructive activities of invasive species in remaining wetlands.</w:t>
      </w:r>
    </w:p>
    <w:p w14:paraId="5DEF5D62" w14:textId="641A4092" w:rsidR="00324D1B" w:rsidRDefault="00324D1B" w:rsidP="00324D1B">
      <w:pPr>
        <w:rPr>
          <w:sz w:val="18"/>
          <w:szCs w:val="18"/>
        </w:rPr>
      </w:pPr>
      <w:r>
        <w:rPr>
          <w:sz w:val="18"/>
          <w:szCs w:val="18"/>
        </w:rPr>
        <w:t xml:space="preserve">Current control measures for this hazard are not effective in managing the risk to this </w:t>
      </w:r>
      <w:r w:rsidR="001D3902">
        <w:rPr>
          <w:sz w:val="18"/>
          <w:szCs w:val="18"/>
        </w:rPr>
        <w:t>species</w:t>
      </w:r>
      <w:r>
        <w:rPr>
          <w:sz w:val="18"/>
          <w:szCs w:val="18"/>
        </w:rPr>
        <w:t xml:space="preserve"> at the scale relevant to its conservation.</w:t>
      </w:r>
    </w:p>
    <w:p w14:paraId="42DE658C" w14:textId="77777777" w:rsidR="00324D1B" w:rsidRDefault="00324D1B" w:rsidP="00324D1B">
      <w:pPr>
        <w:rPr>
          <w:b/>
          <w:bCs/>
          <w:sz w:val="18"/>
          <w:szCs w:val="18"/>
        </w:rPr>
      </w:pPr>
      <w:r>
        <w:rPr>
          <w:color w:val="auto"/>
          <w:sz w:val="18"/>
          <w:szCs w:val="18"/>
        </w:rPr>
        <w:br w:type="page"/>
      </w:r>
    </w:p>
    <w:p w14:paraId="68EA89BE" w14:textId="71113000"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127</w:t>
      </w:r>
      <w:r w:rsidR="000B6788" w:rsidRPr="00291BDC">
        <w:rPr>
          <w:bCs/>
          <w:noProof/>
        </w:rPr>
        <w:fldChar w:fldCharType="end"/>
      </w:r>
      <w:r w:rsidRPr="00FF310C">
        <w:t>. Lacey River Buttercup protection requirements and recommendations for altered rainfall patterns</w:t>
      </w:r>
    </w:p>
    <w:tbl>
      <w:tblPr>
        <w:tblStyle w:val="TableGrid"/>
        <w:tblW w:w="0" w:type="auto"/>
        <w:tblLook w:val="04A0" w:firstRow="1" w:lastRow="0" w:firstColumn="1" w:lastColumn="0" w:noHBand="0" w:noVBand="1"/>
      </w:tblPr>
      <w:tblGrid>
        <w:gridCol w:w="2268"/>
        <w:gridCol w:w="7371"/>
      </w:tblGrid>
      <w:tr w:rsidR="00324D1B" w14:paraId="63D79B0B"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08B32EB8"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5D140383"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07BB0F12" w14:textId="77777777" w:rsidTr="001A4A89">
        <w:tc>
          <w:tcPr>
            <w:tcW w:w="2268" w:type="dxa"/>
            <w:tcBorders>
              <w:top w:val="single" w:sz="8" w:space="0" w:color="CDDC29" w:themeColor="text2"/>
              <w:left w:val="nil"/>
              <w:bottom w:val="single" w:sz="8" w:space="0" w:color="CDDC29" w:themeColor="text2"/>
              <w:right w:val="nil"/>
            </w:tcBorders>
            <w:hideMark/>
          </w:tcPr>
          <w:p w14:paraId="6163E8C2" w14:textId="4D959E80" w:rsidR="00324D1B" w:rsidRDefault="00E10ABB" w:rsidP="001A4A89">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50E54CAB" w14:textId="77777777" w:rsidR="00324D1B" w:rsidRDefault="00324D1B" w:rsidP="001A4A89">
            <w:pPr>
              <w:pStyle w:val="BodyText"/>
            </w:pPr>
            <w:r>
              <w:t>Not required for this hazard as it is a longer-term threat.</w:t>
            </w:r>
          </w:p>
        </w:tc>
      </w:tr>
      <w:tr w:rsidR="00324D1B" w14:paraId="5696A20E" w14:textId="77777777" w:rsidTr="001A4A89">
        <w:tc>
          <w:tcPr>
            <w:tcW w:w="2268" w:type="dxa"/>
            <w:tcBorders>
              <w:top w:val="single" w:sz="8" w:space="0" w:color="CDDC29" w:themeColor="text2"/>
              <w:left w:val="nil"/>
              <w:bottom w:val="single" w:sz="8" w:space="0" w:color="CDDC29" w:themeColor="text2"/>
              <w:right w:val="nil"/>
            </w:tcBorders>
            <w:hideMark/>
          </w:tcPr>
          <w:p w14:paraId="1DD9D097" w14:textId="5595807E" w:rsidR="00324D1B" w:rsidRDefault="00E10ABB" w:rsidP="001A4A89">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4823E65B" w14:textId="77777777" w:rsidR="00324D1B" w:rsidRDefault="00324D1B" w:rsidP="006670D2">
            <w:pPr>
              <w:pStyle w:val="PullOutBoxBullet"/>
              <w:rPr>
                <w:rStyle w:val="BodyTextChar"/>
              </w:rPr>
            </w:pPr>
            <w:r>
              <w:t xml:space="preserve">Establish or maintain secure populations and ensure that hazards are suitably </w:t>
            </w:r>
            <w:r>
              <w:rPr>
                <w:rStyle w:val="BodyTextChar"/>
              </w:rPr>
              <w:t xml:space="preserve">controlled; </w:t>
            </w:r>
          </w:p>
          <w:p w14:paraId="2448FF10" w14:textId="636F35B1" w:rsidR="00324D1B" w:rsidRDefault="00324D1B" w:rsidP="006670D2">
            <w:pPr>
              <w:pStyle w:val="PullOutBoxBullet"/>
              <w:rPr>
                <w:rStyle w:val="BodyTextChar"/>
              </w:rPr>
            </w:pPr>
            <w:r>
              <w:rPr>
                <w:rStyle w:val="BodyTextChar"/>
              </w:rPr>
              <w:t xml:space="preserve">Ensure genetically diverse representative seed collections are held in the </w:t>
            </w:r>
            <w:r w:rsidR="000B671C">
              <w:rPr>
                <w:rStyle w:val="BodyTextChar"/>
              </w:rPr>
              <w:t>VCS</w:t>
            </w:r>
            <w:r>
              <w:rPr>
                <w:rStyle w:val="BodyTextChar"/>
              </w:rPr>
              <w:t xml:space="preserve">; </w:t>
            </w:r>
          </w:p>
          <w:p w14:paraId="1F6DBFAA" w14:textId="77777777" w:rsidR="00324D1B" w:rsidRDefault="00324D1B" w:rsidP="006670D2">
            <w:pPr>
              <w:pStyle w:val="PullOutBoxBullet"/>
              <w:rPr>
                <w:rStyle w:val="BodyTextChar"/>
              </w:rPr>
            </w:pPr>
            <w:r>
              <w:rPr>
                <w:rStyle w:val="BodyTextChar"/>
              </w:rPr>
              <w:t>Translocate plants to form populations in habitats that have a high likelihood of persistence in a projected future warmer, drier climate; and</w:t>
            </w:r>
          </w:p>
          <w:p w14:paraId="505E8EBC" w14:textId="096B8BBD" w:rsidR="00324D1B" w:rsidRDefault="00324D1B" w:rsidP="006670D2">
            <w:pPr>
              <w:pStyle w:val="PullOutBoxBullet"/>
              <w:rPr>
                <w:szCs w:val="20"/>
              </w:rPr>
            </w:pPr>
            <w:r>
              <w:rPr>
                <w:rStyle w:val="BodyTextChar"/>
              </w:rPr>
              <w:t>Prioritise environmental watering of systems where important populations are identified</w:t>
            </w:r>
            <w:r w:rsidR="00256A69">
              <w:rPr>
                <w:rStyle w:val="BodyTextChar"/>
              </w:rPr>
              <w:t>.</w:t>
            </w:r>
          </w:p>
        </w:tc>
      </w:tr>
    </w:tbl>
    <w:p w14:paraId="6BD3D22B" w14:textId="77777777" w:rsidR="00324D1B" w:rsidRDefault="00324D1B" w:rsidP="007E5EBF">
      <w:pPr>
        <w:pStyle w:val="Heading3"/>
        <w:jc w:val="both"/>
      </w:pPr>
      <w:r>
        <w:t>Forestry operations</w:t>
      </w:r>
    </w:p>
    <w:p w14:paraId="3832A8B8" w14:textId="77777777" w:rsidR="00324D1B" w:rsidRDefault="00324D1B" w:rsidP="00324D1B">
      <w:pPr>
        <w:pStyle w:val="Heading5"/>
        <w:numPr>
          <w:ilvl w:val="0"/>
          <w:numId w:val="0"/>
        </w:numPr>
        <w:tabs>
          <w:tab w:val="left" w:pos="720"/>
        </w:tabs>
        <w:ind w:left="1008" w:hanging="1008"/>
      </w:pPr>
      <w:r>
        <w:t>Plantations</w:t>
      </w:r>
    </w:p>
    <w:p w14:paraId="0A7F604E" w14:textId="5C8E6A02" w:rsidR="00324D1B" w:rsidRPr="007E31F4" w:rsidRDefault="00324D1B" w:rsidP="00324D1B">
      <w:pPr>
        <w:pStyle w:val="BodyText"/>
      </w:pPr>
      <w:r>
        <w:t xml:space="preserve">Plantations adjacent to populations of the </w:t>
      </w:r>
      <w:r w:rsidR="001D3902">
        <w:t>species</w:t>
      </w:r>
      <w:r>
        <w:t xml:space="preserve"> can deplete local ground water aquifers and reduce runoff, leading to drying of wetlands. During harvesting, there can be significance damage to small wetlands if they are not protected from machinery. This can also lead to runoff and erosion into wetlands, reducing water quality. </w:t>
      </w:r>
      <w:r w:rsidR="001953A7" w:rsidRPr="00915D82">
        <w:t>Plantations or regenerating native forests with relatively high growth rates can exacerbate drying of wetlands and other waterways through elevated transpiration rates and canopy interception of precipitation</w:t>
      </w:r>
      <w:r>
        <w:t xml:space="preserve">. Weeds more easily invade </w:t>
      </w:r>
      <w:r w:rsidRPr="007E31F4">
        <w:t>degraded habitats, and a reduction in wetland habitats can concentrate destructive activities of animals in remaining wetlands.</w:t>
      </w:r>
    </w:p>
    <w:p w14:paraId="539E526C" w14:textId="77777777" w:rsidR="00324D1B" w:rsidRPr="007E31F4" w:rsidRDefault="00324D1B" w:rsidP="00324D1B">
      <w:pPr>
        <w:pStyle w:val="BodyText"/>
      </w:pPr>
      <w:r w:rsidRPr="007E31F4">
        <w:t xml:space="preserve">This hazard applies to 32% of post-1970 VBA locations within buffered plantation areas in the West RFA region and 22% in the Gippsland RFA region. Other occurrences are mostly on private land or within the CAR reserve system so are not exposed to the hazard. </w:t>
      </w:r>
    </w:p>
    <w:p w14:paraId="7BCCDB03" w14:textId="77777777" w:rsidR="00324D1B" w:rsidRPr="007E31F4" w:rsidRDefault="00324D1B" w:rsidP="00324D1B">
      <w:pPr>
        <w:pStyle w:val="BodyText"/>
      </w:pPr>
      <w:r w:rsidRPr="007E31F4">
        <w:t>Current existing controls for this hazard include:</w:t>
      </w:r>
    </w:p>
    <w:p w14:paraId="7CFB03DD" w14:textId="0D1FD5FC" w:rsidR="00324D1B" w:rsidRPr="007E31F4" w:rsidRDefault="00324D1B" w:rsidP="006670D2">
      <w:pPr>
        <w:pStyle w:val="PullOutBoxBullet"/>
      </w:pPr>
      <w:r w:rsidRPr="007E31F4">
        <w:t xml:space="preserve">The </w:t>
      </w:r>
      <w:r w:rsidRPr="007E31F4">
        <w:rPr>
          <w:i/>
          <w:iCs/>
        </w:rPr>
        <w:t>Code of Practice for Timber Production 2014.</w:t>
      </w:r>
      <w:r w:rsidRPr="007E31F4">
        <w:t xml:space="preserve"> The effectiveness of this control for this species has been evaluated as poor as there </w:t>
      </w:r>
      <w:r w:rsidR="00690DDB">
        <w:t>is</w:t>
      </w:r>
      <w:r w:rsidRPr="007E31F4">
        <w:t xml:space="preserve"> no species-specific code prescription</w:t>
      </w:r>
      <w:r w:rsidR="00B61113">
        <w:t xml:space="preserve"> under the Code</w:t>
      </w:r>
      <w:r w:rsidRPr="007E31F4">
        <w:t>.</w:t>
      </w:r>
    </w:p>
    <w:p w14:paraId="44D02634" w14:textId="05CEFD43" w:rsidR="00324D1B" w:rsidRPr="007E31F4" w:rsidRDefault="00324D1B" w:rsidP="006670D2">
      <w:pPr>
        <w:pStyle w:val="PullOutBoxBullet"/>
        <w:rPr>
          <w:rFonts w:eastAsiaTheme="minorEastAsia" w:cstheme="minorBidi"/>
        </w:rPr>
      </w:pPr>
      <w:r w:rsidRPr="007E31F4">
        <w:t xml:space="preserve">The CAR reserve system. The effectiveness of this control for this species has been evaluated as poor as only 17% of the </w:t>
      </w:r>
      <w:r w:rsidR="001D3902">
        <w:t>species’</w:t>
      </w:r>
      <w:r w:rsidRPr="007E31F4">
        <w:t xml:space="preserve"> modelled distribution and 15% of important populations are within the reserve system</w:t>
      </w:r>
      <w:r w:rsidR="005E1477">
        <w:t>.</w:t>
      </w:r>
    </w:p>
    <w:p w14:paraId="0056688B" w14:textId="2465D177"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128</w:t>
      </w:r>
      <w:r w:rsidR="000B6788" w:rsidRPr="00291BDC">
        <w:rPr>
          <w:bCs/>
          <w:noProof/>
        </w:rPr>
        <w:fldChar w:fldCharType="end"/>
      </w:r>
      <w:r w:rsidRPr="00FF310C">
        <w:t>. Lacey River Buttercup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324D1B" w14:paraId="7516040A"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0DF55332"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17856F92"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0609C239" w14:textId="77777777" w:rsidTr="001A4A89">
        <w:tc>
          <w:tcPr>
            <w:tcW w:w="2268" w:type="dxa"/>
            <w:tcBorders>
              <w:top w:val="single" w:sz="8" w:space="0" w:color="CDDC29" w:themeColor="text2"/>
              <w:left w:val="nil"/>
              <w:bottom w:val="single" w:sz="8" w:space="0" w:color="CDDC29" w:themeColor="text2"/>
              <w:right w:val="nil"/>
            </w:tcBorders>
            <w:hideMark/>
          </w:tcPr>
          <w:p w14:paraId="68A5FB62" w14:textId="7D9DAEB8" w:rsidR="00324D1B" w:rsidRDefault="00324D1B" w:rsidP="001A4A89">
            <w:pPr>
              <w:pStyle w:val="BodyText"/>
            </w:pPr>
            <w:r>
              <w:t>Interim protections</w:t>
            </w:r>
            <w:r w:rsidR="00E10ABB">
              <w:t xml:space="preserve"> </w:t>
            </w:r>
          </w:p>
        </w:tc>
        <w:tc>
          <w:tcPr>
            <w:tcW w:w="7371" w:type="dxa"/>
            <w:tcBorders>
              <w:top w:val="single" w:sz="8" w:space="0" w:color="CDDC29" w:themeColor="text2"/>
              <w:left w:val="nil"/>
              <w:bottom w:val="single" w:sz="8" w:space="0" w:color="CDDC29" w:themeColor="text2"/>
              <w:right w:val="nil"/>
            </w:tcBorders>
            <w:hideMark/>
          </w:tcPr>
          <w:p w14:paraId="42A9C57A" w14:textId="77777777" w:rsidR="00324D1B" w:rsidRDefault="00324D1B" w:rsidP="001A4A89">
            <w:pPr>
              <w:pStyle w:val="BodyText"/>
            </w:pPr>
            <w:r>
              <w:t>Not required for this hazard as it is a longer-term threat.</w:t>
            </w:r>
          </w:p>
        </w:tc>
      </w:tr>
      <w:tr w:rsidR="00A96EAF" w14:paraId="4F8A54B2" w14:textId="77777777" w:rsidTr="001A4A89">
        <w:tc>
          <w:tcPr>
            <w:tcW w:w="2268" w:type="dxa"/>
            <w:tcBorders>
              <w:top w:val="single" w:sz="8" w:space="0" w:color="CDDC29" w:themeColor="text2"/>
              <w:left w:val="nil"/>
              <w:bottom w:val="single" w:sz="8" w:space="0" w:color="CDDC29" w:themeColor="text2"/>
              <w:right w:val="nil"/>
            </w:tcBorders>
          </w:tcPr>
          <w:p w14:paraId="5E494274" w14:textId="08E01AFE" w:rsidR="00A96EAF" w:rsidRDefault="00A96EAF" w:rsidP="001A4A89">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3B8745B7" w14:textId="2544CBBF" w:rsidR="00A96EAF" w:rsidRDefault="00A7159D" w:rsidP="006670D2">
            <w:pPr>
              <w:pStyle w:val="PullOutBoxBullet"/>
            </w:pPr>
            <w:r>
              <w:t>Work with plantation managers to identify important populations.</w:t>
            </w:r>
          </w:p>
        </w:tc>
      </w:tr>
      <w:tr w:rsidR="00324D1B" w14:paraId="360BBC28" w14:textId="77777777" w:rsidTr="001A4A89">
        <w:tc>
          <w:tcPr>
            <w:tcW w:w="2268" w:type="dxa"/>
            <w:tcBorders>
              <w:top w:val="single" w:sz="8" w:space="0" w:color="CDDC29" w:themeColor="text2"/>
              <w:left w:val="nil"/>
              <w:bottom w:val="single" w:sz="8" w:space="0" w:color="CDDC29" w:themeColor="text2"/>
              <w:right w:val="nil"/>
            </w:tcBorders>
            <w:hideMark/>
          </w:tcPr>
          <w:p w14:paraId="3F6CC392" w14:textId="77777777" w:rsidR="00324D1B" w:rsidRDefault="00324D1B" w:rsidP="001A4A89">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4A97A117" w14:textId="77777777" w:rsidR="00324D1B" w:rsidRDefault="00324D1B" w:rsidP="001A4A89">
            <w:pPr>
              <w:pStyle w:val="BodyText"/>
            </w:pPr>
            <w:r>
              <w:t>Additional permanent protections may be required in the longer-term.</w:t>
            </w:r>
          </w:p>
        </w:tc>
      </w:tr>
      <w:tr w:rsidR="00324D1B" w14:paraId="38C6E077" w14:textId="77777777" w:rsidTr="001A4A89">
        <w:tc>
          <w:tcPr>
            <w:tcW w:w="2268" w:type="dxa"/>
            <w:tcBorders>
              <w:top w:val="single" w:sz="8" w:space="0" w:color="CDDC29" w:themeColor="text2"/>
              <w:left w:val="nil"/>
              <w:bottom w:val="single" w:sz="8" w:space="0" w:color="CDDC29" w:themeColor="text2"/>
              <w:right w:val="nil"/>
            </w:tcBorders>
            <w:hideMark/>
          </w:tcPr>
          <w:p w14:paraId="7B3E2B56" w14:textId="5B491E73" w:rsidR="00324D1B" w:rsidRDefault="00E10ABB" w:rsidP="001A4A89">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10789820" w14:textId="7A62CDBB" w:rsidR="00417002" w:rsidRPr="00471D83" w:rsidRDefault="00417002" w:rsidP="006670D2">
            <w:pPr>
              <w:pStyle w:val="PullOutBoxBullet"/>
            </w:pPr>
            <w:r w:rsidRPr="00FE579C">
              <w:t xml:space="preserve">Work with plantation managers </w:t>
            </w:r>
            <w:r>
              <w:t xml:space="preserve">and scientists </w:t>
            </w:r>
            <w:r w:rsidRPr="00FE579C">
              <w:t xml:space="preserve">to assess the impacts of hydrological changes associated with plantation forestry; </w:t>
            </w:r>
          </w:p>
          <w:p w14:paraId="7D70BF6A" w14:textId="3CD23037" w:rsidR="00417002" w:rsidRPr="004E27FD" w:rsidRDefault="00417002" w:rsidP="006670D2">
            <w:pPr>
              <w:pStyle w:val="PullOutBoxBullet"/>
            </w:pPr>
            <w:r>
              <w:t>I</w:t>
            </w:r>
            <w:r w:rsidRPr="00FE579C">
              <w:t>mplement feasible mitigations where the impacts are assessed as significant</w:t>
            </w:r>
            <w:r>
              <w:t>;</w:t>
            </w:r>
          </w:p>
          <w:p w14:paraId="696C43C3" w14:textId="5B7D6D80" w:rsidR="00417002" w:rsidRPr="004E27FD" w:rsidRDefault="00417002" w:rsidP="006670D2">
            <w:pPr>
              <w:pStyle w:val="PullOutBoxBullet"/>
            </w:pPr>
            <w:r>
              <w:t xml:space="preserve">Maintain </w:t>
            </w:r>
            <w:r w:rsidRPr="004E27FD">
              <w:rPr>
                <w:i/>
                <w:iCs/>
              </w:rPr>
              <w:t>ex</w:t>
            </w:r>
            <w:r w:rsidR="0009395D">
              <w:rPr>
                <w:i/>
                <w:iCs/>
              </w:rPr>
              <w:t>-</w:t>
            </w:r>
            <w:r w:rsidRPr="004E27FD">
              <w:rPr>
                <w:i/>
                <w:iCs/>
              </w:rPr>
              <w:t>situ</w:t>
            </w:r>
            <w:r>
              <w:t xml:space="preserve"> seed collections in the </w:t>
            </w:r>
            <w:r w:rsidR="000B671C">
              <w:t>VCS</w:t>
            </w:r>
            <w:r>
              <w:t xml:space="preserve"> as insurance against local population loss; and</w:t>
            </w:r>
          </w:p>
          <w:p w14:paraId="6BD72C2E" w14:textId="7268FC9E" w:rsidR="00324D1B" w:rsidRDefault="00417002" w:rsidP="006670D2">
            <w:pPr>
              <w:pStyle w:val="PullOutBoxBullet"/>
            </w:pPr>
            <w:r w:rsidRPr="00915D82">
              <w:t>Conduct targeted surveys to identify any new populations associated with plantations.</w:t>
            </w:r>
          </w:p>
        </w:tc>
      </w:tr>
    </w:tbl>
    <w:p w14:paraId="0EFBBF8F" w14:textId="4030CC29" w:rsidR="0088086F" w:rsidRDefault="0088086F" w:rsidP="007E5EBF">
      <w:pPr>
        <w:pStyle w:val="Heading3"/>
      </w:pPr>
      <w:r w:rsidRPr="00D55628">
        <w:rPr>
          <w:rFonts w:cs="Times New Roman"/>
          <w:noProof/>
          <w:lang w:eastAsia="en-US"/>
        </w:rPr>
        <mc:AlternateContent>
          <mc:Choice Requires="wps">
            <w:drawing>
              <wp:anchor distT="0" distB="0" distL="114300" distR="114300" simplePos="1" relativeHeight="251658542" behindDoc="1" locked="1" layoutInCell="1" allowOverlap="1" wp14:anchorId="6AF0998D" wp14:editId="2B3FB6CD">
                <wp:simplePos x="359410" y="9071610"/>
                <wp:positionH relativeFrom="page">
                  <wp:posOffset>359410</wp:posOffset>
                </wp:positionH>
                <wp:positionV relativeFrom="page">
                  <wp:posOffset>9071610</wp:posOffset>
                </wp:positionV>
                <wp:extent cx="6840001" cy="432000"/>
                <wp:effectExtent l="0" t="0" r="0" b="0"/>
                <wp:wrapNone/>
                <wp:docPr id="147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F6B79" w14:textId="77777777" w:rsidR="0088086F" w:rsidRPr="00455A7E" w:rsidRDefault="0088086F" w:rsidP="0088086F">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998D" id="_x0000_s1087" type="#_x0000_t202" alt="Title: Decorative Cover Shape" style="position:absolute;left:0;text-align:left;margin-left:28.3pt;margin-top:714.3pt;width:538.6pt;height:34pt;z-index:-2516579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" fillcolor="#201547" stroked="f" strokeweight=".5pt">
                <v:textbox inset="10mm,0,10mm,0">
                  <w:txbxContent>
                    <w:p w14:paraId="44BF6B79" w14:textId="77777777" w:rsidR="0088086F" w:rsidRPr="00455A7E" w:rsidRDefault="0088086F" w:rsidP="0088086F">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541" behindDoc="0" locked="1" layoutInCell="1" allowOverlap="1" wp14:anchorId="4654A49F" wp14:editId="383C52E9">
                <wp:simplePos x="0" y="0"/>
                <wp:positionH relativeFrom="page">
                  <wp:posOffset>360045</wp:posOffset>
                </wp:positionH>
                <wp:positionV relativeFrom="page">
                  <wp:posOffset>360045</wp:posOffset>
                </wp:positionV>
                <wp:extent cx="1864800" cy="1976400"/>
                <wp:effectExtent l="0" t="0" r="0" b="0"/>
                <wp:wrapNone/>
                <wp:docPr id="1480"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29EEEAC" id="TriangleTopACIMono" o:spid="_x0000_s1026" style="position:absolute;margin-left:28.35pt;margin-top:28.35pt;width:146.85pt;height:155.6pt;z-index:2516585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540" behindDoc="0" locked="1" layoutInCell="1" allowOverlap="1" wp14:anchorId="7D4584BD" wp14:editId="6F024D87">
                <wp:simplePos x="0" y="0"/>
                <wp:positionH relativeFrom="page">
                  <wp:posOffset>359410</wp:posOffset>
                </wp:positionH>
                <wp:positionV relativeFrom="page">
                  <wp:posOffset>359410</wp:posOffset>
                </wp:positionV>
                <wp:extent cx="1864800" cy="1976400"/>
                <wp:effectExtent l="0" t="0" r="0" b="0"/>
                <wp:wrapNone/>
                <wp:docPr id="1481"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A511D86" id="TriangleTop" o:spid="_x0000_s1026" style="position:absolute;margin-left:28.3pt;margin-top:28.3pt;width:146.85pt;height:155.6pt;z-index:2516585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539" behindDoc="0" locked="1" layoutInCell="1" allowOverlap="1" wp14:anchorId="46653272" wp14:editId="334D29BD">
                <wp:simplePos x="0" y="0"/>
                <wp:positionH relativeFrom="page">
                  <wp:posOffset>0</wp:posOffset>
                </wp:positionH>
                <wp:positionV relativeFrom="page">
                  <wp:align>bottom</wp:align>
                </wp:positionV>
                <wp:extent cx="3848400" cy="720000"/>
                <wp:effectExtent l="0" t="0" r="0" b="0"/>
                <wp:wrapNone/>
                <wp:docPr id="1482"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BD713" w14:textId="77777777" w:rsidR="0088086F" w:rsidRPr="009F69FA" w:rsidRDefault="0088086F" w:rsidP="0088086F">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3272" id="_x0000_s1088" type="#_x0000_t202" style="position:absolute;left:0;text-align:left;margin-left:0;margin-top:0;width:303pt;height:56.7pt;z-index:25165853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HnkuAxtAgAARgUAAA4AAAAAAAAAAAAAAAAALgIA&#10;AGRycy9lMm9Eb2MueG1sUEsBAi0AFAAGAAgAAAAhAPTKz6jaAAAABQEAAA8AAAAAAAAAAAAAAAAA&#10;xwQAAGRycy9kb3ducmV2LnhtbFBLBQYAAAAABAAEAPMAAADOBQAAAAA=&#10;" filled="f" stroked="f" strokeweight=".5pt">
                <v:textbox inset="20mm">
                  <w:txbxContent>
                    <w:p w14:paraId="2FDBD713" w14:textId="77777777" w:rsidR="0088086F" w:rsidRPr="009F69FA" w:rsidRDefault="0088086F" w:rsidP="0088086F">
                      <w:pPr>
                        <w:pStyle w:val="xWebCoverPage"/>
                      </w:pPr>
                      <w:r w:rsidRPr="009F69FA">
                        <w:t>de</w:t>
                      </w:r>
                      <w:r>
                        <w:t>lw</w:t>
                      </w:r>
                      <w:r w:rsidRPr="009F69FA">
                        <w:t>p.vic.gov.au</w:t>
                      </w:r>
                    </w:p>
                  </w:txbxContent>
                </v:textbox>
                <w10:wrap anchorx="page" anchory="page"/>
                <w10:anchorlock/>
              </v:shape>
            </w:pict>
          </mc:Fallback>
        </mc:AlternateContent>
      </w:r>
      <w:r>
        <w:t>Habitat loss, degradation</w:t>
      </w:r>
      <w:r w:rsidR="00EF09EC">
        <w:t>,</w:t>
      </w:r>
      <w:r>
        <w:t xml:space="preserve"> and fragmentation</w:t>
      </w:r>
    </w:p>
    <w:p w14:paraId="649AB6BB" w14:textId="77777777" w:rsidR="0088086F" w:rsidRDefault="0088086F" w:rsidP="0088086F">
      <w:pPr>
        <w:pStyle w:val="Heading5"/>
        <w:numPr>
          <w:ilvl w:val="0"/>
          <w:numId w:val="0"/>
        </w:numPr>
        <w:tabs>
          <w:tab w:val="left" w:pos="720"/>
        </w:tabs>
        <w:ind w:left="1008" w:hanging="1008"/>
      </w:pPr>
      <w:r>
        <w:t>Loss of instream habitat</w:t>
      </w:r>
    </w:p>
    <w:p w14:paraId="1E6111EE" w14:textId="77B8DB5A" w:rsidR="0088086F" w:rsidRPr="007E31F4" w:rsidRDefault="0088086F" w:rsidP="0088086F">
      <w:pPr>
        <w:pStyle w:val="BodyText"/>
      </w:pPr>
      <w:r>
        <w:t>This hazard has the potential to</w:t>
      </w:r>
      <w:r w:rsidR="00175BF3">
        <w:t xml:space="preserve"> </w:t>
      </w:r>
      <w:r w:rsidR="00AB244C">
        <w:t>impact</w:t>
      </w:r>
      <w:r>
        <w:t xml:space="preserve"> all the </w:t>
      </w:r>
      <w:r w:rsidR="001D3902">
        <w:t>species’</w:t>
      </w:r>
      <w:r>
        <w:t xml:space="preserve"> population</w:t>
      </w:r>
      <w:r w:rsidR="00BD5747">
        <w:t>s</w:t>
      </w:r>
      <w:r>
        <w:t>. The continued drying of wetlands, in concert with climate-change effects and alteration of streamflow, will deplete habitat quality</w:t>
      </w:r>
      <w:r w:rsidR="00BD5747">
        <w:t>, alter hydrology</w:t>
      </w:r>
      <w:r w:rsidR="00130253">
        <w:t>,</w:t>
      </w:r>
      <w:r>
        <w:t xml:space="preserve"> and reduce population </w:t>
      </w:r>
      <w:r w:rsidRPr="007E31F4">
        <w:t>size. Weeds more easily invade degraded habitats, and a reduction in wetland habitats can concentrate destructive activities of animals in remaining wetlands.</w:t>
      </w:r>
    </w:p>
    <w:p w14:paraId="0CF9A3D1" w14:textId="252D64C0" w:rsidR="0088086F" w:rsidRPr="007E31F4" w:rsidRDefault="0088086F" w:rsidP="0088086F">
      <w:pPr>
        <w:pStyle w:val="BodyText"/>
      </w:pPr>
      <w:r w:rsidRPr="007E31F4">
        <w:t>Th</w:t>
      </w:r>
      <w:r w:rsidR="005D3A84">
        <w:t>e</w:t>
      </w:r>
      <w:r w:rsidRPr="007E31F4">
        <w:t xml:space="preserve"> </w:t>
      </w:r>
      <w:r w:rsidR="00F159BF">
        <w:t>risk for this hazard</w:t>
      </w:r>
      <w:r w:rsidRPr="007E31F4">
        <w:t xml:space="preserve"> was </w:t>
      </w:r>
      <w:r w:rsidR="00F159BF">
        <w:t>assessed</w:t>
      </w:r>
      <w:r w:rsidRPr="007E31F4">
        <w:t xml:space="preserve"> as High in the West RFA</w:t>
      </w:r>
      <w:r w:rsidR="002A6069">
        <w:t xml:space="preserve"> region</w:t>
      </w:r>
      <w:r w:rsidRPr="007E31F4">
        <w:t xml:space="preserve"> and Significant in the Gippsland RFA</w:t>
      </w:r>
      <w:r w:rsidR="002A6069">
        <w:t xml:space="preserve"> region</w:t>
      </w:r>
      <w:r w:rsidRPr="007E31F4">
        <w:t xml:space="preserve"> due to wetter conditions in the east of the state.</w:t>
      </w:r>
    </w:p>
    <w:p w14:paraId="600E3FEC" w14:textId="77777777" w:rsidR="0088086F" w:rsidRPr="007E31F4" w:rsidRDefault="0088086F" w:rsidP="0088086F">
      <w:pPr>
        <w:pStyle w:val="BodyText"/>
      </w:pPr>
      <w:r w:rsidRPr="007E31F4">
        <w:t>Current existing controls for this hazard include:</w:t>
      </w:r>
    </w:p>
    <w:p w14:paraId="1DB72704" w14:textId="77777777" w:rsidR="0088086F" w:rsidRPr="007E31F4" w:rsidRDefault="0088086F" w:rsidP="006670D2">
      <w:pPr>
        <w:pStyle w:val="PullOutBoxBullet"/>
      </w:pPr>
      <w:r w:rsidRPr="007E31F4">
        <w:t>Regional Waterway Strategies. The effectiveness of this control for this species has been evaluated as satisfactory under the assumption that wetlands are managed responsibly in accordance with RWSs and similar control programs.</w:t>
      </w:r>
    </w:p>
    <w:p w14:paraId="0D8C9B25" w14:textId="2F0526C6" w:rsidR="0088086F" w:rsidRPr="00FF310C" w:rsidRDefault="0088086F"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129</w:t>
      </w:r>
      <w:r w:rsidR="000B6788" w:rsidRPr="00291BDC">
        <w:rPr>
          <w:bCs/>
          <w:noProof/>
        </w:rPr>
        <w:fldChar w:fldCharType="end"/>
      </w:r>
      <w:r w:rsidRPr="00FF310C">
        <w:t>. Lacey River Buttercup protection requirements and recommendations for loss of instream habitat</w:t>
      </w:r>
    </w:p>
    <w:tbl>
      <w:tblPr>
        <w:tblStyle w:val="TableGrid"/>
        <w:tblW w:w="0" w:type="auto"/>
        <w:tblLook w:val="04A0" w:firstRow="1" w:lastRow="0" w:firstColumn="1" w:lastColumn="0" w:noHBand="0" w:noVBand="1"/>
      </w:tblPr>
      <w:tblGrid>
        <w:gridCol w:w="2268"/>
        <w:gridCol w:w="7371"/>
      </w:tblGrid>
      <w:tr w:rsidR="0088086F" w14:paraId="2C9CE591"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66289A21" w14:textId="77777777" w:rsidR="0088086F" w:rsidRDefault="0088086F" w:rsidP="00296E0F">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3EADCCF7" w14:textId="77777777" w:rsidR="0088086F" w:rsidRDefault="0088086F" w:rsidP="00296E0F">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88086F" w14:paraId="72F6854F" w14:textId="77777777" w:rsidTr="001A4A89">
        <w:tc>
          <w:tcPr>
            <w:tcW w:w="2268" w:type="dxa"/>
            <w:tcBorders>
              <w:top w:val="single" w:sz="8" w:space="0" w:color="CDDC29" w:themeColor="text2"/>
              <w:left w:val="nil"/>
              <w:bottom w:val="single" w:sz="8" w:space="0" w:color="CDDC29" w:themeColor="text2"/>
              <w:right w:val="nil"/>
            </w:tcBorders>
            <w:hideMark/>
          </w:tcPr>
          <w:p w14:paraId="1A1FAA3E" w14:textId="40B01E2D" w:rsidR="0088086F" w:rsidRDefault="00C25D22" w:rsidP="001A4A89">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4BD2D9B3" w14:textId="77777777" w:rsidR="0088086F" w:rsidRDefault="0088086F" w:rsidP="001A4A89">
            <w:pPr>
              <w:pStyle w:val="BodyText"/>
            </w:pPr>
            <w:r>
              <w:t>Not required for this hazard.</w:t>
            </w:r>
          </w:p>
        </w:tc>
      </w:tr>
      <w:tr w:rsidR="0088086F" w14:paraId="69EB4EA5" w14:textId="77777777" w:rsidTr="001A4A89">
        <w:tc>
          <w:tcPr>
            <w:tcW w:w="2268" w:type="dxa"/>
            <w:tcBorders>
              <w:top w:val="single" w:sz="8" w:space="0" w:color="CDDC29" w:themeColor="text2"/>
              <w:left w:val="nil"/>
              <w:bottom w:val="single" w:sz="8" w:space="0" w:color="CDDC29" w:themeColor="text2"/>
              <w:right w:val="nil"/>
            </w:tcBorders>
            <w:hideMark/>
          </w:tcPr>
          <w:p w14:paraId="557E39C9" w14:textId="2BD6F357" w:rsidR="0088086F" w:rsidRDefault="00C25D22" w:rsidP="001A4A89">
            <w:pPr>
              <w:pStyle w:val="BodyText"/>
            </w:pPr>
            <w:r>
              <w:t>Potential m</w:t>
            </w:r>
            <w:r w:rsidR="0088086F">
              <w:t>anagement actions</w:t>
            </w:r>
          </w:p>
        </w:tc>
        <w:tc>
          <w:tcPr>
            <w:tcW w:w="7371" w:type="dxa"/>
            <w:tcBorders>
              <w:top w:val="single" w:sz="8" w:space="0" w:color="CDDC29" w:themeColor="text2"/>
              <w:left w:val="nil"/>
              <w:bottom w:val="single" w:sz="8" w:space="0" w:color="CDDC29" w:themeColor="text2"/>
              <w:right w:val="nil"/>
            </w:tcBorders>
            <w:hideMark/>
          </w:tcPr>
          <w:p w14:paraId="667BA71D" w14:textId="77777777" w:rsidR="0088086F" w:rsidRDefault="0088086F" w:rsidP="006670D2">
            <w:pPr>
              <w:pStyle w:val="PullOutBoxBullet"/>
            </w:pPr>
            <w:r>
              <w:t xml:space="preserve">Establish and maintain secure populations and ensure that hazards are suitably controlled; </w:t>
            </w:r>
          </w:p>
          <w:p w14:paraId="30C6EE3C" w14:textId="70421131" w:rsidR="0088086F" w:rsidRDefault="0088086F" w:rsidP="006670D2">
            <w:pPr>
              <w:pStyle w:val="PullOutBoxBullet"/>
            </w:pPr>
            <w:r>
              <w:t xml:space="preserve">Ensure genetically diverse representative seed collections are held in the </w:t>
            </w:r>
            <w:r w:rsidR="000B671C">
              <w:t>VCS</w:t>
            </w:r>
            <w:r>
              <w:t>; and</w:t>
            </w:r>
          </w:p>
          <w:p w14:paraId="5AAE4072" w14:textId="77777777" w:rsidR="0088086F" w:rsidRDefault="0088086F" w:rsidP="006670D2">
            <w:pPr>
              <w:pStyle w:val="PullOutBoxBullet"/>
            </w:pPr>
            <w:r>
              <w:t>Conduct further surveys of mapped suitable habitat to identify any new populations.</w:t>
            </w:r>
          </w:p>
        </w:tc>
      </w:tr>
    </w:tbl>
    <w:p w14:paraId="03350C1A" w14:textId="77777777" w:rsidR="0088086F" w:rsidRDefault="0088086F" w:rsidP="0088086F">
      <w:pPr>
        <w:pStyle w:val="Heading5"/>
        <w:numPr>
          <w:ilvl w:val="0"/>
          <w:numId w:val="0"/>
        </w:numPr>
        <w:tabs>
          <w:tab w:val="left" w:pos="720"/>
        </w:tabs>
        <w:ind w:left="1008" w:hanging="1008"/>
      </w:pPr>
      <w:r>
        <w:t>Reduced flooding and flow volumes</w:t>
      </w:r>
    </w:p>
    <w:p w14:paraId="251DF419" w14:textId="3E406860" w:rsidR="0088086F" w:rsidRPr="007E31F4" w:rsidRDefault="0088086F" w:rsidP="0088086F">
      <w:pPr>
        <w:pStyle w:val="BodyText"/>
      </w:pPr>
      <w:r>
        <w:t>Decreased frequency</w:t>
      </w:r>
      <w:r w:rsidRPr="007E31F4">
        <w:t xml:space="preserve">, amplitude and duration of flooding potentially impacts 20-30% of the </w:t>
      </w:r>
      <w:r w:rsidR="001D3902">
        <w:t>species’</w:t>
      </w:r>
      <w:r w:rsidRPr="007E31F4">
        <w:t xml:space="preserve"> habitat, as does river regulation and draining of swamps which can lead to reduced flow volumes. These can both lead to reduced population sizes, habitat loss and altered hydrology. Drying of habitat may lead to invasion by exotic and indigenous terrestrial taxa.</w:t>
      </w:r>
    </w:p>
    <w:p w14:paraId="092A34D6" w14:textId="77777777" w:rsidR="0088086F" w:rsidRPr="007E31F4" w:rsidRDefault="0088086F" w:rsidP="0088086F">
      <w:pPr>
        <w:pStyle w:val="BodyText"/>
      </w:pPr>
      <w:r w:rsidRPr="007E31F4">
        <w:t>Current existing controls for this hazard include:</w:t>
      </w:r>
    </w:p>
    <w:p w14:paraId="3339A061" w14:textId="485B9774" w:rsidR="0088086F" w:rsidRPr="007E31F4" w:rsidRDefault="0088086F" w:rsidP="006670D2">
      <w:pPr>
        <w:pStyle w:val="PullOutBoxBullet"/>
      </w:pPr>
      <w:r w:rsidRPr="007E31F4">
        <w:t xml:space="preserve">Regional waterway strategies. The effectiveness of this control for this species has been evaluated as satisfactory because current flows appear to be sufficient for sustaining this </w:t>
      </w:r>
      <w:r w:rsidR="001D3902">
        <w:t>species</w:t>
      </w:r>
      <w:r w:rsidRPr="007E31F4">
        <w:t xml:space="preserve"> at known sites (e.g., Fitzroy River)</w:t>
      </w:r>
    </w:p>
    <w:p w14:paraId="44CA6A47" w14:textId="6946B152" w:rsidR="0088086F" w:rsidRPr="00FF310C" w:rsidRDefault="0088086F"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130</w:t>
      </w:r>
      <w:r w:rsidR="000B6788" w:rsidRPr="00291BDC">
        <w:rPr>
          <w:bCs/>
          <w:noProof/>
        </w:rPr>
        <w:fldChar w:fldCharType="end"/>
      </w:r>
      <w:r w:rsidRPr="00FF310C">
        <w:t>. Lacey River Buttercup protection requirements and recommendations for reduced flooding and flow volumes</w:t>
      </w:r>
    </w:p>
    <w:tbl>
      <w:tblPr>
        <w:tblStyle w:val="TableGrid"/>
        <w:tblW w:w="0" w:type="auto"/>
        <w:tblLook w:val="04A0" w:firstRow="1" w:lastRow="0" w:firstColumn="1" w:lastColumn="0" w:noHBand="0" w:noVBand="1"/>
      </w:tblPr>
      <w:tblGrid>
        <w:gridCol w:w="2268"/>
        <w:gridCol w:w="7371"/>
      </w:tblGrid>
      <w:tr w:rsidR="0088086F" w14:paraId="1A59B7E1"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245BF2BF" w14:textId="77777777" w:rsidR="0088086F" w:rsidRDefault="0088086F" w:rsidP="00296E0F">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67C51C4" w14:textId="77777777" w:rsidR="0088086F" w:rsidRDefault="0088086F" w:rsidP="00296E0F">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88086F" w14:paraId="41F00BF7" w14:textId="77777777" w:rsidTr="001A4A89">
        <w:tc>
          <w:tcPr>
            <w:tcW w:w="2268" w:type="dxa"/>
            <w:tcBorders>
              <w:top w:val="single" w:sz="8" w:space="0" w:color="CDDC29" w:themeColor="text2"/>
              <w:left w:val="nil"/>
              <w:bottom w:val="single" w:sz="8" w:space="0" w:color="CDDC29" w:themeColor="text2"/>
              <w:right w:val="nil"/>
            </w:tcBorders>
            <w:hideMark/>
          </w:tcPr>
          <w:p w14:paraId="7EEFE6F6" w14:textId="319A74AC" w:rsidR="0088086F" w:rsidRDefault="00C25D22" w:rsidP="001A4A89">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547C5C5C" w14:textId="77777777" w:rsidR="0088086F" w:rsidRDefault="0088086F" w:rsidP="001A4A89">
            <w:pPr>
              <w:pStyle w:val="BodyText"/>
            </w:pPr>
            <w:r>
              <w:t>Not required for this hazard as it is a longer-term threat and has a medium risk level.</w:t>
            </w:r>
          </w:p>
        </w:tc>
      </w:tr>
      <w:tr w:rsidR="0088086F" w14:paraId="52E8EEFE" w14:textId="77777777" w:rsidTr="001A4A89">
        <w:tc>
          <w:tcPr>
            <w:tcW w:w="2268" w:type="dxa"/>
            <w:tcBorders>
              <w:top w:val="single" w:sz="8" w:space="0" w:color="CDDC29" w:themeColor="text2"/>
              <w:left w:val="nil"/>
              <w:bottom w:val="single" w:sz="8" w:space="0" w:color="CDDC29" w:themeColor="text2"/>
              <w:right w:val="nil"/>
            </w:tcBorders>
            <w:hideMark/>
          </w:tcPr>
          <w:p w14:paraId="39AFB529" w14:textId="53E3E468" w:rsidR="0088086F" w:rsidRDefault="00F1651C" w:rsidP="001A4A89">
            <w:pPr>
              <w:pStyle w:val="BodyText"/>
            </w:pPr>
            <w:r>
              <w:t>Potential m</w:t>
            </w:r>
            <w:r w:rsidR="0088086F">
              <w:t>anagement actions</w:t>
            </w:r>
          </w:p>
        </w:tc>
        <w:tc>
          <w:tcPr>
            <w:tcW w:w="7371" w:type="dxa"/>
            <w:tcBorders>
              <w:top w:val="single" w:sz="8" w:space="0" w:color="CDDC29" w:themeColor="text2"/>
              <w:left w:val="nil"/>
              <w:bottom w:val="single" w:sz="8" w:space="0" w:color="CDDC29" w:themeColor="text2"/>
              <w:right w:val="nil"/>
            </w:tcBorders>
            <w:hideMark/>
          </w:tcPr>
          <w:p w14:paraId="24C5CA27" w14:textId="06D64992" w:rsidR="0088086F" w:rsidRDefault="0088086F" w:rsidP="006670D2">
            <w:pPr>
              <w:pStyle w:val="PullOutBoxBullet"/>
            </w:pPr>
            <w:r>
              <w:t xml:space="preserve">Implement all actions of regional waterway strategies; and ensure waterways that support the </w:t>
            </w:r>
            <w:r w:rsidR="001D3902">
              <w:t>species</w:t>
            </w:r>
            <w:r>
              <w:t xml:space="preserve"> receive adequate winter-spring flows.</w:t>
            </w:r>
          </w:p>
        </w:tc>
      </w:tr>
    </w:tbl>
    <w:p w14:paraId="409E0388" w14:textId="77777777" w:rsidR="00324D1B" w:rsidRDefault="00324D1B" w:rsidP="007E5EBF">
      <w:pPr>
        <w:pStyle w:val="Heading3"/>
        <w:jc w:val="both"/>
      </w:pPr>
      <w:r>
        <w:t>Invasive species</w:t>
      </w:r>
    </w:p>
    <w:p w14:paraId="08FA4B21" w14:textId="77777777" w:rsidR="00324D1B" w:rsidRDefault="00324D1B" w:rsidP="00324D1B">
      <w:pPr>
        <w:pStyle w:val="Heading5"/>
        <w:numPr>
          <w:ilvl w:val="0"/>
          <w:numId w:val="0"/>
        </w:numPr>
        <w:ind w:left="1008" w:hanging="1008"/>
        <w:rPr>
          <w:iCs/>
        </w:rPr>
      </w:pPr>
      <w:r>
        <w:rPr>
          <w:iCs/>
        </w:rPr>
        <w:t>Invasive vertebrate (pigs)</w:t>
      </w:r>
    </w:p>
    <w:p w14:paraId="0520F8D9" w14:textId="20DB397E" w:rsidR="00324D1B" w:rsidRPr="007E31F4" w:rsidRDefault="00324D1B" w:rsidP="00324D1B">
      <w:pPr>
        <w:pStyle w:val="BodyText"/>
      </w:pPr>
      <w:r>
        <w:t xml:space="preserve">Rooting pigs can destroy the wetland habitat of this </w:t>
      </w:r>
      <w:r w:rsidR="001D3902">
        <w:t>species</w:t>
      </w:r>
      <w:r w:rsidR="008A1650">
        <w:t xml:space="preserve"> and</w:t>
      </w:r>
      <w:r>
        <w:t xml:space="preserve"> have the potential to impact 60-70% of its distribution, which is more pronounced in the West RFA region. Pigs </w:t>
      </w:r>
      <w:r w:rsidRPr="007E31F4">
        <w:t>can potentially rip out plants, turn over the soil layer and aid the invasion of weeds, and pig rooting can also degrade water quality.</w:t>
      </w:r>
    </w:p>
    <w:p w14:paraId="5CF757B9" w14:textId="77777777" w:rsidR="00324D1B" w:rsidRPr="007E31F4" w:rsidRDefault="00324D1B" w:rsidP="00324D1B">
      <w:pPr>
        <w:pStyle w:val="BodyText"/>
      </w:pPr>
      <w:r w:rsidRPr="007E31F4">
        <w:t>Current existing controls for this hazard include:</w:t>
      </w:r>
    </w:p>
    <w:p w14:paraId="17ED4B92" w14:textId="321AB92E" w:rsidR="00324D1B" w:rsidRPr="007E31F4" w:rsidRDefault="00324D1B" w:rsidP="006670D2">
      <w:pPr>
        <w:pStyle w:val="PullOutBoxBullet"/>
      </w:pPr>
      <w:r w:rsidRPr="007E31F4">
        <w:t xml:space="preserve">Local invasive species control programs. The effectiveness of this control has been evaluated as poor </w:t>
      </w:r>
      <w:r w:rsidR="00AF2173">
        <w:t xml:space="preserve">for this species </w:t>
      </w:r>
      <w:r w:rsidRPr="007E31F4">
        <w:t xml:space="preserve">as pigs are difficult to control and most control programs to date appear to have failed to eradicate them or significantly reduce numbers. </w:t>
      </w:r>
    </w:p>
    <w:p w14:paraId="0578E115" w14:textId="7176DDB6"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131</w:t>
      </w:r>
      <w:r w:rsidR="000B6788" w:rsidRPr="00291BDC">
        <w:rPr>
          <w:bCs/>
          <w:noProof/>
        </w:rPr>
        <w:fldChar w:fldCharType="end"/>
      </w:r>
      <w:r w:rsidRPr="00FF310C">
        <w:t>. Lacey River Buttercup protection requirements and recommendations for invasive vertebrate (pigs)</w:t>
      </w:r>
    </w:p>
    <w:tbl>
      <w:tblPr>
        <w:tblStyle w:val="TableGrid"/>
        <w:tblW w:w="0" w:type="auto"/>
        <w:tblLook w:val="04A0" w:firstRow="1" w:lastRow="0" w:firstColumn="1" w:lastColumn="0" w:noHBand="0" w:noVBand="1"/>
      </w:tblPr>
      <w:tblGrid>
        <w:gridCol w:w="2268"/>
        <w:gridCol w:w="7371"/>
      </w:tblGrid>
      <w:tr w:rsidR="00324D1B" w14:paraId="318931E1"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095F8938"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311FF1BA"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79BACC2A" w14:textId="77777777" w:rsidTr="001A4A89">
        <w:tc>
          <w:tcPr>
            <w:tcW w:w="2268" w:type="dxa"/>
            <w:tcBorders>
              <w:top w:val="single" w:sz="8" w:space="0" w:color="CDDC29" w:themeColor="text2"/>
              <w:left w:val="nil"/>
              <w:bottom w:val="single" w:sz="8" w:space="0" w:color="CDDC29" w:themeColor="text2"/>
              <w:right w:val="nil"/>
            </w:tcBorders>
            <w:hideMark/>
          </w:tcPr>
          <w:p w14:paraId="774B5F40" w14:textId="65888431" w:rsidR="00324D1B" w:rsidRDefault="00F1651C" w:rsidP="001A4A89">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21920447" w14:textId="77777777" w:rsidR="00324D1B" w:rsidRDefault="00324D1B" w:rsidP="001A4A89">
            <w:pPr>
              <w:pStyle w:val="BodyText"/>
            </w:pPr>
            <w:r>
              <w:t>Not required for this hazard as it is a longer-term threat.</w:t>
            </w:r>
          </w:p>
        </w:tc>
      </w:tr>
      <w:tr w:rsidR="00324D1B" w14:paraId="469E665D" w14:textId="77777777" w:rsidTr="001A4A89">
        <w:tc>
          <w:tcPr>
            <w:tcW w:w="2268" w:type="dxa"/>
            <w:tcBorders>
              <w:top w:val="single" w:sz="8" w:space="0" w:color="CDDC29" w:themeColor="text2"/>
              <w:left w:val="nil"/>
              <w:bottom w:val="single" w:sz="8" w:space="0" w:color="CDDC29" w:themeColor="text2"/>
              <w:right w:val="nil"/>
            </w:tcBorders>
            <w:hideMark/>
          </w:tcPr>
          <w:p w14:paraId="58D3F163" w14:textId="6794A791" w:rsidR="00324D1B" w:rsidRDefault="00F1651C" w:rsidP="001A4A89">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55E052E8" w14:textId="79C6EBED" w:rsidR="00324D1B" w:rsidRDefault="00324D1B" w:rsidP="006670D2">
            <w:pPr>
              <w:pStyle w:val="PullOutBoxBullet"/>
            </w:pPr>
            <w:r>
              <w:t xml:space="preserve">Monitor Lacey River Buttercup sites for pig activity; and </w:t>
            </w:r>
          </w:p>
          <w:p w14:paraId="19D9765C" w14:textId="51F38A25" w:rsidR="00324D1B" w:rsidRDefault="00324D1B" w:rsidP="006670D2">
            <w:pPr>
              <w:pStyle w:val="PullOutBoxBullet"/>
            </w:pPr>
            <w:r>
              <w:t xml:space="preserve">Implement pig control programs at sites where pigs threaten this </w:t>
            </w:r>
            <w:r w:rsidR="001D3902">
              <w:t>species</w:t>
            </w:r>
            <w:r>
              <w:t>.</w:t>
            </w:r>
          </w:p>
        </w:tc>
      </w:tr>
    </w:tbl>
    <w:p w14:paraId="45C9C771" w14:textId="77777777" w:rsidR="00324D1B" w:rsidRPr="007E31F4" w:rsidRDefault="00324D1B" w:rsidP="00324D1B">
      <w:pPr>
        <w:pStyle w:val="Heading5"/>
        <w:numPr>
          <w:ilvl w:val="0"/>
          <w:numId w:val="0"/>
        </w:numPr>
        <w:tabs>
          <w:tab w:val="left" w:pos="720"/>
        </w:tabs>
        <w:ind w:left="1008" w:hanging="1008"/>
        <w:rPr>
          <w:sz w:val="18"/>
          <w:szCs w:val="18"/>
        </w:rPr>
      </w:pPr>
      <w:r w:rsidRPr="007E31F4">
        <w:rPr>
          <w:sz w:val="18"/>
          <w:szCs w:val="18"/>
        </w:rPr>
        <w:t>Invasive plant (weeds)</w:t>
      </w:r>
    </w:p>
    <w:p w14:paraId="68F502BB" w14:textId="48D79011" w:rsidR="00324D1B" w:rsidRPr="007E31F4" w:rsidRDefault="00324D1B" w:rsidP="00324D1B">
      <w:pPr>
        <w:pStyle w:val="BodyText"/>
        <w:rPr>
          <w:rFonts w:ascii="Arial" w:hAnsi="Arial"/>
          <w:color w:val="363534"/>
        </w:rPr>
      </w:pPr>
      <w:r w:rsidRPr="007E31F4">
        <w:t xml:space="preserve">While the </w:t>
      </w:r>
      <w:r w:rsidR="001D3902">
        <w:t>species</w:t>
      </w:r>
      <w:r w:rsidRPr="007E31F4">
        <w:t xml:space="preserve"> grows in shallow water that many weed species cannot tolerate, the introduction of an aquatic weed could seriously degrade the </w:t>
      </w:r>
      <w:r w:rsidR="001D3902">
        <w:t>species’</w:t>
      </w:r>
      <w:r w:rsidRPr="007E31F4">
        <w:t xml:space="preserve"> habitat and has the potential to occur across all the </w:t>
      </w:r>
      <w:r w:rsidR="001D3902">
        <w:t>species’</w:t>
      </w:r>
      <w:r w:rsidRPr="007E31F4">
        <w:t xml:space="preserve"> distribution. </w:t>
      </w:r>
    </w:p>
    <w:p w14:paraId="1A76A11E" w14:textId="77777777" w:rsidR="00324D1B" w:rsidRPr="007E31F4" w:rsidRDefault="00324D1B" w:rsidP="00324D1B">
      <w:pPr>
        <w:spacing w:line="240" w:lineRule="auto"/>
        <w:textAlignment w:val="baseline"/>
        <w:rPr>
          <w:rFonts w:ascii="Arial" w:hAnsi="Arial"/>
          <w:color w:val="363534"/>
          <w:sz w:val="18"/>
          <w:szCs w:val="18"/>
        </w:rPr>
      </w:pPr>
      <w:r w:rsidRPr="007E31F4">
        <w:rPr>
          <w:rFonts w:ascii="Arial" w:hAnsi="Arial"/>
          <w:color w:val="363534"/>
          <w:sz w:val="18"/>
          <w:szCs w:val="18"/>
        </w:rPr>
        <w:t>Current existing controls for this hazard include:</w:t>
      </w:r>
    </w:p>
    <w:p w14:paraId="540FC5ED" w14:textId="7FD243B1" w:rsidR="00324D1B" w:rsidRPr="007E31F4" w:rsidRDefault="00324D1B" w:rsidP="006670D2">
      <w:pPr>
        <w:pStyle w:val="PullOutBoxBullet"/>
      </w:pPr>
      <w:r w:rsidRPr="007E31F4">
        <w:t>Weed control programs. The effectiveness of this control has been evaluated as poor</w:t>
      </w:r>
      <w:r w:rsidR="002F31FE">
        <w:t xml:space="preserve"> for this species</w:t>
      </w:r>
      <w:r w:rsidRPr="007E31F4">
        <w:t xml:space="preserve"> because very few weed control programs are undertaken in the wetland communities that support the </w:t>
      </w:r>
      <w:r w:rsidR="001D3902">
        <w:t>species</w:t>
      </w:r>
      <w:r w:rsidRPr="007E31F4">
        <w:t xml:space="preserve">. </w:t>
      </w:r>
    </w:p>
    <w:p w14:paraId="7C29009E" w14:textId="6003CE75"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132</w:t>
      </w:r>
      <w:r w:rsidR="000B6788" w:rsidRPr="00291BDC">
        <w:rPr>
          <w:bCs/>
          <w:noProof/>
        </w:rPr>
        <w:fldChar w:fldCharType="end"/>
      </w:r>
      <w:r w:rsidRPr="00FF310C">
        <w:t>. Lacey River Buttercup protection requirements and recommendations for invasive plant (weeds)</w:t>
      </w:r>
    </w:p>
    <w:tbl>
      <w:tblPr>
        <w:tblStyle w:val="TableGrid"/>
        <w:tblW w:w="0" w:type="auto"/>
        <w:tblLook w:val="04A0" w:firstRow="1" w:lastRow="0" w:firstColumn="1" w:lastColumn="0" w:noHBand="0" w:noVBand="1"/>
      </w:tblPr>
      <w:tblGrid>
        <w:gridCol w:w="2268"/>
        <w:gridCol w:w="7371"/>
      </w:tblGrid>
      <w:tr w:rsidR="00324D1B" w14:paraId="77D515E1"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4C09A057"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2858F5A9"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750B10BE" w14:textId="77777777" w:rsidTr="001A4A89">
        <w:tc>
          <w:tcPr>
            <w:tcW w:w="2268" w:type="dxa"/>
            <w:tcBorders>
              <w:top w:val="single" w:sz="8" w:space="0" w:color="CDDC29" w:themeColor="text2"/>
              <w:left w:val="nil"/>
              <w:bottom w:val="single" w:sz="8" w:space="0" w:color="CDDC29" w:themeColor="text2"/>
              <w:right w:val="nil"/>
            </w:tcBorders>
            <w:hideMark/>
          </w:tcPr>
          <w:p w14:paraId="44B54F80" w14:textId="4CED5FCF" w:rsidR="00324D1B" w:rsidRDefault="00F1651C" w:rsidP="001A4A89">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7AB7B797" w14:textId="77777777" w:rsidR="00324D1B" w:rsidRDefault="00324D1B" w:rsidP="001A4A89">
            <w:pPr>
              <w:pStyle w:val="BodyText"/>
            </w:pPr>
            <w:r>
              <w:t>Not required for this hazard as it is a longer-term threat.</w:t>
            </w:r>
          </w:p>
        </w:tc>
      </w:tr>
      <w:tr w:rsidR="00324D1B" w14:paraId="52295F27" w14:textId="77777777" w:rsidTr="001A4A89">
        <w:tc>
          <w:tcPr>
            <w:tcW w:w="2268" w:type="dxa"/>
            <w:tcBorders>
              <w:top w:val="single" w:sz="8" w:space="0" w:color="CDDC29" w:themeColor="text2"/>
              <w:left w:val="nil"/>
              <w:bottom w:val="single" w:sz="8" w:space="0" w:color="CDDC29" w:themeColor="text2"/>
              <w:right w:val="nil"/>
            </w:tcBorders>
            <w:hideMark/>
          </w:tcPr>
          <w:p w14:paraId="1D77A11E" w14:textId="25644118" w:rsidR="00324D1B" w:rsidRDefault="00F1651C" w:rsidP="001A4A89">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116CCC3A" w14:textId="77777777" w:rsidR="00324D1B" w:rsidRDefault="00324D1B" w:rsidP="006670D2">
            <w:pPr>
              <w:pStyle w:val="PullOutBoxBullet"/>
            </w:pPr>
            <w:r>
              <w:t xml:space="preserve">Monitor known sites for weed invasion; and </w:t>
            </w:r>
          </w:p>
          <w:p w14:paraId="15E375C2" w14:textId="77777777" w:rsidR="00324D1B" w:rsidRDefault="00324D1B" w:rsidP="006670D2">
            <w:pPr>
              <w:pStyle w:val="PullOutBoxBullet"/>
            </w:pPr>
            <w:r>
              <w:t>Conduct weed control programs at any known sites threatened by weeds.</w:t>
            </w:r>
          </w:p>
        </w:tc>
      </w:tr>
    </w:tbl>
    <w:p w14:paraId="1834468B" w14:textId="77777777" w:rsidR="00324D1B" w:rsidRDefault="00324D1B" w:rsidP="00324D1B">
      <w:pPr>
        <w:pStyle w:val="BodyText"/>
      </w:pPr>
    </w:p>
    <w:p w14:paraId="28830123" w14:textId="77777777" w:rsidR="00324D1B" w:rsidRDefault="00324D1B" w:rsidP="00324D1B">
      <w:pPr>
        <w:rPr>
          <w:rFonts w:ascii="Arial" w:hAnsi="Arial" w:cs="Times New Roman"/>
          <w:color w:val="363534"/>
          <w:lang w:eastAsia="en-US"/>
        </w:rPr>
      </w:pPr>
      <w:r>
        <w:rPr>
          <w:rFonts w:ascii="Arial" w:hAnsi="Arial"/>
          <w:color w:val="363534"/>
        </w:rPr>
        <w:br w:type="page"/>
      </w:r>
    </w:p>
    <w:p w14:paraId="44CF6FDC" w14:textId="77777777" w:rsidR="00324D1B" w:rsidRPr="00C803B7" w:rsidRDefault="00324D1B" w:rsidP="00FB5A2B">
      <w:pPr>
        <w:pStyle w:val="Heading2"/>
        <w:ind w:left="0"/>
        <w:rPr>
          <w:rFonts w:asciiTheme="minorHAnsi" w:hAnsiTheme="minorHAnsi"/>
        </w:rPr>
      </w:pPr>
      <w:bookmarkStart w:id="677" w:name="_Toc88724711"/>
      <w:bookmarkStart w:id="678" w:name="_Toc95234106"/>
      <w:bookmarkStart w:id="679" w:name="_Toc113271050"/>
      <w:r w:rsidRPr="00C803B7">
        <w:rPr>
          <w:rStyle w:val="Heading2Char"/>
          <w:b/>
          <w:bCs/>
          <w:szCs w:val="24"/>
        </w:rPr>
        <w:t>Lake Mountain Grevillea (</w:t>
      </w:r>
      <w:r w:rsidRPr="00C803B7">
        <w:rPr>
          <w:rStyle w:val="Heading2Char"/>
          <w:b/>
          <w:bCs/>
          <w:i/>
          <w:iCs/>
          <w:szCs w:val="24"/>
        </w:rPr>
        <w:t>Grevillea monslacana</w:t>
      </w:r>
      <w:r w:rsidRPr="00C803B7">
        <w:rPr>
          <w:rStyle w:val="Heading2Char"/>
          <w:b/>
          <w:bCs/>
          <w:szCs w:val="24"/>
        </w:rPr>
        <w:t>)</w:t>
      </w:r>
      <w:bookmarkEnd w:id="677"/>
      <w:bookmarkEnd w:id="678"/>
      <w:bookmarkEnd w:id="679"/>
    </w:p>
    <w:p w14:paraId="65032416" w14:textId="67EB1244" w:rsidR="00324D1B" w:rsidRDefault="00324D1B" w:rsidP="00324D1B">
      <w:pPr>
        <w:pStyle w:val="BodyText"/>
      </w:pPr>
      <w:r>
        <w:t xml:space="preserve">The Lake Mountain Grevillea was listed as Critically Endangered in Australia under the FFG Act in May 2021. The </w:t>
      </w:r>
      <w:r w:rsidR="001D3902">
        <w:t>species</w:t>
      </w:r>
      <w:r>
        <w:t xml:space="preserve"> has modelled habitat in the Central Highlands (100% of modelled habitat) RFA region.</w:t>
      </w:r>
      <w:r>
        <w:rPr>
          <w:rStyle w:val="BodyTextChar"/>
        </w:rPr>
        <w:t xml:space="preserve"> Permanent protections are recommended to address any hazards identified at a significant or high risk, and all</w:t>
      </w:r>
      <w:r>
        <w:t xml:space="preserve"> hazards rated a medium risk or higher will be considered in future management planning.</w:t>
      </w:r>
    </w:p>
    <w:p w14:paraId="448C3FAD" w14:textId="77777777" w:rsidR="00324D1B" w:rsidRDefault="00324D1B" w:rsidP="007E5EBF">
      <w:pPr>
        <w:pStyle w:val="Heading3"/>
      </w:pPr>
      <w:bookmarkStart w:id="680" w:name="_Toc88724712"/>
      <w:r>
        <w:t>Risk Assessment</w:t>
      </w:r>
      <w:bookmarkEnd w:id="680"/>
    </w:p>
    <w:p w14:paraId="5373A7F6" w14:textId="1217ADBA"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133</w:t>
      </w:r>
      <w:r w:rsidR="000B6788" w:rsidRPr="00291BDC">
        <w:rPr>
          <w:bCs/>
          <w:noProof/>
        </w:rPr>
        <w:fldChar w:fldCharType="end"/>
      </w:r>
      <w:r w:rsidRPr="00FF310C">
        <w:t>. Lake Mountain Grevillea risk ratings in the Central Highlands RFA region:</w:t>
      </w:r>
    </w:p>
    <w:tbl>
      <w:tblPr>
        <w:tblStyle w:val="TableGrid"/>
        <w:tblW w:w="9800" w:type="dxa"/>
        <w:tblLook w:val="04A0" w:firstRow="1" w:lastRow="0" w:firstColumn="1" w:lastColumn="0" w:noHBand="0" w:noVBand="1"/>
      </w:tblPr>
      <w:tblGrid>
        <w:gridCol w:w="2450"/>
        <w:gridCol w:w="2450"/>
        <w:gridCol w:w="2450"/>
        <w:gridCol w:w="2450"/>
      </w:tblGrid>
      <w:tr w:rsidR="00324D1B" w14:paraId="147D4A19"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50" w:type="dxa"/>
            <w:tcBorders>
              <w:top w:val="single" w:sz="8" w:space="0" w:color="CDDC29" w:themeColor="text2"/>
              <w:left w:val="nil"/>
              <w:bottom w:val="single" w:sz="8" w:space="0" w:color="CDDC29" w:themeColor="text2"/>
              <w:right w:val="nil"/>
            </w:tcBorders>
            <w:vAlign w:val="center"/>
          </w:tcPr>
          <w:p w14:paraId="16FF7996" w14:textId="77777777" w:rsidR="00324D1B" w:rsidRDefault="00324D1B" w:rsidP="006670D2">
            <w:pPr>
              <w:pStyle w:val="CaptionImageorFigure"/>
            </w:pPr>
          </w:p>
        </w:tc>
        <w:tc>
          <w:tcPr>
            <w:tcW w:w="2450" w:type="dxa"/>
            <w:tcBorders>
              <w:top w:val="single" w:sz="8" w:space="0" w:color="CDDC29" w:themeColor="text2"/>
              <w:left w:val="nil"/>
              <w:bottom w:val="single" w:sz="8" w:space="0" w:color="CDDC29" w:themeColor="text2"/>
              <w:right w:val="nil"/>
            </w:tcBorders>
            <w:vAlign w:val="center"/>
            <w:hideMark/>
          </w:tcPr>
          <w:p w14:paraId="61E83493"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Bushfire</w:t>
            </w:r>
          </w:p>
        </w:tc>
        <w:tc>
          <w:tcPr>
            <w:tcW w:w="2450" w:type="dxa"/>
            <w:tcBorders>
              <w:top w:val="single" w:sz="8" w:space="0" w:color="CDDC29" w:themeColor="text2"/>
              <w:left w:val="nil"/>
              <w:bottom w:val="single" w:sz="8" w:space="0" w:color="CDDC29" w:themeColor="text2"/>
              <w:right w:val="nil"/>
            </w:tcBorders>
            <w:vAlign w:val="center"/>
            <w:hideMark/>
          </w:tcPr>
          <w:p w14:paraId="2435D760"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2450" w:type="dxa"/>
            <w:tcBorders>
              <w:top w:val="single" w:sz="8" w:space="0" w:color="CDDC29" w:themeColor="text2"/>
              <w:left w:val="nil"/>
              <w:bottom w:val="single" w:sz="8" w:space="0" w:color="CDDC29" w:themeColor="text2"/>
              <w:right w:val="nil"/>
            </w:tcBorders>
            <w:vAlign w:val="center"/>
            <w:hideMark/>
          </w:tcPr>
          <w:p w14:paraId="40944DE6"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r>
      <w:tr w:rsidR="00324D1B" w14:paraId="6C08F4E1" w14:textId="77777777" w:rsidTr="00324D1B">
        <w:tc>
          <w:tcPr>
            <w:tcW w:w="2450" w:type="dxa"/>
            <w:tcBorders>
              <w:top w:val="single" w:sz="8" w:space="0" w:color="CDDC29" w:themeColor="text2"/>
              <w:left w:val="nil"/>
              <w:bottom w:val="single" w:sz="8" w:space="0" w:color="CDDC29" w:themeColor="text2"/>
              <w:right w:val="nil"/>
            </w:tcBorders>
            <w:vAlign w:val="center"/>
            <w:hideMark/>
          </w:tcPr>
          <w:p w14:paraId="259056E2" w14:textId="77777777" w:rsidR="00324D1B" w:rsidRDefault="00324D1B" w:rsidP="0042650F">
            <w:pPr>
              <w:pStyle w:val="BodyText"/>
              <w:jc w:val="center"/>
            </w:pPr>
            <w:r>
              <w:t>Consequence</w:t>
            </w:r>
          </w:p>
        </w:tc>
        <w:tc>
          <w:tcPr>
            <w:tcW w:w="2450" w:type="dxa"/>
            <w:tcBorders>
              <w:top w:val="single" w:sz="8" w:space="0" w:color="CDDC29" w:themeColor="text2"/>
              <w:left w:val="nil"/>
              <w:bottom w:val="single" w:sz="8" w:space="0" w:color="CDDC29" w:themeColor="text2"/>
              <w:right w:val="nil"/>
            </w:tcBorders>
            <w:vAlign w:val="center"/>
            <w:hideMark/>
          </w:tcPr>
          <w:p w14:paraId="2D61DF9D" w14:textId="77777777" w:rsidR="00324D1B" w:rsidRDefault="00324D1B" w:rsidP="0042650F">
            <w:pPr>
              <w:pStyle w:val="BodyText"/>
              <w:jc w:val="center"/>
            </w:pPr>
            <w:r>
              <w:t>Minor</w:t>
            </w:r>
          </w:p>
        </w:tc>
        <w:tc>
          <w:tcPr>
            <w:tcW w:w="2450" w:type="dxa"/>
            <w:tcBorders>
              <w:top w:val="single" w:sz="8" w:space="0" w:color="CDDC29" w:themeColor="text2"/>
              <w:left w:val="nil"/>
              <w:bottom w:val="single" w:sz="8" w:space="0" w:color="CDDC29" w:themeColor="text2"/>
              <w:right w:val="nil"/>
            </w:tcBorders>
            <w:vAlign w:val="center"/>
            <w:hideMark/>
          </w:tcPr>
          <w:p w14:paraId="1ECC56C4" w14:textId="77777777" w:rsidR="00324D1B" w:rsidRDefault="00324D1B" w:rsidP="0042650F">
            <w:pPr>
              <w:pStyle w:val="BodyText"/>
              <w:jc w:val="center"/>
            </w:pPr>
            <w:r>
              <w:t>Minor</w:t>
            </w:r>
          </w:p>
        </w:tc>
        <w:tc>
          <w:tcPr>
            <w:tcW w:w="2450" w:type="dxa"/>
            <w:tcBorders>
              <w:top w:val="single" w:sz="8" w:space="0" w:color="CDDC29" w:themeColor="text2"/>
              <w:left w:val="nil"/>
              <w:bottom w:val="single" w:sz="8" w:space="0" w:color="CDDC29" w:themeColor="text2"/>
              <w:right w:val="nil"/>
            </w:tcBorders>
            <w:vAlign w:val="center"/>
            <w:hideMark/>
          </w:tcPr>
          <w:p w14:paraId="202950AE" w14:textId="77777777" w:rsidR="00324D1B" w:rsidRDefault="00324D1B" w:rsidP="0042650F">
            <w:pPr>
              <w:pStyle w:val="BodyText"/>
              <w:jc w:val="center"/>
            </w:pPr>
            <w:r>
              <w:t>Negligible</w:t>
            </w:r>
          </w:p>
        </w:tc>
      </w:tr>
      <w:tr w:rsidR="00324D1B" w14:paraId="771B9970" w14:textId="77777777" w:rsidTr="00324D1B">
        <w:tc>
          <w:tcPr>
            <w:tcW w:w="2450" w:type="dxa"/>
            <w:tcBorders>
              <w:top w:val="single" w:sz="8" w:space="0" w:color="CDDC29" w:themeColor="text2"/>
              <w:left w:val="nil"/>
              <w:bottom w:val="single" w:sz="8" w:space="0" w:color="CDDC29" w:themeColor="text2"/>
              <w:right w:val="nil"/>
            </w:tcBorders>
            <w:vAlign w:val="center"/>
            <w:hideMark/>
          </w:tcPr>
          <w:p w14:paraId="2EA75B7E" w14:textId="77777777" w:rsidR="00324D1B" w:rsidRDefault="00324D1B" w:rsidP="0042650F">
            <w:pPr>
              <w:pStyle w:val="BodyText"/>
              <w:jc w:val="center"/>
            </w:pPr>
            <w:r>
              <w:t>Likelihood</w:t>
            </w:r>
          </w:p>
        </w:tc>
        <w:tc>
          <w:tcPr>
            <w:tcW w:w="2450" w:type="dxa"/>
            <w:tcBorders>
              <w:top w:val="single" w:sz="8" w:space="0" w:color="CDDC29" w:themeColor="text2"/>
              <w:left w:val="nil"/>
              <w:bottom w:val="single" w:sz="8" w:space="0" w:color="CDDC29" w:themeColor="text2"/>
              <w:right w:val="nil"/>
            </w:tcBorders>
            <w:vAlign w:val="center"/>
            <w:hideMark/>
          </w:tcPr>
          <w:p w14:paraId="656DBF12" w14:textId="77777777" w:rsidR="00324D1B" w:rsidRDefault="00324D1B" w:rsidP="0042650F">
            <w:pPr>
              <w:pStyle w:val="BodyText"/>
              <w:jc w:val="center"/>
            </w:pPr>
            <w:r>
              <w:t>Possible</w:t>
            </w:r>
          </w:p>
        </w:tc>
        <w:tc>
          <w:tcPr>
            <w:tcW w:w="2450" w:type="dxa"/>
            <w:tcBorders>
              <w:top w:val="single" w:sz="8" w:space="0" w:color="CDDC29" w:themeColor="text2"/>
              <w:left w:val="nil"/>
              <w:bottom w:val="single" w:sz="8" w:space="0" w:color="CDDC29" w:themeColor="text2"/>
              <w:right w:val="nil"/>
            </w:tcBorders>
            <w:vAlign w:val="center"/>
            <w:hideMark/>
          </w:tcPr>
          <w:p w14:paraId="3E480EA0" w14:textId="77777777" w:rsidR="00324D1B" w:rsidRDefault="00324D1B" w:rsidP="0042650F">
            <w:pPr>
              <w:pStyle w:val="BodyText"/>
              <w:jc w:val="center"/>
            </w:pPr>
            <w:r>
              <w:t>Likely</w:t>
            </w:r>
          </w:p>
        </w:tc>
        <w:tc>
          <w:tcPr>
            <w:tcW w:w="2450" w:type="dxa"/>
            <w:tcBorders>
              <w:top w:val="single" w:sz="8" w:space="0" w:color="CDDC29" w:themeColor="text2"/>
              <w:left w:val="nil"/>
              <w:bottom w:val="single" w:sz="8" w:space="0" w:color="CDDC29" w:themeColor="text2"/>
              <w:right w:val="nil"/>
            </w:tcBorders>
            <w:vAlign w:val="center"/>
            <w:hideMark/>
          </w:tcPr>
          <w:p w14:paraId="6D65D7FB" w14:textId="77777777" w:rsidR="00324D1B" w:rsidRDefault="00324D1B" w:rsidP="0042650F">
            <w:pPr>
              <w:pStyle w:val="BodyText"/>
              <w:jc w:val="center"/>
            </w:pPr>
            <w:r>
              <w:t>Unlikely</w:t>
            </w:r>
          </w:p>
        </w:tc>
      </w:tr>
      <w:tr w:rsidR="00324D1B" w14:paraId="2595B513" w14:textId="77777777" w:rsidTr="00324D1B">
        <w:tc>
          <w:tcPr>
            <w:tcW w:w="2450" w:type="dxa"/>
            <w:tcBorders>
              <w:top w:val="single" w:sz="8" w:space="0" w:color="CDDC29" w:themeColor="text2"/>
              <w:left w:val="nil"/>
              <w:bottom w:val="single" w:sz="8" w:space="0" w:color="CDDC29" w:themeColor="text2"/>
              <w:right w:val="nil"/>
            </w:tcBorders>
            <w:vAlign w:val="center"/>
            <w:hideMark/>
          </w:tcPr>
          <w:p w14:paraId="78DA5532" w14:textId="77777777" w:rsidR="00324D1B" w:rsidRDefault="00324D1B" w:rsidP="0042650F">
            <w:pPr>
              <w:pStyle w:val="BodyText"/>
              <w:jc w:val="center"/>
            </w:pPr>
            <w:r>
              <w:t>Overall risk rating</w:t>
            </w:r>
          </w:p>
        </w:tc>
        <w:tc>
          <w:tcPr>
            <w:tcW w:w="2450" w:type="dxa"/>
            <w:tcBorders>
              <w:top w:val="single" w:sz="8" w:space="0" w:color="CDDC29" w:themeColor="text2"/>
              <w:left w:val="nil"/>
              <w:bottom w:val="single" w:sz="8" w:space="0" w:color="CDDC29" w:themeColor="text2"/>
              <w:right w:val="nil"/>
            </w:tcBorders>
            <w:shd w:val="clear" w:color="auto" w:fill="FFFF00"/>
            <w:vAlign w:val="center"/>
            <w:hideMark/>
          </w:tcPr>
          <w:p w14:paraId="6B035493" w14:textId="77777777" w:rsidR="00324D1B" w:rsidRDefault="00324D1B" w:rsidP="0042650F">
            <w:pPr>
              <w:pStyle w:val="BodyText"/>
              <w:jc w:val="center"/>
            </w:pPr>
            <w:r>
              <w:t>Medium</w:t>
            </w:r>
          </w:p>
        </w:tc>
        <w:tc>
          <w:tcPr>
            <w:tcW w:w="2450" w:type="dxa"/>
            <w:tcBorders>
              <w:top w:val="single" w:sz="8" w:space="0" w:color="CDDC29" w:themeColor="text2"/>
              <w:left w:val="nil"/>
              <w:bottom w:val="single" w:sz="8" w:space="0" w:color="CDDC29" w:themeColor="text2"/>
              <w:right w:val="nil"/>
            </w:tcBorders>
            <w:shd w:val="clear" w:color="auto" w:fill="FFFF00"/>
            <w:vAlign w:val="center"/>
            <w:hideMark/>
          </w:tcPr>
          <w:p w14:paraId="79D07D84" w14:textId="77777777" w:rsidR="00324D1B" w:rsidRDefault="00324D1B" w:rsidP="0042650F">
            <w:pPr>
              <w:pStyle w:val="BodyText"/>
              <w:jc w:val="center"/>
            </w:pPr>
            <w:r>
              <w:t>Medium</w:t>
            </w:r>
          </w:p>
        </w:tc>
        <w:tc>
          <w:tcPr>
            <w:tcW w:w="2450" w:type="dxa"/>
            <w:tcBorders>
              <w:top w:val="single" w:sz="8" w:space="0" w:color="CDDC29" w:themeColor="text2"/>
              <w:left w:val="nil"/>
              <w:bottom w:val="single" w:sz="8" w:space="0" w:color="CDDC29" w:themeColor="text2"/>
              <w:right w:val="nil"/>
            </w:tcBorders>
            <w:shd w:val="clear" w:color="auto" w:fill="92D050"/>
            <w:vAlign w:val="center"/>
            <w:hideMark/>
          </w:tcPr>
          <w:p w14:paraId="4E6C235E" w14:textId="77777777" w:rsidR="00324D1B" w:rsidRDefault="00324D1B" w:rsidP="0042650F">
            <w:pPr>
              <w:pStyle w:val="BodyText"/>
              <w:jc w:val="center"/>
            </w:pPr>
            <w:r>
              <w:t>Low</w:t>
            </w:r>
          </w:p>
        </w:tc>
      </w:tr>
    </w:tbl>
    <w:p w14:paraId="7B507144" w14:textId="77777777" w:rsidR="00324D1B" w:rsidRDefault="00324D1B" w:rsidP="007E5EBF">
      <w:pPr>
        <w:pStyle w:val="Heading3"/>
        <w:jc w:val="both"/>
      </w:pPr>
      <w:bookmarkStart w:id="681" w:name="_Toc88724713"/>
      <w:r>
        <w:t>Fire</w:t>
      </w:r>
    </w:p>
    <w:p w14:paraId="581635F6" w14:textId="77777777" w:rsidR="00324D1B" w:rsidRDefault="00324D1B" w:rsidP="00324D1B">
      <w:pPr>
        <w:pStyle w:val="Heading5"/>
        <w:numPr>
          <w:ilvl w:val="0"/>
          <w:numId w:val="0"/>
        </w:numPr>
        <w:tabs>
          <w:tab w:val="left" w:pos="720"/>
        </w:tabs>
        <w:ind w:left="1008" w:hanging="1008"/>
        <w:rPr>
          <w:rFonts w:asciiTheme="minorHAnsi" w:hAnsiTheme="minorHAnsi" w:cs="Arial"/>
        </w:rPr>
      </w:pPr>
      <w:r>
        <w:t>Bushfire</w:t>
      </w:r>
    </w:p>
    <w:p w14:paraId="67210CBC" w14:textId="10F38DE0" w:rsidR="00324D1B" w:rsidRDefault="00324D1B" w:rsidP="00324D1B">
      <w:pPr>
        <w:pStyle w:val="BodyText"/>
      </w:pPr>
      <w:r>
        <w:t xml:space="preserve">There are no records of vegetative reproduction by the </w:t>
      </w:r>
      <w:r w:rsidR="001D3902">
        <w:t>species</w:t>
      </w:r>
      <w:r>
        <w:t>, and plants are killed outright by fire. Therefore</w:t>
      </w:r>
      <w:r w:rsidR="00D4421D">
        <w:t>,</w:t>
      </w:r>
      <w:r>
        <w:t xml:space="preserve"> regular fire, including cool burns, could threaten long-term survival of populations if they can't reach a flowering and seeding age (Stajsic and Molyneux 2005</w:t>
      </w:r>
      <w:r w:rsidR="00264E3B">
        <w:t>)</w:t>
      </w:r>
      <w:r w:rsidR="00D62448">
        <w:t>.</w:t>
      </w:r>
      <w:r w:rsidR="00E5619E" w:rsidRPr="00E5619E">
        <w:t xml:space="preserve"> </w:t>
      </w:r>
      <w:r w:rsidR="00E5619E">
        <w:t>The 2009 bushfire burnt the Lake Mountain area at a generally high intensity, however there were likely pockets in high altitude wet forest that either didn't burn or were burnt at low to moderate intensity</w:t>
      </w:r>
      <w:r w:rsidR="00E5619E" w:rsidRPr="007E31F4">
        <w:t xml:space="preserve">. </w:t>
      </w:r>
      <w:r w:rsidR="00F67590">
        <w:t>I</w:t>
      </w:r>
      <w:r>
        <w:t xml:space="preserve">t has been over ten years since </w:t>
      </w:r>
      <w:r w:rsidR="00B6437B">
        <w:t>the</w:t>
      </w:r>
      <w:r>
        <w:t xml:space="preserve"> bushfires</w:t>
      </w:r>
      <w:r w:rsidR="00B751FF">
        <w:t>,</w:t>
      </w:r>
      <w:r>
        <w:t xml:space="preserve"> and while it is possible that some plants have reached reproductive maturity, this would depend on ideal conditions</w:t>
      </w:r>
      <w:r w:rsidR="00723609">
        <w:t>. S</w:t>
      </w:r>
      <w:r>
        <w:t>ome populations may not have reached this point</w:t>
      </w:r>
      <w:r w:rsidR="006B1831">
        <w:t>,</w:t>
      </w:r>
      <w:r>
        <w:t xml:space="preserve"> yet</w:t>
      </w:r>
      <w:r w:rsidR="00DC708D">
        <w:t xml:space="preserve"> </w:t>
      </w:r>
      <w:r w:rsidR="00F67590">
        <w:t xml:space="preserve">which leaves </w:t>
      </w:r>
      <w:r w:rsidR="0062426E">
        <w:t xml:space="preserve">the </w:t>
      </w:r>
      <w:r w:rsidR="001D3902">
        <w:t>species</w:t>
      </w:r>
      <w:r w:rsidR="0062426E">
        <w:t xml:space="preserve"> at</w:t>
      </w:r>
      <w:r w:rsidR="00F67590">
        <w:t xml:space="preserve"> risk from future fire events</w:t>
      </w:r>
      <w:r>
        <w:t xml:space="preserve">. </w:t>
      </w:r>
      <w:r w:rsidR="00685A53" w:rsidRPr="007E31F4">
        <w:t>Providing future fires are not more frequent than 10-15 years, populations have a fair chance of survival</w:t>
      </w:r>
      <w:r w:rsidR="00E5619E">
        <w:t xml:space="preserve">. </w:t>
      </w:r>
      <w:r>
        <w:t xml:space="preserve">This hazard extends across approximately 20% of the </w:t>
      </w:r>
      <w:r w:rsidR="001D3902">
        <w:t>species’</w:t>
      </w:r>
      <w:r>
        <w:t xml:space="preserve"> distribution</w:t>
      </w:r>
      <w:r w:rsidR="00B751FF">
        <w:t>.</w:t>
      </w:r>
    </w:p>
    <w:p w14:paraId="79F2777D" w14:textId="77777777" w:rsidR="00324D1B" w:rsidRDefault="00324D1B" w:rsidP="00324D1B">
      <w:pPr>
        <w:pStyle w:val="BodyText"/>
      </w:pPr>
      <w:r>
        <w:t>Current existing controls for this hazard include:</w:t>
      </w:r>
    </w:p>
    <w:p w14:paraId="65DEE587" w14:textId="1221F94F" w:rsidR="00324D1B" w:rsidRDefault="00324D1B" w:rsidP="006670D2">
      <w:pPr>
        <w:pStyle w:val="PullOutBoxBullet"/>
      </w:pPr>
      <w:r>
        <w:t xml:space="preserve">Planned burning. This control may be effective in reducing the risk of severe bushfires in this species’ habitat depending on the location of the burns and the time elapsed since their implementation. Strategic </w:t>
      </w:r>
      <w:r w:rsidR="008A1650">
        <w:t>fuel breaks</w:t>
      </w:r>
      <w:r>
        <w:t xml:space="preserve"> and associated backburning may also provide valuable protection in some cases for this species and its habitat from severe bushfires.</w:t>
      </w:r>
    </w:p>
    <w:p w14:paraId="33185445" w14:textId="5ED6D3A6" w:rsidR="00324D1B" w:rsidRDefault="00E97AED" w:rsidP="006670D2">
      <w:pPr>
        <w:pStyle w:val="PullOutBoxBullet"/>
      </w:pPr>
      <w:r w:rsidRPr="00F26BEE">
        <w:t xml:space="preserve">Values checking and strategic bushfire management planning. </w:t>
      </w:r>
      <w:r w:rsidRPr="00BB09D4">
        <w:t xml:space="preserve">The effectiveness of these measures has been evaluated as poor at mitigating risk to this species. Values checking relies on existing site records and modelled distribution, and for some </w:t>
      </w:r>
      <w:r w:rsidR="009430A5">
        <w:t>taxa</w:t>
      </w:r>
      <w:r w:rsidRPr="00BB09D4">
        <w:t xml:space="preserve"> site records are not comprehensive. Habitat modelling may also exaggerate actual distributions, particularly for poorly-know</w:t>
      </w:r>
      <w:r w:rsidR="000E687D">
        <w:t>n</w:t>
      </w:r>
      <w:r w:rsidRPr="00BB09D4">
        <w:t xml:space="preserve"> </w:t>
      </w:r>
      <w:r w:rsidR="009430A5">
        <w:t>taxa</w:t>
      </w:r>
      <w:r w:rsidR="00324D1B">
        <w:t xml:space="preserve">.   </w:t>
      </w:r>
    </w:p>
    <w:p w14:paraId="4765A7F1" w14:textId="44AE7719"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134</w:t>
      </w:r>
      <w:r w:rsidR="000B6788" w:rsidRPr="00291BDC">
        <w:rPr>
          <w:bCs/>
          <w:noProof/>
        </w:rPr>
        <w:fldChar w:fldCharType="end"/>
      </w:r>
      <w:r w:rsidRPr="00FF310C">
        <w:t>. Lake Mountain Grevillea protection requirements and recommendations for bushfire</w:t>
      </w:r>
    </w:p>
    <w:tbl>
      <w:tblPr>
        <w:tblStyle w:val="TableGrid"/>
        <w:tblW w:w="0" w:type="auto"/>
        <w:tblLook w:val="04A0" w:firstRow="1" w:lastRow="0" w:firstColumn="1" w:lastColumn="0" w:noHBand="0" w:noVBand="1"/>
      </w:tblPr>
      <w:tblGrid>
        <w:gridCol w:w="2268"/>
        <w:gridCol w:w="7371"/>
      </w:tblGrid>
      <w:tr w:rsidR="00324D1B" w14:paraId="7124D10D"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21E8B054"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6C14FF1"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6589A1F1" w14:textId="77777777" w:rsidTr="001A4A89">
        <w:tc>
          <w:tcPr>
            <w:tcW w:w="2268" w:type="dxa"/>
            <w:tcBorders>
              <w:top w:val="single" w:sz="8" w:space="0" w:color="CDDC29" w:themeColor="text2"/>
              <w:left w:val="nil"/>
              <w:bottom w:val="single" w:sz="8" w:space="0" w:color="CDDC29" w:themeColor="text2"/>
              <w:right w:val="nil"/>
            </w:tcBorders>
            <w:hideMark/>
          </w:tcPr>
          <w:p w14:paraId="2C74CD58" w14:textId="3C65F908" w:rsidR="00324D1B" w:rsidRDefault="00F1651C" w:rsidP="001A4A89">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17F678EC" w14:textId="77777777" w:rsidR="00324D1B" w:rsidRDefault="00324D1B" w:rsidP="001A4A89">
            <w:pPr>
              <w:pStyle w:val="BodyText"/>
            </w:pPr>
            <w:r>
              <w:t>Not required for this hazard based on the overall risk level of medium.</w:t>
            </w:r>
          </w:p>
        </w:tc>
      </w:tr>
      <w:tr w:rsidR="00324D1B" w14:paraId="7982334B" w14:textId="77777777" w:rsidTr="001A4A89">
        <w:tc>
          <w:tcPr>
            <w:tcW w:w="2268" w:type="dxa"/>
            <w:tcBorders>
              <w:top w:val="single" w:sz="8" w:space="0" w:color="CDDC29" w:themeColor="text2"/>
              <w:left w:val="nil"/>
              <w:bottom w:val="single" w:sz="8" w:space="0" w:color="CDDC29" w:themeColor="text2"/>
              <w:right w:val="nil"/>
            </w:tcBorders>
            <w:hideMark/>
          </w:tcPr>
          <w:p w14:paraId="379A92FE" w14:textId="21C56BF5" w:rsidR="00324D1B" w:rsidRDefault="00F1651C" w:rsidP="001A4A89">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3DF19F8A" w14:textId="259538B8" w:rsidR="00324D1B" w:rsidRDefault="00324D1B" w:rsidP="006670D2">
            <w:pPr>
              <w:pStyle w:val="PullOutBoxBullet"/>
            </w:pPr>
            <w:r>
              <w:t xml:space="preserve">Establish </w:t>
            </w:r>
            <w:r>
              <w:rPr>
                <w:i/>
                <w:iCs/>
              </w:rPr>
              <w:t>ex-situ</w:t>
            </w:r>
            <w:r>
              <w:t xml:space="preserve"> propagation</w:t>
            </w:r>
            <w:r w:rsidR="00FC5549">
              <w:t>.</w:t>
            </w:r>
          </w:p>
        </w:tc>
      </w:tr>
    </w:tbl>
    <w:p w14:paraId="12F6AD00" w14:textId="2225E488" w:rsidR="00324D1B" w:rsidRDefault="00324D1B" w:rsidP="007E5EBF">
      <w:pPr>
        <w:pStyle w:val="Heading3"/>
        <w:jc w:val="both"/>
      </w:pPr>
      <w:r>
        <w:t>Forestry operations</w:t>
      </w:r>
      <w:bookmarkEnd w:id="681"/>
    </w:p>
    <w:p w14:paraId="1C578A15" w14:textId="77777777" w:rsidR="00324D1B" w:rsidRDefault="00324D1B" w:rsidP="00324D1B">
      <w:pPr>
        <w:pStyle w:val="Heading5"/>
        <w:numPr>
          <w:ilvl w:val="0"/>
          <w:numId w:val="0"/>
        </w:numPr>
        <w:tabs>
          <w:tab w:val="left" w:pos="720"/>
        </w:tabs>
        <w:ind w:left="1008" w:hanging="1008"/>
      </w:pPr>
      <w:r>
        <w:t>Forestry operations</w:t>
      </w:r>
    </w:p>
    <w:p w14:paraId="6558FA21" w14:textId="4B1E3CF7" w:rsidR="00324D1B" w:rsidRPr="007E31F4" w:rsidRDefault="00971063" w:rsidP="00324D1B">
      <w:pPr>
        <w:pStyle w:val="BodyText"/>
      </w:pPr>
      <w:r w:rsidRPr="00915D82">
        <w:t xml:space="preserve">Current forestry operations and management practices in the wet forest parts of the </w:t>
      </w:r>
      <w:r w:rsidR="001D3902">
        <w:t>species’</w:t>
      </w:r>
      <w:r w:rsidRPr="00915D82">
        <w:t xml:space="preserve"> distribution may also increase the risks and exacerbate the effects of bushfires (e.g</w:t>
      </w:r>
      <w:r w:rsidR="006F4FE7" w:rsidRPr="00915D82">
        <w:t>.,</w:t>
      </w:r>
      <w:r w:rsidRPr="00915D82">
        <w:t xml:space="preserve"> Furlaud et al. 2021). However, the strength of this relationship is contested within the scientific community (e.g</w:t>
      </w:r>
      <w:r w:rsidR="006F4FE7" w:rsidRPr="00915D82">
        <w:t>.,</w:t>
      </w:r>
      <w:r w:rsidRPr="00915D82">
        <w:t xml:space="preserve"> </w:t>
      </w:r>
      <w:r w:rsidR="00CA1389">
        <w:t>Keenan</w:t>
      </w:r>
      <w:r w:rsidRPr="00915D82">
        <w:t xml:space="preserve"> et al</w:t>
      </w:r>
      <w:r w:rsidR="00A46421">
        <w:t>.</w:t>
      </w:r>
      <w:r w:rsidRPr="00915D82">
        <w:t xml:space="preserve"> 2021), and the extent of this effect may be less significant in the face of mega fires driven primarily by extreme heat and drought caused by human-induced climate-change (e.g</w:t>
      </w:r>
      <w:r w:rsidR="00E650FB" w:rsidRPr="00915D82">
        <w:t>.,</w:t>
      </w:r>
      <w:r w:rsidRPr="00915D82">
        <w:t xml:space="preserve"> Bowman et al. 2021)</w:t>
      </w:r>
      <w:r w:rsidR="00685A53">
        <w:t>. B</w:t>
      </w:r>
      <w:r w:rsidR="00DE6123" w:rsidRPr="00FD57DB">
        <w:t xml:space="preserve">ased on the 2015 net harvest area layer, the modelled habitat contains 25% of merchantable timber. Using the revised operable layer, this is reduced to 9%. </w:t>
      </w:r>
    </w:p>
    <w:p w14:paraId="2180AE2A" w14:textId="77777777" w:rsidR="00324D1B" w:rsidRPr="007E31F4" w:rsidRDefault="00324D1B" w:rsidP="00324D1B">
      <w:pPr>
        <w:pStyle w:val="BodyText"/>
      </w:pPr>
      <w:r w:rsidRPr="007E31F4">
        <w:t>Current controls for the hazard include:</w:t>
      </w:r>
    </w:p>
    <w:p w14:paraId="60A6437E" w14:textId="67CF7A93" w:rsidR="00324D1B" w:rsidRPr="00C803B7" w:rsidRDefault="00324D1B" w:rsidP="006670D2">
      <w:pPr>
        <w:pStyle w:val="PullOutBoxBullet"/>
      </w:pPr>
      <w:r w:rsidRPr="00C803B7">
        <w:t xml:space="preserve">The </w:t>
      </w:r>
      <w:r w:rsidRPr="00C803B7">
        <w:rPr>
          <w:i/>
        </w:rPr>
        <w:t>Code of Practice for Timber Production 2014.</w:t>
      </w:r>
      <w:r w:rsidRPr="00C803B7">
        <w:t xml:space="preserve"> There is no species-specific prescription for this </w:t>
      </w:r>
      <w:r w:rsidR="001D3902">
        <w:t>species</w:t>
      </w:r>
      <w:r w:rsidRPr="00C803B7">
        <w:t xml:space="preserve"> in the Code, however it may receive some protection from other general Code prescriptions. The lack of a specific prescription leads to the effectiveness of the Code being assessed as poor for this </w:t>
      </w:r>
      <w:r w:rsidR="001D3902">
        <w:t>species</w:t>
      </w:r>
      <w:r w:rsidRPr="00C803B7">
        <w:t xml:space="preserve">. </w:t>
      </w:r>
    </w:p>
    <w:p w14:paraId="6578287D" w14:textId="75D78388" w:rsidR="00324D1B" w:rsidRPr="007E31F4" w:rsidRDefault="00324D1B" w:rsidP="006670D2">
      <w:pPr>
        <w:pStyle w:val="PullOutBoxBullet"/>
        <w:rPr>
          <w:rFonts w:eastAsiaTheme="minorEastAsia" w:cstheme="minorBidi"/>
        </w:rPr>
      </w:pPr>
      <w:r w:rsidRPr="007E31F4">
        <w:t xml:space="preserve">The CAR reserve system. The effectiveness of this control for this species has been evaluated as poor as 39% of the </w:t>
      </w:r>
      <w:r w:rsidR="001D3902">
        <w:t>species’</w:t>
      </w:r>
      <w:r w:rsidRPr="007E31F4">
        <w:t xml:space="preserve"> modelled distribution and 63% of important populations are within the reserve system</w:t>
      </w:r>
      <w:r w:rsidR="005E1477">
        <w:t>.</w:t>
      </w:r>
    </w:p>
    <w:p w14:paraId="4DB63CF1" w14:textId="0242A235"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135</w:t>
      </w:r>
      <w:r w:rsidR="000B6788" w:rsidRPr="00291BDC">
        <w:rPr>
          <w:bCs/>
          <w:noProof/>
        </w:rPr>
        <w:fldChar w:fldCharType="end"/>
      </w:r>
      <w:r w:rsidRPr="00FF310C">
        <w:t>. Lake Mountain Grevillea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324D1B" w14:paraId="306E539F"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634CDB37"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1682BBE1"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4BE964D5" w14:textId="77777777" w:rsidTr="001A4A89">
        <w:tc>
          <w:tcPr>
            <w:tcW w:w="2268" w:type="dxa"/>
            <w:tcBorders>
              <w:top w:val="single" w:sz="8" w:space="0" w:color="CDDC29" w:themeColor="text2"/>
              <w:left w:val="nil"/>
              <w:bottom w:val="single" w:sz="8" w:space="0" w:color="CDDC29" w:themeColor="text2"/>
              <w:right w:val="nil"/>
            </w:tcBorders>
            <w:hideMark/>
          </w:tcPr>
          <w:p w14:paraId="138ACD09" w14:textId="168854F5" w:rsidR="00324D1B" w:rsidRDefault="00324D1B" w:rsidP="001A4A89">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4EE896AE" w14:textId="77777777" w:rsidR="00324D1B" w:rsidRDefault="00324D1B" w:rsidP="001A4A89">
            <w:pPr>
              <w:pStyle w:val="BodyText"/>
            </w:pPr>
            <w:r>
              <w:t>Not required for this hazard based on the overall risk level of medium.</w:t>
            </w:r>
          </w:p>
        </w:tc>
      </w:tr>
      <w:tr w:rsidR="0055375E" w14:paraId="0BC5E565" w14:textId="77777777" w:rsidTr="001A4A89">
        <w:tc>
          <w:tcPr>
            <w:tcW w:w="2268" w:type="dxa"/>
            <w:tcBorders>
              <w:top w:val="single" w:sz="8" w:space="0" w:color="CDDC29" w:themeColor="text2"/>
              <w:left w:val="nil"/>
              <w:bottom w:val="single" w:sz="8" w:space="0" w:color="CDDC29" w:themeColor="text2"/>
              <w:right w:val="nil"/>
            </w:tcBorders>
          </w:tcPr>
          <w:p w14:paraId="3E3DD89D" w14:textId="41FE1D7F" w:rsidR="0055375E" w:rsidRDefault="0055375E" w:rsidP="001A4A89">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65ABD2E1" w14:textId="3B5E6259" w:rsidR="0055375E" w:rsidRDefault="0055375E" w:rsidP="001A4A89">
            <w:pPr>
              <w:pStyle w:val="BodyText"/>
            </w:pPr>
            <w:r>
              <w:t>Not required for this hazard based on the overall risk level of medium.</w:t>
            </w:r>
          </w:p>
        </w:tc>
      </w:tr>
      <w:tr w:rsidR="0055375E" w14:paraId="73577A06" w14:textId="77777777" w:rsidTr="001A4A89">
        <w:tc>
          <w:tcPr>
            <w:tcW w:w="2268" w:type="dxa"/>
            <w:tcBorders>
              <w:top w:val="single" w:sz="8" w:space="0" w:color="CDDC29" w:themeColor="text2"/>
              <w:left w:val="nil"/>
              <w:bottom w:val="single" w:sz="8" w:space="0" w:color="CDDC29" w:themeColor="text2"/>
              <w:right w:val="nil"/>
            </w:tcBorders>
            <w:hideMark/>
          </w:tcPr>
          <w:p w14:paraId="53CE0E21" w14:textId="77777777" w:rsidR="0055375E" w:rsidRDefault="0055375E" w:rsidP="001A4A89">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2300DE28" w14:textId="77777777" w:rsidR="0055375E" w:rsidRDefault="0055375E" w:rsidP="001A4A89">
            <w:pPr>
              <w:pStyle w:val="BodyText"/>
            </w:pPr>
            <w:r>
              <w:t>Additional permanent protections may be required in the longer-term.</w:t>
            </w:r>
          </w:p>
        </w:tc>
      </w:tr>
      <w:tr w:rsidR="0055375E" w14:paraId="618CC7B9" w14:textId="77777777" w:rsidTr="001A4A89">
        <w:tc>
          <w:tcPr>
            <w:tcW w:w="2268" w:type="dxa"/>
            <w:tcBorders>
              <w:top w:val="single" w:sz="8" w:space="0" w:color="CDDC29" w:themeColor="text2"/>
              <w:left w:val="nil"/>
              <w:bottom w:val="single" w:sz="8" w:space="0" w:color="CDDC29" w:themeColor="text2"/>
              <w:right w:val="nil"/>
            </w:tcBorders>
            <w:hideMark/>
          </w:tcPr>
          <w:p w14:paraId="7DF11BAE" w14:textId="072FF23B" w:rsidR="0055375E" w:rsidRDefault="0055375E" w:rsidP="001A4A89">
            <w:pPr>
              <w:pStyle w:val="BodyText"/>
            </w:pPr>
            <w:r>
              <w:t>Potential management actions</w:t>
            </w:r>
          </w:p>
        </w:tc>
        <w:tc>
          <w:tcPr>
            <w:tcW w:w="7371" w:type="dxa"/>
            <w:tcBorders>
              <w:top w:val="single" w:sz="8" w:space="0" w:color="CDDC29" w:themeColor="text2"/>
              <w:left w:val="nil"/>
              <w:bottom w:val="single" w:sz="8" w:space="0" w:color="CDDC29" w:themeColor="text2"/>
              <w:right w:val="nil"/>
            </w:tcBorders>
            <w:hideMark/>
          </w:tcPr>
          <w:p w14:paraId="25BFEACF" w14:textId="5E1A09E7" w:rsidR="0055375E" w:rsidRDefault="0055375E" w:rsidP="006670D2">
            <w:pPr>
              <w:pStyle w:val="PullOutBoxBullet"/>
            </w:pPr>
            <w:r>
              <w:t xml:space="preserve">Conduct targeted surveys for the </w:t>
            </w:r>
            <w:r w:rsidR="001D3902">
              <w:t>species</w:t>
            </w:r>
            <w:r>
              <w:t xml:space="preserve"> to determine accuracy of VBA records; and</w:t>
            </w:r>
          </w:p>
          <w:p w14:paraId="4E9FBFC5" w14:textId="77777777" w:rsidR="0055375E" w:rsidRDefault="0055375E" w:rsidP="006670D2">
            <w:pPr>
              <w:pStyle w:val="PullOutBoxBullet"/>
            </w:pPr>
            <w:r>
              <w:t>Species-specific code prescriptions should be considered in any future Code amendments.</w:t>
            </w:r>
          </w:p>
        </w:tc>
      </w:tr>
    </w:tbl>
    <w:p w14:paraId="70D6F845" w14:textId="77777777" w:rsidR="00324D1B" w:rsidRDefault="00324D1B" w:rsidP="00324D1B">
      <w:pPr>
        <w:pStyle w:val="Heading5"/>
        <w:numPr>
          <w:ilvl w:val="0"/>
          <w:numId w:val="0"/>
        </w:numPr>
        <w:ind w:left="1008" w:hanging="1008"/>
      </w:pPr>
      <w:r>
        <w:t>Plantations</w:t>
      </w:r>
    </w:p>
    <w:p w14:paraId="01FF56C5" w14:textId="0ADAC06E" w:rsidR="00324D1B" w:rsidRPr="007E31F4" w:rsidRDefault="00324D1B" w:rsidP="00324D1B">
      <w:pPr>
        <w:pStyle w:val="BodyText"/>
      </w:pPr>
      <w:r>
        <w:t xml:space="preserve">If the </w:t>
      </w:r>
      <w:r w:rsidR="001D3902">
        <w:t>species</w:t>
      </w:r>
      <w:r>
        <w:t xml:space="preserve"> is present </w:t>
      </w:r>
      <w:r w:rsidRPr="007E31F4">
        <w:t xml:space="preserve">in or near plantations, their harvesting may impact the </w:t>
      </w:r>
      <w:r w:rsidR="001D3902">
        <w:t>species</w:t>
      </w:r>
      <w:r w:rsidRPr="007E31F4">
        <w:t xml:space="preserve"> by direct mortality due to physical disturbance. </w:t>
      </w:r>
      <w:r w:rsidR="008A1650">
        <w:t xml:space="preserve">The </w:t>
      </w:r>
      <w:r w:rsidR="001D3902">
        <w:t>species</w:t>
      </w:r>
      <w:r w:rsidRPr="007E31F4">
        <w:t xml:space="preserve"> is an obligate seeder</w:t>
      </w:r>
      <w:r w:rsidR="008A1650">
        <w:t>, so</w:t>
      </w:r>
      <w:r w:rsidRPr="007E31F4">
        <w:t xml:space="preserve"> if regeneration burning or bushfire occurs post-harvest</w:t>
      </w:r>
      <w:r w:rsidR="00B01B2D">
        <w:t xml:space="preserve">, </w:t>
      </w:r>
      <w:r w:rsidRPr="007E31F4">
        <w:t xml:space="preserve">the plants may not have reached reproductive maturity and would become locally extinct. Approximately 15% of the </w:t>
      </w:r>
      <w:r w:rsidR="001D3902">
        <w:t>species’</w:t>
      </w:r>
      <w:r w:rsidRPr="007E31F4">
        <w:t xml:space="preserve"> habitat distribution model is within 200 m of plantations.</w:t>
      </w:r>
    </w:p>
    <w:p w14:paraId="3BB08607" w14:textId="77777777" w:rsidR="00324D1B" w:rsidRPr="007E31F4" w:rsidRDefault="00324D1B" w:rsidP="00324D1B">
      <w:pPr>
        <w:pStyle w:val="BodyText"/>
      </w:pPr>
      <w:r w:rsidRPr="007E31F4">
        <w:t>Current controls for the hazard include:</w:t>
      </w:r>
    </w:p>
    <w:p w14:paraId="7E1298CD" w14:textId="104F008F" w:rsidR="00324D1B" w:rsidRPr="007E31F4" w:rsidRDefault="00324D1B" w:rsidP="006670D2">
      <w:pPr>
        <w:pStyle w:val="PullOutBoxBullet"/>
        <w:rPr>
          <w:rFonts w:ascii="Calibri" w:hAnsi="Calibri" w:cs="Calibri"/>
          <w:color w:val="000000"/>
        </w:rPr>
      </w:pPr>
      <w:r w:rsidRPr="007E31F4">
        <w:t xml:space="preserve">Environmental Effects Statement with a preliminary comprehensive survey of the values of the area. This has been evaluated as satisfactory as a comprehensive survey should find the </w:t>
      </w:r>
      <w:r w:rsidR="001D3902">
        <w:t>species</w:t>
      </w:r>
      <w:r w:rsidRPr="007E31F4">
        <w:t xml:space="preserve"> if it is present.</w:t>
      </w:r>
    </w:p>
    <w:p w14:paraId="3C6460C0" w14:textId="1F3FBF6F" w:rsidR="0055095A" w:rsidRDefault="00324D1B" w:rsidP="006670D2">
      <w:pPr>
        <w:pStyle w:val="PullOutBoxBullet"/>
      </w:pPr>
      <w:r w:rsidRPr="007E31F4">
        <w:t xml:space="preserve">The </w:t>
      </w:r>
      <w:r w:rsidRPr="0055095A">
        <w:rPr>
          <w:i/>
        </w:rPr>
        <w:t>Code of Practice for Timber Production 2014.</w:t>
      </w:r>
      <w:r w:rsidRPr="007E31F4">
        <w:t xml:space="preserve"> There is no species-specific prescription for this </w:t>
      </w:r>
      <w:r w:rsidR="001D3902">
        <w:t>species</w:t>
      </w:r>
      <w:r w:rsidRPr="007E31F4">
        <w:t xml:space="preserve"> in the Code, however it may receive some protection from other general Code prescriptions. The lack of a specific prescription leads to the effectiveness of the Code being assessed as poor for this </w:t>
      </w:r>
      <w:r w:rsidR="001D3902">
        <w:t>species</w:t>
      </w:r>
      <w:r w:rsidRPr="007E31F4">
        <w:t xml:space="preserve">. </w:t>
      </w:r>
    </w:p>
    <w:p w14:paraId="16C247AB" w14:textId="41CA59D8" w:rsidR="00324D1B" w:rsidRPr="00FF310C" w:rsidRDefault="00324D1B" w:rsidP="006670D2">
      <w:pPr>
        <w:pStyle w:val="Caption"/>
      </w:pPr>
      <w:r w:rsidRPr="00FF310C">
        <w:t xml:space="preserve">Table </w:t>
      </w:r>
      <w:r w:rsidR="0091220E" w:rsidRPr="00291BDC">
        <w:rPr>
          <w:bCs/>
        </w:rPr>
        <w:fldChar w:fldCharType="begin"/>
      </w:r>
      <w:r w:rsidR="0091220E" w:rsidRPr="00FF310C">
        <w:instrText xml:space="preserve"> SEQ Table \* ARABIC </w:instrText>
      </w:r>
      <w:r w:rsidR="0091220E" w:rsidRPr="00291BDC">
        <w:rPr>
          <w:bCs/>
        </w:rPr>
        <w:fldChar w:fldCharType="separate"/>
      </w:r>
      <w:r w:rsidR="00692F0D">
        <w:rPr>
          <w:noProof/>
        </w:rPr>
        <w:t>136</w:t>
      </w:r>
      <w:r w:rsidR="0091220E" w:rsidRPr="00291BDC">
        <w:rPr>
          <w:bCs/>
        </w:rPr>
        <w:fldChar w:fldCharType="end"/>
      </w:r>
      <w:r w:rsidRPr="00FF310C">
        <w:t>. Lake Mountain Grevillea protection requirements and recommendations for plantations</w:t>
      </w:r>
    </w:p>
    <w:tbl>
      <w:tblPr>
        <w:tblStyle w:val="TableGrid"/>
        <w:tblW w:w="9923" w:type="dxa"/>
        <w:tblLook w:val="04A0" w:firstRow="1" w:lastRow="0" w:firstColumn="1" w:lastColumn="0" w:noHBand="0" w:noVBand="1"/>
      </w:tblPr>
      <w:tblGrid>
        <w:gridCol w:w="2127"/>
        <w:gridCol w:w="7796"/>
      </w:tblGrid>
      <w:tr w:rsidR="00324D1B" w14:paraId="1896FD7F" w14:textId="77777777" w:rsidTr="00216CD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7" w:type="dxa"/>
            <w:tcBorders>
              <w:top w:val="single" w:sz="8" w:space="0" w:color="CDDC29" w:themeColor="text2"/>
              <w:left w:val="nil"/>
              <w:bottom w:val="single" w:sz="8" w:space="0" w:color="CDDC29" w:themeColor="text2"/>
              <w:right w:val="nil"/>
            </w:tcBorders>
            <w:vAlign w:val="center"/>
            <w:hideMark/>
          </w:tcPr>
          <w:p w14:paraId="364429E9" w14:textId="77777777" w:rsidR="00324D1B" w:rsidRDefault="00324D1B">
            <w:pPr>
              <w:pStyle w:val="BodyText"/>
            </w:pPr>
            <w:r>
              <w:t>Requirement</w:t>
            </w:r>
          </w:p>
        </w:tc>
        <w:tc>
          <w:tcPr>
            <w:tcW w:w="7796" w:type="dxa"/>
            <w:tcBorders>
              <w:top w:val="single" w:sz="8" w:space="0" w:color="CDDC29" w:themeColor="text2"/>
              <w:left w:val="nil"/>
              <w:bottom w:val="single" w:sz="8" w:space="0" w:color="CDDC29" w:themeColor="text2"/>
              <w:right w:val="nil"/>
            </w:tcBorders>
            <w:vAlign w:val="center"/>
            <w:hideMark/>
          </w:tcPr>
          <w:p w14:paraId="7008B1B9"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7A341BAB" w14:textId="77777777" w:rsidTr="001A4A89">
        <w:tc>
          <w:tcPr>
            <w:tcW w:w="2127" w:type="dxa"/>
            <w:tcBorders>
              <w:top w:val="single" w:sz="8" w:space="0" w:color="CDDC29" w:themeColor="text2"/>
              <w:left w:val="nil"/>
              <w:bottom w:val="single" w:sz="8" w:space="0" w:color="CDDC29" w:themeColor="text2"/>
              <w:right w:val="nil"/>
            </w:tcBorders>
            <w:hideMark/>
          </w:tcPr>
          <w:p w14:paraId="7387AB34" w14:textId="7789A249" w:rsidR="00324D1B" w:rsidRDefault="00150C7E" w:rsidP="001A4A89">
            <w:pPr>
              <w:pStyle w:val="BodyText"/>
            </w:pPr>
            <w:r>
              <w:t xml:space="preserve">Interim protections </w:t>
            </w:r>
          </w:p>
        </w:tc>
        <w:tc>
          <w:tcPr>
            <w:tcW w:w="7796" w:type="dxa"/>
            <w:tcBorders>
              <w:top w:val="single" w:sz="8" w:space="0" w:color="CDDC29" w:themeColor="text2"/>
              <w:left w:val="nil"/>
              <w:bottom w:val="single" w:sz="8" w:space="0" w:color="CDDC29" w:themeColor="text2"/>
              <w:right w:val="nil"/>
            </w:tcBorders>
            <w:hideMark/>
          </w:tcPr>
          <w:p w14:paraId="36BFE154" w14:textId="77777777" w:rsidR="00324D1B" w:rsidRDefault="00324D1B" w:rsidP="001A4A89">
            <w:pPr>
              <w:pStyle w:val="BodyText"/>
            </w:pPr>
            <w:r>
              <w:t>Not required for this hazard based on the overall risk level of low.</w:t>
            </w:r>
          </w:p>
        </w:tc>
      </w:tr>
      <w:tr w:rsidR="0055375E" w14:paraId="6D007ADA" w14:textId="77777777" w:rsidTr="001A4A89">
        <w:tc>
          <w:tcPr>
            <w:tcW w:w="2127" w:type="dxa"/>
            <w:tcBorders>
              <w:top w:val="single" w:sz="8" w:space="0" w:color="CDDC29" w:themeColor="text2"/>
              <w:left w:val="nil"/>
              <w:bottom w:val="single" w:sz="8" w:space="0" w:color="CDDC29" w:themeColor="text2"/>
              <w:right w:val="nil"/>
            </w:tcBorders>
          </w:tcPr>
          <w:p w14:paraId="7C89755A" w14:textId="4675FC6C" w:rsidR="0055375E" w:rsidRDefault="0055375E" w:rsidP="001A4A89">
            <w:pPr>
              <w:pStyle w:val="BodyText"/>
            </w:pPr>
            <w:r>
              <w:t>Priority management actions</w:t>
            </w:r>
          </w:p>
        </w:tc>
        <w:tc>
          <w:tcPr>
            <w:tcW w:w="7796" w:type="dxa"/>
            <w:tcBorders>
              <w:top w:val="single" w:sz="8" w:space="0" w:color="CDDC29" w:themeColor="text2"/>
              <w:left w:val="nil"/>
              <w:bottom w:val="single" w:sz="8" w:space="0" w:color="CDDC29" w:themeColor="text2"/>
              <w:right w:val="nil"/>
            </w:tcBorders>
          </w:tcPr>
          <w:p w14:paraId="4067E672" w14:textId="39319FBD" w:rsidR="0055375E" w:rsidRDefault="0055375E" w:rsidP="001A4A89">
            <w:pPr>
              <w:pStyle w:val="BodyText"/>
            </w:pPr>
            <w:r>
              <w:t>Not required for this hazard based on the overall risk level of low.</w:t>
            </w:r>
          </w:p>
        </w:tc>
      </w:tr>
      <w:tr w:rsidR="00324D1B" w14:paraId="184E0645" w14:textId="77777777" w:rsidTr="001A4A89">
        <w:tc>
          <w:tcPr>
            <w:tcW w:w="2127" w:type="dxa"/>
            <w:tcBorders>
              <w:top w:val="single" w:sz="8" w:space="0" w:color="CDDC29" w:themeColor="text2"/>
              <w:left w:val="nil"/>
              <w:bottom w:val="single" w:sz="8" w:space="0" w:color="CDDC29" w:themeColor="text2"/>
              <w:right w:val="nil"/>
            </w:tcBorders>
            <w:hideMark/>
          </w:tcPr>
          <w:p w14:paraId="3C166C40" w14:textId="77777777" w:rsidR="00324D1B" w:rsidRDefault="00324D1B" w:rsidP="001A4A89">
            <w:pPr>
              <w:pStyle w:val="BodyText"/>
            </w:pPr>
            <w:r>
              <w:t>Permanent protections</w:t>
            </w:r>
          </w:p>
        </w:tc>
        <w:tc>
          <w:tcPr>
            <w:tcW w:w="7796" w:type="dxa"/>
            <w:tcBorders>
              <w:top w:val="single" w:sz="8" w:space="0" w:color="CDDC29" w:themeColor="text2"/>
              <w:left w:val="nil"/>
              <w:bottom w:val="single" w:sz="8" w:space="0" w:color="CDDC29" w:themeColor="text2"/>
              <w:right w:val="nil"/>
            </w:tcBorders>
            <w:hideMark/>
          </w:tcPr>
          <w:p w14:paraId="4343BA47" w14:textId="56DA04E1" w:rsidR="00324D1B" w:rsidRDefault="0055375E" w:rsidP="001A4A89">
            <w:pPr>
              <w:pStyle w:val="BodyText"/>
            </w:pPr>
            <w:r>
              <w:t>Not required for this hazard based on the overall risk level of low.</w:t>
            </w:r>
          </w:p>
        </w:tc>
      </w:tr>
      <w:tr w:rsidR="00324D1B" w14:paraId="191016D5" w14:textId="77777777" w:rsidTr="001A4A89">
        <w:tc>
          <w:tcPr>
            <w:tcW w:w="2127" w:type="dxa"/>
            <w:tcBorders>
              <w:top w:val="single" w:sz="8" w:space="0" w:color="CDDC29" w:themeColor="text2"/>
              <w:left w:val="nil"/>
              <w:bottom w:val="single" w:sz="8" w:space="0" w:color="CDDC29" w:themeColor="text2"/>
              <w:right w:val="nil"/>
            </w:tcBorders>
            <w:hideMark/>
          </w:tcPr>
          <w:p w14:paraId="04533BB1" w14:textId="04FA1C0F" w:rsidR="00324D1B" w:rsidRDefault="00150C7E" w:rsidP="001A4A89">
            <w:pPr>
              <w:pStyle w:val="BodyText"/>
            </w:pPr>
            <w:r>
              <w:t>Potential management actions</w:t>
            </w:r>
          </w:p>
        </w:tc>
        <w:tc>
          <w:tcPr>
            <w:tcW w:w="7796" w:type="dxa"/>
            <w:tcBorders>
              <w:top w:val="single" w:sz="8" w:space="0" w:color="CDDC29" w:themeColor="text2"/>
              <w:left w:val="nil"/>
              <w:bottom w:val="single" w:sz="8" w:space="0" w:color="CDDC29" w:themeColor="text2"/>
              <w:right w:val="nil"/>
            </w:tcBorders>
            <w:hideMark/>
          </w:tcPr>
          <w:p w14:paraId="2A2CF06C" w14:textId="77777777" w:rsidR="00324D1B" w:rsidRDefault="00324D1B" w:rsidP="006670D2">
            <w:pPr>
              <w:pStyle w:val="PullOutBoxBullet"/>
            </w:pPr>
            <w:r>
              <w:t>Species-specific code prescriptions should be considered in any future Code amendments.</w:t>
            </w:r>
          </w:p>
        </w:tc>
      </w:tr>
    </w:tbl>
    <w:p w14:paraId="162E5BC3" w14:textId="234F9E00" w:rsidR="00324D1B" w:rsidRDefault="00324D1B" w:rsidP="00FB5A2B">
      <w:pPr>
        <w:pStyle w:val="Heading2"/>
        <w:ind w:left="0"/>
        <w:rPr>
          <w:i/>
        </w:rPr>
      </w:pPr>
      <w:r>
        <w:rPr>
          <w:color w:val="auto"/>
        </w:rPr>
        <w:br w:type="page"/>
      </w:r>
      <w:bookmarkStart w:id="682" w:name="_Toc95234107"/>
      <w:bookmarkStart w:id="683" w:name="_Toc113271051"/>
      <w:r w:rsidRPr="000A0FE5">
        <w:t>Lax Twig-sedge</w:t>
      </w:r>
      <w:r>
        <w:t xml:space="preserve"> </w:t>
      </w:r>
      <w:r w:rsidRPr="005F7D8C">
        <w:rPr>
          <w:i/>
          <w:iCs/>
        </w:rPr>
        <w:t>(Baumea laxa)</w:t>
      </w:r>
      <w:bookmarkEnd w:id="682"/>
      <w:bookmarkEnd w:id="683"/>
    </w:p>
    <w:p w14:paraId="0B83044F" w14:textId="699B40FA" w:rsidR="00324D1B" w:rsidRDefault="00324D1B" w:rsidP="00324D1B">
      <w:pPr>
        <w:pStyle w:val="BodyText"/>
      </w:pPr>
      <w:r>
        <w:t xml:space="preserve">The Lax Twig-sedge was listed as Endangered in Victoria under the FFG Act in May 2021. The </w:t>
      </w:r>
      <w:r w:rsidR="001D3902">
        <w:t>species</w:t>
      </w:r>
      <w:r>
        <w:t xml:space="preserve"> has modelled habitat in the Gippsland (31% of modelled habitat) and West (67% of modelled habitat) RFA regions and has 2% of modelled habitat in non-RFA regions.</w:t>
      </w:r>
      <w:r>
        <w:rPr>
          <w:rStyle w:val="BodyTextChar"/>
        </w:rPr>
        <w:t xml:space="preserve"> Permanent protections are recommended to address any hazards identified at a significant or high risk, and all</w:t>
      </w:r>
      <w:r>
        <w:t xml:space="preserve"> hazards rated a medium risk or higher will be considered in future management planning.</w:t>
      </w:r>
    </w:p>
    <w:p w14:paraId="3C491494" w14:textId="77777777" w:rsidR="00324D1B" w:rsidRDefault="00324D1B" w:rsidP="007E5EBF">
      <w:pPr>
        <w:pStyle w:val="Heading3"/>
        <w:ind w:left="720" w:hanging="720"/>
      </w:pPr>
      <w:r>
        <w:t>Risk Assessment</w:t>
      </w:r>
    </w:p>
    <w:p w14:paraId="5AA74F5A" w14:textId="07276D43"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137</w:t>
      </w:r>
      <w:r w:rsidR="000B6788" w:rsidRPr="00291BDC">
        <w:rPr>
          <w:bCs/>
          <w:noProof/>
        </w:rPr>
        <w:fldChar w:fldCharType="end"/>
      </w:r>
      <w:r w:rsidRPr="00FF310C">
        <w:t>. Lax Twig-sedge risk ratings in the Gippsland RFA region:</w:t>
      </w:r>
    </w:p>
    <w:tbl>
      <w:tblPr>
        <w:tblStyle w:val="TableGrid"/>
        <w:tblW w:w="7230" w:type="dxa"/>
        <w:tblLook w:val="04A0" w:firstRow="1" w:lastRow="0" w:firstColumn="1" w:lastColumn="0" w:noHBand="0" w:noVBand="1"/>
      </w:tblPr>
      <w:tblGrid>
        <w:gridCol w:w="2410"/>
        <w:gridCol w:w="2410"/>
        <w:gridCol w:w="2410"/>
      </w:tblGrid>
      <w:tr w:rsidR="00324D1B" w14:paraId="069E75D8"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tcBorders>
              <w:top w:val="single" w:sz="8" w:space="0" w:color="CDDC29" w:themeColor="text2"/>
              <w:left w:val="nil"/>
              <w:bottom w:val="single" w:sz="8" w:space="0" w:color="CDDC29" w:themeColor="text2"/>
              <w:right w:val="nil"/>
            </w:tcBorders>
            <w:vAlign w:val="center"/>
          </w:tcPr>
          <w:p w14:paraId="5F9C0483" w14:textId="77777777" w:rsidR="00324D1B" w:rsidRDefault="00324D1B" w:rsidP="006670D2">
            <w:pPr>
              <w:pStyle w:val="CaptionImageorFigure"/>
            </w:pPr>
          </w:p>
        </w:tc>
        <w:tc>
          <w:tcPr>
            <w:tcW w:w="2410" w:type="dxa"/>
            <w:tcBorders>
              <w:top w:val="single" w:sz="8" w:space="0" w:color="CDDC29" w:themeColor="text2"/>
              <w:left w:val="nil"/>
              <w:bottom w:val="single" w:sz="8" w:space="0" w:color="CDDC29" w:themeColor="text2"/>
              <w:right w:val="nil"/>
            </w:tcBorders>
            <w:vAlign w:val="center"/>
            <w:hideMark/>
          </w:tcPr>
          <w:p w14:paraId="7F66071A"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w:t>
            </w:r>
          </w:p>
        </w:tc>
        <w:tc>
          <w:tcPr>
            <w:tcW w:w="2410" w:type="dxa"/>
            <w:tcBorders>
              <w:top w:val="single" w:sz="8" w:space="0" w:color="CDDC29" w:themeColor="text2"/>
              <w:left w:val="nil"/>
              <w:bottom w:val="single" w:sz="8" w:space="0" w:color="CDDC29" w:themeColor="text2"/>
              <w:right w:val="nil"/>
            </w:tcBorders>
            <w:vAlign w:val="center"/>
            <w:hideMark/>
          </w:tcPr>
          <w:p w14:paraId="082B77C5"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Agriculture</w:t>
            </w:r>
          </w:p>
        </w:tc>
      </w:tr>
      <w:tr w:rsidR="00324D1B" w14:paraId="7655A988" w14:textId="77777777" w:rsidTr="00324D1B">
        <w:tc>
          <w:tcPr>
            <w:tcW w:w="2410" w:type="dxa"/>
            <w:tcBorders>
              <w:top w:val="single" w:sz="8" w:space="0" w:color="CDDC29" w:themeColor="text2"/>
              <w:left w:val="nil"/>
              <w:bottom w:val="single" w:sz="8" w:space="0" w:color="CDDC29" w:themeColor="text2"/>
              <w:right w:val="nil"/>
            </w:tcBorders>
            <w:vAlign w:val="center"/>
            <w:hideMark/>
          </w:tcPr>
          <w:p w14:paraId="081B9891" w14:textId="77777777" w:rsidR="00324D1B" w:rsidRDefault="00324D1B" w:rsidP="0042650F">
            <w:pPr>
              <w:pStyle w:val="BodyText"/>
              <w:jc w:val="center"/>
            </w:pPr>
            <w:r>
              <w:t>Consequence</w:t>
            </w:r>
          </w:p>
        </w:tc>
        <w:tc>
          <w:tcPr>
            <w:tcW w:w="2410" w:type="dxa"/>
            <w:tcBorders>
              <w:top w:val="single" w:sz="8" w:space="0" w:color="CDDC29" w:themeColor="text2"/>
              <w:left w:val="nil"/>
              <w:bottom w:val="single" w:sz="8" w:space="0" w:color="CDDC29" w:themeColor="text2"/>
              <w:right w:val="nil"/>
            </w:tcBorders>
            <w:vAlign w:val="center"/>
            <w:hideMark/>
          </w:tcPr>
          <w:p w14:paraId="25B8B5E3" w14:textId="77777777" w:rsidR="00324D1B" w:rsidRDefault="00324D1B" w:rsidP="0042650F">
            <w:pPr>
              <w:pStyle w:val="BodyText"/>
              <w:jc w:val="center"/>
            </w:pPr>
            <w:r>
              <w:t>Major</w:t>
            </w:r>
          </w:p>
        </w:tc>
        <w:tc>
          <w:tcPr>
            <w:tcW w:w="2410" w:type="dxa"/>
            <w:tcBorders>
              <w:top w:val="single" w:sz="8" w:space="0" w:color="CDDC29" w:themeColor="text2"/>
              <w:left w:val="nil"/>
              <w:bottom w:val="single" w:sz="8" w:space="0" w:color="CDDC29" w:themeColor="text2"/>
              <w:right w:val="nil"/>
            </w:tcBorders>
            <w:vAlign w:val="center"/>
            <w:hideMark/>
          </w:tcPr>
          <w:p w14:paraId="3A269CAF" w14:textId="77777777" w:rsidR="00324D1B" w:rsidRDefault="00324D1B" w:rsidP="0042650F">
            <w:pPr>
              <w:pStyle w:val="BodyText"/>
              <w:jc w:val="center"/>
            </w:pPr>
            <w:r>
              <w:t>Moderate</w:t>
            </w:r>
          </w:p>
        </w:tc>
      </w:tr>
      <w:tr w:rsidR="00324D1B" w14:paraId="1BB06646" w14:textId="77777777" w:rsidTr="00324D1B">
        <w:tc>
          <w:tcPr>
            <w:tcW w:w="2410" w:type="dxa"/>
            <w:tcBorders>
              <w:top w:val="single" w:sz="8" w:space="0" w:color="CDDC29" w:themeColor="text2"/>
              <w:left w:val="nil"/>
              <w:bottom w:val="single" w:sz="8" w:space="0" w:color="CDDC29" w:themeColor="text2"/>
              <w:right w:val="nil"/>
            </w:tcBorders>
            <w:vAlign w:val="center"/>
            <w:hideMark/>
          </w:tcPr>
          <w:p w14:paraId="4F55BCF1" w14:textId="77777777" w:rsidR="00324D1B" w:rsidRDefault="00324D1B" w:rsidP="0042650F">
            <w:pPr>
              <w:pStyle w:val="BodyText"/>
              <w:jc w:val="center"/>
            </w:pPr>
            <w:r>
              <w:t>Likelihood</w:t>
            </w:r>
          </w:p>
        </w:tc>
        <w:tc>
          <w:tcPr>
            <w:tcW w:w="2410" w:type="dxa"/>
            <w:tcBorders>
              <w:top w:val="single" w:sz="8" w:space="0" w:color="CDDC29" w:themeColor="text2"/>
              <w:left w:val="nil"/>
              <w:bottom w:val="single" w:sz="8" w:space="0" w:color="CDDC29" w:themeColor="text2"/>
              <w:right w:val="nil"/>
            </w:tcBorders>
            <w:vAlign w:val="center"/>
            <w:hideMark/>
          </w:tcPr>
          <w:p w14:paraId="273E512E" w14:textId="77777777" w:rsidR="00324D1B" w:rsidRDefault="00324D1B" w:rsidP="0042650F">
            <w:pPr>
              <w:pStyle w:val="BodyText"/>
              <w:jc w:val="center"/>
            </w:pPr>
            <w:r>
              <w:t>Likely</w:t>
            </w:r>
          </w:p>
        </w:tc>
        <w:tc>
          <w:tcPr>
            <w:tcW w:w="2410" w:type="dxa"/>
            <w:tcBorders>
              <w:top w:val="single" w:sz="8" w:space="0" w:color="CDDC29" w:themeColor="text2"/>
              <w:left w:val="nil"/>
              <w:bottom w:val="single" w:sz="8" w:space="0" w:color="CDDC29" w:themeColor="text2"/>
              <w:right w:val="nil"/>
            </w:tcBorders>
            <w:vAlign w:val="center"/>
            <w:hideMark/>
          </w:tcPr>
          <w:p w14:paraId="1CBD0D35" w14:textId="77777777" w:rsidR="00324D1B" w:rsidRDefault="00324D1B" w:rsidP="0042650F">
            <w:pPr>
              <w:pStyle w:val="BodyText"/>
              <w:jc w:val="center"/>
            </w:pPr>
            <w:r>
              <w:t>Likely</w:t>
            </w:r>
          </w:p>
        </w:tc>
      </w:tr>
      <w:tr w:rsidR="00324D1B" w14:paraId="4186F995" w14:textId="77777777" w:rsidTr="00324D1B">
        <w:tc>
          <w:tcPr>
            <w:tcW w:w="2410" w:type="dxa"/>
            <w:tcBorders>
              <w:top w:val="single" w:sz="8" w:space="0" w:color="CDDC29" w:themeColor="text2"/>
              <w:left w:val="nil"/>
              <w:bottom w:val="single" w:sz="8" w:space="0" w:color="CDDC29" w:themeColor="text2"/>
              <w:right w:val="nil"/>
            </w:tcBorders>
            <w:vAlign w:val="center"/>
            <w:hideMark/>
          </w:tcPr>
          <w:p w14:paraId="595051DC" w14:textId="77777777" w:rsidR="00324D1B" w:rsidRDefault="00324D1B" w:rsidP="0042650F">
            <w:pPr>
              <w:pStyle w:val="BodyText"/>
              <w:jc w:val="center"/>
            </w:pPr>
            <w:r>
              <w:t>Overall risk rating</w:t>
            </w:r>
          </w:p>
        </w:tc>
        <w:tc>
          <w:tcPr>
            <w:tcW w:w="2410" w:type="dxa"/>
            <w:tcBorders>
              <w:top w:val="single" w:sz="8" w:space="0" w:color="CDDC29" w:themeColor="text2"/>
              <w:left w:val="nil"/>
              <w:bottom w:val="single" w:sz="8" w:space="0" w:color="CDDC29" w:themeColor="text2"/>
              <w:right w:val="nil"/>
            </w:tcBorders>
            <w:shd w:val="clear" w:color="auto" w:fill="FF0000"/>
            <w:vAlign w:val="center"/>
            <w:hideMark/>
          </w:tcPr>
          <w:p w14:paraId="79615B3B" w14:textId="77777777" w:rsidR="00324D1B" w:rsidRDefault="00324D1B" w:rsidP="0042650F">
            <w:pPr>
              <w:pStyle w:val="BodyText"/>
              <w:jc w:val="center"/>
            </w:pPr>
            <w:r>
              <w:t>High</w:t>
            </w:r>
          </w:p>
        </w:tc>
        <w:tc>
          <w:tcPr>
            <w:tcW w:w="2410" w:type="dxa"/>
            <w:tcBorders>
              <w:top w:val="single" w:sz="8" w:space="0" w:color="CDDC29" w:themeColor="text2"/>
              <w:left w:val="nil"/>
              <w:bottom w:val="single" w:sz="8" w:space="0" w:color="CDDC29" w:themeColor="text2"/>
              <w:right w:val="nil"/>
            </w:tcBorders>
            <w:shd w:val="clear" w:color="auto" w:fill="FFC000"/>
            <w:vAlign w:val="center"/>
            <w:hideMark/>
          </w:tcPr>
          <w:p w14:paraId="26F5DF5F" w14:textId="77777777" w:rsidR="00324D1B" w:rsidRDefault="00324D1B" w:rsidP="0042650F">
            <w:pPr>
              <w:pStyle w:val="BodyText"/>
              <w:jc w:val="center"/>
            </w:pPr>
            <w:r>
              <w:t>Significant</w:t>
            </w:r>
          </w:p>
        </w:tc>
      </w:tr>
    </w:tbl>
    <w:p w14:paraId="72219A33" w14:textId="5773C786"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138</w:t>
      </w:r>
      <w:r w:rsidR="000B6788" w:rsidRPr="00291BDC">
        <w:rPr>
          <w:bCs/>
          <w:noProof/>
        </w:rPr>
        <w:fldChar w:fldCharType="end"/>
      </w:r>
      <w:r w:rsidRPr="00FF310C">
        <w:t>. Lax Twig-sedge risk ratings in the West RFA region:</w:t>
      </w:r>
    </w:p>
    <w:tbl>
      <w:tblPr>
        <w:tblStyle w:val="TableGrid"/>
        <w:tblW w:w="9639" w:type="dxa"/>
        <w:tblLook w:val="04A0" w:firstRow="1" w:lastRow="0" w:firstColumn="1" w:lastColumn="0" w:noHBand="0" w:noVBand="1"/>
      </w:tblPr>
      <w:tblGrid>
        <w:gridCol w:w="2409"/>
        <w:gridCol w:w="2410"/>
        <w:gridCol w:w="2410"/>
        <w:gridCol w:w="2410"/>
      </w:tblGrid>
      <w:tr w:rsidR="00324D1B" w14:paraId="634DB0BF"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09" w:type="dxa"/>
            <w:tcBorders>
              <w:top w:val="single" w:sz="8" w:space="0" w:color="CDDC29" w:themeColor="text2"/>
              <w:left w:val="nil"/>
              <w:bottom w:val="single" w:sz="8" w:space="0" w:color="CDDC29" w:themeColor="text2"/>
              <w:right w:val="nil"/>
            </w:tcBorders>
            <w:vAlign w:val="center"/>
          </w:tcPr>
          <w:p w14:paraId="0E2584E6" w14:textId="77777777" w:rsidR="00324D1B" w:rsidRDefault="00324D1B" w:rsidP="006670D2">
            <w:pPr>
              <w:pStyle w:val="CaptionImageorFigure"/>
            </w:pPr>
          </w:p>
        </w:tc>
        <w:tc>
          <w:tcPr>
            <w:tcW w:w="2410" w:type="dxa"/>
            <w:tcBorders>
              <w:top w:val="single" w:sz="8" w:space="0" w:color="CDDC29" w:themeColor="text2"/>
              <w:left w:val="nil"/>
              <w:bottom w:val="single" w:sz="8" w:space="0" w:color="CDDC29" w:themeColor="text2"/>
              <w:right w:val="nil"/>
            </w:tcBorders>
            <w:vAlign w:val="center"/>
            <w:hideMark/>
          </w:tcPr>
          <w:p w14:paraId="50683476"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w:t>
            </w:r>
          </w:p>
        </w:tc>
        <w:tc>
          <w:tcPr>
            <w:tcW w:w="2410" w:type="dxa"/>
            <w:tcBorders>
              <w:top w:val="single" w:sz="8" w:space="0" w:color="CDDC29" w:themeColor="text2"/>
              <w:left w:val="nil"/>
              <w:bottom w:val="single" w:sz="8" w:space="0" w:color="CDDC29" w:themeColor="text2"/>
              <w:right w:val="nil"/>
            </w:tcBorders>
            <w:vAlign w:val="center"/>
            <w:hideMark/>
          </w:tcPr>
          <w:p w14:paraId="48B16297"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c>
          <w:tcPr>
            <w:tcW w:w="2410" w:type="dxa"/>
            <w:tcBorders>
              <w:top w:val="single" w:sz="8" w:space="0" w:color="CDDC29" w:themeColor="text2"/>
              <w:left w:val="nil"/>
              <w:bottom w:val="single" w:sz="8" w:space="0" w:color="CDDC29" w:themeColor="text2"/>
              <w:right w:val="nil"/>
            </w:tcBorders>
            <w:vAlign w:val="center"/>
            <w:hideMark/>
          </w:tcPr>
          <w:p w14:paraId="58201EE2"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Agriculture</w:t>
            </w:r>
          </w:p>
        </w:tc>
      </w:tr>
      <w:tr w:rsidR="00324D1B" w14:paraId="5345C2A2" w14:textId="77777777" w:rsidTr="00324D1B">
        <w:tc>
          <w:tcPr>
            <w:tcW w:w="2409" w:type="dxa"/>
            <w:tcBorders>
              <w:top w:val="single" w:sz="8" w:space="0" w:color="CDDC29" w:themeColor="text2"/>
              <w:left w:val="nil"/>
              <w:bottom w:val="single" w:sz="8" w:space="0" w:color="CDDC29" w:themeColor="text2"/>
              <w:right w:val="nil"/>
            </w:tcBorders>
            <w:vAlign w:val="center"/>
            <w:hideMark/>
          </w:tcPr>
          <w:p w14:paraId="368277C3" w14:textId="77777777" w:rsidR="00324D1B" w:rsidRDefault="00324D1B" w:rsidP="0042650F">
            <w:pPr>
              <w:pStyle w:val="BodyText"/>
              <w:jc w:val="center"/>
            </w:pPr>
            <w:r>
              <w:t>Consequence</w:t>
            </w:r>
          </w:p>
        </w:tc>
        <w:tc>
          <w:tcPr>
            <w:tcW w:w="2410" w:type="dxa"/>
            <w:tcBorders>
              <w:top w:val="single" w:sz="8" w:space="0" w:color="CDDC29" w:themeColor="text2"/>
              <w:left w:val="nil"/>
              <w:bottom w:val="single" w:sz="8" w:space="0" w:color="CDDC29" w:themeColor="text2"/>
              <w:right w:val="nil"/>
            </w:tcBorders>
            <w:vAlign w:val="center"/>
            <w:hideMark/>
          </w:tcPr>
          <w:p w14:paraId="46394EA7" w14:textId="77777777" w:rsidR="00324D1B" w:rsidRDefault="00324D1B" w:rsidP="0042650F">
            <w:pPr>
              <w:pStyle w:val="BodyText"/>
              <w:jc w:val="center"/>
            </w:pPr>
            <w:r>
              <w:t>Major</w:t>
            </w:r>
          </w:p>
        </w:tc>
        <w:tc>
          <w:tcPr>
            <w:tcW w:w="2410" w:type="dxa"/>
            <w:tcBorders>
              <w:top w:val="single" w:sz="8" w:space="0" w:color="CDDC29" w:themeColor="text2"/>
              <w:left w:val="nil"/>
              <w:bottom w:val="single" w:sz="8" w:space="0" w:color="CDDC29" w:themeColor="text2"/>
              <w:right w:val="nil"/>
            </w:tcBorders>
            <w:vAlign w:val="center"/>
            <w:hideMark/>
          </w:tcPr>
          <w:p w14:paraId="1F8B3C34" w14:textId="77777777" w:rsidR="00324D1B" w:rsidRDefault="00324D1B" w:rsidP="0042650F">
            <w:pPr>
              <w:pStyle w:val="BodyText"/>
              <w:jc w:val="center"/>
            </w:pPr>
            <w:r>
              <w:t>Moderate</w:t>
            </w:r>
          </w:p>
        </w:tc>
        <w:tc>
          <w:tcPr>
            <w:tcW w:w="2410" w:type="dxa"/>
            <w:tcBorders>
              <w:top w:val="single" w:sz="8" w:space="0" w:color="CDDC29" w:themeColor="text2"/>
              <w:left w:val="nil"/>
              <w:bottom w:val="single" w:sz="8" w:space="0" w:color="CDDC29" w:themeColor="text2"/>
              <w:right w:val="nil"/>
            </w:tcBorders>
            <w:vAlign w:val="center"/>
            <w:hideMark/>
          </w:tcPr>
          <w:p w14:paraId="3B916112" w14:textId="77777777" w:rsidR="00324D1B" w:rsidRDefault="00324D1B" w:rsidP="0042650F">
            <w:pPr>
              <w:pStyle w:val="BodyText"/>
              <w:jc w:val="center"/>
            </w:pPr>
            <w:r>
              <w:t>Moderate</w:t>
            </w:r>
          </w:p>
        </w:tc>
      </w:tr>
      <w:tr w:rsidR="00324D1B" w14:paraId="41D51A3A" w14:textId="77777777" w:rsidTr="00324D1B">
        <w:tc>
          <w:tcPr>
            <w:tcW w:w="2409" w:type="dxa"/>
            <w:tcBorders>
              <w:top w:val="single" w:sz="8" w:space="0" w:color="CDDC29" w:themeColor="text2"/>
              <w:left w:val="nil"/>
              <w:bottom w:val="single" w:sz="8" w:space="0" w:color="CDDC29" w:themeColor="text2"/>
              <w:right w:val="nil"/>
            </w:tcBorders>
            <w:vAlign w:val="center"/>
            <w:hideMark/>
          </w:tcPr>
          <w:p w14:paraId="3648AB8D" w14:textId="77777777" w:rsidR="00324D1B" w:rsidRDefault="00324D1B" w:rsidP="0042650F">
            <w:pPr>
              <w:pStyle w:val="BodyText"/>
              <w:jc w:val="center"/>
            </w:pPr>
            <w:r>
              <w:t>Likelihood</w:t>
            </w:r>
          </w:p>
        </w:tc>
        <w:tc>
          <w:tcPr>
            <w:tcW w:w="2410" w:type="dxa"/>
            <w:tcBorders>
              <w:top w:val="single" w:sz="8" w:space="0" w:color="CDDC29" w:themeColor="text2"/>
              <w:left w:val="nil"/>
              <w:bottom w:val="single" w:sz="8" w:space="0" w:color="CDDC29" w:themeColor="text2"/>
              <w:right w:val="nil"/>
            </w:tcBorders>
            <w:vAlign w:val="center"/>
            <w:hideMark/>
          </w:tcPr>
          <w:p w14:paraId="1CEA0CE0" w14:textId="77777777" w:rsidR="00324D1B" w:rsidRDefault="00324D1B" w:rsidP="0042650F">
            <w:pPr>
              <w:pStyle w:val="BodyText"/>
              <w:jc w:val="center"/>
            </w:pPr>
            <w:r>
              <w:t>Likely</w:t>
            </w:r>
          </w:p>
        </w:tc>
        <w:tc>
          <w:tcPr>
            <w:tcW w:w="2410" w:type="dxa"/>
            <w:tcBorders>
              <w:top w:val="single" w:sz="8" w:space="0" w:color="CDDC29" w:themeColor="text2"/>
              <w:left w:val="nil"/>
              <w:bottom w:val="single" w:sz="8" w:space="0" w:color="CDDC29" w:themeColor="text2"/>
              <w:right w:val="nil"/>
            </w:tcBorders>
            <w:vAlign w:val="center"/>
            <w:hideMark/>
          </w:tcPr>
          <w:p w14:paraId="59FCC03F" w14:textId="77777777" w:rsidR="00324D1B" w:rsidRDefault="00324D1B" w:rsidP="0042650F">
            <w:pPr>
              <w:pStyle w:val="BodyText"/>
              <w:jc w:val="center"/>
            </w:pPr>
            <w:r>
              <w:t>Possible</w:t>
            </w:r>
          </w:p>
        </w:tc>
        <w:tc>
          <w:tcPr>
            <w:tcW w:w="2410" w:type="dxa"/>
            <w:tcBorders>
              <w:top w:val="single" w:sz="8" w:space="0" w:color="CDDC29" w:themeColor="text2"/>
              <w:left w:val="nil"/>
              <w:bottom w:val="single" w:sz="8" w:space="0" w:color="CDDC29" w:themeColor="text2"/>
              <w:right w:val="nil"/>
            </w:tcBorders>
            <w:vAlign w:val="center"/>
            <w:hideMark/>
          </w:tcPr>
          <w:p w14:paraId="506806AE" w14:textId="77777777" w:rsidR="00324D1B" w:rsidRDefault="00324D1B" w:rsidP="0042650F">
            <w:pPr>
              <w:pStyle w:val="BodyText"/>
              <w:jc w:val="center"/>
            </w:pPr>
            <w:r>
              <w:t>Likely</w:t>
            </w:r>
          </w:p>
        </w:tc>
      </w:tr>
      <w:tr w:rsidR="00324D1B" w14:paraId="62F4AC11" w14:textId="77777777" w:rsidTr="00324D1B">
        <w:tc>
          <w:tcPr>
            <w:tcW w:w="2409" w:type="dxa"/>
            <w:tcBorders>
              <w:top w:val="single" w:sz="8" w:space="0" w:color="CDDC29" w:themeColor="text2"/>
              <w:left w:val="nil"/>
              <w:bottom w:val="single" w:sz="8" w:space="0" w:color="CDDC29" w:themeColor="text2"/>
              <w:right w:val="nil"/>
            </w:tcBorders>
            <w:vAlign w:val="center"/>
            <w:hideMark/>
          </w:tcPr>
          <w:p w14:paraId="275BF4D2" w14:textId="77777777" w:rsidR="00324D1B" w:rsidRDefault="00324D1B" w:rsidP="0042650F">
            <w:pPr>
              <w:pStyle w:val="BodyText"/>
              <w:jc w:val="center"/>
            </w:pPr>
            <w:r>
              <w:t>Overall risk rating</w:t>
            </w:r>
          </w:p>
        </w:tc>
        <w:tc>
          <w:tcPr>
            <w:tcW w:w="2410" w:type="dxa"/>
            <w:tcBorders>
              <w:top w:val="single" w:sz="8" w:space="0" w:color="CDDC29" w:themeColor="text2"/>
              <w:left w:val="nil"/>
              <w:bottom w:val="single" w:sz="8" w:space="0" w:color="CDDC29" w:themeColor="text2"/>
              <w:right w:val="nil"/>
            </w:tcBorders>
            <w:shd w:val="clear" w:color="auto" w:fill="FF0000"/>
            <w:vAlign w:val="center"/>
            <w:hideMark/>
          </w:tcPr>
          <w:p w14:paraId="0DCBD649" w14:textId="77777777" w:rsidR="00324D1B" w:rsidRDefault="00324D1B" w:rsidP="0042650F">
            <w:pPr>
              <w:pStyle w:val="BodyText"/>
              <w:jc w:val="center"/>
            </w:pPr>
            <w:r>
              <w:t>High</w:t>
            </w:r>
          </w:p>
        </w:tc>
        <w:tc>
          <w:tcPr>
            <w:tcW w:w="2410" w:type="dxa"/>
            <w:tcBorders>
              <w:top w:val="single" w:sz="8" w:space="0" w:color="CDDC29" w:themeColor="text2"/>
              <w:left w:val="nil"/>
              <w:bottom w:val="single" w:sz="8" w:space="0" w:color="CDDC29" w:themeColor="text2"/>
              <w:right w:val="nil"/>
            </w:tcBorders>
            <w:shd w:val="clear" w:color="auto" w:fill="FFFF00"/>
            <w:vAlign w:val="center"/>
            <w:hideMark/>
          </w:tcPr>
          <w:p w14:paraId="5FE8789F" w14:textId="77777777" w:rsidR="00324D1B" w:rsidRDefault="00324D1B" w:rsidP="0042650F">
            <w:pPr>
              <w:pStyle w:val="BodyText"/>
              <w:jc w:val="center"/>
            </w:pPr>
            <w:r>
              <w:t>Medium</w:t>
            </w:r>
          </w:p>
        </w:tc>
        <w:tc>
          <w:tcPr>
            <w:tcW w:w="2410" w:type="dxa"/>
            <w:tcBorders>
              <w:top w:val="single" w:sz="8" w:space="0" w:color="CDDC29" w:themeColor="text2"/>
              <w:left w:val="nil"/>
              <w:bottom w:val="single" w:sz="8" w:space="0" w:color="CDDC29" w:themeColor="text2"/>
              <w:right w:val="nil"/>
            </w:tcBorders>
            <w:shd w:val="clear" w:color="auto" w:fill="FFC000"/>
            <w:vAlign w:val="center"/>
            <w:hideMark/>
          </w:tcPr>
          <w:p w14:paraId="74685E40" w14:textId="77777777" w:rsidR="00324D1B" w:rsidRDefault="00324D1B" w:rsidP="0042650F">
            <w:pPr>
              <w:pStyle w:val="BodyText"/>
              <w:jc w:val="center"/>
            </w:pPr>
            <w:r>
              <w:t>Significant</w:t>
            </w:r>
          </w:p>
        </w:tc>
      </w:tr>
    </w:tbl>
    <w:p w14:paraId="5F79FAE4" w14:textId="77777777" w:rsidR="00324D1B" w:rsidRDefault="00324D1B" w:rsidP="007E5EBF">
      <w:pPr>
        <w:pStyle w:val="Heading3"/>
        <w:ind w:left="720" w:hanging="720"/>
        <w:jc w:val="both"/>
      </w:pPr>
      <w:r>
        <w:t>Climate change</w:t>
      </w:r>
    </w:p>
    <w:p w14:paraId="659ADA30" w14:textId="77777777" w:rsidR="00324D1B" w:rsidRDefault="00324D1B" w:rsidP="00324D1B">
      <w:pPr>
        <w:pStyle w:val="Heading5"/>
        <w:numPr>
          <w:ilvl w:val="0"/>
          <w:numId w:val="0"/>
        </w:numPr>
        <w:tabs>
          <w:tab w:val="left" w:pos="720"/>
        </w:tabs>
        <w:ind w:left="1008" w:hanging="1008"/>
      </w:pPr>
      <w:r>
        <w:t xml:space="preserve">Drying climate </w:t>
      </w:r>
    </w:p>
    <w:p w14:paraId="00B149B8" w14:textId="4354B14D" w:rsidR="00324D1B" w:rsidRDefault="00324D1B" w:rsidP="00324D1B">
      <w:pPr>
        <w:pStyle w:val="BodyText"/>
      </w:pPr>
      <w:r>
        <w:t xml:space="preserve">Climate change threats include decreased rainfall, increased evaporation, extreme temperatures and increased frequency and intensity of fire. Climatic drying and warming has a non-reversible impact on the individuals of the </w:t>
      </w:r>
      <w:r w:rsidR="001D3902">
        <w:t>species</w:t>
      </w:r>
      <w:r>
        <w:t>, with the potential over time to threaten most individuals in the geographic area through direct mortality and habitat degradation. The relevant wetland, wet heath and swamp scrub habitats are largely independent of controllable stream-flow inputs, so environmental watering is not a feasible mitigation.</w:t>
      </w:r>
    </w:p>
    <w:p w14:paraId="3BE7DCC3" w14:textId="032B4128" w:rsidR="00C803B7" w:rsidRDefault="00324D1B" w:rsidP="00915D82">
      <w:pPr>
        <w:pStyle w:val="BodyText"/>
        <w:rPr>
          <w:b/>
          <w:bCs/>
          <w:sz w:val="16"/>
        </w:rPr>
      </w:pPr>
      <w:r>
        <w:t xml:space="preserve">Current control measures for this hazard are not effective in managing the risk to this </w:t>
      </w:r>
      <w:r w:rsidR="001D3902">
        <w:t>species</w:t>
      </w:r>
      <w:r>
        <w:t xml:space="preserve"> at the scale relevant to its conservation</w:t>
      </w:r>
      <w:r w:rsidR="006718BE">
        <w:t>.</w:t>
      </w:r>
    </w:p>
    <w:p w14:paraId="57DCBE78" w14:textId="6F083CDB"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139</w:t>
      </w:r>
      <w:r w:rsidR="000B6788" w:rsidRPr="00291BDC">
        <w:rPr>
          <w:bCs/>
          <w:noProof/>
        </w:rPr>
        <w:fldChar w:fldCharType="end"/>
      </w:r>
      <w:r w:rsidRPr="00FF310C">
        <w:t>. Lax Twig-sedge protection requirements and recommendations for drying climate</w:t>
      </w:r>
    </w:p>
    <w:tbl>
      <w:tblPr>
        <w:tblStyle w:val="TableGrid"/>
        <w:tblW w:w="0" w:type="auto"/>
        <w:tblLook w:val="04A0" w:firstRow="1" w:lastRow="0" w:firstColumn="1" w:lastColumn="0" w:noHBand="0" w:noVBand="1"/>
      </w:tblPr>
      <w:tblGrid>
        <w:gridCol w:w="2268"/>
        <w:gridCol w:w="7371"/>
      </w:tblGrid>
      <w:tr w:rsidR="00324D1B" w14:paraId="693A447C"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4A83F326"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4313CA07"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0222EB0D" w14:textId="77777777" w:rsidTr="001A4A89">
        <w:tc>
          <w:tcPr>
            <w:tcW w:w="2268" w:type="dxa"/>
            <w:tcBorders>
              <w:top w:val="single" w:sz="8" w:space="0" w:color="CDDC29" w:themeColor="text2"/>
              <w:left w:val="nil"/>
              <w:bottom w:val="single" w:sz="8" w:space="0" w:color="CDDC29" w:themeColor="text2"/>
              <w:right w:val="nil"/>
            </w:tcBorders>
            <w:hideMark/>
          </w:tcPr>
          <w:p w14:paraId="7B622FFF" w14:textId="6D4E71D9" w:rsidR="00324D1B" w:rsidRDefault="00150C7E" w:rsidP="001A4A89">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00D83982" w14:textId="77777777" w:rsidR="00324D1B" w:rsidRDefault="00324D1B" w:rsidP="001A4A89">
            <w:pPr>
              <w:pStyle w:val="BodyText"/>
            </w:pPr>
            <w:r>
              <w:t>Not required for this hazard as it is a longer-term threat.</w:t>
            </w:r>
          </w:p>
        </w:tc>
      </w:tr>
      <w:tr w:rsidR="00324D1B" w14:paraId="6D269997" w14:textId="77777777" w:rsidTr="001A4A89">
        <w:tc>
          <w:tcPr>
            <w:tcW w:w="2268" w:type="dxa"/>
            <w:tcBorders>
              <w:top w:val="single" w:sz="8" w:space="0" w:color="CDDC29" w:themeColor="text2"/>
              <w:left w:val="nil"/>
              <w:bottom w:val="single" w:sz="8" w:space="0" w:color="CDDC29" w:themeColor="text2"/>
              <w:right w:val="nil"/>
            </w:tcBorders>
            <w:hideMark/>
          </w:tcPr>
          <w:p w14:paraId="3E4618C5" w14:textId="43DA2D08" w:rsidR="00324D1B" w:rsidRDefault="00150C7E" w:rsidP="001A4A89">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22311A1B" w14:textId="77777777" w:rsidR="00324D1B" w:rsidRDefault="00324D1B" w:rsidP="006670D2">
            <w:pPr>
              <w:pStyle w:val="PullOutBoxBullet"/>
            </w:pPr>
            <w:r>
              <w:rPr>
                <w:i/>
                <w:iCs/>
              </w:rPr>
              <w:t>In-situ</w:t>
            </w:r>
            <w:r>
              <w:t xml:space="preserve"> propagation and maintenance of seed bank; and</w:t>
            </w:r>
          </w:p>
          <w:p w14:paraId="50C33DCC" w14:textId="1F84F071" w:rsidR="00324D1B" w:rsidRDefault="00324D1B" w:rsidP="006670D2">
            <w:pPr>
              <w:pStyle w:val="PullOutBoxBullet"/>
            </w:pPr>
            <w:r>
              <w:t xml:space="preserve">Consider options to conserve this </w:t>
            </w:r>
            <w:r w:rsidR="001D3902">
              <w:t>species</w:t>
            </w:r>
            <w:r>
              <w:t xml:space="preserve"> under climate change, including protection of refuges, maintenance of hydrological regimes, translocation to more secure sites and gene mixing to improve its adaptability.</w:t>
            </w:r>
          </w:p>
        </w:tc>
      </w:tr>
    </w:tbl>
    <w:p w14:paraId="7CDF37ED" w14:textId="77777777" w:rsidR="00324D1B" w:rsidRDefault="00324D1B" w:rsidP="007E5EBF">
      <w:pPr>
        <w:pStyle w:val="Heading3"/>
        <w:ind w:left="720" w:hanging="720"/>
        <w:jc w:val="both"/>
      </w:pPr>
      <w:r>
        <w:t>Forestry operations</w:t>
      </w:r>
    </w:p>
    <w:p w14:paraId="1A718BE4" w14:textId="77777777" w:rsidR="00324D1B" w:rsidRDefault="00324D1B" w:rsidP="007E5EBF">
      <w:pPr>
        <w:pStyle w:val="Heading5"/>
        <w:ind w:left="1008" w:hanging="1008"/>
      </w:pPr>
      <w:r>
        <w:t>Plantations</w:t>
      </w:r>
    </w:p>
    <w:p w14:paraId="111068FF" w14:textId="51A09E45" w:rsidR="00324D1B" w:rsidRDefault="00324D1B" w:rsidP="00324D1B">
      <w:pPr>
        <w:pStyle w:val="BodyText"/>
      </w:pPr>
      <w:r>
        <w:t xml:space="preserve">Threats to the </w:t>
      </w:r>
      <w:r w:rsidR="001D3902">
        <w:t>species</w:t>
      </w:r>
      <w:r>
        <w:t xml:space="preserve"> include the drying and destruction of wetlands by forest plantation use of groundwater and canopy interception of precipitation, although the degree to which this happens due to elevated rates of evapo-transpiration has not been determined for all areas or forest types. This hazard interacts with climate change, which potentially leads to increased risk of habitat desiccation. Some 26% of modelled habitat within the West RFA</w:t>
      </w:r>
      <w:r w:rsidR="002A6069">
        <w:t xml:space="preserve"> region</w:t>
      </w:r>
      <w:r>
        <w:t xml:space="preserve"> is potentially exposed to plantations. </w:t>
      </w:r>
    </w:p>
    <w:p w14:paraId="3D98B6D5" w14:textId="77777777" w:rsidR="00324D1B" w:rsidRPr="0086143E" w:rsidRDefault="00324D1B" w:rsidP="00324D1B">
      <w:pPr>
        <w:pStyle w:val="BodyText"/>
      </w:pPr>
      <w:r>
        <w:t xml:space="preserve">Current existing controls for this </w:t>
      </w:r>
      <w:r w:rsidRPr="0086143E">
        <w:t>hazard include:</w:t>
      </w:r>
    </w:p>
    <w:p w14:paraId="26AAEC10" w14:textId="23FE62FA" w:rsidR="00324D1B" w:rsidRPr="0086143E" w:rsidRDefault="00324D1B" w:rsidP="006670D2">
      <w:pPr>
        <w:pStyle w:val="PullOutBoxBullet"/>
      </w:pPr>
      <w:r w:rsidRPr="0086143E">
        <w:t xml:space="preserve">The </w:t>
      </w:r>
      <w:r w:rsidRPr="0086143E">
        <w:rPr>
          <w:i/>
          <w:iCs/>
        </w:rPr>
        <w:t xml:space="preserve">Code of </w:t>
      </w:r>
      <w:r w:rsidR="004758EA" w:rsidRPr="0086143E">
        <w:rPr>
          <w:i/>
          <w:iCs/>
        </w:rPr>
        <w:t>Practice</w:t>
      </w:r>
      <w:r w:rsidRPr="0086143E">
        <w:rPr>
          <w:i/>
          <w:iCs/>
        </w:rPr>
        <w:t xml:space="preserve"> for Timber Production 2014.</w:t>
      </w:r>
      <w:r w:rsidRPr="0086143E">
        <w:t xml:space="preserve"> The effectiveness of this control for this species has been evaluated as </w:t>
      </w:r>
      <w:r w:rsidR="0063458B" w:rsidRPr="0086143E">
        <w:t>poor because</w:t>
      </w:r>
      <w:r w:rsidRPr="0086143E">
        <w:t xml:space="preserve"> the history of management for protection of included or abutting remnant vegetation has varied across the extent of plantations. The potential for damage from issues such as spray drift and run-off from track networks may not yet be fully dealt with and the impact of increased water use by regenerating young trees may be exacerbated by reduced rainfall, particularly where remnant wet habitat is less well buffered.</w:t>
      </w:r>
    </w:p>
    <w:p w14:paraId="062EDDC2" w14:textId="1E0424E3" w:rsidR="00324D1B" w:rsidRPr="0086143E" w:rsidRDefault="00324D1B" w:rsidP="006670D2">
      <w:pPr>
        <w:pStyle w:val="PullOutBoxBullet"/>
      </w:pPr>
      <w:r w:rsidRPr="0086143E">
        <w:t>Victorian Planning Provisions and planning schemes. The effectiveness of this control for this species has been evaluated as poor in relation to the development of new plantations on private land. The control does not prevent incremental damage to wetland habitat abutting plantations (e.g., from desiccation or fertilizer/herbicide drift) if the plantations are established on already cleared land.</w:t>
      </w:r>
    </w:p>
    <w:p w14:paraId="105A047E" w14:textId="73C45876" w:rsidR="00C803B7" w:rsidRPr="0027207B" w:rsidRDefault="00324D1B" w:rsidP="006670D2">
      <w:pPr>
        <w:pStyle w:val="PullOutBoxBullet"/>
        <w:rPr>
          <w:sz w:val="16"/>
        </w:rPr>
      </w:pPr>
      <w:r w:rsidRPr="0086143E">
        <w:t xml:space="preserve">The CAR reserve system. The effectiveness of this control for this species has been evaluated as poor as 31% of the </w:t>
      </w:r>
      <w:r w:rsidR="001D3902">
        <w:t>species’</w:t>
      </w:r>
      <w:r w:rsidRPr="0086143E">
        <w:t xml:space="preserve"> modelled distribution and 80% of important populations are within the reserve system</w:t>
      </w:r>
      <w:r w:rsidR="004B3DDC">
        <w:t>.</w:t>
      </w:r>
    </w:p>
    <w:p w14:paraId="055C63A0" w14:textId="777B9DD8"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140</w:t>
      </w:r>
      <w:r w:rsidR="000B6788" w:rsidRPr="00291BDC">
        <w:rPr>
          <w:bCs/>
          <w:noProof/>
        </w:rPr>
        <w:fldChar w:fldCharType="end"/>
      </w:r>
      <w:r w:rsidRPr="00FF310C">
        <w:t>. Lax Twig-sedge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324D1B" w14:paraId="32C94AF1"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44669CF5"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2FA046CF"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3330C732" w14:textId="77777777" w:rsidTr="001A4A89">
        <w:tc>
          <w:tcPr>
            <w:tcW w:w="2268" w:type="dxa"/>
            <w:tcBorders>
              <w:top w:val="single" w:sz="8" w:space="0" w:color="CDDC29" w:themeColor="text2"/>
              <w:left w:val="nil"/>
              <w:bottom w:val="single" w:sz="8" w:space="0" w:color="CDDC29" w:themeColor="text2"/>
              <w:right w:val="nil"/>
            </w:tcBorders>
            <w:hideMark/>
          </w:tcPr>
          <w:p w14:paraId="6F4CCDEC" w14:textId="546FDD7F" w:rsidR="00324D1B" w:rsidRDefault="00324D1B" w:rsidP="001A4A89">
            <w:pPr>
              <w:pStyle w:val="BodyText"/>
            </w:pPr>
            <w:r>
              <w:t>Interim protections</w:t>
            </w:r>
            <w:r w:rsidR="00150C7E">
              <w:t xml:space="preserve"> </w:t>
            </w:r>
          </w:p>
        </w:tc>
        <w:tc>
          <w:tcPr>
            <w:tcW w:w="7371" w:type="dxa"/>
            <w:tcBorders>
              <w:top w:val="single" w:sz="8" w:space="0" w:color="CDDC29" w:themeColor="text2"/>
              <w:left w:val="nil"/>
              <w:bottom w:val="single" w:sz="8" w:space="0" w:color="CDDC29" w:themeColor="text2"/>
              <w:right w:val="nil"/>
            </w:tcBorders>
            <w:hideMark/>
          </w:tcPr>
          <w:p w14:paraId="7084D6C9" w14:textId="77777777" w:rsidR="00324D1B" w:rsidRDefault="00324D1B" w:rsidP="001A4A89">
            <w:pPr>
              <w:pStyle w:val="BodyText"/>
            </w:pPr>
            <w:r>
              <w:t>Not required for this hazard based on the overall risk level of medium.</w:t>
            </w:r>
          </w:p>
        </w:tc>
      </w:tr>
      <w:tr w:rsidR="0055375E" w14:paraId="7462BE56" w14:textId="77777777" w:rsidTr="001A4A89">
        <w:tc>
          <w:tcPr>
            <w:tcW w:w="2268" w:type="dxa"/>
            <w:tcBorders>
              <w:top w:val="single" w:sz="8" w:space="0" w:color="CDDC29" w:themeColor="text2"/>
              <w:left w:val="nil"/>
              <w:bottom w:val="single" w:sz="8" w:space="0" w:color="CDDC29" w:themeColor="text2"/>
              <w:right w:val="nil"/>
            </w:tcBorders>
          </w:tcPr>
          <w:p w14:paraId="512C1BA3" w14:textId="0B2CE002" w:rsidR="0055375E" w:rsidRDefault="0055375E" w:rsidP="001A4A89">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242D2EA2" w14:textId="341BCB2B" w:rsidR="0055375E" w:rsidRDefault="0055375E" w:rsidP="001A4A89">
            <w:pPr>
              <w:pStyle w:val="BodyText"/>
            </w:pPr>
            <w:r>
              <w:t>Not required for this hazard based on the overall risk level of medium.</w:t>
            </w:r>
          </w:p>
        </w:tc>
      </w:tr>
      <w:tr w:rsidR="00324D1B" w14:paraId="299363FE" w14:textId="77777777" w:rsidTr="001A4A89">
        <w:tc>
          <w:tcPr>
            <w:tcW w:w="2268" w:type="dxa"/>
            <w:tcBorders>
              <w:top w:val="single" w:sz="8" w:space="0" w:color="CDDC29" w:themeColor="text2"/>
              <w:left w:val="nil"/>
              <w:bottom w:val="single" w:sz="8" w:space="0" w:color="CDDC29" w:themeColor="text2"/>
              <w:right w:val="nil"/>
            </w:tcBorders>
            <w:hideMark/>
          </w:tcPr>
          <w:p w14:paraId="71568B79" w14:textId="77777777" w:rsidR="00324D1B" w:rsidRDefault="00324D1B" w:rsidP="001A4A89">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203197A5" w14:textId="77777777" w:rsidR="00324D1B" w:rsidRDefault="00324D1B" w:rsidP="001A4A89">
            <w:pPr>
              <w:pStyle w:val="BodyText"/>
            </w:pPr>
            <w:r>
              <w:t>Additional permanent protections may be required in the longer-term.</w:t>
            </w:r>
          </w:p>
        </w:tc>
      </w:tr>
      <w:tr w:rsidR="00324D1B" w14:paraId="37774389" w14:textId="77777777" w:rsidTr="001A4A89">
        <w:tc>
          <w:tcPr>
            <w:tcW w:w="2268" w:type="dxa"/>
            <w:tcBorders>
              <w:top w:val="single" w:sz="8" w:space="0" w:color="CDDC29" w:themeColor="text2"/>
              <w:left w:val="nil"/>
              <w:bottom w:val="single" w:sz="8" w:space="0" w:color="CDDC29" w:themeColor="text2"/>
              <w:right w:val="nil"/>
            </w:tcBorders>
            <w:hideMark/>
          </w:tcPr>
          <w:p w14:paraId="166FD2F4" w14:textId="629135B0" w:rsidR="00324D1B" w:rsidRDefault="002D7097" w:rsidP="001A4A89">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5AFC9FA6" w14:textId="77777777" w:rsidR="00324D1B" w:rsidRDefault="00324D1B" w:rsidP="006670D2">
            <w:pPr>
              <w:pStyle w:val="PullOutBoxBullet"/>
            </w:pPr>
            <w:r>
              <w:t xml:space="preserve">Review strategies to minimise spray drift during plantation management, particularly during re-establishment; </w:t>
            </w:r>
          </w:p>
          <w:p w14:paraId="2885884F" w14:textId="77777777" w:rsidR="00324D1B" w:rsidRDefault="00324D1B" w:rsidP="006670D2">
            <w:pPr>
              <w:pStyle w:val="PullOutBoxBullet"/>
            </w:pPr>
            <w:r>
              <w:t xml:space="preserve">Survey potential habitat within existing plantations and planned expansions; </w:t>
            </w:r>
          </w:p>
          <w:p w14:paraId="25CB12D8" w14:textId="77C597FF" w:rsidR="00324D1B" w:rsidRDefault="00F062E9" w:rsidP="006670D2">
            <w:pPr>
              <w:pStyle w:val="PullOutBoxBullet"/>
            </w:pPr>
            <w:r w:rsidRPr="00915D82">
              <w:t>Review Code requirements for protection of biodiversity values, including remnant habitat within or adjoining plantations, to ensure effectiveness</w:t>
            </w:r>
            <w:r w:rsidR="00324D1B">
              <w:t xml:space="preserve">; and </w:t>
            </w:r>
          </w:p>
          <w:p w14:paraId="7A9EC1A1" w14:textId="04395BE9" w:rsidR="00324D1B" w:rsidRDefault="00324D1B" w:rsidP="006670D2">
            <w:pPr>
              <w:pStyle w:val="PullOutBoxBullet"/>
            </w:pPr>
            <w:r>
              <w:t xml:space="preserve">Expand and potentially revegetate buffers in any locations where this would improve the </w:t>
            </w:r>
            <w:r w:rsidR="001D3902">
              <w:t>species’</w:t>
            </w:r>
            <w:r>
              <w:t xml:space="preserve"> security.</w:t>
            </w:r>
          </w:p>
        </w:tc>
      </w:tr>
    </w:tbl>
    <w:p w14:paraId="7566B6F5" w14:textId="7143F812" w:rsidR="00324D1B" w:rsidRDefault="00324D1B" w:rsidP="007E5EBF">
      <w:pPr>
        <w:pStyle w:val="Heading3"/>
        <w:ind w:left="720" w:hanging="720"/>
        <w:jc w:val="both"/>
      </w:pPr>
      <w:r>
        <w:t>Habitat loss, degradation</w:t>
      </w:r>
      <w:r w:rsidR="004F1DB2">
        <w:t>,</w:t>
      </w:r>
      <w:r>
        <w:t xml:space="preserve"> and fragmentation</w:t>
      </w:r>
    </w:p>
    <w:p w14:paraId="0085CD31" w14:textId="77777777" w:rsidR="00324D1B" w:rsidRDefault="00324D1B" w:rsidP="00324D1B">
      <w:pPr>
        <w:pStyle w:val="Heading5"/>
        <w:numPr>
          <w:ilvl w:val="0"/>
          <w:numId w:val="0"/>
        </w:numPr>
        <w:tabs>
          <w:tab w:val="left" w:pos="720"/>
        </w:tabs>
        <w:ind w:left="1008" w:hanging="1008"/>
      </w:pPr>
      <w:r>
        <w:t>Agriculture</w:t>
      </w:r>
    </w:p>
    <w:p w14:paraId="281D91C4" w14:textId="19B8FF11" w:rsidR="00324D1B" w:rsidRPr="0086143E" w:rsidRDefault="00324D1B" w:rsidP="00324D1B">
      <w:pPr>
        <w:pStyle w:val="BodyText"/>
      </w:pPr>
      <w:r>
        <w:t xml:space="preserve">Habitat loss, degradation and fragmentation arises from agriculture including clearing, fertilizer use, edge effects and livestock grazing. Much of the habitat has been fragmented by past land clearing and disturbance and while fragmentation may apply at some level to greater than 80% of the </w:t>
      </w:r>
      <w:r w:rsidR="001D3902">
        <w:t>species’</w:t>
      </w:r>
      <w:r>
        <w:t xml:space="preserve"> distribution, it is particularly relevant to private land sites and poorly buffered </w:t>
      </w:r>
      <w:r w:rsidRPr="0086143E">
        <w:t xml:space="preserve">refugia on public land. The threat to residual private land populations will increase as agriculture becomes more industrial and climate change expands the potential to crop wetland habitats. </w:t>
      </w:r>
    </w:p>
    <w:p w14:paraId="116DD231" w14:textId="77777777" w:rsidR="00324D1B" w:rsidRPr="0086143E" w:rsidRDefault="00324D1B" w:rsidP="00324D1B">
      <w:pPr>
        <w:pStyle w:val="BodyText"/>
      </w:pPr>
      <w:r w:rsidRPr="0086143E">
        <w:t>Current existing controls for this hazard include:</w:t>
      </w:r>
    </w:p>
    <w:p w14:paraId="3D255371" w14:textId="3D0FA27E" w:rsidR="00324D1B" w:rsidRPr="0086143E" w:rsidRDefault="00324D1B" w:rsidP="006670D2">
      <w:pPr>
        <w:pStyle w:val="PullOutBoxBullet"/>
      </w:pPr>
      <w:r w:rsidRPr="0086143E">
        <w:t xml:space="preserve">Victorian Planning Provisions and planning schemes. The effectiveness of this control for this species has been evaluated as poor because it has limited capacity to prevent habitat loss and degradation associated with the conversion from grazing to cropping. The relevant habitat is treeless and often includes a substantial component of introduced species; it therefore might not be recognised as having any value for native flora conservation by land managers. The control also does not prevent incremental damage resulting from land-use </w:t>
      </w:r>
      <w:r w:rsidR="00C803B7">
        <w:t>practise</w:t>
      </w:r>
      <w:r w:rsidRPr="0086143E">
        <w:t>s such as grazing or fertilizer drift.</w:t>
      </w:r>
    </w:p>
    <w:p w14:paraId="5BFEE9A2" w14:textId="77777777" w:rsidR="00324D1B" w:rsidRPr="0086143E" w:rsidRDefault="00324D1B" w:rsidP="006670D2">
      <w:pPr>
        <w:pStyle w:val="PullOutBoxBullet"/>
      </w:pPr>
      <w:r w:rsidRPr="0086143E">
        <w:t>Support programs such as Landcare. The effectiveness of this control for this species has been evaluated as poor as participation is voluntary. However, these programs are potentially highly effective where implemented, but are dependent on goodwill and local community support.</w:t>
      </w:r>
    </w:p>
    <w:p w14:paraId="5D55CA42" w14:textId="00488893"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141</w:t>
      </w:r>
      <w:r w:rsidR="000B6788" w:rsidRPr="00291BDC">
        <w:rPr>
          <w:bCs/>
          <w:noProof/>
        </w:rPr>
        <w:fldChar w:fldCharType="end"/>
      </w:r>
      <w:r w:rsidRPr="00FF310C">
        <w:t>. Lax Twig-sedge protection requirements and recommendations for agriculture</w:t>
      </w:r>
    </w:p>
    <w:tbl>
      <w:tblPr>
        <w:tblStyle w:val="TableGrid"/>
        <w:tblW w:w="0" w:type="auto"/>
        <w:tblLook w:val="04A0" w:firstRow="1" w:lastRow="0" w:firstColumn="1" w:lastColumn="0" w:noHBand="0" w:noVBand="1"/>
      </w:tblPr>
      <w:tblGrid>
        <w:gridCol w:w="2268"/>
        <w:gridCol w:w="7371"/>
      </w:tblGrid>
      <w:tr w:rsidR="00324D1B" w14:paraId="315E7C6D"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F3D4116"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2BF6AD2E"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0EB9EFF5" w14:textId="77777777" w:rsidTr="001A4A89">
        <w:tc>
          <w:tcPr>
            <w:tcW w:w="2268" w:type="dxa"/>
            <w:tcBorders>
              <w:top w:val="single" w:sz="8" w:space="0" w:color="CDDC29" w:themeColor="text2"/>
              <w:left w:val="nil"/>
              <w:bottom w:val="single" w:sz="8" w:space="0" w:color="CDDC29" w:themeColor="text2"/>
              <w:right w:val="nil"/>
            </w:tcBorders>
            <w:hideMark/>
          </w:tcPr>
          <w:p w14:paraId="10D83CB7" w14:textId="72650386" w:rsidR="00324D1B" w:rsidRDefault="002D7097" w:rsidP="001A4A89">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529DE729" w14:textId="77777777" w:rsidR="00324D1B" w:rsidRDefault="00324D1B" w:rsidP="001A4A89">
            <w:pPr>
              <w:pStyle w:val="BodyText"/>
            </w:pPr>
            <w:r>
              <w:t>Not required for this hazard as it is an incremental hazard.</w:t>
            </w:r>
          </w:p>
        </w:tc>
      </w:tr>
      <w:tr w:rsidR="00324D1B" w14:paraId="41B2BEA6" w14:textId="77777777" w:rsidTr="001A4A89">
        <w:tc>
          <w:tcPr>
            <w:tcW w:w="2268" w:type="dxa"/>
            <w:tcBorders>
              <w:top w:val="single" w:sz="8" w:space="0" w:color="CDDC29" w:themeColor="text2"/>
              <w:left w:val="nil"/>
              <w:bottom w:val="single" w:sz="8" w:space="0" w:color="CDDC29" w:themeColor="text2"/>
              <w:right w:val="nil"/>
            </w:tcBorders>
            <w:hideMark/>
          </w:tcPr>
          <w:p w14:paraId="4ECC98E2" w14:textId="770864C6" w:rsidR="00324D1B" w:rsidRDefault="002D7097" w:rsidP="001A4A89">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1A11F929" w14:textId="7A92D0EC" w:rsidR="00324D1B" w:rsidRDefault="00324D1B" w:rsidP="006670D2">
            <w:pPr>
              <w:pStyle w:val="PullOutBoxBullet"/>
            </w:pPr>
            <w:r>
              <w:t>Ensure compliance with existing regulatory measures</w:t>
            </w:r>
            <w:r w:rsidR="001C3C3B">
              <w:t>; and</w:t>
            </w:r>
          </w:p>
          <w:p w14:paraId="3E905251" w14:textId="7AD31D04" w:rsidR="00324D1B" w:rsidRDefault="00324D1B" w:rsidP="006670D2">
            <w:pPr>
              <w:pStyle w:val="PullOutBoxBullet"/>
            </w:pPr>
            <w:r>
              <w:t>Conduct seasonally appropriate survey of sites</w:t>
            </w:r>
            <w:r w:rsidR="001C3C3B">
              <w:t>.</w:t>
            </w:r>
          </w:p>
        </w:tc>
      </w:tr>
    </w:tbl>
    <w:p w14:paraId="0148BC40" w14:textId="77777777" w:rsidR="00324D1B" w:rsidRDefault="00324D1B" w:rsidP="00324D1B">
      <w:r>
        <w:rPr>
          <w:color w:val="auto"/>
        </w:rPr>
        <w:br w:type="page"/>
      </w:r>
    </w:p>
    <w:p w14:paraId="5E6AA3D6" w14:textId="77777777" w:rsidR="00324D1B" w:rsidRDefault="00324D1B" w:rsidP="00FB5A2B">
      <w:pPr>
        <w:pStyle w:val="Heading2"/>
        <w:ind w:left="0"/>
        <w:rPr>
          <w:i/>
        </w:rPr>
      </w:pPr>
      <w:bookmarkStart w:id="684" w:name="_Toc88565790"/>
      <w:bookmarkStart w:id="685" w:name="_Toc95234108"/>
      <w:bookmarkStart w:id="686" w:name="_Toc113271052"/>
      <w:r w:rsidRPr="0086143E">
        <w:t>Leafless Pink-bells</w:t>
      </w:r>
      <w:r>
        <w:t> </w:t>
      </w:r>
      <w:r w:rsidRPr="005F7D8C">
        <w:rPr>
          <w:i/>
          <w:iCs/>
        </w:rPr>
        <w:t>(Tetratheca subaphylla)</w:t>
      </w:r>
      <w:bookmarkEnd w:id="684"/>
      <w:bookmarkEnd w:id="685"/>
      <w:bookmarkEnd w:id="686"/>
      <w:r w:rsidRPr="005F7D8C">
        <w:rPr>
          <w:i/>
          <w:iCs/>
        </w:rPr>
        <w:t> </w:t>
      </w:r>
    </w:p>
    <w:p w14:paraId="3C1C389D" w14:textId="3463654E" w:rsidR="00324D1B" w:rsidRDefault="00324D1B" w:rsidP="00324D1B">
      <w:pPr>
        <w:pStyle w:val="BodyText"/>
        <w:rPr>
          <w:rFonts w:ascii="Arial" w:hAnsi="Arial"/>
          <w:color w:val="363534"/>
        </w:rPr>
      </w:pPr>
      <w:r>
        <w:t xml:space="preserve">The Leafless Pink-bells was listed as Vulnerable in Victoria under the FFG Act in May 2021. The </w:t>
      </w:r>
      <w:r w:rsidR="001D3902">
        <w:t>species</w:t>
      </w:r>
      <w:r>
        <w:t xml:space="preserve"> has modelled habitat in the East Gippsland (85% of modelled habitat) and Gippsland (15% of modelled habitat) RFA regions. This </w:t>
      </w:r>
      <w:r w:rsidR="001D3902">
        <w:t>species</w:t>
      </w:r>
      <w:r>
        <w:t xml:space="preserve"> also occurs in the Central Highlands RFA region in the Upper Yarra catchment, but this has not been included in its habitat distribution model.</w:t>
      </w:r>
      <w:r>
        <w:rPr>
          <w:rStyle w:val="BodyTextChar"/>
        </w:rPr>
        <w:t xml:space="preserve"> Permanent protections are recommended to address any hazards identified at a significant or high risk, and all</w:t>
      </w:r>
      <w:r>
        <w:t xml:space="preserve"> hazards rated a medium risk or higher will be considered in future management planning.</w:t>
      </w:r>
    </w:p>
    <w:p w14:paraId="21B4A53F" w14:textId="77777777" w:rsidR="00324D1B" w:rsidRDefault="00324D1B" w:rsidP="007E5EBF">
      <w:pPr>
        <w:pStyle w:val="Heading3"/>
      </w:pPr>
      <w:r>
        <w:t>Risk Assessment</w:t>
      </w:r>
    </w:p>
    <w:p w14:paraId="2A341CEF" w14:textId="75ADC116" w:rsidR="00324D1B" w:rsidRPr="00FF310C" w:rsidRDefault="00324D1B" w:rsidP="006670D2">
      <w:pPr>
        <w:pStyle w:val="Caption"/>
      </w:pPr>
      <w:r w:rsidRPr="00FF310C">
        <w:t xml:space="preserve">Table </w:t>
      </w:r>
      <w:r w:rsidRPr="00291BDC">
        <w:rPr>
          <w:bCs/>
        </w:rPr>
        <w:fldChar w:fldCharType="begin"/>
      </w:r>
      <w:r w:rsidRPr="00FF310C">
        <w:instrText>SEQ Table \* ARABIC</w:instrText>
      </w:r>
      <w:r w:rsidRPr="00291BDC">
        <w:rPr>
          <w:bCs/>
        </w:rPr>
        <w:fldChar w:fldCharType="separate"/>
      </w:r>
      <w:r w:rsidR="00692F0D">
        <w:rPr>
          <w:noProof/>
        </w:rPr>
        <w:t>142</w:t>
      </w:r>
      <w:r w:rsidRPr="00291BDC">
        <w:rPr>
          <w:bCs/>
        </w:rPr>
        <w:fldChar w:fldCharType="end"/>
      </w:r>
      <w:r w:rsidRPr="00FF310C">
        <w:t>. Leafless Pink-bells risk ratings in the Gippsland RFA region:</w:t>
      </w:r>
    </w:p>
    <w:tbl>
      <w:tblPr>
        <w:tblStyle w:val="TableGrid"/>
        <w:tblW w:w="9639" w:type="dxa"/>
        <w:tblLook w:val="04A0" w:firstRow="1" w:lastRow="0" w:firstColumn="1" w:lastColumn="0" w:noHBand="0" w:noVBand="1"/>
      </w:tblPr>
      <w:tblGrid>
        <w:gridCol w:w="1927"/>
        <w:gridCol w:w="1928"/>
        <w:gridCol w:w="1928"/>
        <w:gridCol w:w="1928"/>
        <w:gridCol w:w="1928"/>
      </w:tblGrid>
      <w:tr w:rsidR="00324D1B" w14:paraId="60C57DED"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Borders>
              <w:top w:val="single" w:sz="8" w:space="0" w:color="CDDC29" w:themeColor="text2"/>
              <w:left w:val="nil"/>
              <w:bottom w:val="single" w:sz="8" w:space="0" w:color="CDDC29" w:themeColor="text2"/>
              <w:right w:val="nil"/>
            </w:tcBorders>
            <w:vAlign w:val="center"/>
          </w:tcPr>
          <w:p w14:paraId="2C46B566" w14:textId="77777777" w:rsidR="00324D1B" w:rsidRDefault="00324D1B" w:rsidP="006670D2">
            <w:pPr>
              <w:pStyle w:val="CaptionImageorFigure"/>
            </w:pPr>
          </w:p>
        </w:tc>
        <w:tc>
          <w:tcPr>
            <w:tcW w:w="1928" w:type="dxa"/>
            <w:tcBorders>
              <w:top w:val="single" w:sz="8" w:space="0" w:color="CDDC29" w:themeColor="text2"/>
              <w:left w:val="nil"/>
              <w:bottom w:val="single" w:sz="8" w:space="0" w:color="CDDC29" w:themeColor="text2"/>
              <w:right w:val="nil"/>
            </w:tcBorders>
            <w:vAlign w:val="center"/>
            <w:hideMark/>
          </w:tcPr>
          <w:p w14:paraId="2FA9C2DA"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928" w:type="dxa"/>
            <w:tcBorders>
              <w:top w:val="single" w:sz="8" w:space="0" w:color="CDDC29" w:themeColor="text2"/>
              <w:left w:val="nil"/>
              <w:bottom w:val="single" w:sz="8" w:space="0" w:color="CDDC29" w:themeColor="text2"/>
              <w:right w:val="nil"/>
            </w:tcBorders>
            <w:vAlign w:val="center"/>
            <w:hideMark/>
          </w:tcPr>
          <w:p w14:paraId="1EA4F2E6"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1928" w:type="dxa"/>
            <w:tcBorders>
              <w:top w:val="single" w:sz="8" w:space="0" w:color="CDDC29" w:themeColor="text2"/>
              <w:left w:val="nil"/>
              <w:bottom w:val="single" w:sz="8" w:space="0" w:color="CDDC29" w:themeColor="text2"/>
              <w:right w:val="nil"/>
            </w:tcBorders>
            <w:vAlign w:val="center"/>
            <w:hideMark/>
          </w:tcPr>
          <w:p w14:paraId="390722E5"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rPr>
                <w:i/>
              </w:rPr>
            </w:pPr>
            <w:r>
              <w:t>Invasive vertebrate (deer)*</w:t>
            </w:r>
          </w:p>
        </w:tc>
        <w:tc>
          <w:tcPr>
            <w:tcW w:w="1928" w:type="dxa"/>
            <w:tcBorders>
              <w:top w:val="single" w:sz="8" w:space="0" w:color="CDDC29" w:themeColor="text2"/>
              <w:left w:val="nil"/>
              <w:bottom w:val="single" w:sz="8" w:space="0" w:color="CDDC29" w:themeColor="text2"/>
              <w:right w:val="nil"/>
            </w:tcBorders>
            <w:vAlign w:val="center"/>
            <w:hideMark/>
          </w:tcPr>
          <w:p w14:paraId="61D26DA7" w14:textId="77777777" w:rsidR="00324D1B" w:rsidRPr="00166E4A"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rsidRPr="00166E4A">
              <w:t>Phytophthora cinnamomi</w:t>
            </w:r>
          </w:p>
        </w:tc>
      </w:tr>
      <w:tr w:rsidR="00324D1B" w14:paraId="2827E60F" w14:textId="77777777" w:rsidTr="00324D1B">
        <w:tc>
          <w:tcPr>
            <w:tcW w:w="1927" w:type="dxa"/>
            <w:tcBorders>
              <w:top w:val="single" w:sz="8" w:space="0" w:color="CDDC29" w:themeColor="text2"/>
              <w:left w:val="nil"/>
              <w:bottom w:val="single" w:sz="8" w:space="0" w:color="CDDC29" w:themeColor="text2"/>
              <w:right w:val="nil"/>
            </w:tcBorders>
            <w:vAlign w:val="center"/>
            <w:hideMark/>
          </w:tcPr>
          <w:p w14:paraId="137CDA45" w14:textId="77777777" w:rsidR="00324D1B" w:rsidRDefault="00324D1B" w:rsidP="0042650F">
            <w:pPr>
              <w:pStyle w:val="BodyText"/>
              <w:jc w:val="center"/>
            </w:pPr>
            <w:r>
              <w:t>Consequence</w:t>
            </w:r>
          </w:p>
        </w:tc>
        <w:tc>
          <w:tcPr>
            <w:tcW w:w="1928" w:type="dxa"/>
            <w:tcBorders>
              <w:top w:val="single" w:sz="8" w:space="0" w:color="CDDC29" w:themeColor="text2"/>
              <w:left w:val="nil"/>
              <w:bottom w:val="single" w:sz="8" w:space="0" w:color="CDDC29" w:themeColor="text2"/>
              <w:right w:val="nil"/>
            </w:tcBorders>
            <w:vAlign w:val="center"/>
            <w:hideMark/>
          </w:tcPr>
          <w:p w14:paraId="37CE557E" w14:textId="77777777" w:rsidR="00324D1B" w:rsidRDefault="00324D1B" w:rsidP="0042650F">
            <w:pPr>
              <w:pStyle w:val="BodyText"/>
              <w:jc w:val="center"/>
            </w:pPr>
            <w:r>
              <w:t>Major</w:t>
            </w:r>
          </w:p>
        </w:tc>
        <w:tc>
          <w:tcPr>
            <w:tcW w:w="1928" w:type="dxa"/>
            <w:tcBorders>
              <w:top w:val="single" w:sz="8" w:space="0" w:color="CDDC29" w:themeColor="text2"/>
              <w:left w:val="nil"/>
              <w:bottom w:val="single" w:sz="8" w:space="0" w:color="CDDC29" w:themeColor="text2"/>
              <w:right w:val="nil"/>
            </w:tcBorders>
            <w:vAlign w:val="center"/>
            <w:hideMark/>
          </w:tcPr>
          <w:p w14:paraId="01B2A71B" w14:textId="77777777" w:rsidR="00324D1B" w:rsidRDefault="00324D1B" w:rsidP="0042650F">
            <w:pPr>
              <w:pStyle w:val="BodyText"/>
              <w:jc w:val="center"/>
            </w:pPr>
            <w:r>
              <w:t>Moderate</w:t>
            </w:r>
          </w:p>
        </w:tc>
        <w:tc>
          <w:tcPr>
            <w:tcW w:w="1928" w:type="dxa"/>
            <w:tcBorders>
              <w:top w:val="single" w:sz="8" w:space="0" w:color="CDDC29" w:themeColor="text2"/>
              <w:left w:val="nil"/>
              <w:bottom w:val="single" w:sz="8" w:space="0" w:color="CDDC29" w:themeColor="text2"/>
              <w:right w:val="nil"/>
            </w:tcBorders>
            <w:vAlign w:val="center"/>
            <w:hideMark/>
          </w:tcPr>
          <w:p w14:paraId="3DC1729A" w14:textId="77777777" w:rsidR="00324D1B" w:rsidRDefault="00324D1B" w:rsidP="0042650F">
            <w:pPr>
              <w:pStyle w:val="BodyText"/>
              <w:jc w:val="center"/>
            </w:pPr>
            <w:r>
              <w:t>Major</w:t>
            </w:r>
          </w:p>
        </w:tc>
        <w:tc>
          <w:tcPr>
            <w:tcW w:w="1928" w:type="dxa"/>
            <w:tcBorders>
              <w:top w:val="single" w:sz="8" w:space="0" w:color="CDDC29" w:themeColor="text2"/>
              <w:left w:val="nil"/>
              <w:bottom w:val="single" w:sz="8" w:space="0" w:color="CDDC29" w:themeColor="text2"/>
              <w:right w:val="nil"/>
            </w:tcBorders>
            <w:vAlign w:val="center"/>
            <w:hideMark/>
          </w:tcPr>
          <w:p w14:paraId="415655D7" w14:textId="77777777" w:rsidR="00324D1B" w:rsidRDefault="00324D1B" w:rsidP="0042650F">
            <w:pPr>
              <w:pStyle w:val="BodyText"/>
              <w:jc w:val="center"/>
            </w:pPr>
            <w:r>
              <w:t>Major</w:t>
            </w:r>
          </w:p>
        </w:tc>
      </w:tr>
      <w:tr w:rsidR="00324D1B" w14:paraId="6AE7474F" w14:textId="77777777" w:rsidTr="00324D1B">
        <w:tc>
          <w:tcPr>
            <w:tcW w:w="1927" w:type="dxa"/>
            <w:tcBorders>
              <w:top w:val="single" w:sz="8" w:space="0" w:color="CDDC29" w:themeColor="text2"/>
              <w:left w:val="nil"/>
              <w:bottom w:val="single" w:sz="8" w:space="0" w:color="CDDC29" w:themeColor="text2"/>
              <w:right w:val="nil"/>
            </w:tcBorders>
            <w:vAlign w:val="center"/>
            <w:hideMark/>
          </w:tcPr>
          <w:p w14:paraId="1DB195D5" w14:textId="77777777" w:rsidR="00324D1B" w:rsidRDefault="00324D1B" w:rsidP="0042650F">
            <w:pPr>
              <w:pStyle w:val="BodyText"/>
              <w:jc w:val="center"/>
            </w:pPr>
            <w:r>
              <w:t>Likelihood</w:t>
            </w:r>
          </w:p>
        </w:tc>
        <w:tc>
          <w:tcPr>
            <w:tcW w:w="1928" w:type="dxa"/>
            <w:tcBorders>
              <w:top w:val="single" w:sz="8" w:space="0" w:color="CDDC29" w:themeColor="text2"/>
              <w:left w:val="nil"/>
              <w:bottom w:val="single" w:sz="8" w:space="0" w:color="CDDC29" w:themeColor="text2"/>
              <w:right w:val="nil"/>
            </w:tcBorders>
            <w:vAlign w:val="center"/>
            <w:hideMark/>
          </w:tcPr>
          <w:p w14:paraId="40CDD1B0" w14:textId="77777777" w:rsidR="00324D1B" w:rsidRDefault="00324D1B" w:rsidP="0042650F">
            <w:pPr>
              <w:pStyle w:val="BodyText"/>
              <w:jc w:val="center"/>
            </w:pPr>
            <w:r>
              <w:t>Possible</w:t>
            </w:r>
          </w:p>
        </w:tc>
        <w:tc>
          <w:tcPr>
            <w:tcW w:w="1928" w:type="dxa"/>
            <w:tcBorders>
              <w:top w:val="single" w:sz="8" w:space="0" w:color="CDDC29" w:themeColor="text2"/>
              <w:left w:val="nil"/>
              <w:bottom w:val="single" w:sz="8" w:space="0" w:color="CDDC29" w:themeColor="text2"/>
              <w:right w:val="nil"/>
            </w:tcBorders>
            <w:vAlign w:val="center"/>
            <w:hideMark/>
          </w:tcPr>
          <w:p w14:paraId="32F22774" w14:textId="77777777" w:rsidR="00324D1B" w:rsidRDefault="00324D1B" w:rsidP="0042650F">
            <w:pPr>
              <w:pStyle w:val="BodyText"/>
              <w:jc w:val="center"/>
            </w:pPr>
            <w:r>
              <w:t>Possible</w:t>
            </w:r>
          </w:p>
        </w:tc>
        <w:tc>
          <w:tcPr>
            <w:tcW w:w="1928" w:type="dxa"/>
            <w:tcBorders>
              <w:top w:val="single" w:sz="8" w:space="0" w:color="CDDC29" w:themeColor="text2"/>
              <w:left w:val="nil"/>
              <w:bottom w:val="single" w:sz="8" w:space="0" w:color="CDDC29" w:themeColor="text2"/>
              <w:right w:val="nil"/>
            </w:tcBorders>
            <w:vAlign w:val="center"/>
            <w:hideMark/>
          </w:tcPr>
          <w:p w14:paraId="0EE050CE" w14:textId="77777777" w:rsidR="00324D1B" w:rsidRDefault="00324D1B" w:rsidP="0042650F">
            <w:pPr>
              <w:pStyle w:val="BodyText"/>
              <w:jc w:val="center"/>
            </w:pPr>
            <w:r>
              <w:t>Possible</w:t>
            </w:r>
          </w:p>
        </w:tc>
        <w:tc>
          <w:tcPr>
            <w:tcW w:w="1928" w:type="dxa"/>
            <w:tcBorders>
              <w:top w:val="single" w:sz="8" w:space="0" w:color="CDDC29" w:themeColor="text2"/>
              <w:left w:val="nil"/>
              <w:bottom w:val="single" w:sz="8" w:space="0" w:color="CDDC29" w:themeColor="text2"/>
              <w:right w:val="nil"/>
            </w:tcBorders>
            <w:vAlign w:val="center"/>
            <w:hideMark/>
          </w:tcPr>
          <w:p w14:paraId="4E88A323" w14:textId="77777777" w:rsidR="00324D1B" w:rsidRDefault="00324D1B" w:rsidP="0042650F">
            <w:pPr>
              <w:pStyle w:val="BodyText"/>
              <w:jc w:val="center"/>
            </w:pPr>
            <w:r>
              <w:t>Possible</w:t>
            </w:r>
          </w:p>
        </w:tc>
      </w:tr>
      <w:tr w:rsidR="00324D1B" w14:paraId="26EB7BFF" w14:textId="77777777" w:rsidTr="00324D1B">
        <w:tc>
          <w:tcPr>
            <w:tcW w:w="1927" w:type="dxa"/>
            <w:tcBorders>
              <w:top w:val="single" w:sz="8" w:space="0" w:color="CDDC29" w:themeColor="text2"/>
              <w:left w:val="nil"/>
              <w:bottom w:val="single" w:sz="8" w:space="0" w:color="CDDC29" w:themeColor="text2"/>
              <w:right w:val="nil"/>
            </w:tcBorders>
            <w:vAlign w:val="center"/>
            <w:hideMark/>
          </w:tcPr>
          <w:p w14:paraId="45A79A7C" w14:textId="77777777" w:rsidR="00324D1B" w:rsidRDefault="00324D1B" w:rsidP="0042650F">
            <w:pPr>
              <w:pStyle w:val="BodyText"/>
              <w:jc w:val="center"/>
            </w:pPr>
            <w:r>
              <w:t>Overall risk rating</w:t>
            </w:r>
          </w:p>
        </w:tc>
        <w:tc>
          <w:tcPr>
            <w:tcW w:w="1928" w:type="dxa"/>
            <w:tcBorders>
              <w:top w:val="single" w:sz="8" w:space="0" w:color="CDDC29" w:themeColor="text2"/>
              <w:left w:val="nil"/>
              <w:bottom w:val="single" w:sz="8" w:space="0" w:color="CDDC29" w:themeColor="text2"/>
              <w:right w:val="nil"/>
            </w:tcBorders>
            <w:shd w:val="clear" w:color="auto" w:fill="FFC000"/>
            <w:vAlign w:val="center"/>
            <w:hideMark/>
          </w:tcPr>
          <w:p w14:paraId="49DE5965" w14:textId="77777777" w:rsidR="00324D1B" w:rsidRDefault="00324D1B" w:rsidP="0042650F">
            <w:pPr>
              <w:pStyle w:val="BodyText"/>
              <w:jc w:val="center"/>
            </w:pPr>
            <w:r>
              <w:t>Significant</w:t>
            </w:r>
          </w:p>
        </w:tc>
        <w:tc>
          <w:tcPr>
            <w:tcW w:w="1928" w:type="dxa"/>
            <w:tcBorders>
              <w:top w:val="single" w:sz="8" w:space="0" w:color="CDDC29" w:themeColor="text2"/>
              <w:left w:val="nil"/>
              <w:bottom w:val="single" w:sz="8" w:space="0" w:color="CDDC29" w:themeColor="text2"/>
              <w:right w:val="nil"/>
            </w:tcBorders>
            <w:shd w:val="clear" w:color="auto" w:fill="FFFF00"/>
            <w:vAlign w:val="center"/>
            <w:hideMark/>
          </w:tcPr>
          <w:p w14:paraId="72184311" w14:textId="77777777" w:rsidR="00324D1B" w:rsidRDefault="00324D1B" w:rsidP="0042650F">
            <w:pPr>
              <w:pStyle w:val="BodyText"/>
              <w:jc w:val="center"/>
            </w:pPr>
            <w:r>
              <w:t>Medium</w:t>
            </w:r>
          </w:p>
        </w:tc>
        <w:tc>
          <w:tcPr>
            <w:tcW w:w="1928" w:type="dxa"/>
            <w:tcBorders>
              <w:top w:val="single" w:sz="8" w:space="0" w:color="CDDC29" w:themeColor="text2"/>
              <w:left w:val="nil"/>
              <w:bottom w:val="single" w:sz="8" w:space="0" w:color="CDDC29" w:themeColor="text2"/>
              <w:right w:val="nil"/>
            </w:tcBorders>
            <w:shd w:val="clear" w:color="auto" w:fill="FFC000"/>
            <w:vAlign w:val="center"/>
            <w:hideMark/>
          </w:tcPr>
          <w:p w14:paraId="27D1D90A" w14:textId="77777777" w:rsidR="00324D1B" w:rsidRDefault="00324D1B" w:rsidP="0042650F">
            <w:pPr>
              <w:pStyle w:val="BodyText"/>
              <w:jc w:val="center"/>
            </w:pPr>
            <w:r>
              <w:t>Significant</w:t>
            </w:r>
          </w:p>
        </w:tc>
        <w:tc>
          <w:tcPr>
            <w:tcW w:w="1928" w:type="dxa"/>
            <w:tcBorders>
              <w:top w:val="single" w:sz="8" w:space="0" w:color="CDDC29" w:themeColor="text2"/>
              <w:left w:val="nil"/>
              <w:bottom w:val="single" w:sz="8" w:space="0" w:color="CDDC29" w:themeColor="text2"/>
              <w:right w:val="nil"/>
            </w:tcBorders>
            <w:shd w:val="clear" w:color="auto" w:fill="FFC000"/>
            <w:vAlign w:val="center"/>
            <w:hideMark/>
          </w:tcPr>
          <w:p w14:paraId="388023D5" w14:textId="77777777" w:rsidR="00324D1B" w:rsidRDefault="00324D1B" w:rsidP="0042650F">
            <w:pPr>
              <w:pStyle w:val="BodyText"/>
              <w:jc w:val="center"/>
            </w:pPr>
            <w:r>
              <w:t>Significant</w:t>
            </w:r>
          </w:p>
        </w:tc>
      </w:tr>
    </w:tbl>
    <w:p w14:paraId="3300A268" w14:textId="7DCBD462" w:rsidR="00324D1B" w:rsidRPr="00FF310C" w:rsidRDefault="00324D1B" w:rsidP="006670D2">
      <w:pPr>
        <w:pStyle w:val="Caption"/>
        <w:rPr>
          <w:rFonts w:ascii="Arial" w:hAnsi="Arial"/>
          <w:i/>
          <w:color w:val="808080" w:themeColor="background1" w:themeShade="80"/>
        </w:rPr>
      </w:pPr>
      <w:r w:rsidRPr="00FF310C">
        <w:t xml:space="preserve">Table </w:t>
      </w:r>
      <w:r w:rsidRPr="00291BDC">
        <w:rPr>
          <w:bCs/>
        </w:rPr>
        <w:fldChar w:fldCharType="begin"/>
      </w:r>
      <w:r w:rsidRPr="00FF310C">
        <w:instrText>SEQ Table \* ARABIC</w:instrText>
      </w:r>
      <w:r w:rsidRPr="00291BDC">
        <w:rPr>
          <w:bCs/>
        </w:rPr>
        <w:fldChar w:fldCharType="separate"/>
      </w:r>
      <w:r w:rsidR="00692F0D">
        <w:rPr>
          <w:noProof/>
        </w:rPr>
        <w:t>143</w:t>
      </w:r>
      <w:r w:rsidRPr="00291BDC">
        <w:rPr>
          <w:bCs/>
        </w:rPr>
        <w:fldChar w:fldCharType="end"/>
      </w:r>
      <w:r w:rsidRPr="00FF310C">
        <w:t xml:space="preserve">. Leafless Pink-bells risk ratings in the East Gippsland RFA region: </w:t>
      </w:r>
      <w:r w:rsidRPr="00FF310C">
        <w:rPr>
          <w:rFonts w:ascii="Arial" w:hAnsi="Arial"/>
          <w:i/>
          <w:color w:val="808080" w:themeColor="background1" w:themeShade="80"/>
        </w:rPr>
        <w:t xml:space="preserve"> </w:t>
      </w:r>
    </w:p>
    <w:tbl>
      <w:tblPr>
        <w:tblStyle w:val="TableGrid"/>
        <w:tblW w:w="9639" w:type="dxa"/>
        <w:tblLook w:val="04A0" w:firstRow="1" w:lastRow="0" w:firstColumn="1" w:lastColumn="0" w:noHBand="0" w:noVBand="1"/>
      </w:tblPr>
      <w:tblGrid>
        <w:gridCol w:w="1927"/>
        <w:gridCol w:w="1928"/>
        <w:gridCol w:w="1928"/>
        <w:gridCol w:w="1928"/>
        <w:gridCol w:w="1928"/>
      </w:tblGrid>
      <w:tr w:rsidR="00324D1B" w14:paraId="696A7F19"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Borders>
              <w:top w:val="single" w:sz="8" w:space="0" w:color="CDDC29" w:themeColor="text2"/>
              <w:left w:val="nil"/>
              <w:bottom w:val="single" w:sz="8" w:space="0" w:color="CDDC29" w:themeColor="text2"/>
              <w:right w:val="nil"/>
            </w:tcBorders>
            <w:vAlign w:val="center"/>
          </w:tcPr>
          <w:p w14:paraId="3A632F2C" w14:textId="77777777" w:rsidR="00324D1B" w:rsidRDefault="00324D1B" w:rsidP="006670D2">
            <w:pPr>
              <w:pStyle w:val="CaptionImageorFigure"/>
            </w:pPr>
          </w:p>
        </w:tc>
        <w:tc>
          <w:tcPr>
            <w:tcW w:w="1928" w:type="dxa"/>
            <w:tcBorders>
              <w:top w:val="single" w:sz="8" w:space="0" w:color="CDDC29" w:themeColor="text2"/>
              <w:left w:val="nil"/>
              <w:bottom w:val="single" w:sz="8" w:space="0" w:color="CDDC29" w:themeColor="text2"/>
              <w:right w:val="nil"/>
            </w:tcBorders>
            <w:vAlign w:val="center"/>
            <w:hideMark/>
          </w:tcPr>
          <w:p w14:paraId="0A157817"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928" w:type="dxa"/>
            <w:tcBorders>
              <w:top w:val="single" w:sz="8" w:space="0" w:color="CDDC29" w:themeColor="text2"/>
              <w:left w:val="nil"/>
              <w:bottom w:val="single" w:sz="8" w:space="0" w:color="CDDC29" w:themeColor="text2"/>
              <w:right w:val="nil"/>
            </w:tcBorders>
            <w:vAlign w:val="center"/>
            <w:hideMark/>
          </w:tcPr>
          <w:p w14:paraId="74ACBA4F"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1928" w:type="dxa"/>
            <w:tcBorders>
              <w:top w:val="single" w:sz="8" w:space="0" w:color="CDDC29" w:themeColor="text2"/>
              <w:left w:val="nil"/>
              <w:bottom w:val="single" w:sz="8" w:space="0" w:color="CDDC29" w:themeColor="text2"/>
              <w:right w:val="nil"/>
            </w:tcBorders>
            <w:vAlign w:val="center"/>
            <w:hideMark/>
          </w:tcPr>
          <w:p w14:paraId="21744C22"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rPr>
                <w:i/>
              </w:rPr>
            </w:pPr>
            <w:r>
              <w:t>Invasive vertebrate (deer)*</w:t>
            </w:r>
          </w:p>
        </w:tc>
        <w:tc>
          <w:tcPr>
            <w:tcW w:w="1928" w:type="dxa"/>
            <w:tcBorders>
              <w:top w:val="single" w:sz="8" w:space="0" w:color="CDDC29" w:themeColor="text2"/>
              <w:left w:val="nil"/>
              <w:bottom w:val="single" w:sz="8" w:space="0" w:color="CDDC29" w:themeColor="text2"/>
              <w:right w:val="nil"/>
            </w:tcBorders>
            <w:vAlign w:val="center"/>
            <w:hideMark/>
          </w:tcPr>
          <w:p w14:paraId="05996954" w14:textId="77777777" w:rsidR="00324D1B" w:rsidRPr="00166E4A"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rsidRPr="00166E4A">
              <w:t>Phytophthora cinnamomi</w:t>
            </w:r>
          </w:p>
        </w:tc>
      </w:tr>
      <w:tr w:rsidR="00324D1B" w14:paraId="61C9A042" w14:textId="77777777" w:rsidTr="00324D1B">
        <w:tc>
          <w:tcPr>
            <w:tcW w:w="1927" w:type="dxa"/>
            <w:tcBorders>
              <w:top w:val="single" w:sz="8" w:space="0" w:color="CDDC29" w:themeColor="text2"/>
              <w:left w:val="nil"/>
              <w:bottom w:val="single" w:sz="8" w:space="0" w:color="CDDC29" w:themeColor="text2"/>
              <w:right w:val="nil"/>
            </w:tcBorders>
            <w:vAlign w:val="center"/>
            <w:hideMark/>
          </w:tcPr>
          <w:p w14:paraId="359ADC24" w14:textId="77777777" w:rsidR="00324D1B" w:rsidRDefault="00324D1B" w:rsidP="0042650F">
            <w:pPr>
              <w:pStyle w:val="BodyText"/>
              <w:jc w:val="center"/>
            </w:pPr>
            <w:r>
              <w:t>Consequence</w:t>
            </w:r>
          </w:p>
        </w:tc>
        <w:tc>
          <w:tcPr>
            <w:tcW w:w="1928" w:type="dxa"/>
            <w:tcBorders>
              <w:top w:val="single" w:sz="8" w:space="0" w:color="CDDC29" w:themeColor="text2"/>
              <w:left w:val="nil"/>
              <w:bottom w:val="single" w:sz="8" w:space="0" w:color="CDDC29" w:themeColor="text2"/>
              <w:right w:val="nil"/>
            </w:tcBorders>
            <w:vAlign w:val="center"/>
            <w:hideMark/>
          </w:tcPr>
          <w:p w14:paraId="10FC26CD" w14:textId="77777777" w:rsidR="00324D1B" w:rsidRDefault="00324D1B" w:rsidP="0042650F">
            <w:pPr>
              <w:pStyle w:val="BodyText"/>
              <w:jc w:val="center"/>
            </w:pPr>
            <w:r>
              <w:t>Major</w:t>
            </w:r>
          </w:p>
        </w:tc>
        <w:tc>
          <w:tcPr>
            <w:tcW w:w="1928" w:type="dxa"/>
            <w:tcBorders>
              <w:top w:val="single" w:sz="8" w:space="0" w:color="CDDC29" w:themeColor="text2"/>
              <w:left w:val="nil"/>
              <w:bottom w:val="single" w:sz="8" w:space="0" w:color="CDDC29" w:themeColor="text2"/>
              <w:right w:val="nil"/>
            </w:tcBorders>
            <w:vAlign w:val="center"/>
            <w:hideMark/>
          </w:tcPr>
          <w:p w14:paraId="34693228" w14:textId="77777777" w:rsidR="00324D1B" w:rsidRDefault="00324D1B" w:rsidP="0042650F">
            <w:pPr>
              <w:pStyle w:val="BodyText"/>
              <w:jc w:val="center"/>
            </w:pPr>
            <w:r>
              <w:t>Moderate</w:t>
            </w:r>
          </w:p>
        </w:tc>
        <w:tc>
          <w:tcPr>
            <w:tcW w:w="1928" w:type="dxa"/>
            <w:tcBorders>
              <w:top w:val="single" w:sz="8" w:space="0" w:color="CDDC29" w:themeColor="text2"/>
              <w:left w:val="nil"/>
              <w:bottom w:val="single" w:sz="8" w:space="0" w:color="CDDC29" w:themeColor="text2"/>
              <w:right w:val="nil"/>
            </w:tcBorders>
            <w:vAlign w:val="center"/>
            <w:hideMark/>
          </w:tcPr>
          <w:p w14:paraId="42B5FE66" w14:textId="77777777" w:rsidR="00324D1B" w:rsidRDefault="00324D1B" w:rsidP="0042650F">
            <w:pPr>
              <w:pStyle w:val="BodyText"/>
              <w:jc w:val="center"/>
            </w:pPr>
            <w:r>
              <w:t>Major</w:t>
            </w:r>
          </w:p>
        </w:tc>
        <w:tc>
          <w:tcPr>
            <w:tcW w:w="1928" w:type="dxa"/>
            <w:tcBorders>
              <w:top w:val="single" w:sz="8" w:space="0" w:color="CDDC29" w:themeColor="text2"/>
              <w:left w:val="nil"/>
              <w:bottom w:val="single" w:sz="8" w:space="0" w:color="CDDC29" w:themeColor="text2"/>
              <w:right w:val="nil"/>
            </w:tcBorders>
            <w:vAlign w:val="center"/>
            <w:hideMark/>
          </w:tcPr>
          <w:p w14:paraId="5AED6F09" w14:textId="77777777" w:rsidR="00324D1B" w:rsidRDefault="00324D1B" w:rsidP="0042650F">
            <w:pPr>
              <w:pStyle w:val="BodyText"/>
              <w:jc w:val="center"/>
            </w:pPr>
            <w:r>
              <w:t>Major</w:t>
            </w:r>
          </w:p>
        </w:tc>
      </w:tr>
      <w:tr w:rsidR="00324D1B" w14:paraId="3D4DD6E3" w14:textId="77777777" w:rsidTr="00324D1B">
        <w:tc>
          <w:tcPr>
            <w:tcW w:w="1927" w:type="dxa"/>
            <w:tcBorders>
              <w:top w:val="single" w:sz="8" w:space="0" w:color="CDDC29" w:themeColor="text2"/>
              <w:left w:val="nil"/>
              <w:bottom w:val="single" w:sz="8" w:space="0" w:color="CDDC29" w:themeColor="text2"/>
              <w:right w:val="nil"/>
            </w:tcBorders>
            <w:vAlign w:val="center"/>
            <w:hideMark/>
          </w:tcPr>
          <w:p w14:paraId="0F15E4B6" w14:textId="77777777" w:rsidR="00324D1B" w:rsidRDefault="00324D1B" w:rsidP="0042650F">
            <w:pPr>
              <w:pStyle w:val="BodyText"/>
              <w:jc w:val="center"/>
            </w:pPr>
            <w:r>
              <w:t>Likelihood</w:t>
            </w:r>
          </w:p>
        </w:tc>
        <w:tc>
          <w:tcPr>
            <w:tcW w:w="1928" w:type="dxa"/>
            <w:tcBorders>
              <w:top w:val="single" w:sz="8" w:space="0" w:color="CDDC29" w:themeColor="text2"/>
              <w:left w:val="nil"/>
              <w:bottom w:val="single" w:sz="8" w:space="0" w:color="CDDC29" w:themeColor="text2"/>
              <w:right w:val="nil"/>
            </w:tcBorders>
            <w:vAlign w:val="center"/>
            <w:hideMark/>
          </w:tcPr>
          <w:p w14:paraId="55F3E0B3" w14:textId="77777777" w:rsidR="00324D1B" w:rsidRDefault="00324D1B" w:rsidP="0042650F">
            <w:pPr>
              <w:pStyle w:val="BodyText"/>
              <w:jc w:val="center"/>
            </w:pPr>
            <w:r>
              <w:t>Possible</w:t>
            </w:r>
          </w:p>
        </w:tc>
        <w:tc>
          <w:tcPr>
            <w:tcW w:w="1928" w:type="dxa"/>
            <w:tcBorders>
              <w:top w:val="single" w:sz="8" w:space="0" w:color="CDDC29" w:themeColor="text2"/>
              <w:left w:val="nil"/>
              <w:bottom w:val="single" w:sz="8" w:space="0" w:color="CDDC29" w:themeColor="text2"/>
              <w:right w:val="nil"/>
            </w:tcBorders>
            <w:vAlign w:val="center"/>
            <w:hideMark/>
          </w:tcPr>
          <w:p w14:paraId="080010EB" w14:textId="77777777" w:rsidR="00324D1B" w:rsidRDefault="00324D1B" w:rsidP="0042650F">
            <w:pPr>
              <w:pStyle w:val="BodyText"/>
              <w:jc w:val="center"/>
            </w:pPr>
            <w:r>
              <w:t>Likely</w:t>
            </w:r>
          </w:p>
        </w:tc>
        <w:tc>
          <w:tcPr>
            <w:tcW w:w="1928" w:type="dxa"/>
            <w:tcBorders>
              <w:top w:val="single" w:sz="8" w:space="0" w:color="CDDC29" w:themeColor="text2"/>
              <w:left w:val="nil"/>
              <w:bottom w:val="single" w:sz="8" w:space="0" w:color="CDDC29" w:themeColor="text2"/>
              <w:right w:val="nil"/>
            </w:tcBorders>
            <w:vAlign w:val="center"/>
            <w:hideMark/>
          </w:tcPr>
          <w:p w14:paraId="0595AB57" w14:textId="77777777" w:rsidR="00324D1B" w:rsidRDefault="00324D1B" w:rsidP="0042650F">
            <w:pPr>
              <w:pStyle w:val="BodyText"/>
              <w:jc w:val="center"/>
            </w:pPr>
            <w:r>
              <w:t>Possible</w:t>
            </w:r>
          </w:p>
        </w:tc>
        <w:tc>
          <w:tcPr>
            <w:tcW w:w="1928" w:type="dxa"/>
            <w:tcBorders>
              <w:top w:val="single" w:sz="8" w:space="0" w:color="CDDC29" w:themeColor="text2"/>
              <w:left w:val="nil"/>
              <w:bottom w:val="single" w:sz="8" w:space="0" w:color="CDDC29" w:themeColor="text2"/>
              <w:right w:val="nil"/>
            </w:tcBorders>
            <w:vAlign w:val="center"/>
            <w:hideMark/>
          </w:tcPr>
          <w:p w14:paraId="59DAE346" w14:textId="77777777" w:rsidR="00324D1B" w:rsidRDefault="00324D1B" w:rsidP="0042650F">
            <w:pPr>
              <w:pStyle w:val="BodyText"/>
              <w:jc w:val="center"/>
            </w:pPr>
            <w:r>
              <w:t>Possible</w:t>
            </w:r>
          </w:p>
        </w:tc>
      </w:tr>
      <w:tr w:rsidR="00324D1B" w14:paraId="502F8EBF" w14:textId="77777777" w:rsidTr="00324D1B">
        <w:tc>
          <w:tcPr>
            <w:tcW w:w="1927" w:type="dxa"/>
            <w:tcBorders>
              <w:top w:val="single" w:sz="8" w:space="0" w:color="CDDC29" w:themeColor="text2"/>
              <w:left w:val="nil"/>
              <w:bottom w:val="single" w:sz="8" w:space="0" w:color="CDDC29" w:themeColor="text2"/>
              <w:right w:val="nil"/>
            </w:tcBorders>
            <w:vAlign w:val="center"/>
            <w:hideMark/>
          </w:tcPr>
          <w:p w14:paraId="6E398FDD" w14:textId="77777777" w:rsidR="00324D1B" w:rsidRDefault="00324D1B" w:rsidP="0042650F">
            <w:pPr>
              <w:pStyle w:val="BodyText"/>
              <w:jc w:val="center"/>
            </w:pPr>
            <w:r>
              <w:t>Overall risk rating</w:t>
            </w:r>
          </w:p>
        </w:tc>
        <w:tc>
          <w:tcPr>
            <w:tcW w:w="1928" w:type="dxa"/>
            <w:tcBorders>
              <w:top w:val="single" w:sz="8" w:space="0" w:color="CDDC29" w:themeColor="text2"/>
              <w:left w:val="nil"/>
              <w:bottom w:val="single" w:sz="8" w:space="0" w:color="CDDC29" w:themeColor="text2"/>
              <w:right w:val="nil"/>
            </w:tcBorders>
            <w:shd w:val="clear" w:color="auto" w:fill="FFC000"/>
            <w:vAlign w:val="center"/>
            <w:hideMark/>
          </w:tcPr>
          <w:p w14:paraId="3151037A" w14:textId="77777777" w:rsidR="00324D1B" w:rsidRDefault="00324D1B" w:rsidP="0042650F">
            <w:pPr>
              <w:pStyle w:val="BodyText"/>
              <w:jc w:val="center"/>
            </w:pPr>
            <w:r>
              <w:t>Significant</w:t>
            </w:r>
          </w:p>
        </w:tc>
        <w:tc>
          <w:tcPr>
            <w:tcW w:w="1928" w:type="dxa"/>
            <w:tcBorders>
              <w:top w:val="single" w:sz="8" w:space="0" w:color="CDDC29" w:themeColor="text2"/>
              <w:left w:val="nil"/>
              <w:bottom w:val="single" w:sz="8" w:space="0" w:color="CDDC29" w:themeColor="text2"/>
              <w:right w:val="nil"/>
            </w:tcBorders>
            <w:shd w:val="clear" w:color="auto" w:fill="FFC000"/>
            <w:vAlign w:val="center"/>
            <w:hideMark/>
          </w:tcPr>
          <w:p w14:paraId="0BFF3245" w14:textId="77777777" w:rsidR="00324D1B" w:rsidRDefault="00324D1B" w:rsidP="0042650F">
            <w:pPr>
              <w:pStyle w:val="BodyText"/>
              <w:jc w:val="center"/>
            </w:pPr>
            <w:r>
              <w:t>Significant</w:t>
            </w:r>
          </w:p>
        </w:tc>
        <w:tc>
          <w:tcPr>
            <w:tcW w:w="1928" w:type="dxa"/>
            <w:tcBorders>
              <w:top w:val="single" w:sz="8" w:space="0" w:color="CDDC29" w:themeColor="text2"/>
              <w:left w:val="nil"/>
              <w:bottom w:val="single" w:sz="8" w:space="0" w:color="CDDC29" w:themeColor="text2"/>
              <w:right w:val="nil"/>
            </w:tcBorders>
            <w:shd w:val="clear" w:color="auto" w:fill="FFC000"/>
            <w:vAlign w:val="center"/>
            <w:hideMark/>
          </w:tcPr>
          <w:p w14:paraId="58383777" w14:textId="77777777" w:rsidR="00324D1B" w:rsidRDefault="00324D1B" w:rsidP="0042650F">
            <w:pPr>
              <w:pStyle w:val="BodyText"/>
              <w:jc w:val="center"/>
            </w:pPr>
            <w:r>
              <w:t>Significant</w:t>
            </w:r>
          </w:p>
        </w:tc>
        <w:tc>
          <w:tcPr>
            <w:tcW w:w="1928" w:type="dxa"/>
            <w:tcBorders>
              <w:top w:val="single" w:sz="8" w:space="0" w:color="CDDC29" w:themeColor="text2"/>
              <w:left w:val="nil"/>
              <w:bottom w:val="single" w:sz="8" w:space="0" w:color="CDDC29" w:themeColor="text2"/>
              <w:right w:val="nil"/>
            </w:tcBorders>
            <w:shd w:val="clear" w:color="auto" w:fill="FFC000"/>
            <w:vAlign w:val="center"/>
            <w:hideMark/>
          </w:tcPr>
          <w:p w14:paraId="7FB4A51F" w14:textId="77777777" w:rsidR="00324D1B" w:rsidRDefault="00324D1B" w:rsidP="0042650F">
            <w:pPr>
              <w:pStyle w:val="BodyText"/>
              <w:jc w:val="center"/>
            </w:pPr>
            <w:r>
              <w:t>Significant</w:t>
            </w:r>
          </w:p>
        </w:tc>
      </w:tr>
    </w:tbl>
    <w:p w14:paraId="4B841239" w14:textId="77777777" w:rsidR="00324D1B" w:rsidRDefault="00324D1B" w:rsidP="00324D1B">
      <w:pPr>
        <w:pStyle w:val="BodyText"/>
      </w:pPr>
      <w:r>
        <w:t>* The risk rating for this hazard also applies to the Central Highlands RFA region.</w:t>
      </w:r>
    </w:p>
    <w:p w14:paraId="24BBF092" w14:textId="07A1FF8D" w:rsidR="00324D1B" w:rsidRDefault="00324D1B" w:rsidP="007E5EBF">
      <w:pPr>
        <w:pStyle w:val="Heading3"/>
      </w:pPr>
      <w:r>
        <w:rPr>
          <w:noProof/>
        </w:rPr>
        <mc:AlternateContent>
          <mc:Choice Requires="wps">
            <w:drawing>
              <wp:anchor distT="0" distB="0" distL="114300" distR="114300" simplePos="0" relativeHeight="251658316" behindDoc="1" locked="1" layoutInCell="1" allowOverlap="1" wp14:anchorId="186D7E65" wp14:editId="1CA88278">
                <wp:simplePos x="0" y="0"/>
                <wp:positionH relativeFrom="page">
                  <wp:posOffset>359410</wp:posOffset>
                </wp:positionH>
                <wp:positionV relativeFrom="page">
                  <wp:posOffset>9071610</wp:posOffset>
                </wp:positionV>
                <wp:extent cx="6840220" cy="431800"/>
                <wp:effectExtent l="0" t="0" r="0" b="0"/>
                <wp:wrapNone/>
                <wp:docPr id="426" name="Text Box 426"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7FFA9"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D7E65" id="Text Box 426" o:spid="_x0000_s1089" type="#_x0000_t202" alt="Title: Decorative Cover Shape" style="position:absolute;left:0;text-align:left;margin-left:28.3pt;margin-top:714.3pt;width:538.6pt;height:34pt;z-index:-2516581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MoLj2l/AgAA&#10;YgUAAA4AAAAAAAAAAAAAAAAALgIAAGRycy9lMm9Eb2MueG1sUEsBAi0AFAAGAAgAAAAhAJFrJtfd&#10;AAAADQEAAA8AAAAAAAAAAAAAAAAA2QQAAGRycy9kb3ducmV2LnhtbFBLBQYAAAAABAAEAPMAAADj&#10;BQAAAAA=&#10;" fillcolor="#201547" stroked="f" strokeweight=".5pt">
                <v:textbox inset="10mm,0,10mm,0">
                  <w:txbxContent>
                    <w:p w14:paraId="0BD7FFA9"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315" behindDoc="0" locked="1" layoutInCell="1" allowOverlap="1" wp14:anchorId="3B96B99D" wp14:editId="6BACCCFA">
                <wp:simplePos x="0" y="0"/>
                <wp:positionH relativeFrom="page">
                  <wp:posOffset>360045</wp:posOffset>
                </wp:positionH>
                <wp:positionV relativeFrom="page">
                  <wp:posOffset>360045</wp:posOffset>
                </wp:positionV>
                <wp:extent cx="1864995" cy="1976120"/>
                <wp:effectExtent l="0" t="0" r="0" b="0"/>
                <wp:wrapNone/>
                <wp:docPr id="427" name="Freeform: Shape 42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5976F5D" id="Freeform: Shape 427" o:spid="_x0000_s1026" style="position:absolute;margin-left:28.35pt;margin-top:28.35pt;width:146.85pt;height:155.6pt;z-index:25165831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314" behindDoc="0" locked="1" layoutInCell="1" allowOverlap="1" wp14:anchorId="205B9C78" wp14:editId="29669C6B">
                <wp:simplePos x="0" y="0"/>
                <wp:positionH relativeFrom="page">
                  <wp:posOffset>359410</wp:posOffset>
                </wp:positionH>
                <wp:positionV relativeFrom="page">
                  <wp:posOffset>359410</wp:posOffset>
                </wp:positionV>
                <wp:extent cx="1864995" cy="1976120"/>
                <wp:effectExtent l="0" t="0" r="0" b="0"/>
                <wp:wrapNone/>
                <wp:docPr id="428" name="Freeform: Shape 42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39FDFFC" id="Freeform: Shape 428" o:spid="_x0000_s1026" style="position:absolute;margin-left:28.3pt;margin-top:28.3pt;width:146.85pt;height:155.6pt;z-index:25165831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313" behindDoc="0" locked="1" layoutInCell="1" allowOverlap="1" wp14:anchorId="758E78AA" wp14:editId="4ECADF8D">
                <wp:simplePos x="0" y="0"/>
                <wp:positionH relativeFrom="page">
                  <wp:posOffset>0</wp:posOffset>
                </wp:positionH>
                <wp:positionV relativeFrom="page">
                  <wp:align>bottom</wp:align>
                </wp:positionV>
                <wp:extent cx="3848100" cy="720090"/>
                <wp:effectExtent l="0" t="0" r="0" b="0"/>
                <wp:wrapNone/>
                <wp:docPr id="429" name="Text Box 429"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12C9B" w14:textId="77777777" w:rsidR="00324D1B" w:rsidRDefault="00324D1B" w:rsidP="00324D1B">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E78AA" id="Text Box 429" o:spid="_x0000_s1090" type="#_x0000_t202" style="position:absolute;left:0;text-align:left;margin-left:0;margin-top:0;width:303pt;height:56.7pt;z-index:25165831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" filled="f" stroked="f" strokeweight=".5pt">
                <v:textbox inset="20mm">
                  <w:txbxContent>
                    <w:p w14:paraId="23912C9B" w14:textId="77777777" w:rsidR="00324D1B" w:rsidRDefault="00324D1B" w:rsidP="00324D1B">
                      <w:pPr>
                        <w:pStyle w:val="xWebCoverPage"/>
                      </w:pPr>
                      <w:r>
                        <w:t>delwp.vic.gov.au</w:t>
                      </w:r>
                    </w:p>
                  </w:txbxContent>
                </v:textbox>
                <w10:wrap anchorx="page" anchory="page"/>
                <w10:anchorlock/>
              </v:shape>
            </w:pict>
          </mc:Fallback>
        </mc:AlternateContent>
      </w:r>
      <w:r>
        <w:t>Fire</w:t>
      </w:r>
    </w:p>
    <w:p w14:paraId="5908DF0A" w14:textId="77777777" w:rsidR="00324D1B" w:rsidRDefault="00324D1B" w:rsidP="00324D1B">
      <w:pPr>
        <w:pStyle w:val="Heading5"/>
        <w:numPr>
          <w:ilvl w:val="0"/>
          <w:numId w:val="0"/>
        </w:numPr>
        <w:ind w:left="1008" w:hanging="1008"/>
      </w:pPr>
      <w:r>
        <w:t>Increased fire frequency and intensity</w:t>
      </w:r>
    </w:p>
    <w:p w14:paraId="44615FD8" w14:textId="0AC03E73" w:rsidR="00324D1B" w:rsidRPr="0086143E" w:rsidRDefault="00324D1B" w:rsidP="00324D1B">
      <w:pPr>
        <w:spacing w:line="240" w:lineRule="auto"/>
        <w:textAlignment w:val="baseline"/>
        <w:rPr>
          <w:sz w:val="18"/>
          <w:szCs w:val="18"/>
        </w:rPr>
      </w:pPr>
      <w:r>
        <w:rPr>
          <w:rStyle w:val="BodyTextChar"/>
        </w:rPr>
        <w:t xml:space="preserve">The </w:t>
      </w:r>
      <w:r w:rsidR="001D3902">
        <w:rPr>
          <w:rStyle w:val="BodyTextChar"/>
        </w:rPr>
        <w:t>species</w:t>
      </w:r>
      <w:r>
        <w:rPr>
          <w:rStyle w:val="BodyTextChar"/>
        </w:rPr>
        <w:t xml:space="preserve"> is likely to be at increasing risk of adult mortality </w:t>
      </w:r>
      <w:r w:rsidRPr="0086143E">
        <w:rPr>
          <w:rStyle w:val="BodyTextChar"/>
        </w:rPr>
        <w:t xml:space="preserve">and recruitment failure in response to repeat fire events at intervals approaching the tolerable fire interval for the </w:t>
      </w:r>
      <w:r w:rsidR="001D3902">
        <w:rPr>
          <w:rStyle w:val="BodyTextChar"/>
        </w:rPr>
        <w:t>species</w:t>
      </w:r>
      <w:r w:rsidRPr="0086143E">
        <w:rPr>
          <w:rStyle w:val="BodyTextChar"/>
        </w:rPr>
        <w:t>. Increased fire frequency</w:t>
      </w:r>
      <w:r w:rsidR="006C06D8">
        <w:rPr>
          <w:rStyle w:val="BodyTextChar"/>
        </w:rPr>
        <w:t xml:space="preserve">, </w:t>
      </w:r>
      <w:r w:rsidRPr="0086143E">
        <w:rPr>
          <w:rStyle w:val="BodyTextChar"/>
        </w:rPr>
        <w:t>as well as other disturbance</w:t>
      </w:r>
      <w:r w:rsidR="006C06D8">
        <w:rPr>
          <w:rStyle w:val="BodyTextChar"/>
        </w:rPr>
        <w:t>,</w:t>
      </w:r>
      <w:r w:rsidRPr="0086143E">
        <w:rPr>
          <w:rStyle w:val="BodyTextChar"/>
        </w:rPr>
        <w:t xml:space="preserve"> will increase the </w:t>
      </w:r>
      <w:r w:rsidR="001D3902">
        <w:rPr>
          <w:rStyle w:val="BodyTextChar"/>
        </w:rPr>
        <w:t>species’</w:t>
      </w:r>
      <w:r w:rsidRPr="0086143E">
        <w:rPr>
          <w:rStyle w:val="BodyTextChar"/>
        </w:rPr>
        <w:t xml:space="preserve"> reliance on regeneration and recruitment, with potential recruitment failure related to increased occurrence of drought. This hazard extends</w:t>
      </w:r>
      <w:r w:rsidRPr="0086143E">
        <w:rPr>
          <w:sz w:val="18"/>
          <w:szCs w:val="18"/>
        </w:rPr>
        <w:t xml:space="preserve"> across 60% of the </w:t>
      </w:r>
      <w:r w:rsidR="001D3902">
        <w:rPr>
          <w:sz w:val="18"/>
          <w:szCs w:val="18"/>
        </w:rPr>
        <w:t>species’</w:t>
      </w:r>
      <w:r w:rsidRPr="0086143E">
        <w:rPr>
          <w:sz w:val="18"/>
          <w:szCs w:val="18"/>
        </w:rPr>
        <w:t xml:space="preserve"> distribution, with the Central Highlands populations potentially subject to less disturbance and therefore less likely to be significant impacted in a 20-year timeframe.</w:t>
      </w:r>
    </w:p>
    <w:p w14:paraId="66A6B9CF" w14:textId="77777777" w:rsidR="00324D1B" w:rsidRPr="0086143E" w:rsidRDefault="00324D1B" w:rsidP="00324D1B">
      <w:pPr>
        <w:pStyle w:val="BodyText"/>
      </w:pPr>
      <w:r w:rsidRPr="0086143E">
        <w:t>Current existing controls for this hazard include:</w:t>
      </w:r>
    </w:p>
    <w:p w14:paraId="253319F6" w14:textId="2ED3E9F2" w:rsidR="00324D1B" w:rsidRPr="0086143E" w:rsidRDefault="00324D1B" w:rsidP="006670D2">
      <w:pPr>
        <w:pStyle w:val="PullOutBoxBullet"/>
      </w:pPr>
      <w:r w:rsidRPr="0086143E">
        <w:t xml:space="preserve">Landscape scale strategic fuel management. The effectiveness of this control for this species has been evaluated as satisfactory except under conflagration conditions. Fuel management has aimed and largely been successful in protecting high value forestry resources, which correlates with this </w:t>
      </w:r>
      <w:r w:rsidR="001D3902">
        <w:t>species’</w:t>
      </w:r>
      <w:r w:rsidRPr="0086143E">
        <w:t xml:space="preserve"> habitat.</w:t>
      </w:r>
    </w:p>
    <w:p w14:paraId="49656A70" w14:textId="77777777" w:rsidR="0086143E" w:rsidRDefault="0086143E">
      <w:pPr>
        <w:rPr>
          <w:b/>
          <w:bCs/>
          <w:sz w:val="16"/>
        </w:rPr>
      </w:pPr>
      <w:r>
        <w:br w:type="page"/>
      </w:r>
    </w:p>
    <w:p w14:paraId="3477AB17" w14:textId="08DA187A"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144</w:t>
      </w:r>
      <w:r w:rsidR="000B6788" w:rsidRPr="00291BDC">
        <w:rPr>
          <w:bCs/>
          <w:noProof/>
        </w:rPr>
        <w:fldChar w:fldCharType="end"/>
      </w:r>
      <w:r w:rsidRPr="00FF310C">
        <w:t>. Leafless Pink-bells protection requirements and recommendations for increased fire frequency and intensity</w:t>
      </w:r>
    </w:p>
    <w:tbl>
      <w:tblPr>
        <w:tblStyle w:val="TableGrid"/>
        <w:tblW w:w="0" w:type="auto"/>
        <w:tblLook w:val="04A0" w:firstRow="1" w:lastRow="0" w:firstColumn="1" w:lastColumn="0" w:noHBand="0" w:noVBand="1"/>
      </w:tblPr>
      <w:tblGrid>
        <w:gridCol w:w="2268"/>
        <w:gridCol w:w="7371"/>
      </w:tblGrid>
      <w:tr w:rsidR="00324D1B" w14:paraId="0DFA2717"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6DEB5816"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89F2FD0"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64B8FF3E" w14:textId="77777777" w:rsidTr="001A4A89">
        <w:tc>
          <w:tcPr>
            <w:tcW w:w="2268" w:type="dxa"/>
            <w:tcBorders>
              <w:top w:val="single" w:sz="8" w:space="0" w:color="CDDC29" w:themeColor="text2"/>
              <w:left w:val="nil"/>
              <w:bottom w:val="single" w:sz="8" w:space="0" w:color="CDDC29" w:themeColor="text2"/>
              <w:right w:val="nil"/>
            </w:tcBorders>
            <w:hideMark/>
          </w:tcPr>
          <w:p w14:paraId="50BA5FD1" w14:textId="180F0A53" w:rsidR="00324D1B" w:rsidRDefault="002D7097" w:rsidP="001A4A89">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18FAB330" w14:textId="77777777" w:rsidR="00324D1B" w:rsidRDefault="00324D1B" w:rsidP="001A4A89">
            <w:pPr>
              <w:pStyle w:val="BodyText"/>
            </w:pPr>
            <w:r>
              <w:t>Not required for this hazard as it is a longer-term threat.</w:t>
            </w:r>
          </w:p>
        </w:tc>
      </w:tr>
      <w:tr w:rsidR="00324D1B" w14:paraId="550BF0F3" w14:textId="77777777" w:rsidTr="001A4A89">
        <w:tc>
          <w:tcPr>
            <w:tcW w:w="2268" w:type="dxa"/>
            <w:tcBorders>
              <w:top w:val="single" w:sz="8" w:space="0" w:color="CDDC29" w:themeColor="text2"/>
              <w:left w:val="nil"/>
              <w:bottom w:val="single" w:sz="8" w:space="0" w:color="CDDC29" w:themeColor="text2"/>
              <w:right w:val="nil"/>
            </w:tcBorders>
            <w:hideMark/>
          </w:tcPr>
          <w:p w14:paraId="52911BF0" w14:textId="529E4BE4" w:rsidR="00324D1B" w:rsidRDefault="002D7097" w:rsidP="001A4A89">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36F5AB7D" w14:textId="77777777" w:rsidR="00E74D27" w:rsidRPr="00E74D27" w:rsidRDefault="00324D1B" w:rsidP="006670D2">
            <w:pPr>
              <w:pStyle w:val="PullOutBoxBullet"/>
            </w:pPr>
            <w:r>
              <w:t>Improved landscape scale strategic fuel management; and</w:t>
            </w:r>
            <w:r>
              <w:rPr>
                <w:i/>
                <w:iCs/>
              </w:rPr>
              <w:t xml:space="preserve"> </w:t>
            </w:r>
          </w:p>
          <w:p w14:paraId="23E9A281" w14:textId="3CEA59CC" w:rsidR="00324D1B" w:rsidRDefault="00E74D27" w:rsidP="006670D2">
            <w:pPr>
              <w:pStyle w:val="PullOutBoxBullet"/>
            </w:pPr>
            <w:r>
              <w:rPr>
                <w:i/>
                <w:iCs/>
              </w:rPr>
              <w:t>E</w:t>
            </w:r>
            <w:r w:rsidR="00324D1B">
              <w:rPr>
                <w:i/>
                <w:iCs/>
              </w:rPr>
              <w:t>x-situ</w:t>
            </w:r>
            <w:r w:rsidR="00324D1B">
              <w:t xml:space="preserve"> seed banking. </w:t>
            </w:r>
          </w:p>
        </w:tc>
      </w:tr>
    </w:tbl>
    <w:p w14:paraId="46277C0F" w14:textId="77777777" w:rsidR="00324D1B" w:rsidRDefault="00324D1B" w:rsidP="007E5EBF">
      <w:pPr>
        <w:pStyle w:val="Heading3"/>
      </w:pPr>
      <w:r>
        <w:t>Forestry operations</w:t>
      </w:r>
    </w:p>
    <w:p w14:paraId="73CF26DC" w14:textId="77777777" w:rsidR="00324D1B" w:rsidRDefault="00324D1B" w:rsidP="00324D1B">
      <w:pPr>
        <w:pStyle w:val="Heading5"/>
        <w:numPr>
          <w:ilvl w:val="0"/>
          <w:numId w:val="0"/>
        </w:numPr>
        <w:ind w:left="1008" w:hanging="1008"/>
      </w:pPr>
      <w:r>
        <w:t>Forestry operations</w:t>
      </w:r>
    </w:p>
    <w:p w14:paraId="6D12B6D6" w14:textId="08ADFEB3" w:rsidR="00324D1B" w:rsidRPr="0086143E" w:rsidRDefault="00324D1B" w:rsidP="00324D1B">
      <w:pPr>
        <w:pStyle w:val="BodyText"/>
      </w:pPr>
      <w:r>
        <w:t>Soil disturbance by heavy machinery may kill individual plants</w:t>
      </w:r>
      <w:r w:rsidR="0055252B">
        <w:t>,</w:t>
      </w:r>
      <w:r>
        <w:t xml:space="preserve"> but the mortality risk may be exacerbated by regeneration fires due to multiple intense stressors over a short period. Any post-fire recruitment of seedlings will be at risk of competition from other taxa and this combination of </w:t>
      </w:r>
      <w:r w:rsidRPr="0086143E">
        <w:t>disturbances may confer a competitive advantage to a range of common and widespread indigenous species over Leafless Pink-bells. Forestry also interacts strongly with other climate change hazards (e.g., increased droughts) where the cumulative effect is to promote a suite of relatively resilient, usually common</w:t>
      </w:r>
      <w:r w:rsidR="00D6436D" w:rsidRPr="0086143E">
        <w:t>,</w:t>
      </w:r>
      <w:r w:rsidRPr="0086143E">
        <w:t xml:space="preserve"> and widespread species which populate and </w:t>
      </w:r>
      <w:r w:rsidR="009A371D">
        <w:t xml:space="preserve">can </w:t>
      </w:r>
      <w:r w:rsidRPr="0086143E">
        <w:t xml:space="preserve">dominate the habitat of Leafless Pink-bells following local disturbances. </w:t>
      </w:r>
      <w:r w:rsidR="005111C3" w:rsidRPr="00915D82">
        <w:t xml:space="preserve">Disturbances related to forestry operations and climate change </w:t>
      </w:r>
      <w:r w:rsidRPr="0086143E">
        <w:t xml:space="preserve">can also disrupt natural regeneration processes by preventing successful seedling recruitment and the replenishment of a local propagule bank. This may be a significant hazard given the </w:t>
      </w:r>
      <w:r w:rsidR="001D3902">
        <w:t>species’</w:t>
      </w:r>
      <w:r w:rsidRPr="0086143E">
        <w:t xml:space="preserve"> fidelity to relatively common</w:t>
      </w:r>
      <w:r w:rsidR="00E35A89">
        <w:t xml:space="preserve"> Ecological Vegetation Classes (EVCs)</w:t>
      </w:r>
      <w:r w:rsidRPr="0086143E">
        <w:t xml:space="preserve"> where sensitive and rare species may be at greater risk of local extinctions as more resilient species take over. Forestry operations could also have a greater impact on the </w:t>
      </w:r>
      <w:r w:rsidR="001D3902">
        <w:t>species</w:t>
      </w:r>
      <w:r w:rsidRPr="0086143E">
        <w:t xml:space="preserve"> at sites that support </w:t>
      </w:r>
      <w:r w:rsidRPr="0086143E">
        <w:rPr>
          <w:i/>
          <w:iCs/>
        </w:rPr>
        <w:t>Phytophthora cinnamomi</w:t>
      </w:r>
      <w:r w:rsidRPr="0086143E">
        <w:t xml:space="preserve"> which could be introduced through contaminated soil on heavy plant equipment and vehicles</w:t>
      </w:r>
      <w:r w:rsidR="003E0B02">
        <w:t>. V</w:t>
      </w:r>
      <w:r w:rsidR="00226647" w:rsidRPr="00915D82">
        <w:t xml:space="preserve">ehicle hygiene practices are </w:t>
      </w:r>
      <w:r w:rsidR="003E0B02">
        <w:t xml:space="preserve">therefore </w:t>
      </w:r>
      <w:r w:rsidR="00226647" w:rsidRPr="00915D82">
        <w:t>required during forestry operations to limit pathogen spread.</w:t>
      </w:r>
    </w:p>
    <w:p w14:paraId="01FD25C2" w14:textId="1568CBB7" w:rsidR="00324D1B" w:rsidRPr="00291BDC" w:rsidRDefault="00A235E8" w:rsidP="00324D1B">
      <w:pPr>
        <w:pStyle w:val="BodyText"/>
      </w:pPr>
      <w:r w:rsidRPr="00FD57DB">
        <w:t>Based on the 2015 net harvest area layer</w:t>
      </w:r>
      <w:r w:rsidR="00434712" w:rsidRPr="00FD57DB">
        <w:t>,</w:t>
      </w:r>
      <w:r w:rsidRPr="00FD57DB">
        <w:t xml:space="preserve"> 17% of the </w:t>
      </w:r>
      <w:r w:rsidR="001D3902">
        <w:t>species’</w:t>
      </w:r>
      <w:r w:rsidR="00434712" w:rsidRPr="00FD57DB">
        <w:t xml:space="preserve"> modelled </w:t>
      </w:r>
      <w:r w:rsidRPr="00FD57DB">
        <w:t>habitat in the Gippsland RFA</w:t>
      </w:r>
      <w:r w:rsidR="002A6069">
        <w:t xml:space="preserve"> region</w:t>
      </w:r>
      <w:r w:rsidR="00434712" w:rsidRPr="00FD57DB">
        <w:t xml:space="preserve"> </w:t>
      </w:r>
      <w:r w:rsidRPr="00FD57DB">
        <w:rPr>
          <w:rFonts w:ascii="Arial" w:hAnsi="Arial"/>
        </w:rPr>
        <w:t xml:space="preserve">and 24% of </w:t>
      </w:r>
      <w:r w:rsidR="00434712" w:rsidRPr="00FD57DB">
        <w:rPr>
          <w:rFonts w:ascii="Arial" w:hAnsi="Arial"/>
        </w:rPr>
        <w:t>its modelled</w:t>
      </w:r>
      <w:r w:rsidRPr="00FD57DB">
        <w:rPr>
          <w:rFonts w:ascii="Arial" w:hAnsi="Arial"/>
        </w:rPr>
        <w:t xml:space="preserve"> habitat in the East Gippsland RFA</w:t>
      </w:r>
      <w:r w:rsidR="002A6069">
        <w:rPr>
          <w:rFonts w:ascii="Arial" w:hAnsi="Arial"/>
        </w:rPr>
        <w:t xml:space="preserve"> region</w:t>
      </w:r>
      <w:r w:rsidRPr="00FD57DB">
        <w:t xml:space="preserve"> have the potential to be impacted by forestry operations. Using the revised operable layer this is reduced to </w:t>
      </w:r>
      <w:r w:rsidR="00434712" w:rsidRPr="00FD57DB">
        <w:t>8</w:t>
      </w:r>
      <w:r w:rsidRPr="00FD57DB">
        <w:t>%</w:t>
      </w:r>
      <w:r w:rsidR="00434712" w:rsidRPr="00FD57DB">
        <w:t xml:space="preserve"> in </w:t>
      </w:r>
      <w:r w:rsidR="00031884" w:rsidRPr="00FD57DB">
        <w:t xml:space="preserve">the </w:t>
      </w:r>
      <w:r w:rsidR="00434712" w:rsidRPr="00FD57DB">
        <w:t>East Gippsland RFA</w:t>
      </w:r>
      <w:r w:rsidR="002A6069">
        <w:t xml:space="preserve"> region</w:t>
      </w:r>
      <w:r w:rsidR="00434712" w:rsidRPr="00FD57DB">
        <w:t xml:space="preserve"> and 6% in the Gippsland RFA</w:t>
      </w:r>
      <w:r w:rsidR="002A6069">
        <w:t xml:space="preserve"> region</w:t>
      </w:r>
      <w:r w:rsidR="00434712" w:rsidRPr="00FD57DB">
        <w:t>.</w:t>
      </w:r>
      <w:r w:rsidRPr="00B6162A">
        <w:t xml:space="preserve"> </w:t>
      </w:r>
    </w:p>
    <w:p w14:paraId="679E3A3F" w14:textId="77777777" w:rsidR="00324D1B" w:rsidRPr="0086143E" w:rsidRDefault="00324D1B" w:rsidP="00324D1B">
      <w:pPr>
        <w:pStyle w:val="BodyText"/>
      </w:pPr>
      <w:r w:rsidRPr="0086143E">
        <w:t>Current existing controls for this hazard include:</w:t>
      </w:r>
    </w:p>
    <w:p w14:paraId="3C2D7AA0" w14:textId="14DEAB8A" w:rsidR="00324D1B" w:rsidRPr="0086143E" w:rsidRDefault="00324D1B" w:rsidP="006670D2">
      <w:pPr>
        <w:pStyle w:val="PullOutBoxBullet"/>
      </w:pPr>
      <w:r w:rsidRPr="0086143E">
        <w:t xml:space="preserve">The </w:t>
      </w:r>
      <w:r w:rsidRPr="0086143E">
        <w:rPr>
          <w:i/>
          <w:iCs/>
        </w:rPr>
        <w:t xml:space="preserve">Code of Practice for Timber Production 2014. </w:t>
      </w:r>
      <w:r w:rsidRPr="0086143E">
        <w:t>The effectiveness of this control for this species has been evaluated as satisfactory in the Gippsland RFA</w:t>
      </w:r>
      <w:r w:rsidR="002A6069">
        <w:t xml:space="preserve"> region</w:t>
      </w:r>
      <w:r w:rsidRPr="0086143E">
        <w:t xml:space="preserve"> where it has species-specific code prescriptions, and poor in the East Gippsland RFA</w:t>
      </w:r>
      <w:r w:rsidR="002A6069">
        <w:t xml:space="preserve"> region</w:t>
      </w:r>
      <w:r w:rsidRPr="0086143E">
        <w:t xml:space="preserve"> where the prescriptions do not apply. It may, however, receive some protection from other general Code prescriptions.</w:t>
      </w:r>
    </w:p>
    <w:p w14:paraId="37C620A5" w14:textId="0F3D51EA" w:rsidR="00324D1B" w:rsidRPr="0086143E" w:rsidRDefault="00324D1B" w:rsidP="006670D2">
      <w:pPr>
        <w:pStyle w:val="PullOutBoxBullet"/>
        <w:rPr>
          <w:rFonts w:eastAsiaTheme="minorEastAsia" w:cstheme="minorBidi"/>
        </w:rPr>
      </w:pPr>
      <w:r w:rsidRPr="0086143E">
        <w:t xml:space="preserve">The CAR reserve system. The effectiveness of this control for this species has been evaluated as satisfactory as 58% of the </w:t>
      </w:r>
      <w:r w:rsidR="001D3902">
        <w:t>species’</w:t>
      </w:r>
      <w:r w:rsidRPr="0086143E">
        <w:t xml:space="preserve"> modelled distribution and 66% of important populations are within the reserve system</w:t>
      </w:r>
      <w:r w:rsidR="00F241FB">
        <w:t>.</w:t>
      </w:r>
    </w:p>
    <w:p w14:paraId="46DF2F96" w14:textId="77777777" w:rsidR="00324D1B" w:rsidRDefault="00324D1B" w:rsidP="00324D1B">
      <w:pPr>
        <w:rPr>
          <w:b/>
          <w:bCs/>
          <w:sz w:val="16"/>
        </w:rPr>
      </w:pPr>
      <w:r>
        <w:rPr>
          <w:color w:val="auto"/>
        </w:rPr>
        <w:br w:type="page"/>
      </w:r>
    </w:p>
    <w:p w14:paraId="7B315891" w14:textId="2764FEF9"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145</w:t>
      </w:r>
      <w:r w:rsidR="000B6788" w:rsidRPr="00291BDC">
        <w:rPr>
          <w:bCs/>
          <w:noProof/>
        </w:rPr>
        <w:fldChar w:fldCharType="end"/>
      </w:r>
      <w:r w:rsidRPr="00FF310C">
        <w:t>. Leafless Pink-bells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324D1B" w14:paraId="7436D02F"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2F1FB308"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6E23F339"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6F005D31" w14:textId="77777777" w:rsidTr="001A4A89">
        <w:tc>
          <w:tcPr>
            <w:tcW w:w="2268" w:type="dxa"/>
            <w:tcBorders>
              <w:top w:val="single" w:sz="8" w:space="0" w:color="CDDC29" w:themeColor="text2"/>
              <w:left w:val="nil"/>
              <w:bottom w:val="single" w:sz="8" w:space="0" w:color="CDDC29" w:themeColor="text2"/>
              <w:right w:val="nil"/>
            </w:tcBorders>
            <w:hideMark/>
          </w:tcPr>
          <w:p w14:paraId="75DD8C4A" w14:textId="77777777" w:rsidR="00324D1B" w:rsidRDefault="00324D1B" w:rsidP="001A4A89">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4F5BDE68" w14:textId="34097523" w:rsidR="00324D1B" w:rsidRDefault="00324D1B" w:rsidP="001A4A89">
            <w:pPr>
              <w:pStyle w:val="BodyText"/>
              <w:rPr>
                <w:rFonts w:eastAsia="Calibri"/>
              </w:rPr>
            </w:pPr>
            <w:r>
              <w:rPr>
                <w:rFonts w:eastAsia="Calibri"/>
              </w:rPr>
              <w:t>Within the East Gippsland RFA</w:t>
            </w:r>
            <w:r w:rsidR="002A6069">
              <w:rPr>
                <w:rFonts w:eastAsia="Calibri"/>
              </w:rPr>
              <w:t xml:space="preserve"> region</w:t>
            </w:r>
            <w:r>
              <w:rPr>
                <w:rFonts w:eastAsia="Calibri"/>
              </w:rPr>
              <w:t>, the Secretary will establish Special Management Zone(s) over individual or collections of post-1970 VBA records (</w:t>
            </w:r>
            <w:r w:rsidR="0058098D">
              <w:rPr>
                <w:rFonts w:eastAsia="Calibri"/>
              </w:rPr>
              <w:t>records with an accuracy of 100 m or better</w:t>
            </w:r>
            <w:r>
              <w:rPr>
                <w:rFonts w:eastAsia="Calibri"/>
              </w:rPr>
              <w:t>) with the following conditions:</w:t>
            </w:r>
          </w:p>
          <w:p w14:paraId="12700870" w14:textId="60B2811B" w:rsidR="00324D1B" w:rsidRDefault="00324D1B" w:rsidP="006670D2">
            <w:pPr>
              <w:pStyle w:val="PullOutBoxBullet"/>
            </w:pPr>
            <w:r>
              <w:t>The managing authority is required to apply a management area of 200 m radius over individual or collections of post-1970 VBA records (</w:t>
            </w:r>
            <w:r w:rsidR="0058098D">
              <w:t>records with an accuracy of 100 m or better</w:t>
            </w:r>
            <w:r>
              <w:t>). Conduct a site inspection and detailed planning in consultation with the Department to ensure the species is adequately protected during timber harvesting operations</w:t>
            </w:r>
            <w:r w:rsidR="00294246">
              <w:t xml:space="preserve"> (See Map</w:t>
            </w:r>
            <w:r w:rsidR="00D73C18">
              <w:t xml:space="preserve"> 6a).</w:t>
            </w:r>
          </w:p>
        </w:tc>
      </w:tr>
      <w:tr w:rsidR="00E14D5F" w14:paraId="4C7B6E8A" w14:textId="77777777" w:rsidTr="001A4A89">
        <w:tc>
          <w:tcPr>
            <w:tcW w:w="2268" w:type="dxa"/>
            <w:tcBorders>
              <w:top w:val="single" w:sz="8" w:space="0" w:color="CDDC29" w:themeColor="text2"/>
              <w:left w:val="nil"/>
              <w:bottom w:val="single" w:sz="8" w:space="0" w:color="CDDC29" w:themeColor="text2"/>
              <w:right w:val="nil"/>
            </w:tcBorders>
          </w:tcPr>
          <w:p w14:paraId="13AC2D68" w14:textId="364C90B4" w:rsidR="00E14D5F" w:rsidRDefault="00E14D5F" w:rsidP="001A4A89">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0A563924" w14:textId="77777777" w:rsidR="005672B6" w:rsidRPr="00E31362" w:rsidRDefault="005672B6" w:rsidP="006670D2">
            <w:pPr>
              <w:pStyle w:val="PullOutBoxBullet"/>
            </w:pPr>
            <w:r w:rsidRPr="00E31362">
              <w:t>Comprehensively search likely habitat and map important populations; and</w:t>
            </w:r>
          </w:p>
          <w:p w14:paraId="4F56B570" w14:textId="6D1A854B" w:rsidR="00E14D5F" w:rsidRDefault="005672B6" w:rsidP="006670D2">
            <w:pPr>
              <w:pStyle w:val="PullOutBoxBullet"/>
            </w:pPr>
            <w:r w:rsidRPr="00E31362">
              <w:t>Establish monitoring sites and collect baseline data.</w:t>
            </w:r>
          </w:p>
        </w:tc>
      </w:tr>
      <w:tr w:rsidR="00324D1B" w14:paraId="2357BD83" w14:textId="77777777" w:rsidTr="001A4A89">
        <w:tc>
          <w:tcPr>
            <w:tcW w:w="2268" w:type="dxa"/>
            <w:tcBorders>
              <w:top w:val="single" w:sz="8" w:space="0" w:color="CDDC29" w:themeColor="text2"/>
              <w:left w:val="nil"/>
              <w:bottom w:val="single" w:sz="8" w:space="0" w:color="CDDC29" w:themeColor="text2"/>
              <w:right w:val="nil"/>
            </w:tcBorders>
            <w:hideMark/>
          </w:tcPr>
          <w:p w14:paraId="7C041CF4" w14:textId="77777777" w:rsidR="00324D1B" w:rsidRDefault="00324D1B" w:rsidP="001A4A89">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44D7BC18" w14:textId="77777777" w:rsidR="00324D1B" w:rsidRDefault="00324D1B" w:rsidP="001A4A89">
            <w:pPr>
              <w:pStyle w:val="BodyText"/>
            </w:pPr>
            <w:r>
              <w:t>Additional permanent protections may be required in the longer-term.</w:t>
            </w:r>
          </w:p>
        </w:tc>
      </w:tr>
      <w:tr w:rsidR="00324D1B" w14:paraId="23515FFD" w14:textId="77777777" w:rsidTr="001A4A89">
        <w:tc>
          <w:tcPr>
            <w:tcW w:w="2268" w:type="dxa"/>
            <w:tcBorders>
              <w:top w:val="single" w:sz="8" w:space="0" w:color="CDDC29" w:themeColor="text2"/>
              <w:left w:val="nil"/>
              <w:bottom w:val="single" w:sz="8" w:space="0" w:color="CDDC29" w:themeColor="text2"/>
              <w:right w:val="nil"/>
            </w:tcBorders>
            <w:hideMark/>
          </w:tcPr>
          <w:p w14:paraId="780E076E" w14:textId="73EBBCD8" w:rsidR="00324D1B" w:rsidRDefault="00E14D5F" w:rsidP="001A4A89">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4D3FF3AE" w14:textId="36411243" w:rsidR="00324D1B" w:rsidRDefault="00324D1B" w:rsidP="006670D2">
            <w:pPr>
              <w:pStyle w:val="PullOutBoxBullet"/>
            </w:pPr>
            <w:r>
              <w:t xml:space="preserve">Commission FPSP surveys in </w:t>
            </w:r>
            <w:r w:rsidR="00766934">
              <w:t xml:space="preserve">the </w:t>
            </w:r>
            <w:r>
              <w:t>Gippsland RFA</w:t>
            </w:r>
            <w:r w:rsidR="002A6069">
              <w:t xml:space="preserve"> region</w:t>
            </w:r>
            <w:r>
              <w:t xml:space="preserve"> and alert surveyors to this target species to ensure it receives adequate consideration during searches; </w:t>
            </w:r>
          </w:p>
          <w:p w14:paraId="297449A2" w14:textId="65B3AFBE" w:rsidR="00324D1B" w:rsidRDefault="00324D1B" w:rsidP="006670D2">
            <w:pPr>
              <w:pStyle w:val="PullOutBoxBullet"/>
            </w:pPr>
            <w:r>
              <w:t xml:space="preserve">Conduct targeted surveys in </w:t>
            </w:r>
            <w:r w:rsidR="00766934">
              <w:t xml:space="preserve">the </w:t>
            </w:r>
            <w:r>
              <w:t>Gippsland RFA</w:t>
            </w:r>
            <w:r w:rsidR="002A6069">
              <w:t xml:space="preserve"> region</w:t>
            </w:r>
            <w:r>
              <w:t xml:space="preserve"> where historic records are low accuracy (e.g</w:t>
            </w:r>
            <w:r w:rsidR="00D6436D">
              <w:t>.,</w:t>
            </w:r>
            <w:r>
              <w:t xml:space="preserve"> old voucher specimens); </w:t>
            </w:r>
          </w:p>
          <w:p w14:paraId="6D398325" w14:textId="0AE1F723" w:rsidR="00324D1B" w:rsidRDefault="00324D1B" w:rsidP="006670D2">
            <w:pPr>
              <w:pStyle w:val="PullOutBoxBullet"/>
            </w:pPr>
            <w:r>
              <w:t xml:space="preserve">Collect seed for the </w:t>
            </w:r>
            <w:r w:rsidR="000B671C">
              <w:t>VCS</w:t>
            </w:r>
            <w:r>
              <w:t xml:space="preserve"> from across the species’ range, as no seed is currently held in the </w:t>
            </w:r>
            <w:r w:rsidR="000B671C">
              <w:t>VCS</w:t>
            </w:r>
            <w:r>
              <w:t xml:space="preserve"> for this species (A. Messina, RBG</w:t>
            </w:r>
            <w:r w:rsidR="00F15A17">
              <w:t>V</w:t>
            </w:r>
            <w:r>
              <w:t xml:space="preserve"> pers. comm. 11/10/21); </w:t>
            </w:r>
          </w:p>
          <w:p w14:paraId="52692497" w14:textId="37A46583" w:rsidR="00324D1B" w:rsidRDefault="005111C3" w:rsidP="006670D2">
            <w:pPr>
              <w:pStyle w:val="PullOutBoxBullet"/>
            </w:pPr>
            <w:r w:rsidRPr="008B39FD">
              <w:t xml:space="preserve">Consider including appropriate prescriptions for this species in the East Gippsland RFA </w:t>
            </w:r>
            <w:r w:rsidR="00E450B7">
              <w:t xml:space="preserve">region </w:t>
            </w:r>
            <w:r w:rsidRPr="008B39FD">
              <w:t>as part of future Code amendments</w:t>
            </w:r>
            <w:r w:rsidR="00324D1B">
              <w:t xml:space="preserve">; </w:t>
            </w:r>
          </w:p>
          <w:p w14:paraId="26ADA254" w14:textId="3BA60930" w:rsidR="00324D1B" w:rsidRDefault="00324D1B" w:rsidP="006670D2">
            <w:pPr>
              <w:pStyle w:val="PullOutBoxBullet"/>
            </w:pPr>
            <w:r>
              <w:t xml:space="preserve">Monitor populations subject to disturbance to better understand the </w:t>
            </w:r>
            <w:r w:rsidR="001D3902">
              <w:t>species’</w:t>
            </w:r>
            <w:r>
              <w:t xml:space="preserve"> response; and </w:t>
            </w:r>
          </w:p>
          <w:p w14:paraId="6E393273" w14:textId="6C1A876D" w:rsidR="00324D1B" w:rsidRDefault="00324D1B" w:rsidP="006670D2">
            <w:pPr>
              <w:pStyle w:val="PullOutBoxBullet"/>
            </w:pPr>
            <w:r>
              <w:t xml:space="preserve">Complete research on the persistence of plants in </w:t>
            </w:r>
            <w:r w:rsidR="0021400A">
              <w:t>harvested</w:t>
            </w:r>
            <w:r>
              <w:t xml:space="preserve"> landscapes</w:t>
            </w:r>
            <w:r w:rsidR="00E76F8C">
              <w:t>.</w:t>
            </w:r>
          </w:p>
        </w:tc>
      </w:tr>
    </w:tbl>
    <w:p w14:paraId="03DC2A48" w14:textId="4E63DA15" w:rsidR="00324D1B" w:rsidRDefault="00324D1B" w:rsidP="007E5EBF">
      <w:pPr>
        <w:pStyle w:val="Heading3"/>
      </w:pPr>
      <w:r>
        <w:rPr>
          <w:noProof/>
        </w:rPr>
        <mc:AlternateContent>
          <mc:Choice Requires="wps">
            <w:drawing>
              <wp:anchor distT="0" distB="0" distL="114300" distR="114300" simplePos="0" relativeHeight="251658312" behindDoc="1" locked="1" layoutInCell="1" allowOverlap="1" wp14:anchorId="75B80020" wp14:editId="78898297">
                <wp:simplePos x="0" y="0"/>
                <wp:positionH relativeFrom="page">
                  <wp:posOffset>359410</wp:posOffset>
                </wp:positionH>
                <wp:positionV relativeFrom="page">
                  <wp:posOffset>9071610</wp:posOffset>
                </wp:positionV>
                <wp:extent cx="6840220" cy="431800"/>
                <wp:effectExtent l="0" t="0" r="0" b="0"/>
                <wp:wrapNone/>
                <wp:docPr id="421" name="Text Box 421"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B5E1"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80020" id="Text Box 421" o:spid="_x0000_s1091" type="#_x0000_t202" alt="Title: Decorative Cover Shape" style="position:absolute;left:0;text-align:left;margin-left:28.3pt;margin-top:714.3pt;width:538.6pt;height:34pt;z-index:-251658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AW6AjDgAIA&#10;AGIFAAAOAAAAAAAAAAAAAAAAAC4CAABkcnMvZTJvRG9jLnhtbFBLAQItABQABgAIAAAAIQCRaybX&#10;3QAAAA0BAAAPAAAAAAAAAAAAAAAAANoEAABkcnMvZG93bnJldi54bWxQSwUGAAAAAAQABADzAAAA&#10;5AUAAAAA&#10;" fillcolor="#201547" stroked="f" strokeweight=".5pt">
                <v:textbox inset="10mm,0,10mm,0">
                  <w:txbxContent>
                    <w:p w14:paraId="3DA0B5E1"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311" behindDoc="0" locked="1" layoutInCell="1" allowOverlap="1" wp14:anchorId="2EE9BAE5" wp14:editId="5D22E463">
                <wp:simplePos x="0" y="0"/>
                <wp:positionH relativeFrom="page">
                  <wp:posOffset>360045</wp:posOffset>
                </wp:positionH>
                <wp:positionV relativeFrom="page">
                  <wp:posOffset>360045</wp:posOffset>
                </wp:positionV>
                <wp:extent cx="1864995" cy="1976120"/>
                <wp:effectExtent l="0" t="0" r="0" b="0"/>
                <wp:wrapNone/>
                <wp:docPr id="422" name="Freeform: Shape 42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B0B03F0" id="Freeform: Shape 422" o:spid="_x0000_s1026" style="position:absolute;margin-left:28.35pt;margin-top:28.35pt;width:146.85pt;height:155.6pt;z-index:25165831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310" behindDoc="0" locked="1" layoutInCell="1" allowOverlap="1" wp14:anchorId="57B3B2FD" wp14:editId="7A548D6F">
                <wp:simplePos x="0" y="0"/>
                <wp:positionH relativeFrom="page">
                  <wp:posOffset>359410</wp:posOffset>
                </wp:positionH>
                <wp:positionV relativeFrom="page">
                  <wp:posOffset>359410</wp:posOffset>
                </wp:positionV>
                <wp:extent cx="1864995" cy="1976120"/>
                <wp:effectExtent l="0" t="0" r="0" b="0"/>
                <wp:wrapNone/>
                <wp:docPr id="423" name="Freeform: Shape 42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65012F7" id="Freeform: Shape 423" o:spid="_x0000_s1026" style="position:absolute;margin-left:28.3pt;margin-top:28.3pt;width:146.85pt;height:155.6pt;z-index:25165831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309" behindDoc="0" locked="1" layoutInCell="1" allowOverlap="1" wp14:anchorId="23E67EE9" wp14:editId="393ADCA6">
                <wp:simplePos x="0" y="0"/>
                <wp:positionH relativeFrom="page">
                  <wp:posOffset>0</wp:posOffset>
                </wp:positionH>
                <wp:positionV relativeFrom="page">
                  <wp:align>bottom</wp:align>
                </wp:positionV>
                <wp:extent cx="3848100" cy="720090"/>
                <wp:effectExtent l="0" t="0" r="0" b="0"/>
                <wp:wrapNone/>
                <wp:docPr id="424" name="Text Box 424"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EE667" w14:textId="77777777" w:rsidR="00324D1B" w:rsidRDefault="00324D1B" w:rsidP="00324D1B">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67EE9" id="Text Box 424" o:spid="_x0000_s1092" type="#_x0000_t202" style="position:absolute;left:0;text-align:left;margin-left:0;margin-top:0;width:303pt;height:56.7pt;z-index:25165830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" filled="f" stroked="f" strokeweight=".5pt">
                <v:textbox inset="20mm">
                  <w:txbxContent>
                    <w:p w14:paraId="75DEE667" w14:textId="77777777" w:rsidR="00324D1B" w:rsidRDefault="00324D1B" w:rsidP="00324D1B">
                      <w:pPr>
                        <w:pStyle w:val="xWebCoverPage"/>
                      </w:pPr>
                      <w:r>
                        <w:t>delwp.vic.gov.au</w:t>
                      </w:r>
                    </w:p>
                  </w:txbxContent>
                </v:textbox>
                <w10:wrap anchorx="page" anchory="page"/>
                <w10:anchorlock/>
              </v:shape>
            </w:pict>
          </mc:Fallback>
        </mc:AlternateContent>
      </w:r>
      <w:r>
        <w:t>Invasive species</w:t>
      </w:r>
    </w:p>
    <w:p w14:paraId="304EB691" w14:textId="77777777" w:rsidR="00324D1B" w:rsidRDefault="00324D1B" w:rsidP="00324D1B">
      <w:pPr>
        <w:pStyle w:val="Heading5"/>
        <w:numPr>
          <w:ilvl w:val="0"/>
          <w:numId w:val="0"/>
        </w:numPr>
        <w:ind w:left="1008" w:hanging="1008"/>
      </w:pPr>
      <w:r>
        <w:t>Invasive vertebrate (deer)</w:t>
      </w:r>
    </w:p>
    <w:p w14:paraId="56BEAB2C" w14:textId="1FAFE973" w:rsidR="00324D1B" w:rsidRPr="0086143E" w:rsidRDefault="00324D1B" w:rsidP="00324D1B">
      <w:pPr>
        <w:pStyle w:val="BodyText"/>
      </w:pPr>
      <w:r>
        <w:t xml:space="preserve">Direct browsing impacts on the </w:t>
      </w:r>
      <w:r w:rsidR="001D3902">
        <w:t>species</w:t>
      </w:r>
      <w:r>
        <w:t xml:space="preserve"> are rarely observed, however mortality from trampling and soil instability resulting from deer activity are likely to be </w:t>
      </w:r>
      <w:r w:rsidRPr="0086143E">
        <w:t xml:space="preserve">widespread. Deer may spread and/or create suitable conditions for </w:t>
      </w:r>
      <w:r w:rsidRPr="0086143E">
        <w:rPr>
          <w:i/>
          <w:iCs/>
        </w:rPr>
        <w:t>Phytophthora</w:t>
      </w:r>
      <w:r w:rsidRPr="0086143E">
        <w:t xml:space="preserve"> </w:t>
      </w:r>
      <w:r w:rsidRPr="0086143E">
        <w:rPr>
          <w:i/>
          <w:iCs/>
        </w:rPr>
        <w:t>cinnamomi</w:t>
      </w:r>
      <w:r w:rsidRPr="0086143E">
        <w:t xml:space="preserve"> and exacerbate drought impacts. This hazard extends across 80% of the </w:t>
      </w:r>
      <w:r w:rsidR="001D3902">
        <w:t>species’</w:t>
      </w:r>
      <w:r w:rsidRPr="0086143E">
        <w:t xml:space="preserve"> distribution. </w:t>
      </w:r>
    </w:p>
    <w:p w14:paraId="6BB9904C" w14:textId="77777777" w:rsidR="00324D1B" w:rsidRPr="0086143E" w:rsidRDefault="00324D1B" w:rsidP="00324D1B">
      <w:pPr>
        <w:pStyle w:val="BodyText"/>
      </w:pPr>
      <w:r w:rsidRPr="0086143E">
        <w:t>Current existing controls for this hazard include:</w:t>
      </w:r>
    </w:p>
    <w:p w14:paraId="48E1A13B" w14:textId="4323BC51" w:rsidR="00172B8D" w:rsidRDefault="00324D1B" w:rsidP="006670D2">
      <w:pPr>
        <w:pStyle w:val="PullOutBoxBullet"/>
        <w:rPr>
          <w:rStyle w:val="eop"/>
          <w:rFonts w:ascii="Arial" w:hAnsi="Arial"/>
          <w:color w:val="363534"/>
          <w:lang w:eastAsia="en-US"/>
        </w:rPr>
      </w:pPr>
      <w:r w:rsidRPr="0086143E">
        <w:rPr>
          <w:rStyle w:val="normaltextrun"/>
        </w:rPr>
        <w:t>Targeted deer control. The effectiveness of this control for this species has been evaluated as poor because targeted culling is patchy, expensive, and challenging to target in remote forest areas. Sambar deer occur across a large area so there is a reservoir of other areas to recolonise from.</w:t>
      </w:r>
      <w:r w:rsidR="00172B8D">
        <w:rPr>
          <w:rStyle w:val="normaltextrun"/>
        </w:rPr>
        <w:t xml:space="preserve"> </w:t>
      </w:r>
      <w:r w:rsidR="00172B8D" w:rsidRPr="00F05594">
        <w:t xml:space="preserve">It is important to note, however, that </w:t>
      </w:r>
      <w:r w:rsidR="00172B8D" w:rsidRPr="00F05594">
        <w:rPr>
          <w:rStyle w:val="eop"/>
          <w:rFonts w:ascii="Arial" w:hAnsi="Arial"/>
          <w:color w:val="363534"/>
        </w:rPr>
        <w:t>recent deer control programs carried out throughout East Gippsland show significant advances in ground-based shooting by using thermal imaging, after-dark hunting and in some cases the use of silencers. Targeted control programs should not be considered inappropriate if program funding is sustainable and the target flora species for protection face significant threat from deer activity.</w:t>
      </w:r>
    </w:p>
    <w:p w14:paraId="4CFC4585" w14:textId="77777777" w:rsidR="00172B8D" w:rsidRDefault="00172B8D">
      <w:pPr>
        <w:rPr>
          <w:rStyle w:val="eop"/>
          <w:rFonts w:ascii="Arial" w:eastAsia="Calibri" w:hAnsi="Arial" w:cs="Times New Roman"/>
          <w:color w:val="363534"/>
          <w:sz w:val="18"/>
          <w:szCs w:val="18"/>
        </w:rPr>
      </w:pPr>
      <w:r>
        <w:rPr>
          <w:rStyle w:val="eop"/>
          <w:rFonts w:ascii="Arial" w:hAnsi="Arial"/>
          <w:color w:val="363534"/>
        </w:rPr>
        <w:br w:type="page"/>
      </w:r>
    </w:p>
    <w:p w14:paraId="12F32463" w14:textId="0EE0DE11"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146</w:t>
      </w:r>
      <w:r w:rsidR="000B6788" w:rsidRPr="00291BDC">
        <w:rPr>
          <w:bCs/>
          <w:noProof/>
        </w:rPr>
        <w:fldChar w:fldCharType="end"/>
      </w:r>
      <w:r w:rsidRPr="00FF310C">
        <w:t>. Leafless Pink-bells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324D1B" w14:paraId="696C7833"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4C7962D"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47D8F644"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76D658B1" w14:textId="77777777" w:rsidTr="001B5B4C">
        <w:tc>
          <w:tcPr>
            <w:tcW w:w="2268" w:type="dxa"/>
            <w:tcBorders>
              <w:top w:val="single" w:sz="8" w:space="0" w:color="CDDC29" w:themeColor="text2"/>
              <w:left w:val="nil"/>
              <w:bottom w:val="single" w:sz="8" w:space="0" w:color="CDDC29" w:themeColor="text2"/>
              <w:right w:val="nil"/>
            </w:tcBorders>
            <w:hideMark/>
          </w:tcPr>
          <w:p w14:paraId="014C3325" w14:textId="790FD52E" w:rsidR="00324D1B" w:rsidRDefault="00583984" w:rsidP="001B5B4C">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6352B428" w14:textId="77777777" w:rsidR="00324D1B" w:rsidRDefault="00324D1B" w:rsidP="001B5B4C">
            <w:pPr>
              <w:pStyle w:val="BodyText"/>
            </w:pPr>
            <w:r>
              <w:t>Not required for this hazard.</w:t>
            </w:r>
          </w:p>
        </w:tc>
      </w:tr>
      <w:tr w:rsidR="00324D1B" w14:paraId="3C5C4D24" w14:textId="77777777" w:rsidTr="001B5B4C">
        <w:tc>
          <w:tcPr>
            <w:tcW w:w="2268" w:type="dxa"/>
            <w:tcBorders>
              <w:top w:val="single" w:sz="8" w:space="0" w:color="CDDC29" w:themeColor="text2"/>
              <w:left w:val="nil"/>
              <w:bottom w:val="single" w:sz="8" w:space="0" w:color="CDDC29" w:themeColor="text2"/>
              <w:right w:val="nil"/>
            </w:tcBorders>
            <w:hideMark/>
          </w:tcPr>
          <w:p w14:paraId="2B462BA7" w14:textId="4EE2EBBD" w:rsidR="00324D1B" w:rsidRDefault="00583984" w:rsidP="001B5B4C">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3E056F3F" w14:textId="77777777" w:rsidR="00324D1B" w:rsidRDefault="00324D1B" w:rsidP="006670D2">
            <w:pPr>
              <w:pStyle w:val="PullOutBoxBullet"/>
            </w:pPr>
            <w:r>
              <w:t xml:space="preserve">Coordinated longer term and strategic deer culling; </w:t>
            </w:r>
          </w:p>
          <w:p w14:paraId="7189ABF6" w14:textId="77777777" w:rsidR="00324D1B" w:rsidRDefault="00324D1B" w:rsidP="006670D2">
            <w:pPr>
              <w:pStyle w:val="PullOutBoxBullet"/>
            </w:pPr>
            <w:r>
              <w:t xml:space="preserve">Assess the feasibility of exclusion fencing at key sites; and </w:t>
            </w:r>
          </w:p>
          <w:p w14:paraId="4996E1AC" w14:textId="77777777" w:rsidR="00324D1B" w:rsidRDefault="00324D1B" w:rsidP="006670D2">
            <w:pPr>
              <w:pStyle w:val="PullOutBoxBullet"/>
            </w:pPr>
            <w:r>
              <w:rPr>
                <w:rFonts w:cs="Arial"/>
              </w:rPr>
              <w:t>Undertake</w:t>
            </w:r>
            <w:r>
              <w:rPr>
                <w:i/>
                <w:iCs/>
              </w:rPr>
              <w:t xml:space="preserve"> ex-situ</w:t>
            </w:r>
            <w:r>
              <w:t xml:space="preserve"> seed banking. </w:t>
            </w:r>
          </w:p>
        </w:tc>
      </w:tr>
    </w:tbl>
    <w:p w14:paraId="3C0826C2" w14:textId="77777777" w:rsidR="00324D1B" w:rsidRDefault="00324D1B" w:rsidP="007E5EBF">
      <w:pPr>
        <w:pStyle w:val="Heading3"/>
      </w:pPr>
      <w:r>
        <w:t>Population dynamics</w:t>
      </w:r>
    </w:p>
    <w:p w14:paraId="1FC3C1A9" w14:textId="77777777" w:rsidR="00324D1B" w:rsidRDefault="00324D1B" w:rsidP="00324D1B">
      <w:pPr>
        <w:pStyle w:val="Heading5"/>
        <w:numPr>
          <w:ilvl w:val="0"/>
          <w:numId w:val="0"/>
        </w:numPr>
        <w:ind w:left="1008" w:hanging="1008"/>
      </w:pPr>
      <w:r>
        <w:t>Phytophthora cinnamomi</w:t>
      </w:r>
    </w:p>
    <w:p w14:paraId="33E93A6D" w14:textId="3F44B85B" w:rsidR="00324D1B" w:rsidRPr="001A70B6" w:rsidRDefault="00324D1B" w:rsidP="00324D1B">
      <w:pPr>
        <w:pStyle w:val="BodyText"/>
      </w:pPr>
      <w:r>
        <w:t xml:space="preserve">In New South Wales </w:t>
      </w:r>
      <w:r>
        <w:rPr>
          <w:i/>
          <w:iCs/>
        </w:rPr>
        <w:t>P. cinnamomi</w:t>
      </w:r>
      <w:r>
        <w:t xml:space="preserve"> was found on the roots of Leafless Pink-bells (McDougall and Summereli 2001), and deaths of understorey species such as this </w:t>
      </w:r>
      <w:r w:rsidR="001D3902">
        <w:t>species</w:t>
      </w:r>
      <w:r>
        <w:t xml:space="preserve"> are common on infested sites, leading to a less diverse vegetation (Cahill et al. 2008; </w:t>
      </w:r>
      <w:r w:rsidRPr="001A70B6">
        <w:t xml:space="preserve">McDougall 2005). Populations in southern NSW seem to be in drier sites that may be more susceptible than in Victoria, however </w:t>
      </w:r>
      <w:r w:rsidRPr="001A70B6">
        <w:rPr>
          <w:i/>
          <w:iCs/>
        </w:rPr>
        <w:t>P. cinnamomi</w:t>
      </w:r>
      <w:r w:rsidRPr="001A70B6">
        <w:t xml:space="preserve"> is widespread through</w:t>
      </w:r>
      <w:r w:rsidR="00F8384C">
        <w:t>out</w:t>
      </w:r>
      <w:r w:rsidRPr="001A70B6">
        <w:t xml:space="preserve"> Gippsland. While impacts on this </w:t>
      </w:r>
      <w:r w:rsidR="001D3902">
        <w:t>species</w:t>
      </w:r>
      <w:r w:rsidRPr="001A70B6">
        <w:t xml:space="preserve"> are yet to be documented in Victoria, they are plausible</w:t>
      </w:r>
      <w:r w:rsidR="00F8384C">
        <w:t>,</w:t>
      </w:r>
      <w:r w:rsidRPr="001A70B6">
        <w:t xml:space="preserve"> with up to 70% of the population possibly exposed. Mortality within populations may be exacerbated by drought, and forestry activities may lead to localised introduction of </w:t>
      </w:r>
      <w:r w:rsidRPr="001A70B6">
        <w:rPr>
          <w:i/>
          <w:iCs/>
        </w:rPr>
        <w:t>P. cinnamomi</w:t>
      </w:r>
      <w:r w:rsidRPr="001A70B6">
        <w:t>, creating conditions conducive to disease outbreaks. Important factors that contribute to its spread at any site are local rainfall, drainage patterns and soil texture, and once it is introduced to a site it is almost impossible to control or eliminate.</w:t>
      </w:r>
      <w:r w:rsidR="00243F8D">
        <w:t xml:space="preserve"> </w:t>
      </w:r>
    </w:p>
    <w:p w14:paraId="15732CC2" w14:textId="77777777" w:rsidR="00324D1B" w:rsidRPr="001A70B6" w:rsidRDefault="00324D1B" w:rsidP="00324D1B">
      <w:pPr>
        <w:pStyle w:val="BodyText"/>
      </w:pPr>
      <w:r w:rsidRPr="001A70B6">
        <w:t>Current existing controls for this hazard include:</w:t>
      </w:r>
    </w:p>
    <w:p w14:paraId="7E88DB0D" w14:textId="77777777" w:rsidR="00324D1B" w:rsidRPr="001A70B6" w:rsidRDefault="00324D1B" w:rsidP="006670D2">
      <w:pPr>
        <w:pStyle w:val="PullOutBoxBullet"/>
      </w:pPr>
      <w:r w:rsidRPr="001A70B6">
        <w:t>Hygiene protocols. The effectiveness of this control for this species has been evaluated as satisfactory when protocols are applied.</w:t>
      </w:r>
    </w:p>
    <w:p w14:paraId="634873FD" w14:textId="50907E68"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147</w:t>
      </w:r>
      <w:r w:rsidR="000B6788" w:rsidRPr="00291BDC">
        <w:rPr>
          <w:bCs/>
          <w:noProof/>
        </w:rPr>
        <w:fldChar w:fldCharType="end"/>
      </w:r>
      <w:r w:rsidRPr="00FF310C">
        <w:t xml:space="preserve">. Leafless Pink-bells protection requirements and recommendations for </w:t>
      </w:r>
      <w:r w:rsidRPr="00FF310C">
        <w:rPr>
          <w:i/>
        </w:rPr>
        <w:t>Phytophthora cinnamomi</w:t>
      </w:r>
    </w:p>
    <w:tbl>
      <w:tblPr>
        <w:tblStyle w:val="TableGrid"/>
        <w:tblW w:w="0" w:type="auto"/>
        <w:tblLook w:val="04A0" w:firstRow="1" w:lastRow="0" w:firstColumn="1" w:lastColumn="0" w:noHBand="0" w:noVBand="1"/>
      </w:tblPr>
      <w:tblGrid>
        <w:gridCol w:w="2268"/>
        <w:gridCol w:w="7371"/>
      </w:tblGrid>
      <w:tr w:rsidR="00324D1B" w14:paraId="27441168" w14:textId="77777777" w:rsidTr="60664A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accent2"/>
              <w:left w:val="nil"/>
              <w:bottom w:val="single" w:sz="8" w:space="0" w:color="CDDC29" w:themeColor="accent2"/>
              <w:right w:val="nil"/>
            </w:tcBorders>
            <w:vAlign w:val="center"/>
            <w:hideMark/>
          </w:tcPr>
          <w:p w14:paraId="6D968AE6" w14:textId="77777777" w:rsidR="00324D1B" w:rsidRDefault="00324D1B">
            <w:pPr>
              <w:pStyle w:val="BodyText"/>
            </w:pPr>
            <w:r>
              <w:t>Requirement</w:t>
            </w:r>
          </w:p>
        </w:tc>
        <w:tc>
          <w:tcPr>
            <w:tcW w:w="7371" w:type="dxa"/>
            <w:tcBorders>
              <w:top w:val="single" w:sz="8" w:space="0" w:color="CDDC29" w:themeColor="accent2"/>
              <w:left w:val="nil"/>
              <w:bottom w:val="single" w:sz="8" w:space="0" w:color="CDDC29" w:themeColor="accent2"/>
              <w:right w:val="nil"/>
            </w:tcBorders>
            <w:vAlign w:val="center"/>
            <w:hideMark/>
          </w:tcPr>
          <w:p w14:paraId="435B792A"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7EEBEEA4" w14:textId="77777777" w:rsidTr="60664A41">
        <w:tc>
          <w:tcPr>
            <w:tcW w:w="2268" w:type="dxa"/>
            <w:tcBorders>
              <w:top w:val="single" w:sz="8" w:space="0" w:color="CDDC29" w:themeColor="accent2"/>
              <w:left w:val="nil"/>
              <w:bottom w:val="single" w:sz="8" w:space="0" w:color="CDDC29" w:themeColor="accent2"/>
              <w:right w:val="nil"/>
            </w:tcBorders>
            <w:hideMark/>
          </w:tcPr>
          <w:p w14:paraId="795C91C1" w14:textId="6503DF9D" w:rsidR="00324D1B" w:rsidRDefault="00B837DD" w:rsidP="001B5B4C">
            <w:pPr>
              <w:pStyle w:val="BodyText"/>
            </w:pPr>
            <w:r>
              <w:t>Priority management actions</w:t>
            </w:r>
          </w:p>
        </w:tc>
        <w:tc>
          <w:tcPr>
            <w:tcW w:w="7371" w:type="dxa"/>
            <w:tcBorders>
              <w:top w:val="single" w:sz="8" w:space="0" w:color="CDDC29" w:themeColor="accent2"/>
              <w:left w:val="nil"/>
              <w:bottom w:val="single" w:sz="8" w:space="0" w:color="CDDC29" w:themeColor="accent2"/>
              <w:right w:val="nil"/>
            </w:tcBorders>
            <w:hideMark/>
          </w:tcPr>
          <w:p w14:paraId="6F50842F" w14:textId="2A12AF9A" w:rsidR="00324D1B" w:rsidRDefault="004817DA" w:rsidP="001B5B4C">
            <w:pPr>
              <w:pStyle w:val="BodyText"/>
            </w:pPr>
            <w:r w:rsidRPr="00C23B38">
              <w:t>May be required for this hazard</w:t>
            </w:r>
            <w:r>
              <w:t>. This will be addressed through the development of the action statement</w:t>
            </w:r>
            <w:r w:rsidRPr="00C23B38">
              <w:t>.</w:t>
            </w:r>
          </w:p>
        </w:tc>
      </w:tr>
      <w:tr w:rsidR="00324D1B" w14:paraId="33BC7F67" w14:textId="77777777" w:rsidTr="60664A41">
        <w:tc>
          <w:tcPr>
            <w:tcW w:w="2268" w:type="dxa"/>
            <w:tcBorders>
              <w:top w:val="single" w:sz="8" w:space="0" w:color="CDDC29" w:themeColor="accent2"/>
              <w:left w:val="nil"/>
              <w:bottom w:val="single" w:sz="8" w:space="0" w:color="CDDC29" w:themeColor="accent2"/>
              <w:right w:val="nil"/>
            </w:tcBorders>
            <w:hideMark/>
          </w:tcPr>
          <w:p w14:paraId="192D3ED7" w14:textId="0451571C" w:rsidR="00324D1B" w:rsidRDefault="00B837DD" w:rsidP="001B5B4C">
            <w:pPr>
              <w:pStyle w:val="BodyText"/>
            </w:pPr>
            <w:r>
              <w:t>Potential m</w:t>
            </w:r>
            <w:r w:rsidR="00324D1B">
              <w:t>anagement actions</w:t>
            </w:r>
          </w:p>
        </w:tc>
        <w:tc>
          <w:tcPr>
            <w:tcW w:w="7371" w:type="dxa"/>
            <w:tcBorders>
              <w:top w:val="single" w:sz="8" w:space="0" w:color="CDDC29" w:themeColor="accent2"/>
              <w:left w:val="nil"/>
              <w:bottom w:val="single" w:sz="8" w:space="0" w:color="CDDC29" w:themeColor="accent2"/>
              <w:right w:val="nil"/>
            </w:tcBorders>
            <w:hideMark/>
          </w:tcPr>
          <w:p w14:paraId="77D09026" w14:textId="77777777" w:rsidR="00324D1B" w:rsidRDefault="00324D1B" w:rsidP="006670D2">
            <w:pPr>
              <w:pStyle w:val="PullOutBoxBullet"/>
            </w:pPr>
            <w:r>
              <w:t xml:space="preserve">Improve signage and availability of awareness materials for recreational drivers going in and out of the region as they may not be aware of </w:t>
            </w:r>
            <w:r w:rsidRPr="60664A41">
              <w:rPr>
                <w:i/>
                <w:iCs/>
              </w:rPr>
              <w:t xml:space="preserve">P. cinnamomi </w:t>
            </w:r>
            <w:r>
              <w:t xml:space="preserve">or hygiene protocols; and </w:t>
            </w:r>
          </w:p>
          <w:p w14:paraId="1736FE0A" w14:textId="77777777" w:rsidR="00324D1B" w:rsidRDefault="00324D1B" w:rsidP="006670D2">
            <w:pPr>
              <w:pStyle w:val="PullOutBoxBullet"/>
            </w:pPr>
            <w:r>
              <w:rPr>
                <w:rFonts w:cs="Arial"/>
              </w:rPr>
              <w:t>Undertake</w:t>
            </w:r>
            <w:r>
              <w:rPr>
                <w:i/>
                <w:iCs/>
              </w:rPr>
              <w:t xml:space="preserve"> ex-situ</w:t>
            </w:r>
            <w:r>
              <w:t xml:space="preserve"> conservation and monitoring as per other hazards. </w:t>
            </w:r>
          </w:p>
        </w:tc>
        <w:bookmarkStart w:id="687" w:name="_Toc88565791"/>
      </w:tr>
    </w:tbl>
    <w:p w14:paraId="61706DFB" w14:textId="77777777" w:rsidR="00324D1B" w:rsidRDefault="00324D1B" w:rsidP="00324D1B">
      <w:pPr>
        <w:pStyle w:val="BodyText"/>
        <w:rPr>
          <w:highlight w:val="yellow"/>
        </w:rPr>
      </w:pPr>
    </w:p>
    <w:p w14:paraId="31380EAD" w14:textId="77777777" w:rsidR="00324D1B" w:rsidRDefault="00324D1B" w:rsidP="00324D1B">
      <w:pPr>
        <w:rPr>
          <w:b/>
          <w:bCs/>
          <w:iCs/>
          <w:color w:val="00B2A9" w:themeColor="accent1"/>
          <w:kern w:val="20"/>
          <w:sz w:val="24"/>
          <w:szCs w:val="28"/>
        </w:rPr>
      </w:pPr>
      <w:r>
        <w:rPr>
          <w:color w:val="auto"/>
        </w:rPr>
        <w:br w:type="page"/>
      </w:r>
    </w:p>
    <w:p w14:paraId="4E97CA2E" w14:textId="47A9B9AF" w:rsidR="00324D1B" w:rsidRPr="001A70B6" w:rsidRDefault="00324D1B" w:rsidP="00FB5A2B">
      <w:pPr>
        <w:pStyle w:val="Heading2"/>
        <w:ind w:left="0"/>
        <w:rPr>
          <w:i/>
          <w:iCs/>
        </w:rPr>
      </w:pPr>
      <w:bookmarkStart w:id="688" w:name="_Toc95234109"/>
      <w:bookmarkStart w:id="689" w:name="_Toc113271053"/>
      <w:r w:rsidRPr="001A70B6">
        <w:t>Long Pink-bells </w:t>
      </w:r>
      <w:r w:rsidRPr="005F7D8C">
        <w:rPr>
          <w:i/>
          <w:iCs/>
        </w:rPr>
        <w:t>(Tetratheca stenocarpa)</w:t>
      </w:r>
      <w:bookmarkEnd w:id="687"/>
      <w:bookmarkEnd w:id="688"/>
      <w:bookmarkEnd w:id="689"/>
      <w:r w:rsidRPr="005F7D8C">
        <w:rPr>
          <w:i/>
          <w:iCs/>
        </w:rPr>
        <w:t> </w:t>
      </w:r>
    </w:p>
    <w:p w14:paraId="30341D8E" w14:textId="121437F7" w:rsidR="00324D1B" w:rsidRDefault="00324D1B" w:rsidP="00324D1B">
      <w:pPr>
        <w:pStyle w:val="BodyText"/>
        <w:rPr>
          <w:rFonts w:ascii="Arial" w:hAnsi="Arial"/>
          <w:color w:val="363534"/>
        </w:rPr>
      </w:pPr>
      <w:r>
        <w:t xml:space="preserve">The Long Pink-bells was listed as Endangered in Australia under the FFG Act in May 2021. The </w:t>
      </w:r>
      <w:r w:rsidR="001D3902">
        <w:t>species</w:t>
      </w:r>
      <w:r>
        <w:t xml:space="preserve"> has modelled habitat in the Central Highlands (97% of modelled habitat) RFA region, with 3% in non-RFA regions, however the model does not consider outlying occurrences in the West and North East RFA regions.</w:t>
      </w:r>
      <w:r>
        <w:rPr>
          <w:rStyle w:val="BodyTextChar"/>
        </w:rPr>
        <w:t xml:space="preserve"> Permanent protections are recommended to address any hazards identified at a significant or high risk, and all</w:t>
      </w:r>
      <w:r>
        <w:t xml:space="preserve"> hazards rated a medium risk or higher will be considered in future management planning.</w:t>
      </w:r>
    </w:p>
    <w:p w14:paraId="5A5E9811" w14:textId="77777777" w:rsidR="00324D1B" w:rsidRDefault="00324D1B" w:rsidP="007E5EBF">
      <w:pPr>
        <w:pStyle w:val="Heading3"/>
      </w:pPr>
      <w:r>
        <w:t>Risk Assessment</w:t>
      </w:r>
    </w:p>
    <w:p w14:paraId="79FCA8F3" w14:textId="404268FF" w:rsidR="00324D1B" w:rsidRPr="00FF310C" w:rsidRDefault="00324D1B" w:rsidP="006670D2">
      <w:pPr>
        <w:pStyle w:val="Caption"/>
        <w:rPr>
          <w:rFonts w:ascii="Segoe UI" w:hAnsi="Segoe UI" w:cs="Segoe UI"/>
          <w:color w:val="363534"/>
        </w:rPr>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148</w:t>
      </w:r>
      <w:r w:rsidR="000B6788" w:rsidRPr="00291BDC">
        <w:rPr>
          <w:bCs/>
          <w:noProof/>
        </w:rPr>
        <w:fldChar w:fldCharType="end"/>
      </w:r>
      <w:r w:rsidRPr="00FF310C">
        <w:t>. Long Pink-bells risk ratings in the Central Highlands and North East RFA regions:</w:t>
      </w:r>
    </w:p>
    <w:tbl>
      <w:tblPr>
        <w:tblStyle w:val="TableGrid"/>
        <w:tblW w:w="9499" w:type="dxa"/>
        <w:tblLook w:val="04A0" w:firstRow="1" w:lastRow="0" w:firstColumn="1" w:lastColumn="0" w:noHBand="0" w:noVBand="1"/>
      </w:tblPr>
      <w:tblGrid>
        <w:gridCol w:w="2374"/>
        <w:gridCol w:w="2375"/>
        <w:gridCol w:w="2375"/>
        <w:gridCol w:w="2375"/>
      </w:tblGrid>
      <w:tr w:rsidR="00324D1B" w14:paraId="7398A0CE"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74" w:type="dxa"/>
            <w:tcBorders>
              <w:top w:val="single" w:sz="8" w:space="0" w:color="CDDC29" w:themeColor="text2"/>
              <w:left w:val="nil"/>
              <w:bottom w:val="single" w:sz="8" w:space="0" w:color="CDDC29" w:themeColor="text2"/>
              <w:right w:val="nil"/>
            </w:tcBorders>
            <w:vAlign w:val="center"/>
          </w:tcPr>
          <w:p w14:paraId="6CEA7E3E" w14:textId="77777777" w:rsidR="00324D1B" w:rsidRDefault="00324D1B" w:rsidP="006670D2">
            <w:pPr>
              <w:pStyle w:val="CaptionImageorFigure"/>
            </w:pPr>
          </w:p>
        </w:tc>
        <w:tc>
          <w:tcPr>
            <w:tcW w:w="2375" w:type="dxa"/>
            <w:tcBorders>
              <w:top w:val="single" w:sz="8" w:space="0" w:color="CDDC29" w:themeColor="text2"/>
              <w:left w:val="nil"/>
              <w:bottom w:val="single" w:sz="8" w:space="0" w:color="CDDC29" w:themeColor="text2"/>
              <w:right w:val="nil"/>
            </w:tcBorders>
            <w:vAlign w:val="center"/>
            <w:hideMark/>
          </w:tcPr>
          <w:p w14:paraId="7AF9F60C"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Planned burning</w:t>
            </w:r>
          </w:p>
        </w:tc>
        <w:tc>
          <w:tcPr>
            <w:tcW w:w="2375" w:type="dxa"/>
            <w:tcBorders>
              <w:top w:val="single" w:sz="8" w:space="0" w:color="CDDC29" w:themeColor="text2"/>
              <w:left w:val="nil"/>
              <w:bottom w:val="single" w:sz="8" w:space="0" w:color="CDDC29" w:themeColor="text2"/>
              <w:right w:val="nil"/>
            </w:tcBorders>
            <w:vAlign w:val="center"/>
            <w:hideMark/>
          </w:tcPr>
          <w:p w14:paraId="62612F5B"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c>
          <w:tcPr>
            <w:tcW w:w="2375" w:type="dxa"/>
            <w:tcBorders>
              <w:top w:val="single" w:sz="8" w:space="0" w:color="CDDC29" w:themeColor="text2"/>
              <w:left w:val="nil"/>
              <w:bottom w:val="single" w:sz="8" w:space="0" w:color="CDDC29" w:themeColor="text2"/>
              <w:right w:val="nil"/>
            </w:tcBorders>
            <w:vAlign w:val="center"/>
            <w:hideMark/>
          </w:tcPr>
          <w:p w14:paraId="45629FC8"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plant (weeds)</w:t>
            </w:r>
          </w:p>
        </w:tc>
      </w:tr>
      <w:tr w:rsidR="00324D1B" w14:paraId="025766A9" w14:textId="77777777" w:rsidTr="00324D1B">
        <w:tc>
          <w:tcPr>
            <w:tcW w:w="2374" w:type="dxa"/>
            <w:tcBorders>
              <w:top w:val="single" w:sz="8" w:space="0" w:color="CDDC29" w:themeColor="text2"/>
              <w:left w:val="nil"/>
              <w:bottom w:val="single" w:sz="8" w:space="0" w:color="CDDC29" w:themeColor="text2"/>
              <w:right w:val="nil"/>
            </w:tcBorders>
            <w:vAlign w:val="center"/>
            <w:hideMark/>
          </w:tcPr>
          <w:p w14:paraId="415E0748" w14:textId="77777777" w:rsidR="00324D1B" w:rsidRDefault="00324D1B" w:rsidP="00603A6E">
            <w:pPr>
              <w:pStyle w:val="BodyText"/>
              <w:jc w:val="center"/>
            </w:pPr>
            <w:r>
              <w:t>Consequence</w:t>
            </w:r>
          </w:p>
        </w:tc>
        <w:tc>
          <w:tcPr>
            <w:tcW w:w="2375" w:type="dxa"/>
            <w:tcBorders>
              <w:top w:val="single" w:sz="8" w:space="0" w:color="CDDC29" w:themeColor="text2"/>
              <w:left w:val="nil"/>
              <w:bottom w:val="single" w:sz="8" w:space="0" w:color="CDDC29" w:themeColor="text2"/>
              <w:right w:val="nil"/>
            </w:tcBorders>
            <w:vAlign w:val="center"/>
            <w:hideMark/>
          </w:tcPr>
          <w:p w14:paraId="4F4A2627" w14:textId="5DDB0AF4" w:rsidR="00324D1B" w:rsidRDefault="00324D1B" w:rsidP="00603A6E">
            <w:pPr>
              <w:pStyle w:val="BodyText"/>
              <w:jc w:val="center"/>
            </w:pPr>
            <w:r>
              <w:t>Moderate</w:t>
            </w:r>
          </w:p>
        </w:tc>
        <w:tc>
          <w:tcPr>
            <w:tcW w:w="2375" w:type="dxa"/>
            <w:tcBorders>
              <w:top w:val="single" w:sz="8" w:space="0" w:color="CDDC29" w:themeColor="text2"/>
              <w:left w:val="nil"/>
              <w:bottom w:val="single" w:sz="8" w:space="0" w:color="CDDC29" w:themeColor="text2"/>
              <w:right w:val="nil"/>
            </w:tcBorders>
            <w:vAlign w:val="center"/>
            <w:hideMark/>
          </w:tcPr>
          <w:p w14:paraId="6AA68D91" w14:textId="37402641" w:rsidR="00324D1B" w:rsidRDefault="00324D1B" w:rsidP="00603A6E">
            <w:pPr>
              <w:pStyle w:val="BodyText"/>
              <w:jc w:val="center"/>
            </w:pPr>
            <w:r>
              <w:t>Moderate</w:t>
            </w:r>
          </w:p>
        </w:tc>
        <w:tc>
          <w:tcPr>
            <w:tcW w:w="2375" w:type="dxa"/>
            <w:tcBorders>
              <w:top w:val="single" w:sz="8" w:space="0" w:color="CDDC29" w:themeColor="text2"/>
              <w:left w:val="nil"/>
              <w:bottom w:val="single" w:sz="8" w:space="0" w:color="CDDC29" w:themeColor="text2"/>
              <w:right w:val="nil"/>
            </w:tcBorders>
            <w:vAlign w:val="center"/>
            <w:hideMark/>
          </w:tcPr>
          <w:p w14:paraId="1291E6FE" w14:textId="33086FDE" w:rsidR="00324D1B" w:rsidRDefault="00324D1B" w:rsidP="00603A6E">
            <w:pPr>
              <w:pStyle w:val="BodyText"/>
              <w:jc w:val="center"/>
            </w:pPr>
            <w:r>
              <w:t>Minor</w:t>
            </w:r>
          </w:p>
        </w:tc>
      </w:tr>
      <w:tr w:rsidR="00324D1B" w14:paraId="0CE5F4FB" w14:textId="77777777" w:rsidTr="00324D1B">
        <w:tc>
          <w:tcPr>
            <w:tcW w:w="2374" w:type="dxa"/>
            <w:tcBorders>
              <w:top w:val="single" w:sz="8" w:space="0" w:color="CDDC29" w:themeColor="text2"/>
              <w:left w:val="nil"/>
              <w:bottom w:val="single" w:sz="8" w:space="0" w:color="CDDC29" w:themeColor="text2"/>
              <w:right w:val="nil"/>
            </w:tcBorders>
            <w:vAlign w:val="center"/>
            <w:hideMark/>
          </w:tcPr>
          <w:p w14:paraId="6E0A0056" w14:textId="77777777" w:rsidR="00324D1B" w:rsidRDefault="00324D1B" w:rsidP="00603A6E">
            <w:pPr>
              <w:pStyle w:val="BodyText"/>
              <w:jc w:val="center"/>
            </w:pPr>
            <w:r>
              <w:t>Likelihood</w:t>
            </w:r>
          </w:p>
        </w:tc>
        <w:tc>
          <w:tcPr>
            <w:tcW w:w="2375" w:type="dxa"/>
            <w:tcBorders>
              <w:top w:val="single" w:sz="8" w:space="0" w:color="CDDC29" w:themeColor="text2"/>
              <w:left w:val="nil"/>
              <w:bottom w:val="single" w:sz="8" w:space="0" w:color="CDDC29" w:themeColor="text2"/>
              <w:right w:val="nil"/>
            </w:tcBorders>
            <w:vAlign w:val="center"/>
            <w:hideMark/>
          </w:tcPr>
          <w:p w14:paraId="10BBE420" w14:textId="77777777" w:rsidR="00324D1B" w:rsidRDefault="00324D1B" w:rsidP="00603A6E">
            <w:pPr>
              <w:pStyle w:val="BodyText"/>
              <w:jc w:val="center"/>
            </w:pPr>
            <w:r>
              <w:t>Possible</w:t>
            </w:r>
          </w:p>
        </w:tc>
        <w:tc>
          <w:tcPr>
            <w:tcW w:w="2375" w:type="dxa"/>
            <w:tcBorders>
              <w:top w:val="single" w:sz="8" w:space="0" w:color="CDDC29" w:themeColor="text2"/>
              <w:left w:val="nil"/>
              <w:bottom w:val="single" w:sz="8" w:space="0" w:color="CDDC29" w:themeColor="text2"/>
              <w:right w:val="nil"/>
            </w:tcBorders>
            <w:vAlign w:val="center"/>
            <w:hideMark/>
          </w:tcPr>
          <w:p w14:paraId="132B5401" w14:textId="77777777" w:rsidR="00324D1B" w:rsidRDefault="00324D1B" w:rsidP="00603A6E">
            <w:pPr>
              <w:pStyle w:val="BodyText"/>
              <w:jc w:val="center"/>
            </w:pPr>
            <w:r>
              <w:t>Likely</w:t>
            </w:r>
          </w:p>
        </w:tc>
        <w:tc>
          <w:tcPr>
            <w:tcW w:w="2375" w:type="dxa"/>
            <w:tcBorders>
              <w:top w:val="single" w:sz="8" w:space="0" w:color="CDDC29" w:themeColor="text2"/>
              <w:left w:val="nil"/>
              <w:bottom w:val="single" w:sz="8" w:space="0" w:color="CDDC29" w:themeColor="text2"/>
              <w:right w:val="nil"/>
            </w:tcBorders>
            <w:vAlign w:val="center"/>
            <w:hideMark/>
          </w:tcPr>
          <w:p w14:paraId="00425C92" w14:textId="65B872D6" w:rsidR="00324D1B" w:rsidRDefault="00324D1B" w:rsidP="00603A6E">
            <w:pPr>
              <w:pStyle w:val="BodyText"/>
              <w:jc w:val="center"/>
            </w:pPr>
            <w:r>
              <w:t>Likely</w:t>
            </w:r>
          </w:p>
        </w:tc>
      </w:tr>
      <w:tr w:rsidR="00324D1B" w14:paraId="749DBEB3" w14:textId="77777777" w:rsidTr="00324D1B">
        <w:tc>
          <w:tcPr>
            <w:tcW w:w="2374" w:type="dxa"/>
            <w:tcBorders>
              <w:top w:val="single" w:sz="8" w:space="0" w:color="CDDC29" w:themeColor="text2"/>
              <w:left w:val="nil"/>
              <w:bottom w:val="single" w:sz="8" w:space="0" w:color="CDDC29" w:themeColor="text2"/>
              <w:right w:val="nil"/>
            </w:tcBorders>
            <w:vAlign w:val="center"/>
            <w:hideMark/>
          </w:tcPr>
          <w:p w14:paraId="6CF3ED8A" w14:textId="77777777" w:rsidR="00324D1B" w:rsidRDefault="00324D1B" w:rsidP="00603A6E">
            <w:pPr>
              <w:pStyle w:val="BodyText"/>
              <w:jc w:val="center"/>
            </w:pPr>
            <w:r>
              <w:t>Overall risk rating</w:t>
            </w:r>
          </w:p>
        </w:tc>
        <w:tc>
          <w:tcPr>
            <w:tcW w:w="2375" w:type="dxa"/>
            <w:tcBorders>
              <w:top w:val="single" w:sz="8" w:space="0" w:color="CDDC29" w:themeColor="text2"/>
              <w:left w:val="nil"/>
              <w:bottom w:val="single" w:sz="8" w:space="0" w:color="CDDC29" w:themeColor="text2"/>
              <w:right w:val="nil"/>
            </w:tcBorders>
            <w:shd w:val="clear" w:color="auto" w:fill="FFFF00"/>
            <w:vAlign w:val="center"/>
            <w:hideMark/>
          </w:tcPr>
          <w:p w14:paraId="64ECC3BA" w14:textId="77777777" w:rsidR="00324D1B" w:rsidRDefault="00324D1B" w:rsidP="00603A6E">
            <w:pPr>
              <w:pStyle w:val="BodyText"/>
              <w:jc w:val="center"/>
            </w:pPr>
            <w:r>
              <w:t>Medium</w:t>
            </w:r>
          </w:p>
        </w:tc>
        <w:tc>
          <w:tcPr>
            <w:tcW w:w="2375" w:type="dxa"/>
            <w:tcBorders>
              <w:top w:val="single" w:sz="8" w:space="0" w:color="CDDC29" w:themeColor="text2"/>
              <w:left w:val="nil"/>
              <w:bottom w:val="single" w:sz="8" w:space="0" w:color="CDDC29" w:themeColor="text2"/>
              <w:right w:val="nil"/>
            </w:tcBorders>
            <w:shd w:val="clear" w:color="auto" w:fill="FFC000"/>
            <w:vAlign w:val="center"/>
            <w:hideMark/>
          </w:tcPr>
          <w:p w14:paraId="6A1DAA2F" w14:textId="701A57C0" w:rsidR="00324D1B" w:rsidRDefault="00324D1B" w:rsidP="00603A6E">
            <w:pPr>
              <w:pStyle w:val="BodyText"/>
              <w:jc w:val="center"/>
            </w:pPr>
            <w:r>
              <w:t>Significant</w:t>
            </w:r>
          </w:p>
        </w:tc>
        <w:tc>
          <w:tcPr>
            <w:tcW w:w="2375" w:type="dxa"/>
            <w:tcBorders>
              <w:top w:val="single" w:sz="8" w:space="0" w:color="CDDC29" w:themeColor="text2"/>
              <w:left w:val="nil"/>
              <w:bottom w:val="single" w:sz="8" w:space="0" w:color="CDDC29" w:themeColor="text2"/>
              <w:right w:val="nil"/>
            </w:tcBorders>
            <w:shd w:val="clear" w:color="auto" w:fill="FFFF00"/>
            <w:vAlign w:val="center"/>
            <w:hideMark/>
          </w:tcPr>
          <w:p w14:paraId="0F16B155" w14:textId="77777777" w:rsidR="00324D1B" w:rsidRDefault="00324D1B" w:rsidP="00603A6E">
            <w:pPr>
              <w:pStyle w:val="BodyText"/>
              <w:jc w:val="center"/>
            </w:pPr>
            <w:r>
              <w:t>Medium</w:t>
            </w:r>
          </w:p>
        </w:tc>
      </w:tr>
    </w:tbl>
    <w:p w14:paraId="62A9DB67" w14:textId="2C8AFD10"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149</w:t>
      </w:r>
      <w:r w:rsidR="000B6788" w:rsidRPr="00291BDC">
        <w:rPr>
          <w:bCs/>
          <w:noProof/>
        </w:rPr>
        <w:fldChar w:fldCharType="end"/>
      </w:r>
      <w:r w:rsidRPr="00FF310C">
        <w:t>. Long Pink-bells risk ratings in the Central Highlands RFA region only:</w:t>
      </w:r>
    </w:p>
    <w:tbl>
      <w:tblPr>
        <w:tblStyle w:val="TableGrid"/>
        <w:tblW w:w="9499" w:type="dxa"/>
        <w:tblLook w:val="04A0" w:firstRow="1" w:lastRow="0" w:firstColumn="1" w:lastColumn="0" w:noHBand="0" w:noVBand="1"/>
      </w:tblPr>
      <w:tblGrid>
        <w:gridCol w:w="2374"/>
        <w:gridCol w:w="2375"/>
        <w:gridCol w:w="2375"/>
        <w:gridCol w:w="2375"/>
      </w:tblGrid>
      <w:tr w:rsidR="00324D1B" w14:paraId="44D0F8EA"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74" w:type="dxa"/>
            <w:tcBorders>
              <w:top w:val="single" w:sz="8" w:space="0" w:color="CDDC29" w:themeColor="text2"/>
              <w:left w:val="nil"/>
              <w:bottom w:val="single" w:sz="8" w:space="0" w:color="CDDC29" w:themeColor="text2"/>
              <w:right w:val="nil"/>
            </w:tcBorders>
            <w:vAlign w:val="center"/>
          </w:tcPr>
          <w:p w14:paraId="2952DA5B" w14:textId="77777777" w:rsidR="00324D1B" w:rsidRDefault="00324D1B" w:rsidP="006670D2">
            <w:pPr>
              <w:pStyle w:val="CaptionImageorFigure"/>
            </w:pPr>
          </w:p>
        </w:tc>
        <w:tc>
          <w:tcPr>
            <w:tcW w:w="2375" w:type="dxa"/>
            <w:tcBorders>
              <w:top w:val="single" w:sz="8" w:space="0" w:color="CDDC29" w:themeColor="text2"/>
              <w:left w:val="nil"/>
              <w:bottom w:val="single" w:sz="8" w:space="0" w:color="CDDC29" w:themeColor="text2"/>
              <w:right w:val="nil"/>
            </w:tcBorders>
            <w:vAlign w:val="center"/>
            <w:hideMark/>
          </w:tcPr>
          <w:p w14:paraId="6A8FAA06"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Drought</w:t>
            </w:r>
          </w:p>
        </w:tc>
        <w:tc>
          <w:tcPr>
            <w:tcW w:w="2375" w:type="dxa"/>
            <w:tcBorders>
              <w:top w:val="single" w:sz="8" w:space="0" w:color="CDDC29" w:themeColor="text2"/>
              <w:left w:val="nil"/>
              <w:bottom w:val="single" w:sz="8" w:space="0" w:color="CDDC29" w:themeColor="text2"/>
              <w:right w:val="nil"/>
            </w:tcBorders>
            <w:vAlign w:val="center"/>
            <w:hideMark/>
          </w:tcPr>
          <w:p w14:paraId="247AA7A2"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2375" w:type="dxa"/>
            <w:tcBorders>
              <w:top w:val="single" w:sz="8" w:space="0" w:color="CDDC29" w:themeColor="text2"/>
              <w:left w:val="nil"/>
              <w:bottom w:val="single" w:sz="8" w:space="0" w:color="CDDC29" w:themeColor="text2"/>
              <w:right w:val="nil"/>
            </w:tcBorders>
            <w:vAlign w:val="center"/>
            <w:hideMark/>
          </w:tcPr>
          <w:p w14:paraId="107DCA92"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Roading</w:t>
            </w:r>
          </w:p>
        </w:tc>
      </w:tr>
      <w:tr w:rsidR="00324D1B" w14:paraId="26597A37" w14:textId="77777777" w:rsidTr="00324D1B">
        <w:tc>
          <w:tcPr>
            <w:tcW w:w="2374" w:type="dxa"/>
            <w:tcBorders>
              <w:top w:val="single" w:sz="8" w:space="0" w:color="CDDC29" w:themeColor="text2"/>
              <w:left w:val="nil"/>
              <w:bottom w:val="single" w:sz="8" w:space="0" w:color="CDDC29" w:themeColor="text2"/>
              <w:right w:val="nil"/>
            </w:tcBorders>
            <w:vAlign w:val="center"/>
            <w:hideMark/>
          </w:tcPr>
          <w:p w14:paraId="1FE9F37D" w14:textId="77777777" w:rsidR="00324D1B" w:rsidRDefault="00324D1B" w:rsidP="00915D82">
            <w:pPr>
              <w:pStyle w:val="BodyText"/>
              <w:jc w:val="center"/>
            </w:pPr>
            <w:r>
              <w:t>Consequence</w:t>
            </w:r>
          </w:p>
        </w:tc>
        <w:tc>
          <w:tcPr>
            <w:tcW w:w="2375" w:type="dxa"/>
            <w:tcBorders>
              <w:top w:val="single" w:sz="8" w:space="0" w:color="CDDC29" w:themeColor="text2"/>
              <w:left w:val="nil"/>
              <w:bottom w:val="single" w:sz="8" w:space="0" w:color="CDDC29" w:themeColor="text2"/>
              <w:right w:val="nil"/>
            </w:tcBorders>
            <w:vAlign w:val="center"/>
            <w:hideMark/>
          </w:tcPr>
          <w:p w14:paraId="6D2ECB03" w14:textId="77777777" w:rsidR="00324D1B" w:rsidRDefault="00324D1B" w:rsidP="00603A6E">
            <w:pPr>
              <w:pStyle w:val="BodyText"/>
              <w:jc w:val="center"/>
            </w:pPr>
            <w:r>
              <w:t>Major</w:t>
            </w:r>
          </w:p>
        </w:tc>
        <w:tc>
          <w:tcPr>
            <w:tcW w:w="2375" w:type="dxa"/>
            <w:tcBorders>
              <w:top w:val="single" w:sz="8" w:space="0" w:color="CDDC29" w:themeColor="text2"/>
              <w:left w:val="nil"/>
              <w:bottom w:val="single" w:sz="8" w:space="0" w:color="CDDC29" w:themeColor="text2"/>
              <w:right w:val="nil"/>
            </w:tcBorders>
            <w:vAlign w:val="center"/>
            <w:hideMark/>
          </w:tcPr>
          <w:p w14:paraId="372F32AB" w14:textId="3DA5630D" w:rsidR="00324D1B" w:rsidRDefault="00324D1B" w:rsidP="00603A6E">
            <w:pPr>
              <w:pStyle w:val="BodyText"/>
              <w:jc w:val="center"/>
              <w:rPr>
                <w:b/>
                <w:bCs/>
              </w:rPr>
            </w:pPr>
            <w:r>
              <w:t>Moderate</w:t>
            </w:r>
          </w:p>
        </w:tc>
        <w:tc>
          <w:tcPr>
            <w:tcW w:w="2375" w:type="dxa"/>
            <w:tcBorders>
              <w:top w:val="single" w:sz="8" w:space="0" w:color="CDDC29" w:themeColor="text2"/>
              <w:left w:val="nil"/>
              <w:bottom w:val="single" w:sz="8" w:space="0" w:color="CDDC29" w:themeColor="text2"/>
              <w:right w:val="nil"/>
            </w:tcBorders>
            <w:vAlign w:val="center"/>
            <w:hideMark/>
          </w:tcPr>
          <w:p w14:paraId="28B79846" w14:textId="77777777" w:rsidR="00324D1B" w:rsidRDefault="00324D1B" w:rsidP="00603A6E">
            <w:pPr>
              <w:pStyle w:val="BodyText"/>
              <w:jc w:val="center"/>
            </w:pPr>
            <w:r>
              <w:t>Moderate</w:t>
            </w:r>
          </w:p>
        </w:tc>
      </w:tr>
      <w:tr w:rsidR="00324D1B" w14:paraId="1122D32D" w14:textId="77777777" w:rsidTr="00324D1B">
        <w:tc>
          <w:tcPr>
            <w:tcW w:w="2374" w:type="dxa"/>
            <w:tcBorders>
              <w:top w:val="single" w:sz="8" w:space="0" w:color="CDDC29" w:themeColor="text2"/>
              <w:left w:val="nil"/>
              <w:bottom w:val="single" w:sz="8" w:space="0" w:color="CDDC29" w:themeColor="text2"/>
              <w:right w:val="nil"/>
            </w:tcBorders>
            <w:vAlign w:val="center"/>
            <w:hideMark/>
          </w:tcPr>
          <w:p w14:paraId="51B26014" w14:textId="77777777" w:rsidR="00324D1B" w:rsidRDefault="00324D1B" w:rsidP="00915D82">
            <w:pPr>
              <w:pStyle w:val="BodyText"/>
              <w:jc w:val="center"/>
            </w:pPr>
            <w:r>
              <w:t>Likelihood</w:t>
            </w:r>
          </w:p>
        </w:tc>
        <w:tc>
          <w:tcPr>
            <w:tcW w:w="2375" w:type="dxa"/>
            <w:tcBorders>
              <w:top w:val="single" w:sz="8" w:space="0" w:color="CDDC29" w:themeColor="text2"/>
              <w:left w:val="nil"/>
              <w:bottom w:val="single" w:sz="8" w:space="0" w:color="CDDC29" w:themeColor="text2"/>
              <w:right w:val="nil"/>
            </w:tcBorders>
            <w:vAlign w:val="center"/>
            <w:hideMark/>
          </w:tcPr>
          <w:p w14:paraId="431CBFC6" w14:textId="77777777" w:rsidR="00324D1B" w:rsidRDefault="00324D1B" w:rsidP="00603A6E">
            <w:pPr>
              <w:pStyle w:val="BodyText"/>
              <w:jc w:val="center"/>
            </w:pPr>
            <w:r>
              <w:t>Possible</w:t>
            </w:r>
          </w:p>
        </w:tc>
        <w:tc>
          <w:tcPr>
            <w:tcW w:w="2375" w:type="dxa"/>
            <w:tcBorders>
              <w:top w:val="single" w:sz="8" w:space="0" w:color="CDDC29" w:themeColor="text2"/>
              <w:left w:val="nil"/>
              <w:bottom w:val="single" w:sz="8" w:space="0" w:color="CDDC29" w:themeColor="text2"/>
              <w:right w:val="nil"/>
            </w:tcBorders>
            <w:vAlign w:val="center"/>
            <w:hideMark/>
          </w:tcPr>
          <w:p w14:paraId="40F5E6F8" w14:textId="77777777" w:rsidR="00324D1B" w:rsidRDefault="00324D1B" w:rsidP="00603A6E">
            <w:pPr>
              <w:pStyle w:val="BodyText"/>
              <w:jc w:val="center"/>
              <w:rPr>
                <w:b/>
                <w:bCs/>
              </w:rPr>
            </w:pPr>
            <w:r>
              <w:t>Possible</w:t>
            </w:r>
          </w:p>
        </w:tc>
        <w:tc>
          <w:tcPr>
            <w:tcW w:w="2375" w:type="dxa"/>
            <w:tcBorders>
              <w:top w:val="single" w:sz="8" w:space="0" w:color="CDDC29" w:themeColor="text2"/>
              <w:left w:val="nil"/>
              <w:bottom w:val="single" w:sz="8" w:space="0" w:color="CDDC29" w:themeColor="text2"/>
              <w:right w:val="nil"/>
            </w:tcBorders>
            <w:vAlign w:val="center"/>
            <w:hideMark/>
          </w:tcPr>
          <w:p w14:paraId="34AAA258" w14:textId="77777777" w:rsidR="00324D1B" w:rsidRDefault="00324D1B" w:rsidP="00603A6E">
            <w:pPr>
              <w:pStyle w:val="BodyText"/>
              <w:jc w:val="center"/>
            </w:pPr>
            <w:r>
              <w:t>Likely</w:t>
            </w:r>
          </w:p>
        </w:tc>
      </w:tr>
      <w:tr w:rsidR="00324D1B" w14:paraId="7909C29D" w14:textId="77777777" w:rsidTr="00324D1B">
        <w:tc>
          <w:tcPr>
            <w:tcW w:w="2374" w:type="dxa"/>
            <w:tcBorders>
              <w:top w:val="single" w:sz="8" w:space="0" w:color="CDDC29" w:themeColor="text2"/>
              <w:left w:val="nil"/>
              <w:bottom w:val="single" w:sz="8" w:space="0" w:color="CDDC29" w:themeColor="text2"/>
              <w:right w:val="nil"/>
            </w:tcBorders>
            <w:vAlign w:val="center"/>
            <w:hideMark/>
          </w:tcPr>
          <w:p w14:paraId="000C2A96" w14:textId="77777777" w:rsidR="00324D1B" w:rsidRDefault="00324D1B" w:rsidP="00915D82">
            <w:pPr>
              <w:pStyle w:val="BodyText"/>
              <w:jc w:val="center"/>
            </w:pPr>
            <w:r>
              <w:t>Overall risk rating</w:t>
            </w:r>
          </w:p>
        </w:tc>
        <w:tc>
          <w:tcPr>
            <w:tcW w:w="2375" w:type="dxa"/>
            <w:tcBorders>
              <w:top w:val="single" w:sz="8" w:space="0" w:color="CDDC29" w:themeColor="text2"/>
              <w:left w:val="nil"/>
              <w:bottom w:val="single" w:sz="8" w:space="0" w:color="CDDC29" w:themeColor="text2"/>
              <w:right w:val="nil"/>
            </w:tcBorders>
            <w:shd w:val="clear" w:color="auto" w:fill="FFC000"/>
            <w:vAlign w:val="center"/>
            <w:hideMark/>
          </w:tcPr>
          <w:p w14:paraId="6DCA69AC" w14:textId="77777777" w:rsidR="00324D1B" w:rsidRDefault="00324D1B" w:rsidP="00603A6E">
            <w:pPr>
              <w:pStyle w:val="BodyText"/>
              <w:jc w:val="center"/>
            </w:pPr>
            <w:r>
              <w:t>Significant</w:t>
            </w:r>
          </w:p>
        </w:tc>
        <w:tc>
          <w:tcPr>
            <w:tcW w:w="2375" w:type="dxa"/>
            <w:tcBorders>
              <w:top w:val="single" w:sz="8" w:space="0" w:color="CDDC29" w:themeColor="text2"/>
              <w:left w:val="nil"/>
              <w:bottom w:val="single" w:sz="8" w:space="0" w:color="CDDC29" w:themeColor="text2"/>
              <w:right w:val="nil"/>
            </w:tcBorders>
            <w:shd w:val="clear" w:color="auto" w:fill="FFFF00"/>
            <w:vAlign w:val="center"/>
            <w:hideMark/>
          </w:tcPr>
          <w:p w14:paraId="0944D9A2" w14:textId="77777777" w:rsidR="00324D1B" w:rsidRDefault="00324D1B" w:rsidP="00603A6E">
            <w:pPr>
              <w:pStyle w:val="BodyText"/>
              <w:jc w:val="center"/>
              <w:rPr>
                <w:b/>
                <w:bCs/>
              </w:rPr>
            </w:pPr>
            <w:r>
              <w:t>Medium</w:t>
            </w:r>
          </w:p>
        </w:tc>
        <w:tc>
          <w:tcPr>
            <w:tcW w:w="2375" w:type="dxa"/>
            <w:tcBorders>
              <w:top w:val="single" w:sz="8" w:space="0" w:color="CDDC29" w:themeColor="text2"/>
              <w:left w:val="nil"/>
              <w:bottom w:val="single" w:sz="8" w:space="0" w:color="CDDC29" w:themeColor="text2"/>
              <w:right w:val="nil"/>
            </w:tcBorders>
            <w:shd w:val="clear" w:color="auto" w:fill="FFC000"/>
            <w:vAlign w:val="center"/>
            <w:hideMark/>
          </w:tcPr>
          <w:p w14:paraId="315DDD91" w14:textId="77777777" w:rsidR="00324D1B" w:rsidRDefault="00324D1B" w:rsidP="00603A6E">
            <w:pPr>
              <w:pStyle w:val="BodyText"/>
              <w:jc w:val="center"/>
            </w:pPr>
            <w:r>
              <w:t>Significant</w:t>
            </w:r>
          </w:p>
        </w:tc>
      </w:tr>
    </w:tbl>
    <w:p w14:paraId="067BF10F" w14:textId="158F3F1D" w:rsidR="00324D1B" w:rsidRDefault="00324D1B" w:rsidP="007E5EBF">
      <w:pPr>
        <w:pStyle w:val="Heading3"/>
      </w:pPr>
      <w:r>
        <w:rPr>
          <w:noProof/>
        </w:rPr>
        <mc:AlternateContent>
          <mc:Choice Requires="wps">
            <w:drawing>
              <wp:anchor distT="0" distB="0" distL="114300" distR="114300" simplePos="0" relativeHeight="251658332" behindDoc="1" locked="1" layoutInCell="1" allowOverlap="1" wp14:anchorId="5C9F72CE" wp14:editId="24060234">
                <wp:simplePos x="0" y="0"/>
                <wp:positionH relativeFrom="page">
                  <wp:posOffset>359410</wp:posOffset>
                </wp:positionH>
                <wp:positionV relativeFrom="page">
                  <wp:posOffset>9071610</wp:posOffset>
                </wp:positionV>
                <wp:extent cx="6840220" cy="431800"/>
                <wp:effectExtent l="0" t="0" r="0" b="0"/>
                <wp:wrapNone/>
                <wp:docPr id="1394" name="Text Box 1394"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E4B25"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72CE" id="Text Box 1394" o:spid="_x0000_s1093" type="#_x0000_t202" alt="Title: Decorative Cover Shape" style="position:absolute;left:0;text-align:left;margin-left:28.3pt;margin-top:714.3pt;width:538.6pt;height:34pt;z-index:-2516581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" fillcolor="#201547" stroked="f" strokeweight=".5pt">
                <v:textbox inset="10mm,0,10mm,0">
                  <w:txbxContent>
                    <w:p w14:paraId="630E4B25"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331" behindDoc="0" locked="1" layoutInCell="1" allowOverlap="1" wp14:anchorId="6C043195" wp14:editId="1D8F23B9">
                <wp:simplePos x="0" y="0"/>
                <wp:positionH relativeFrom="page">
                  <wp:posOffset>360045</wp:posOffset>
                </wp:positionH>
                <wp:positionV relativeFrom="page">
                  <wp:posOffset>360045</wp:posOffset>
                </wp:positionV>
                <wp:extent cx="1864995" cy="1976120"/>
                <wp:effectExtent l="0" t="0" r="0" b="0"/>
                <wp:wrapNone/>
                <wp:docPr id="88" name="Freeform: Shape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69822EF" id="Freeform: Shape 88" o:spid="_x0000_s1026" style="position:absolute;margin-left:28.35pt;margin-top:28.35pt;width:146.85pt;height:155.6pt;z-index:2516583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330" behindDoc="0" locked="1" layoutInCell="1" allowOverlap="1" wp14:anchorId="77EF1EC8" wp14:editId="08E27693">
                <wp:simplePos x="0" y="0"/>
                <wp:positionH relativeFrom="page">
                  <wp:posOffset>359410</wp:posOffset>
                </wp:positionH>
                <wp:positionV relativeFrom="page">
                  <wp:posOffset>359410</wp:posOffset>
                </wp:positionV>
                <wp:extent cx="1864995" cy="1976120"/>
                <wp:effectExtent l="0" t="0" r="0" b="0"/>
                <wp:wrapNone/>
                <wp:docPr id="89" name="Freeform: Shape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8C08704" id="Freeform: Shape 89" o:spid="_x0000_s1026" style="position:absolute;margin-left:28.3pt;margin-top:28.3pt;width:146.85pt;height:155.6pt;z-index:2516583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329" behindDoc="0" locked="1" layoutInCell="1" allowOverlap="1" wp14:anchorId="2B7CD006" wp14:editId="3E767119">
                <wp:simplePos x="0" y="0"/>
                <wp:positionH relativeFrom="page">
                  <wp:posOffset>0</wp:posOffset>
                </wp:positionH>
                <wp:positionV relativeFrom="page">
                  <wp:align>bottom</wp:align>
                </wp:positionV>
                <wp:extent cx="3848100" cy="720090"/>
                <wp:effectExtent l="0" t="0" r="0" b="0"/>
                <wp:wrapNone/>
                <wp:docPr id="1397" name="Text Box 1397"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70DDE" w14:textId="77777777" w:rsidR="00324D1B" w:rsidRDefault="00324D1B" w:rsidP="00324D1B">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CD006" id="Text Box 1397" o:spid="_x0000_s1094" type="#_x0000_t202" style="position:absolute;left:0;text-align:left;margin-left:0;margin-top:0;width:303pt;height:56.7pt;z-index:25165832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" filled="f" stroked="f" strokeweight=".5pt">
                <v:textbox inset="20mm">
                  <w:txbxContent>
                    <w:p w14:paraId="76870DDE" w14:textId="77777777" w:rsidR="00324D1B" w:rsidRDefault="00324D1B" w:rsidP="00324D1B">
                      <w:pPr>
                        <w:pStyle w:val="xWebCoverPage"/>
                      </w:pPr>
                      <w:r>
                        <w:t>delwp.vic.gov.au</w:t>
                      </w:r>
                    </w:p>
                  </w:txbxContent>
                </v:textbox>
                <w10:wrap anchorx="page" anchory="page"/>
                <w10:anchorlock/>
              </v:shape>
            </w:pict>
          </mc:Fallback>
        </mc:AlternateContent>
      </w:r>
      <w:r>
        <w:t>Climate change</w:t>
      </w:r>
    </w:p>
    <w:p w14:paraId="5BDB6ED7" w14:textId="77777777" w:rsidR="00324D1B" w:rsidRDefault="00324D1B" w:rsidP="00324D1B">
      <w:pPr>
        <w:pStyle w:val="Heading5"/>
        <w:numPr>
          <w:ilvl w:val="0"/>
          <w:numId w:val="0"/>
        </w:numPr>
        <w:tabs>
          <w:tab w:val="left" w:pos="720"/>
        </w:tabs>
        <w:ind w:left="1008" w:hanging="1008"/>
      </w:pPr>
      <w:r>
        <w:t>Drought</w:t>
      </w:r>
    </w:p>
    <w:p w14:paraId="0C381642" w14:textId="700CED86" w:rsidR="00324D1B" w:rsidRDefault="00324D1B" w:rsidP="00324D1B">
      <w:pPr>
        <w:pStyle w:val="BodyText"/>
      </w:pPr>
      <w:r>
        <w:t xml:space="preserve">Threats to this </w:t>
      </w:r>
      <w:r w:rsidR="001D3902">
        <w:t>species</w:t>
      </w:r>
      <w:r>
        <w:t xml:space="preserve"> potentially include the impacts of climate change such as decreased rainfall and drought conditions, causing recruitment failure. Disturbance to habitat may occur from recreational land use in otherwise remote and more intact habitat that offers greater resilience to climate change. This hazard is </w:t>
      </w:r>
      <w:r>
        <w:rPr>
          <w:rFonts w:ascii="Arial" w:hAnsi="Arial"/>
          <w:color w:val="363534"/>
        </w:rPr>
        <w:t xml:space="preserve">likely to be associated with an increase in fire frequency and intensity, and while the </w:t>
      </w:r>
      <w:r w:rsidR="001D3902">
        <w:rPr>
          <w:rFonts w:ascii="Arial" w:hAnsi="Arial"/>
          <w:color w:val="363534"/>
        </w:rPr>
        <w:t>species</w:t>
      </w:r>
      <w:r>
        <w:rPr>
          <w:rFonts w:ascii="Arial" w:hAnsi="Arial"/>
          <w:color w:val="363534"/>
        </w:rPr>
        <w:t xml:space="preserve"> is a post-fire resprouter, frequent fire could impact the </w:t>
      </w:r>
      <w:r w:rsidR="001D3902">
        <w:rPr>
          <w:rFonts w:ascii="Arial" w:hAnsi="Arial"/>
          <w:color w:val="363534"/>
        </w:rPr>
        <w:t>species</w:t>
      </w:r>
      <w:r>
        <w:rPr>
          <w:rFonts w:ascii="Arial" w:hAnsi="Arial"/>
          <w:color w:val="363534"/>
        </w:rPr>
        <w:t xml:space="preserve"> through structural alteration of the vegetation and associated ecological simplification. Browsing pressure is also increased under drought conditions. </w:t>
      </w:r>
      <w:r>
        <w:t xml:space="preserve">This hazard extends across all the </w:t>
      </w:r>
      <w:r w:rsidR="001D3902">
        <w:t>species’</w:t>
      </w:r>
      <w:r>
        <w:t xml:space="preserve"> distribution. </w:t>
      </w:r>
    </w:p>
    <w:p w14:paraId="498C2E14" w14:textId="35786B70" w:rsidR="00B54E3B" w:rsidRPr="00DE030F" w:rsidRDefault="00324D1B" w:rsidP="00DE030F">
      <w:pPr>
        <w:pStyle w:val="BodyText"/>
      </w:pPr>
      <w:r>
        <w:t xml:space="preserve">Current control measures for this hazard are strategic in nature and are not considered effective in managing the risk to this </w:t>
      </w:r>
      <w:r w:rsidR="001D3902">
        <w:t>species</w:t>
      </w:r>
      <w:r>
        <w:t xml:space="preserve"> at the scale relevant to its conservation at this stage.</w:t>
      </w:r>
    </w:p>
    <w:p w14:paraId="33E04A0E" w14:textId="510D9C8A"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150</w:t>
      </w:r>
      <w:r w:rsidR="000B6788" w:rsidRPr="00291BDC">
        <w:rPr>
          <w:bCs/>
          <w:noProof/>
        </w:rPr>
        <w:fldChar w:fldCharType="end"/>
      </w:r>
      <w:r w:rsidRPr="00FF310C">
        <w:t>. Long Pink-bells protection requirements and recommendations for drought</w:t>
      </w:r>
    </w:p>
    <w:tbl>
      <w:tblPr>
        <w:tblStyle w:val="TableGrid"/>
        <w:tblW w:w="0" w:type="auto"/>
        <w:tblLook w:val="04A0" w:firstRow="1" w:lastRow="0" w:firstColumn="1" w:lastColumn="0" w:noHBand="0" w:noVBand="1"/>
      </w:tblPr>
      <w:tblGrid>
        <w:gridCol w:w="2268"/>
        <w:gridCol w:w="7371"/>
      </w:tblGrid>
      <w:tr w:rsidR="00324D1B" w14:paraId="30F5CC62" w14:textId="77777777" w:rsidTr="60664A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accent2"/>
              <w:left w:val="nil"/>
              <w:bottom w:val="single" w:sz="8" w:space="0" w:color="CDDC29" w:themeColor="accent2"/>
              <w:right w:val="nil"/>
            </w:tcBorders>
            <w:vAlign w:val="center"/>
            <w:hideMark/>
          </w:tcPr>
          <w:p w14:paraId="3E85D8BF" w14:textId="77777777" w:rsidR="00324D1B" w:rsidRDefault="00324D1B">
            <w:pPr>
              <w:pStyle w:val="BodyText"/>
            </w:pPr>
            <w:r>
              <w:t>Requirement</w:t>
            </w:r>
          </w:p>
        </w:tc>
        <w:tc>
          <w:tcPr>
            <w:tcW w:w="7371" w:type="dxa"/>
            <w:tcBorders>
              <w:top w:val="single" w:sz="8" w:space="0" w:color="CDDC29" w:themeColor="accent2"/>
              <w:left w:val="nil"/>
              <w:bottom w:val="single" w:sz="8" w:space="0" w:color="CDDC29" w:themeColor="accent2"/>
              <w:right w:val="nil"/>
            </w:tcBorders>
            <w:vAlign w:val="center"/>
            <w:hideMark/>
          </w:tcPr>
          <w:p w14:paraId="2FD8F32D"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5A1574A4" w14:textId="77777777" w:rsidTr="60664A41">
        <w:tc>
          <w:tcPr>
            <w:tcW w:w="2268" w:type="dxa"/>
            <w:tcBorders>
              <w:top w:val="single" w:sz="8" w:space="0" w:color="CDDC29" w:themeColor="accent2"/>
              <w:left w:val="nil"/>
              <w:bottom w:val="single" w:sz="8" w:space="0" w:color="CDDC29" w:themeColor="accent2"/>
              <w:right w:val="nil"/>
            </w:tcBorders>
            <w:hideMark/>
          </w:tcPr>
          <w:p w14:paraId="60AE8692" w14:textId="4D61E656" w:rsidR="00324D1B" w:rsidRDefault="00B837DD" w:rsidP="001B5B4C">
            <w:pPr>
              <w:pStyle w:val="BodyText"/>
            </w:pPr>
            <w:r>
              <w:t>Priority management actions</w:t>
            </w:r>
          </w:p>
        </w:tc>
        <w:tc>
          <w:tcPr>
            <w:tcW w:w="7371" w:type="dxa"/>
            <w:tcBorders>
              <w:top w:val="single" w:sz="8" w:space="0" w:color="CDDC29" w:themeColor="accent2"/>
              <w:left w:val="nil"/>
              <w:bottom w:val="single" w:sz="8" w:space="0" w:color="CDDC29" w:themeColor="accent2"/>
              <w:right w:val="nil"/>
            </w:tcBorders>
            <w:hideMark/>
          </w:tcPr>
          <w:p w14:paraId="226D6702" w14:textId="77777777" w:rsidR="00324D1B" w:rsidRDefault="00324D1B" w:rsidP="001B5B4C">
            <w:pPr>
              <w:pStyle w:val="BodyText"/>
            </w:pPr>
            <w:r>
              <w:t>Not required for this hazard as it is a longer-term threat.</w:t>
            </w:r>
          </w:p>
        </w:tc>
      </w:tr>
      <w:tr w:rsidR="00324D1B" w14:paraId="397E20FC" w14:textId="77777777" w:rsidTr="60664A41">
        <w:tc>
          <w:tcPr>
            <w:tcW w:w="2268" w:type="dxa"/>
            <w:tcBorders>
              <w:top w:val="single" w:sz="8" w:space="0" w:color="CDDC29" w:themeColor="accent2"/>
              <w:left w:val="nil"/>
              <w:bottom w:val="single" w:sz="8" w:space="0" w:color="CDDC29" w:themeColor="accent2"/>
              <w:right w:val="nil"/>
            </w:tcBorders>
            <w:hideMark/>
          </w:tcPr>
          <w:p w14:paraId="6D9CC0A4" w14:textId="4328AFF7" w:rsidR="00324D1B" w:rsidRDefault="00B837DD" w:rsidP="001B5B4C">
            <w:pPr>
              <w:pStyle w:val="BodyText"/>
            </w:pPr>
            <w:r>
              <w:t>Potential m</w:t>
            </w:r>
            <w:r w:rsidR="00324D1B">
              <w:t>anagement actions</w:t>
            </w:r>
          </w:p>
        </w:tc>
        <w:tc>
          <w:tcPr>
            <w:tcW w:w="7371" w:type="dxa"/>
            <w:tcBorders>
              <w:top w:val="single" w:sz="8" w:space="0" w:color="CDDC29" w:themeColor="accent2"/>
              <w:left w:val="nil"/>
              <w:bottom w:val="single" w:sz="8" w:space="0" w:color="CDDC29" w:themeColor="accent2"/>
              <w:right w:val="nil"/>
            </w:tcBorders>
            <w:hideMark/>
          </w:tcPr>
          <w:p w14:paraId="3197525C" w14:textId="77777777" w:rsidR="00324D1B" w:rsidRDefault="00324D1B" w:rsidP="006670D2">
            <w:pPr>
              <w:pStyle w:val="PullOutBoxBullet"/>
            </w:pPr>
            <w:r>
              <w:t xml:space="preserve">Determine ecophysiological thresholds of recruitment and match to suitable land management actions; and </w:t>
            </w:r>
          </w:p>
          <w:p w14:paraId="153F53CA" w14:textId="36DC521A" w:rsidR="00324D1B" w:rsidRDefault="007E5F13" w:rsidP="006670D2">
            <w:pPr>
              <w:pStyle w:val="PullOutBoxBullet"/>
            </w:pPr>
            <w:r w:rsidRPr="00915D82">
              <w:t>Assess the impacts of recreational vehicles on this species and its habitat and manage accordingly.</w:t>
            </w:r>
          </w:p>
        </w:tc>
      </w:tr>
    </w:tbl>
    <w:p w14:paraId="36C42AA8" w14:textId="77777777" w:rsidR="00324D1B" w:rsidRDefault="00324D1B" w:rsidP="007E5EBF">
      <w:pPr>
        <w:pStyle w:val="Heading3"/>
      </w:pPr>
      <w:r>
        <w:t>Fire</w:t>
      </w:r>
    </w:p>
    <w:p w14:paraId="1EA530F8" w14:textId="77777777" w:rsidR="00324D1B" w:rsidRDefault="00324D1B" w:rsidP="00324D1B">
      <w:pPr>
        <w:pStyle w:val="Heading5"/>
        <w:numPr>
          <w:ilvl w:val="0"/>
          <w:numId w:val="0"/>
        </w:numPr>
        <w:tabs>
          <w:tab w:val="left" w:pos="720"/>
        </w:tabs>
        <w:ind w:left="1008" w:hanging="1008"/>
      </w:pPr>
      <w:r>
        <w:t>Planned burning</w:t>
      </w:r>
    </w:p>
    <w:p w14:paraId="42546DF0" w14:textId="590504EA" w:rsidR="00324D1B" w:rsidRDefault="00324D1B" w:rsidP="00324D1B">
      <w:pPr>
        <w:pStyle w:val="BodyText"/>
      </w:pPr>
      <w:r>
        <w:t xml:space="preserve">Threats to this </w:t>
      </w:r>
      <w:r w:rsidR="001D3902">
        <w:t>species</w:t>
      </w:r>
      <w:r>
        <w:t xml:space="preserve"> potentially include altered fire regimes modifying the structure of vegetation in the </w:t>
      </w:r>
      <w:r w:rsidR="001D3902">
        <w:t>species’</w:t>
      </w:r>
      <w:r>
        <w:t xml:space="preserve"> habitat. </w:t>
      </w:r>
      <w:r>
        <w:rPr>
          <w:rStyle w:val="BodyTextChar"/>
        </w:rPr>
        <w:t xml:space="preserve">Planned burning is carried out across the </w:t>
      </w:r>
      <w:r w:rsidR="001D3902">
        <w:rPr>
          <w:rStyle w:val="BodyTextChar"/>
        </w:rPr>
        <w:t>species’</w:t>
      </w:r>
      <w:r>
        <w:rPr>
          <w:rStyle w:val="BodyTextChar"/>
        </w:rPr>
        <w:t xml:space="preserve"> range, often at frequencies below its tolerable fire interval. </w:t>
      </w:r>
      <w:r>
        <w:t xml:space="preserve">Although the </w:t>
      </w:r>
      <w:r w:rsidR="001D3902">
        <w:t>species</w:t>
      </w:r>
      <w:r>
        <w:rPr>
          <w:rStyle w:val="BodyTextChar"/>
        </w:rPr>
        <w:t xml:space="preserve"> readily reshoots after a single fire event, burns</w:t>
      </w:r>
      <w:r>
        <w:t xml:space="preserve"> that are too frequent or too hot for persistence of populations and habitat and high intensity bushfires have the potential to cause habitat structure and composition changes which could result in the decline in population</w:t>
      </w:r>
      <w:r w:rsidR="00B00CC1">
        <w:t xml:space="preserve"> of this species</w:t>
      </w:r>
      <w:r>
        <w:rPr>
          <w:rStyle w:val="BodyTextChar"/>
        </w:rPr>
        <w:t xml:space="preserve">. </w:t>
      </w:r>
      <w:r w:rsidR="00AE2DBF">
        <w:t xml:space="preserve">The creation of fire breaks and mechanical fuel treatments may also impact the </w:t>
      </w:r>
      <w:r w:rsidR="001D3902">
        <w:t>species’</w:t>
      </w:r>
      <w:r w:rsidR="00AE2DBF">
        <w:t xml:space="preserve"> populations and habitat.</w:t>
      </w:r>
      <w:r>
        <w:t xml:space="preserve"> </w:t>
      </w:r>
    </w:p>
    <w:p w14:paraId="3C0A73D8" w14:textId="77777777" w:rsidR="00324D1B" w:rsidRPr="000423A3" w:rsidRDefault="00324D1B" w:rsidP="00324D1B">
      <w:pPr>
        <w:pStyle w:val="BodyText"/>
      </w:pPr>
      <w:r>
        <w:t xml:space="preserve">Current existing controls for </w:t>
      </w:r>
      <w:r w:rsidRPr="000423A3">
        <w:t>this hazard include:</w:t>
      </w:r>
    </w:p>
    <w:p w14:paraId="5C3AF7BE" w14:textId="0085C1ED" w:rsidR="0072254F" w:rsidRPr="00796DC3" w:rsidRDefault="00324D1B" w:rsidP="006670D2">
      <w:pPr>
        <w:pStyle w:val="PullOutBoxBullet"/>
        <w:rPr>
          <w:b/>
          <w:bCs/>
          <w:sz w:val="16"/>
        </w:rPr>
      </w:pPr>
      <w:r w:rsidRPr="000423A3">
        <w:t xml:space="preserve">Planned activities and fuel management. </w:t>
      </w:r>
      <w:r w:rsidR="00120841" w:rsidRPr="007F67E3">
        <w:t>The effectiveness of planned burning and fuel management as a risk mitigation for this species has been evaluated as poor to satisfactory</w:t>
      </w:r>
      <w:r w:rsidR="00773277">
        <w:t xml:space="preserve">, as it is not clear how </w:t>
      </w:r>
      <w:r w:rsidR="002F126A">
        <w:t>impacts on Long Pink-bells</w:t>
      </w:r>
      <w:r w:rsidR="00120841" w:rsidRPr="00B971CC" w:rsidDel="002F126A">
        <w:t xml:space="preserve"> </w:t>
      </w:r>
      <w:r w:rsidR="00120841" w:rsidRPr="00B971CC">
        <w:t>are balanced with other priorities during burn planning. Public land within its distribution has a range of fire histories, which may provide sufficient habitat variability. Mechanical fuel treatments have the potential to destroy plants and impact on populations</w:t>
      </w:r>
      <w:r w:rsidR="004E769C">
        <w:rPr>
          <w:rFonts w:eastAsia="Times New Roman"/>
          <w:sz w:val="20"/>
          <w:szCs w:val="20"/>
        </w:rPr>
        <w:t xml:space="preserve"> of Long Pink-bells.</w:t>
      </w:r>
    </w:p>
    <w:p w14:paraId="568A270C" w14:textId="65B916D6"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151</w:t>
      </w:r>
      <w:r w:rsidR="000B6788" w:rsidRPr="00291BDC">
        <w:rPr>
          <w:bCs/>
          <w:noProof/>
        </w:rPr>
        <w:fldChar w:fldCharType="end"/>
      </w:r>
      <w:r w:rsidRPr="00FF310C">
        <w:t>. Long Pink-bells protection requirements and recommendations for planned burning</w:t>
      </w:r>
    </w:p>
    <w:tbl>
      <w:tblPr>
        <w:tblStyle w:val="TableGrid"/>
        <w:tblW w:w="0" w:type="auto"/>
        <w:tblLook w:val="04A0" w:firstRow="1" w:lastRow="0" w:firstColumn="1" w:lastColumn="0" w:noHBand="0" w:noVBand="1"/>
      </w:tblPr>
      <w:tblGrid>
        <w:gridCol w:w="2268"/>
        <w:gridCol w:w="7371"/>
      </w:tblGrid>
      <w:tr w:rsidR="00324D1B" w14:paraId="7CF37E3A"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0D08D04D"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262BE4C1"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2705F258" w14:textId="77777777" w:rsidTr="001B5B4C">
        <w:tc>
          <w:tcPr>
            <w:tcW w:w="2268" w:type="dxa"/>
            <w:tcBorders>
              <w:top w:val="single" w:sz="8" w:space="0" w:color="CDDC29" w:themeColor="text2"/>
              <w:left w:val="nil"/>
              <w:bottom w:val="single" w:sz="8" w:space="0" w:color="CDDC29" w:themeColor="text2"/>
              <w:right w:val="nil"/>
            </w:tcBorders>
            <w:hideMark/>
          </w:tcPr>
          <w:p w14:paraId="243E672A" w14:textId="26445433" w:rsidR="00324D1B" w:rsidRDefault="00CD3424" w:rsidP="001B5B4C">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090885E9" w14:textId="77777777" w:rsidR="00324D1B" w:rsidRDefault="00324D1B" w:rsidP="001B5B4C">
            <w:pPr>
              <w:pStyle w:val="BodyText"/>
            </w:pPr>
            <w:r>
              <w:t>Not required for this hazard as it is a longer-term threat and because of its overall medium risk level.</w:t>
            </w:r>
          </w:p>
        </w:tc>
      </w:tr>
      <w:tr w:rsidR="00324D1B" w14:paraId="6BEC0858" w14:textId="77777777" w:rsidTr="001B5B4C">
        <w:tc>
          <w:tcPr>
            <w:tcW w:w="2268" w:type="dxa"/>
            <w:tcBorders>
              <w:top w:val="single" w:sz="8" w:space="0" w:color="CDDC29" w:themeColor="text2"/>
              <w:left w:val="nil"/>
              <w:bottom w:val="single" w:sz="8" w:space="0" w:color="CDDC29" w:themeColor="text2"/>
              <w:right w:val="nil"/>
            </w:tcBorders>
            <w:hideMark/>
          </w:tcPr>
          <w:p w14:paraId="57C62CDF" w14:textId="12DC8886" w:rsidR="00324D1B" w:rsidRDefault="00CD3424" w:rsidP="001B5B4C">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68B455AE" w14:textId="4D920285" w:rsidR="00324D1B" w:rsidRDefault="00324D1B" w:rsidP="006670D2">
            <w:pPr>
              <w:pStyle w:val="PullOutBoxBullet"/>
            </w:pPr>
            <w:r>
              <w:t xml:space="preserve">Ensure the </w:t>
            </w:r>
            <w:r w:rsidR="001D3902">
              <w:t>species’</w:t>
            </w:r>
            <w:r>
              <w:t xml:space="preserve"> sites are not burnt</w:t>
            </w:r>
            <w:r w:rsidR="00C854BA">
              <w:t xml:space="preserve"> outside of</w:t>
            </w:r>
            <w:r>
              <w:t xml:space="preserve"> its tolerable fire interval; </w:t>
            </w:r>
          </w:p>
          <w:p w14:paraId="6947D8EA" w14:textId="77777777" w:rsidR="00324D1B" w:rsidRDefault="00324D1B" w:rsidP="006670D2">
            <w:pPr>
              <w:pStyle w:val="PullOutBoxBullet"/>
            </w:pPr>
            <w:r>
              <w:t xml:space="preserve">Produce a protocol for assessment of threatened species prior to planned burns; </w:t>
            </w:r>
          </w:p>
          <w:p w14:paraId="045967A5" w14:textId="77777777" w:rsidR="00324D1B" w:rsidRDefault="00324D1B" w:rsidP="006670D2">
            <w:pPr>
              <w:pStyle w:val="PullOutBoxBullet"/>
            </w:pPr>
            <w:r>
              <w:t>Where possible, retain islands of unburnt habitat within broader burn patches;</w:t>
            </w:r>
          </w:p>
          <w:p w14:paraId="74E9E839" w14:textId="77777777" w:rsidR="00324D1B" w:rsidRDefault="00324D1B" w:rsidP="006670D2">
            <w:pPr>
              <w:pStyle w:val="PullOutBoxBullet"/>
            </w:pPr>
            <w:r>
              <w:t xml:space="preserve">Survey land within planned burn areas to determine the extent of populations, add new distribution information to the VBA, and review management where a decline is observed; </w:t>
            </w:r>
          </w:p>
          <w:p w14:paraId="4C7ED741" w14:textId="77777777" w:rsidR="00324D1B" w:rsidRDefault="00324D1B" w:rsidP="006670D2">
            <w:pPr>
              <w:pStyle w:val="PullOutBoxBullet"/>
            </w:pPr>
            <w:r>
              <w:t xml:space="preserve">Limit the creation of new temporary fire breaks through intact native vegetation for the purpose of conducting planned burns; and </w:t>
            </w:r>
          </w:p>
          <w:p w14:paraId="3914BEE4" w14:textId="77777777" w:rsidR="00324D1B" w:rsidRDefault="00324D1B" w:rsidP="006670D2">
            <w:pPr>
              <w:pStyle w:val="PullOutBoxBullet"/>
            </w:pPr>
            <w:r>
              <w:t>Provide compulsory inductions for fire management personnel on how to avoid impacts to threatened species.</w:t>
            </w:r>
          </w:p>
        </w:tc>
      </w:tr>
    </w:tbl>
    <w:p w14:paraId="5908F7CD" w14:textId="57C9540E" w:rsidR="00324D1B" w:rsidRDefault="00324D1B" w:rsidP="007E5EBF">
      <w:pPr>
        <w:pStyle w:val="Heading3"/>
      </w:pPr>
      <w:r>
        <w:rPr>
          <w:noProof/>
        </w:rPr>
        <mc:AlternateContent>
          <mc:Choice Requires="wps">
            <w:drawing>
              <wp:anchor distT="0" distB="0" distL="114300" distR="114300" simplePos="0" relativeHeight="251658320" behindDoc="1" locked="1" layoutInCell="1" allowOverlap="1" wp14:anchorId="6E454946" wp14:editId="02998D2B">
                <wp:simplePos x="0" y="0"/>
                <wp:positionH relativeFrom="page">
                  <wp:posOffset>359410</wp:posOffset>
                </wp:positionH>
                <wp:positionV relativeFrom="page">
                  <wp:posOffset>9071610</wp:posOffset>
                </wp:positionV>
                <wp:extent cx="6840220" cy="431800"/>
                <wp:effectExtent l="0" t="0" r="0" b="0"/>
                <wp:wrapNone/>
                <wp:docPr id="451" name="Text Box 451"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324A6"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4946" id="Text Box 451" o:spid="_x0000_s1095" type="#_x0000_t202" alt="Title: Decorative Cover Shape" style="position:absolute;left:0;text-align:left;margin-left:28.3pt;margin-top:714.3pt;width:538.6pt;height:34pt;z-index:-251658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HzM8P9/AgAA&#10;YgUAAA4AAAAAAAAAAAAAAAAALgIAAGRycy9lMm9Eb2MueG1sUEsBAi0AFAAGAAgAAAAhAJFrJtfd&#10;AAAADQEAAA8AAAAAAAAAAAAAAAAA2QQAAGRycy9kb3ducmV2LnhtbFBLBQYAAAAABAAEAPMAAADj&#10;BQAAAAA=&#10;" fillcolor="#201547" stroked="f" strokeweight=".5pt">
                <v:textbox inset="10mm,0,10mm,0">
                  <w:txbxContent>
                    <w:p w14:paraId="50D324A6"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319" behindDoc="0" locked="1" layoutInCell="1" allowOverlap="1" wp14:anchorId="7318ED20" wp14:editId="2EA84247">
                <wp:simplePos x="0" y="0"/>
                <wp:positionH relativeFrom="page">
                  <wp:posOffset>360045</wp:posOffset>
                </wp:positionH>
                <wp:positionV relativeFrom="page">
                  <wp:posOffset>360045</wp:posOffset>
                </wp:positionV>
                <wp:extent cx="1864995" cy="1976120"/>
                <wp:effectExtent l="0" t="0" r="0" b="0"/>
                <wp:wrapNone/>
                <wp:docPr id="92" name="Freeform: Shape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7DBF606" id="Freeform: Shape 92" o:spid="_x0000_s1026" style="position:absolute;margin-left:28.35pt;margin-top:28.35pt;width:146.85pt;height:155.6pt;z-index:25165831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318" behindDoc="0" locked="1" layoutInCell="1" allowOverlap="1" wp14:anchorId="1E4DD7A4" wp14:editId="0A6969C9">
                <wp:simplePos x="0" y="0"/>
                <wp:positionH relativeFrom="page">
                  <wp:posOffset>359410</wp:posOffset>
                </wp:positionH>
                <wp:positionV relativeFrom="page">
                  <wp:posOffset>359410</wp:posOffset>
                </wp:positionV>
                <wp:extent cx="1864995" cy="1976120"/>
                <wp:effectExtent l="0" t="0" r="0" b="0"/>
                <wp:wrapNone/>
                <wp:docPr id="93" name="Freeform: Shape 9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BCB49F9" id="Freeform: Shape 93" o:spid="_x0000_s1026" style="position:absolute;margin-left:28.3pt;margin-top:28.3pt;width:146.85pt;height:155.6pt;z-index:25165831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317" behindDoc="0" locked="1" layoutInCell="1" allowOverlap="1" wp14:anchorId="2B568186" wp14:editId="3FAF672B">
                <wp:simplePos x="0" y="0"/>
                <wp:positionH relativeFrom="page">
                  <wp:posOffset>0</wp:posOffset>
                </wp:positionH>
                <wp:positionV relativeFrom="page">
                  <wp:align>bottom</wp:align>
                </wp:positionV>
                <wp:extent cx="3848100" cy="720090"/>
                <wp:effectExtent l="0" t="0" r="0" b="0"/>
                <wp:wrapNone/>
                <wp:docPr id="454" name="Text Box 454"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B0CC7" w14:textId="77777777" w:rsidR="00324D1B" w:rsidRDefault="00324D1B" w:rsidP="00324D1B">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186" id="Text Box 454" o:spid="_x0000_s1096" type="#_x0000_t202" style="position:absolute;left:0;text-align:left;margin-left:0;margin-top:0;width:303pt;height:56.7pt;z-index:25165831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O6SAMFtAgAAPgUAAA4AAAAAAAAAAAAAAAAALgIA&#10;AGRycy9lMm9Eb2MueG1sUEsBAi0AFAAGAAgAAAAhAPTKz6jaAAAABQEAAA8AAAAAAAAAAAAAAAAA&#10;xwQAAGRycy9kb3ducmV2LnhtbFBLBQYAAAAABAAEAPMAAADOBQAAAAA=&#10;" filled="f" stroked="f" strokeweight=".5pt">
                <v:textbox inset="20mm">
                  <w:txbxContent>
                    <w:p w14:paraId="454B0CC7" w14:textId="77777777" w:rsidR="00324D1B" w:rsidRDefault="00324D1B" w:rsidP="00324D1B">
                      <w:pPr>
                        <w:pStyle w:val="xWebCoverPage"/>
                      </w:pPr>
                      <w:r>
                        <w:t>delwp.vic.gov.au</w:t>
                      </w:r>
                    </w:p>
                  </w:txbxContent>
                </v:textbox>
                <w10:wrap anchorx="page" anchory="page"/>
                <w10:anchorlock/>
              </v:shape>
            </w:pict>
          </mc:Fallback>
        </mc:AlternateContent>
      </w:r>
      <w:r>
        <w:rPr>
          <w:noProof/>
        </w:rPr>
        <mc:AlternateContent>
          <mc:Choice Requires="wps">
            <w:drawing>
              <wp:anchor distT="0" distB="0" distL="114300" distR="114300" simplePos="0" relativeHeight="251658324" behindDoc="1" locked="1" layoutInCell="1" allowOverlap="1" wp14:anchorId="30B3CE71" wp14:editId="253100F2">
                <wp:simplePos x="0" y="0"/>
                <wp:positionH relativeFrom="page">
                  <wp:posOffset>359410</wp:posOffset>
                </wp:positionH>
                <wp:positionV relativeFrom="page">
                  <wp:posOffset>9071610</wp:posOffset>
                </wp:positionV>
                <wp:extent cx="6840220" cy="431800"/>
                <wp:effectExtent l="0" t="0" r="0" b="0"/>
                <wp:wrapNone/>
                <wp:docPr id="466" name="Text Box 466"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D8443"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CE71" id="Text Box 466" o:spid="_x0000_s1097" type="#_x0000_t202" alt="Title: Decorative Cover Shape" style="position:absolute;left:0;text-align:left;margin-left:28.3pt;margin-top:714.3pt;width:538.6pt;height:34pt;z-index:-2516581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" fillcolor="#201547" stroked="f" strokeweight=".5pt">
                <v:textbox inset="10mm,0,10mm,0">
                  <w:txbxContent>
                    <w:p w14:paraId="114D8443"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323" behindDoc="0" locked="1" layoutInCell="1" allowOverlap="1" wp14:anchorId="7D0399F1" wp14:editId="2B4FB1A5">
                <wp:simplePos x="0" y="0"/>
                <wp:positionH relativeFrom="page">
                  <wp:posOffset>360045</wp:posOffset>
                </wp:positionH>
                <wp:positionV relativeFrom="page">
                  <wp:posOffset>360045</wp:posOffset>
                </wp:positionV>
                <wp:extent cx="1864995" cy="1976120"/>
                <wp:effectExtent l="0" t="0" r="0" b="0"/>
                <wp:wrapNone/>
                <wp:docPr id="96" name="Freeform: Shape 9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8C6A90F" id="Freeform: Shape 96" o:spid="_x0000_s1026" style="position:absolute;margin-left:28.35pt;margin-top:28.35pt;width:146.85pt;height:155.6pt;z-index:25165832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322" behindDoc="0" locked="1" layoutInCell="1" allowOverlap="1" wp14:anchorId="0E35AB0A" wp14:editId="54D21D6D">
                <wp:simplePos x="0" y="0"/>
                <wp:positionH relativeFrom="page">
                  <wp:posOffset>359410</wp:posOffset>
                </wp:positionH>
                <wp:positionV relativeFrom="page">
                  <wp:posOffset>359410</wp:posOffset>
                </wp:positionV>
                <wp:extent cx="1864995" cy="1976120"/>
                <wp:effectExtent l="0" t="0" r="0" b="0"/>
                <wp:wrapNone/>
                <wp:docPr id="97" name="Freeform: Shape 9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852B9C5" id="Freeform: Shape 97" o:spid="_x0000_s1026" style="position:absolute;margin-left:28.3pt;margin-top:28.3pt;width:146.85pt;height:155.6pt;z-index:25165832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321" behindDoc="0" locked="1" layoutInCell="1" allowOverlap="1" wp14:anchorId="3BEF551B" wp14:editId="3BE3A525">
                <wp:simplePos x="0" y="0"/>
                <wp:positionH relativeFrom="page">
                  <wp:posOffset>0</wp:posOffset>
                </wp:positionH>
                <wp:positionV relativeFrom="page">
                  <wp:align>bottom</wp:align>
                </wp:positionV>
                <wp:extent cx="3848100" cy="720090"/>
                <wp:effectExtent l="0" t="0" r="0" b="0"/>
                <wp:wrapNone/>
                <wp:docPr id="469" name="Text Box 469"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6A78C" w14:textId="77777777" w:rsidR="00324D1B" w:rsidRDefault="00324D1B" w:rsidP="00324D1B">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551B" id="Text Box 469" o:spid="_x0000_s1098" type="#_x0000_t202" style="position:absolute;left:0;text-align:left;margin-left:0;margin-top:0;width:303pt;height:56.7pt;z-index:25165832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CJcxtgbgIAAD4FAAAOAAAAAAAAAAAAAAAAAC4C&#10;AABkcnMvZTJvRG9jLnhtbFBLAQItABQABgAIAAAAIQD0ys+o2gAAAAUBAAAPAAAAAAAAAAAAAAAA&#10;AMgEAABkcnMvZG93bnJldi54bWxQSwUGAAAAAAQABADzAAAAzwUAAAAA&#10;" filled="f" stroked="f" strokeweight=".5pt">
                <v:textbox inset="20mm">
                  <w:txbxContent>
                    <w:p w14:paraId="1F96A78C" w14:textId="77777777" w:rsidR="00324D1B" w:rsidRDefault="00324D1B" w:rsidP="00324D1B">
                      <w:pPr>
                        <w:pStyle w:val="xWebCoverPage"/>
                      </w:pPr>
                      <w:r>
                        <w:t>delwp.vic.gov.au</w:t>
                      </w:r>
                    </w:p>
                  </w:txbxContent>
                </v:textbox>
                <w10:wrap anchorx="page" anchory="page"/>
                <w10:anchorlock/>
              </v:shape>
            </w:pict>
          </mc:Fallback>
        </mc:AlternateContent>
      </w:r>
      <w:r>
        <w:t>Forestry operations</w:t>
      </w:r>
    </w:p>
    <w:p w14:paraId="4817599A" w14:textId="77777777" w:rsidR="00324D1B" w:rsidRDefault="00324D1B" w:rsidP="00324D1B">
      <w:pPr>
        <w:pStyle w:val="Heading5"/>
        <w:numPr>
          <w:ilvl w:val="0"/>
          <w:numId w:val="0"/>
        </w:numPr>
        <w:tabs>
          <w:tab w:val="left" w:pos="720"/>
        </w:tabs>
        <w:ind w:left="1008" w:hanging="1008"/>
      </w:pPr>
      <w:r>
        <w:t>Forestry operations</w:t>
      </w:r>
    </w:p>
    <w:p w14:paraId="42D53286" w14:textId="1E76CC04" w:rsidR="00324D1B" w:rsidRPr="000423A3" w:rsidRDefault="00324D1B" w:rsidP="00324D1B">
      <w:pPr>
        <w:pStyle w:val="BodyText"/>
        <w:rPr>
          <w:rFonts w:ascii="Arial" w:hAnsi="Arial"/>
          <w:color w:val="363534"/>
        </w:rPr>
      </w:pPr>
      <w:r>
        <w:t xml:space="preserve">Threats to this </w:t>
      </w:r>
      <w:r w:rsidR="001D3902">
        <w:t>species</w:t>
      </w:r>
      <w:r>
        <w:t xml:space="preserve"> potentially include forestry activities in the wettest parts of its habitat, as well as in lowland forest. The </w:t>
      </w:r>
      <w:r w:rsidR="001D3902">
        <w:t>species</w:t>
      </w:r>
      <w:r>
        <w:t xml:space="preserve"> can be locally common in shorter heathy open forest, but its abundance declines in taller versions of the Lowland Forest </w:t>
      </w:r>
      <w:r w:rsidR="00E35A89">
        <w:t>EVC</w:t>
      </w:r>
      <w:r>
        <w:t xml:space="preserve">, and it is absent from Damp Forest. </w:t>
      </w:r>
      <w:r w:rsidR="00A73D17" w:rsidRPr="00915D82">
        <w:t>Current forestry operations and management practices may also increase the risks and exacerbate the effects of bushfires (e.g</w:t>
      </w:r>
      <w:r w:rsidR="00111B49" w:rsidRPr="00915D82">
        <w:t>.,</w:t>
      </w:r>
      <w:r w:rsidR="00A73D17" w:rsidRPr="00915D82">
        <w:t xml:space="preserve"> Furlaud et al. 2021). However, the strength of this relationship is contested within the scientific community (e.g</w:t>
      </w:r>
      <w:r w:rsidR="00111B49" w:rsidRPr="00915D82">
        <w:t>.,</w:t>
      </w:r>
      <w:r w:rsidR="00A73D17" w:rsidRPr="00915D82">
        <w:t xml:space="preserve"> </w:t>
      </w:r>
      <w:r w:rsidR="00CA1389">
        <w:t>Keenan</w:t>
      </w:r>
      <w:r w:rsidR="00A73D17" w:rsidRPr="00915D82">
        <w:t xml:space="preserve"> et al</w:t>
      </w:r>
      <w:r w:rsidR="004228B0">
        <w:t>.</w:t>
      </w:r>
      <w:r w:rsidR="00A73D17" w:rsidRPr="00915D82">
        <w:t xml:space="preserve"> 2021), and the extent of this effect may be less significant in the face of mega fires driven primarily by extreme heat and drought caused by human-induced climate-change (e.g</w:t>
      </w:r>
      <w:r w:rsidR="00111B49" w:rsidRPr="00915D82">
        <w:t>.,</w:t>
      </w:r>
      <w:r w:rsidR="00A73D17" w:rsidRPr="00915D82">
        <w:t xml:space="preserve"> Bowman et al. 2021).</w:t>
      </w:r>
      <w:r w:rsidR="00A73D17">
        <w:t xml:space="preserve"> </w:t>
      </w:r>
      <w:r>
        <w:t xml:space="preserve">Forestry operations </w:t>
      </w:r>
      <w:r w:rsidR="00871E76">
        <w:t>may</w:t>
      </w:r>
      <w:r>
        <w:t xml:space="preserve"> </w:t>
      </w:r>
      <w:r w:rsidR="00A73D17">
        <w:t xml:space="preserve">also </w:t>
      </w:r>
      <w:r>
        <w:t>increase the risk from weed invasion and browsing by Sambar</w:t>
      </w:r>
      <w:r w:rsidR="00A73D17">
        <w:t xml:space="preserve"> </w:t>
      </w:r>
      <w:r w:rsidR="001D1390">
        <w:t>D</w:t>
      </w:r>
      <w:r w:rsidR="00A73D17">
        <w:t>eer</w:t>
      </w:r>
      <w:r w:rsidRPr="000423A3">
        <w:t xml:space="preserve">. It could also lead to introduction of </w:t>
      </w:r>
      <w:r w:rsidRPr="000423A3">
        <w:rPr>
          <w:i/>
          <w:iCs/>
        </w:rPr>
        <w:t>Phytophthora cinnamomi</w:t>
      </w:r>
      <w:r w:rsidRPr="000423A3">
        <w:t xml:space="preserve"> on machinery</w:t>
      </w:r>
      <w:r w:rsidR="00AC4550">
        <w:t>;</w:t>
      </w:r>
      <w:r w:rsidR="00243F8D">
        <w:t xml:space="preserve"> </w:t>
      </w:r>
      <w:r w:rsidR="00AC4550">
        <w:t>therefore,</w:t>
      </w:r>
      <w:r w:rsidR="001D1390">
        <w:t xml:space="preserve"> </w:t>
      </w:r>
      <w:r w:rsidR="00243F8D" w:rsidRPr="00915D82">
        <w:t>vehicle hygiene practices are required during forestry operations to limit pathogen spread</w:t>
      </w:r>
      <w:r w:rsidRPr="000423A3">
        <w:t>.</w:t>
      </w:r>
      <w:r w:rsidR="00434712" w:rsidRPr="00434712">
        <w:rPr>
          <w:color w:val="FF0000"/>
        </w:rPr>
        <w:t xml:space="preserve"> </w:t>
      </w:r>
      <w:r w:rsidR="00434712" w:rsidRPr="00FD57DB">
        <w:t>Based on the 2015 net harvest area layer, the modelled habitat</w:t>
      </w:r>
      <w:r w:rsidR="00A4677B" w:rsidRPr="00FD57DB">
        <w:t xml:space="preserve"> in the Central Highlands RFA</w:t>
      </w:r>
      <w:r w:rsidR="00E450B7">
        <w:t xml:space="preserve"> region</w:t>
      </w:r>
      <w:r w:rsidR="00434712" w:rsidRPr="00FD57DB">
        <w:t xml:space="preserve"> contains 9% merchantable timber. Using the revised operable layer, this is reduced to 5%.</w:t>
      </w:r>
    </w:p>
    <w:p w14:paraId="080026C2" w14:textId="77777777" w:rsidR="00324D1B" w:rsidRPr="000423A3" w:rsidRDefault="00324D1B" w:rsidP="00324D1B">
      <w:pPr>
        <w:pStyle w:val="BodyText"/>
      </w:pPr>
      <w:r w:rsidRPr="000423A3">
        <w:t>Current existing controls for this hazard include:</w:t>
      </w:r>
    </w:p>
    <w:p w14:paraId="08DB9F6C" w14:textId="03D1D7E7" w:rsidR="00324D1B" w:rsidRPr="000423A3" w:rsidRDefault="00324D1B" w:rsidP="006670D2">
      <w:pPr>
        <w:pStyle w:val="PullOutBoxBullet"/>
      </w:pPr>
      <w:r w:rsidRPr="000423A3">
        <w:t xml:space="preserve">The </w:t>
      </w:r>
      <w:r w:rsidRPr="000423A3">
        <w:rPr>
          <w:i/>
        </w:rPr>
        <w:t>Code of Practice for Timber Production 2014.</w:t>
      </w:r>
      <w:r w:rsidRPr="000423A3">
        <w:t xml:space="preserve"> There is no species-specific prescription for this </w:t>
      </w:r>
      <w:r w:rsidR="001D3902">
        <w:t>species</w:t>
      </w:r>
      <w:r w:rsidRPr="000423A3">
        <w:t xml:space="preserve"> in the Code, however it may receive some protection from other general Code prescriptions. The lack of a specific prescription leads to the effectiveness of the Code being assessed as poor for this </w:t>
      </w:r>
      <w:r w:rsidR="001D3902">
        <w:t>species</w:t>
      </w:r>
      <w:r w:rsidRPr="000423A3">
        <w:t>.</w:t>
      </w:r>
    </w:p>
    <w:p w14:paraId="58037D72" w14:textId="078C2A65" w:rsidR="0072254F" w:rsidRPr="00796DC3" w:rsidRDefault="00324D1B" w:rsidP="006670D2">
      <w:pPr>
        <w:pStyle w:val="PullOutBoxBullet"/>
        <w:rPr>
          <w:b/>
          <w:bCs/>
          <w:sz w:val="16"/>
        </w:rPr>
      </w:pPr>
      <w:r w:rsidRPr="000423A3">
        <w:t xml:space="preserve">The CAR reserve system. The effectiveness of this control for this species has been evaluated as poor as 55% of the </w:t>
      </w:r>
      <w:r w:rsidR="001D3902">
        <w:t>species’</w:t>
      </w:r>
      <w:r w:rsidRPr="000423A3">
        <w:t xml:space="preserve"> modelled distribution and 49% of important populations are within the reserve system</w:t>
      </w:r>
      <w:r w:rsidR="00ED6F6C">
        <w:t>.</w:t>
      </w:r>
    </w:p>
    <w:p w14:paraId="759824B8" w14:textId="704FE422"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152</w:t>
      </w:r>
      <w:r w:rsidR="000B6788" w:rsidRPr="00291BDC">
        <w:rPr>
          <w:bCs/>
          <w:noProof/>
        </w:rPr>
        <w:fldChar w:fldCharType="end"/>
      </w:r>
      <w:r w:rsidRPr="00FF310C">
        <w:t xml:space="preserve">. Long Pink-bells protection requirements and recommendations for </w:t>
      </w:r>
      <w:r w:rsidR="00CD3424" w:rsidRPr="00FF310C">
        <w:t>f</w:t>
      </w:r>
      <w:r w:rsidRPr="00FF310C">
        <w:t>orestry operations</w:t>
      </w:r>
    </w:p>
    <w:tbl>
      <w:tblPr>
        <w:tblStyle w:val="TableGrid"/>
        <w:tblW w:w="0" w:type="auto"/>
        <w:tblLook w:val="04A0" w:firstRow="1" w:lastRow="0" w:firstColumn="1" w:lastColumn="0" w:noHBand="0" w:noVBand="1"/>
      </w:tblPr>
      <w:tblGrid>
        <w:gridCol w:w="2268"/>
        <w:gridCol w:w="7371"/>
      </w:tblGrid>
      <w:tr w:rsidR="00324D1B" w14:paraId="76D0CE3B"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68C5AE89"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02C5BC2D"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6B31DD6C" w14:textId="77777777" w:rsidTr="001B5B4C">
        <w:tc>
          <w:tcPr>
            <w:tcW w:w="2268" w:type="dxa"/>
            <w:tcBorders>
              <w:top w:val="single" w:sz="8" w:space="0" w:color="CDDC29" w:themeColor="text2"/>
              <w:left w:val="nil"/>
              <w:bottom w:val="single" w:sz="8" w:space="0" w:color="CDDC29" w:themeColor="text2"/>
              <w:right w:val="nil"/>
            </w:tcBorders>
            <w:hideMark/>
          </w:tcPr>
          <w:p w14:paraId="43849D01" w14:textId="6DB4371E" w:rsidR="00324D1B" w:rsidRDefault="00324D1B" w:rsidP="001B5B4C">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51880B99" w14:textId="77777777" w:rsidR="00324D1B" w:rsidRDefault="00324D1B" w:rsidP="001B5B4C">
            <w:pPr>
              <w:pStyle w:val="BodyText"/>
            </w:pPr>
            <w:r>
              <w:t>Not required for this hazard based on the overall risk level of medium.</w:t>
            </w:r>
          </w:p>
        </w:tc>
      </w:tr>
      <w:tr w:rsidR="0064681B" w14:paraId="2BE6B03F" w14:textId="77777777" w:rsidTr="001B5B4C">
        <w:tc>
          <w:tcPr>
            <w:tcW w:w="2268" w:type="dxa"/>
            <w:tcBorders>
              <w:top w:val="single" w:sz="8" w:space="0" w:color="CDDC29" w:themeColor="text2"/>
              <w:left w:val="nil"/>
              <w:bottom w:val="single" w:sz="8" w:space="0" w:color="CDDC29" w:themeColor="text2"/>
              <w:right w:val="nil"/>
            </w:tcBorders>
          </w:tcPr>
          <w:p w14:paraId="577F1681" w14:textId="4C042BF7" w:rsidR="0064681B" w:rsidRDefault="0064681B" w:rsidP="001B5B4C">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15484BCB" w14:textId="77777777" w:rsidR="00FB08C4" w:rsidRPr="00E31362" w:rsidRDefault="00FB08C4" w:rsidP="006670D2">
            <w:pPr>
              <w:pStyle w:val="PullOutBoxBullet"/>
            </w:pPr>
            <w:r w:rsidRPr="00E31362">
              <w:t>Comprehensively search likely habitat and map important populations; and</w:t>
            </w:r>
          </w:p>
          <w:p w14:paraId="418F2762" w14:textId="7ABBBEDB" w:rsidR="0064681B" w:rsidRDefault="00FB08C4" w:rsidP="006670D2">
            <w:pPr>
              <w:pStyle w:val="PullOutBoxBullet"/>
            </w:pPr>
            <w:r w:rsidRPr="00E31362">
              <w:t>Establish monitoring sites and collect baseline data.</w:t>
            </w:r>
          </w:p>
        </w:tc>
      </w:tr>
      <w:tr w:rsidR="00324D1B" w14:paraId="60B589E7" w14:textId="77777777" w:rsidTr="001B5B4C">
        <w:tc>
          <w:tcPr>
            <w:tcW w:w="2268" w:type="dxa"/>
            <w:tcBorders>
              <w:top w:val="single" w:sz="8" w:space="0" w:color="CDDC29" w:themeColor="text2"/>
              <w:left w:val="nil"/>
              <w:bottom w:val="single" w:sz="8" w:space="0" w:color="CDDC29" w:themeColor="text2"/>
              <w:right w:val="nil"/>
            </w:tcBorders>
            <w:hideMark/>
          </w:tcPr>
          <w:p w14:paraId="73086733" w14:textId="77777777" w:rsidR="00324D1B" w:rsidRDefault="00324D1B" w:rsidP="001B5B4C">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246C102E" w14:textId="77777777" w:rsidR="00324D1B" w:rsidRDefault="00324D1B" w:rsidP="001B5B4C">
            <w:pPr>
              <w:pStyle w:val="BodyText"/>
            </w:pPr>
            <w:r>
              <w:t>Additional permanent protections may be required in the longer-term.</w:t>
            </w:r>
          </w:p>
        </w:tc>
      </w:tr>
      <w:tr w:rsidR="00324D1B" w14:paraId="62324557" w14:textId="77777777" w:rsidTr="001B5B4C">
        <w:tc>
          <w:tcPr>
            <w:tcW w:w="2268" w:type="dxa"/>
            <w:tcBorders>
              <w:top w:val="single" w:sz="8" w:space="0" w:color="CDDC29" w:themeColor="text2"/>
              <w:left w:val="nil"/>
              <w:bottom w:val="single" w:sz="8" w:space="0" w:color="CDDC29" w:themeColor="text2"/>
              <w:right w:val="nil"/>
            </w:tcBorders>
            <w:hideMark/>
          </w:tcPr>
          <w:p w14:paraId="2F7850EA" w14:textId="3CF80148" w:rsidR="00324D1B" w:rsidRDefault="00CD3424" w:rsidP="001B5B4C">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35C4ED5C" w14:textId="517F1843" w:rsidR="00324D1B" w:rsidRDefault="00324D1B" w:rsidP="006670D2">
            <w:pPr>
              <w:pStyle w:val="PullOutBoxBullet"/>
            </w:pPr>
            <w:r>
              <w:t xml:space="preserve">Undertake research on the </w:t>
            </w:r>
            <w:r w:rsidR="001D3902">
              <w:t>species’</w:t>
            </w:r>
            <w:r>
              <w:t xml:space="preserve"> ecological requirements and recruitment processes, as well as on its eco-physiology; </w:t>
            </w:r>
          </w:p>
          <w:p w14:paraId="5ED2BFC8" w14:textId="77777777" w:rsidR="00324D1B" w:rsidRDefault="00324D1B" w:rsidP="006670D2">
            <w:pPr>
              <w:pStyle w:val="PullOutBoxBullet"/>
            </w:pPr>
            <w:r>
              <w:t>Species-specific code prescriptions should be considered in any future Code amendments; and</w:t>
            </w:r>
          </w:p>
          <w:p w14:paraId="561441EF" w14:textId="7908C221" w:rsidR="00324D1B" w:rsidRDefault="00324D1B" w:rsidP="006670D2">
            <w:pPr>
              <w:pStyle w:val="PullOutBoxBullet"/>
            </w:pPr>
            <w:r>
              <w:t xml:space="preserve">Improve information the location of important populations in </w:t>
            </w:r>
            <w:r w:rsidR="0063458B">
              <w:t>State Forest</w:t>
            </w:r>
            <w:r w:rsidR="00A01916">
              <w:t>.</w:t>
            </w:r>
          </w:p>
        </w:tc>
      </w:tr>
    </w:tbl>
    <w:p w14:paraId="3D9AFA70" w14:textId="64C85BC8" w:rsidR="00324D1B" w:rsidRDefault="00324D1B" w:rsidP="007E5EBF">
      <w:pPr>
        <w:pStyle w:val="Heading3"/>
      </w:pPr>
      <w:r>
        <w:rPr>
          <w:noProof/>
        </w:rPr>
        <mc:AlternateContent>
          <mc:Choice Requires="wps">
            <w:drawing>
              <wp:anchor distT="0" distB="0" distL="114300" distR="114300" simplePos="0" relativeHeight="251658328" behindDoc="1" locked="1" layoutInCell="1" allowOverlap="1" wp14:anchorId="67A0C8AB" wp14:editId="2C521A51">
                <wp:simplePos x="0" y="0"/>
                <wp:positionH relativeFrom="page">
                  <wp:posOffset>359410</wp:posOffset>
                </wp:positionH>
                <wp:positionV relativeFrom="page">
                  <wp:posOffset>9071610</wp:posOffset>
                </wp:positionV>
                <wp:extent cx="6840220" cy="431800"/>
                <wp:effectExtent l="0" t="0" r="0" b="0"/>
                <wp:wrapNone/>
                <wp:docPr id="471" name="Text Box 471"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FEAE1"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0C8AB" id="Text Box 471" o:spid="_x0000_s1099" type="#_x0000_t202" alt="Title: Decorative Cover Shape" style="position:absolute;left:0;text-align:left;margin-left:28.3pt;margin-top:714.3pt;width:538.6pt;height:34pt;z-index:-2516581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AcaIRQgAIA&#10;AGIFAAAOAAAAAAAAAAAAAAAAAC4CAABkcnMvZTJvRG9jLnhtbFBLAQItABQABgAIAAAAIQCRaybX&#10;3QAAAA0BAAAPAAAAAAAAAAAAAAAAANoEAABkcnMvZG93bnJldi54bWxQSwUGAAAAAAQABADzAAAA&#10;5AUAAAAA&#10;" fillcolor="#201547" stroked="f" strokeweight=".5pt">
                <v:textbox inset="10mm,0,10mm,0">
                  <w:txbxContent>
                    <w:p w14:paraId="186FEAE1"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327" behindDoc="0" locked="1" layoutInCell="1" allowOverlap="1" wp14:anchorId="1E3F3C7D" wp14:editId="56B09AF1">
                <wp:simplePos x="0" y="0"/>
                <wp:positionH relativeFrom="page">
                  <wp:posOffset>360045</wp:posOffset>
                </wp:positionH>
                <wp:positionV relativeFrom="page">
                  <wp:posOffset>360045</wp:posOffset>
                </wp:positionV>
                <wp:extent cx="1864995" cy="1976120"/>
                <wp:effectExtent l="0" t="0" r="0" b="0"/>
                <wp:wrapNone/>
                <wp:docPr id="98" name="Freeform: Shape 9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1827636" id="Freeform: Shape 98" o:spid="_x0000_s1026" style="position:absolute;margin-left:28.35pt;margin-top:28.35pt;width:146.85pt;height:155.6pt;z-index:25165832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326" behindDoc="0" locked="1" layoutInCell="1" allowOverlap="1" wp14:anchorId="7B003E41" wp14:editId="346D836E">
                <wp:simplePos x="0" y="0"/>
                <wp:positionH relativeFrom="page">
                  <wp:posOffset>359410</wp:posOffset>
                </wp:positionH>
                <wp:positionV relativeFrom="page">
                  <wp:posOffset>359410</wp:posOffset>
                </wp:positionV>
                <wp:extent cx="1864995" cy="1976120"/>
                <wp:effectExtent l="0" t="0" r="0" b="0"/>
                <wp:wrapNone/>
                <wp:docPr id="99" name="Freeform: Shape 9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ABE9ECC" id="Freeform: Shape 99" o:spid="_x0000_s1026" style="position:absolute;margin-left:28.3pt;margin-top:28.3pt;width:146.85pt;height:155.6pt;z-index:25165832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325" behindDoc="0" locked="1" layoutInCell="1" allowOverlap="1" wp14:anchorId="53614251" wp14:editId="0DB8B5CD">
                <wp:simplePos x="0" y="0"/>
                <wp:positionH relativeFrom="page">
                  <wp:posOffset>0</wp:posOffset>
                </wp:positionH>
                <wp:positionV relativeFrom="page">
                  <wp:align>bottom</wp:align>
                </wp:positionV>
                <wp:extent cx="3848100" cy="720090"/>
                <wp:effectExtent l="0" t="0" r="0" b="0"/>
                <wp:wrapNone/>
                <wp:docPr id="474" name="Text Box 474"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B1AAF" w14:textId="77777777" w:rsidR="00324D1B" w:rsidRDefault="00324D1B" w:rsidP="00324D1B">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14251" id="Text Box 474" o:spid="_x0000_s1100" type="#_x0000_t202" style="position:absolute;left:0;text-align:left;margin-left:0;margin-top:0;width:303pt;height:56.7pt;z-index:25165832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BhVkZYbgIAAD4FAAAOAAAAAAAAAAAAAAAAAC4C&#10;AABkcnMvZTJvRG9jLnhtbFBLAQItABQABgAIAAAAIQD0ys+o2gAAAAUBAAAPAAAAAAAAAAAAAAAA&#10;AMgEAABkcnMvZG93bnJldi54bWxQSwUGAAAAAAQABADzAAAAzwUAAAAA&#10;" filled="f" stroked="f" strokeweight=".5pt">
                <v:textbox inset="20mm">
                  <w:txbxContent>
                    <w:p w14:paraId="45AB1AAF" w14:textId="77777777" w:rsidR="00324D1B" w:rsidRDefault="00324D1B" w:rsidP="00324D1B">
                      <w:pPr>
                        <w:pStyle w:val="xWebCoverPage"/>
                      </w:pPr>
                      <w:r>
                        <w:t>delwp.vic.gov.au</w:t>
                      </w:r>
                    </w:p>
                  </w:txbxContent>
                </v:textbox>
                <w10:wrap anchorx="page" anchory="page"/>
                <w10:anchorlock/>
              </v:shape>
            </w:pict>
          </mc:Fallback>
        </mc:AlternateContent>
      </w:r>
      <w:r>
        <w:t>Habitat</w:t>
      </w:r>
    </w:p>
    <w:p w14:paraId="7D8680BD" w14:textId="77777777" w:rsidR="00324D1B" w:rsidRDefault="00324D1B" w:rsidP="00324D1B">
      <w:pPr>
        <w:pStyle w:val="Heading5"/>
        <w:numPr>
          <w:ilvl w:val="0"/>
          <w:numId w:val="0"/>
        </w:numPr>
        <w:tabs>
          <w:tab w:val="left" w:pos="720"/>
        </w:tabs>
        <w:ind w:left="1008" w:hanging="1008"/>
      </w:pPr>
      <w:r>
        <w:t>Roading</w:t>
      </w:r>
    </w:p>
    <w:p w14:paraId="2C05BBA3" w14:textId="56284C5A" w:rsidR="00324D1B" w:rsidRPr="000423A3" w:rsidRDefault="00324D1B" w:rsidP="00324D1B">
      <w:pPr>
        <w:pStyle w:val="BodyText"/>
      </w:pPr>
      <w:r>
        <w:t xml:space="preserve">This </w:t>
      </w:r>
      <w:r w:rsidR="001D3902">
        <w:t>species</w:t>
      </w:r>
      <w:r>
        <w:t xml:space="preserve"> can occur along roadsides</w:t>
      </w:r>
      <w:r w:rsidR="00CB20C9">
        <w:t>,</w:t>
      </w:r>
      <w:r>
        <w:t xml:space="preserve"> which would make populations susceptible to the widening of tracks (Tolsma et al. 2012). Native vegetation removal on public land is managed in accordance with the Procedure for the removal, destruction or lopping of native vegetation on Crown land (DELWP 2018). Land managers can use the procedure for any proposal involving the clearing of native vegetation, which may include </w:t>
      </w:r>
      <w:r w:rsidRPr="000423A3">
        <w:t xml:space="preserve">road work not otherwise exempt or any other reason relating to park use. </w:t>
      </w:r>
      <w:r w:rsidR="00655967">
        <w:t>N</w:t>
      </w:r>
      <w:r w:rsidRPr="000423A3">
        <w:t xml:space="preserve">ative vegetation clearing may add to </w:t>
      </w:r>
      <w:r w:rsidR="00626353">
        <w:t xml:space="preserve">the </w:t>
      </w:r>
      <w:r w:rsidRPr="000423A3">
        <w:t>spread of pathogens and invasive species</w:t>
      </w:r>
      <w:r w:rsidR="0000626D">
        <w:t xml:space="preserve"> </w:t>
      </w:r>
      <w:r w:rsidRPr="000423A3">
        <w:t xml:space="preserve">and increase access into areas of high-quality vegetation/habitat. This hazard extends across approximately 10% of the </w:t>
      </w:r>
      <w:r w:rsidR="001D3902">
        <w:t>species’</w:t>
      </w:r>
      <w:r w:rsidRPr="000423A3">
        <w:t xml:space="preserve"> distribution. </w:t>
      </w:r>
    </w:p>
    <w:p w14:paraId="72FC221F" w14:textId="77777777" w:rsidR="00324D1B" w:rsidRPr="000423A3" w:rsidRDefault="00324D1B" w:rsidP="00324D1B">
      <w:pPr>
        <w:pStyle w:val="BodyText"/>
      </w:pPr>
      <w:r w:rsidRPr="000423A3">
        <w:t>Current existing controls for this hazard include:</w:t>
      </w:r>
    </w:p>
    <w:p w14:paraId="4DB5EB28" w14:textId="7B501AE0" w:rsidR="00324D1B" w:rsidRPr="000423A3" w:rsidRDefault="00324D1B" w:rsidP="006670D2">
      <w:pPr>
        <w:pStyle w:val="PullOutBoxBullet"/>
      </w:pPr>
      <w:r w:rsidRPr="000423A3">
        <w:t xml:space="preserve">Native vegetation removal on public land. The effectiveness of this control for this species has been evaluated as poor as the efficiency of counterbalancing is not known. The method for determining gains for threatened species is likely ineffective as it is too simplistic and not targeted at specific habitat values. </w:t>
      </w:r>
    </w:p>
    <w:p w14:paraId="6793E3F0" w14:textId="79FEF7DB" w:rsidR="00324D1B" w:rsidRPr="000423A3" w:rsidRDefault="00324D1B" w:rsidP="006670D2">
      <w:pPr>
        <w:pStyle w:val="PullOutBoxBullet"/>
        <w:rPr>
          <w:b/>
          <w:bCs/>
          <w:sz w:val="16"/>
        </w:rPr>
      </w:pPr>
      <w:r w:rsidRPr="000423A3">
        <w:t xml:space="preserve">Support programs such as Landcare for landholders to protect and restore habitat, including remnant patches of native vegetation and isolated paddock trees. The effectiveness of this control for this species has been evaluated as satisfactory as </w:t>
      </w:r>
      <w:r w:rsidR="007F05A7" w:rsidRPr="000423A3">
        <w:t>most</w:t>
      </w:r>
      <w:r w:rsidRPr="000423A3">
        <w:t xml:space="preserve"> populations are likely on public land. The protection of</w:t>
      </w:r>
      <w:r w:rsidRPr="000423A3">
        <w:rPr>
          <w:i/>
          <w:iCs/>
        </w:rPr>
        <w:t xml:space="preserve"> </w:t>
      </w:r>
      <w:r w:rsidRPr="000423A3">
        <w:t xml:space="preserve">the </w:t>
      </w:r>
      <w:r w:rsidR="001D3902">
        <w:t>species</w:t>
      </w:r>
      <w:r w:rsidRPr="000423A3">
        <w:t xml:space="preserve"> in general would not rest on the success of programs such as Landcare, but associated controls would contribute in part.   </w:t>
      </w:r>
    </w:p>
    <w:p w14:paraId="2F9C49FA" w14:textId="5C151F36"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153</w:t>
      </w:r>
      <w:r w:rsidR="000B6788" w:rsidRPr="00291BDC">
        <w:rPr>
          <w:bCs/>
          <w:noProof/>
        </w:rPr>
        <w:fldChar w:fldCharType="end"/>
      </w:r>
      <w:r w:rsidRPr="00FF310C">
        <w:t>. Long Pink-bells protection requirements and recommendations for roading</w:t>
      </w:r>
    </w:p>
    <w:tbl>
      <w:tblPr>
        <w:tblStyle w:val="TableGrid"/>
        <w:tblW w:w="0" w:type="auto"/>
        <w:tblLook w:val="04A0" w:firstRow="1" w:lastRow="0" w:firstColumn="1" w:lastColumn="0" w:noHBand="0" w:noVBand="1"/>
      </w:tblPr>
      <w:tblGrid>
        <w:gridCol w:w="2268"/>
        <w:gridCol w:w="7371"/>
      </w:tblGrid>
      <w:tr w:rsidR="00324D1B" w14:paraId="64054102"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9CEC2DB"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2C160687"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4C5A44F2" w14:textId="77777777" w:rsidTr="001B5B4C">
        <w:tc>
          <w:tcPr>
            <w:tcW w:w="2268" w:type="dxa"/>
            <w:tcBorders>
              <w:top w:val="single" w:sz="8" w:space="0" w:color="CDDC29" w:themeColor="text2"/>
              <w:left w:val="nil"/>
              <w:bottom w:val="single" w:sz="8" w:space="0" w:color="CDDC29" w:themeColor="text2"/>
              <w:right w:val="nil"/>
            </w:tcBorders>
            <w:hideMark/>
          </w:tcPr>
          <w:p w14:paraId="389BCD02" w14:textId="2AEFAE21" w:rsidR="00324D1B" w:rsidRDefault="00CD3424" w:rsidP="001B5B4C">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4C14930D" w14:textId="7AF85DC4" w:rsidR="00324D1B" w:rsidRDefault="006D4198" w:rsidP="006670D2">
            <w:pPr>
              <w:pStyle w:val="PullOutBoxBullet"/>
            </w:pPr>
            <w:r>
              <w:t xml:space="preserve">Conduct targeted surveys prior to any vegetation clearing to determine </w:t>
            </w:r>
            <w:r w:rsidR="0041791A">
              <w:t xml:space="preserve">the </w:t>
            </w:r>
            <w:r w:rsidR="001D3902">
              <w:t>species’</w:t>
            </w:r>
            <w:r w:rsidR="0041791A">
              <w:t xml:space="preserve"> </w:t>
            </w:r>
            <w:r>
              <w:t xml:space="preserve">presence and </w:t>
            </w:r>
            <w:r w:rsidR="0041791A">
              <w:t xml:space="preserve">to </w:t>
            </w:r>
            <w:r>
              <w:t xml:space="preserve">estimate </w:t>
            </w:r>
            <w:r w:rsidR="0041791A">
              <w:t xml:space="preserve">the </w:t>
            </w:r>
            <w:r>
              <w:t>number of plants if present</w:t>
            </w:r>
            <w:r w:rsidR="00456A60">
              <w:t>.</w:t>
            </w:r>
          </w:p>
        </w:tc>
      </w:tr>
      <w:tr w:rsidR="00324D1B" w14:paraId="5C13DDF1" w14:textId="77777777" w:rsidTr="001B5B4C">
        <w:tc>
          <w:tcPr>
            <w:tcW w:w="2268" w:type="dxa"/>
            <w:tcBorders>
              <w:top w:val="single" w:sz="8" w:space="0" w:color="CDDC29" w:themeColor="text2"/>
              <w:left w:val="nil"/>
              <w:bottom w:val="single" w:sz="8" w:space="0" w:color="CDDC29" w:themeColor="text2"/>
              <w:right w:val="nil"/>
            </w:tcBorders>
            <w:hideMark/>
          </w:tcPr>
          <w:p w14:paraId="7C7A84DD" w14:textId="794647F1" w:rsidR="00324D1B" w:rsidRDefault="00462D6C" w:rsidP="001B5B4C">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0348139E" w14:textId="53723A23" w:rsidR="00324D1B" w:rsidRDefault="006D4198" w:rsidP="006670D2">
            <w:pPr>
              <w:pStyle w:val="PullOutBoxBullet"/>
            </w:pPr>
            <w:r>
              <w:t xml:space="preserve">Review </w:t>
            </w:r>
            <w:r w:rsidR="00324D1B">
              <w:t xml:space="preserve">the </w:t>
            </w:r>
            <w:r>
              <w:t>C</w:t>
            </w:r>
            <w:r w:rsidR="00324D1B">
              <w:t xml:space="preserve">rown land </w:t>
            </w:r>
            <w:r>
              <w:t xml:space="preserve">counterbalancing </w:t>
            </w:r>
            <w:r w:rsidR="00324D1B">
              <w:t xml:space="preserve">procedure to better account for impacts to threatened species; </w:t>
            </w:r>
            <w:r w:rsidR="00372D8C">
              <w:t>and</w:t>
            </w:r>
          </w:p>
          <w:p w14:paraId="517A4E1F" w14:textId="3EA4C4C8" w:rsidR="00324D1B" w:rsidRDefault="00324D1B" w:rsidP="006670D2">
            <w:pPr>
              <w:pStyle w:val="PullOutBoxBullet"/>
            </w:pPr>
            <w:r>
              <w:t>If vegetation removal is unavoidable, establish other plant</w:t>
            </w:r>
            <w:r w:rsidR="006D4198">
              <w:t>s</w:t>
            </w:r>
            <w:r>
              <w:t xml:space="preserve"> elsewhere as a direct counterbalancing measure.</w:t>
            </w:r>
          </w:p>
        </w:tc>
      </w:tr>
    </w:tbl>
    <w:p w14:paraId="013648DC" w14:textId="77777777" w:rsidR="00324D1B" w:rsidRDefault="00324D1B" w:rsidP="007E5EBF">
      <w:pPr>
        <w:pStyle w:val="Heading3"/>
      </w:pPr>
      <w:r>
        <w:t>Invasive species</w:t>
      </w:r>
    </w:p>
    <w:p w14:paraId="1A95DF64" w14:textId="2EFA4709" w:rsidR="00324D1B" w:rsidRDefault="00324D1B" w:rsidP="007E5EBF">
      <w:pPr>
        <w:pStyle w:val="Heading5"/>
      </w:pPr>
      <w:r>
        <w:rPr>
          <w:noProof/>
        </w:rPr>
        <mc:AlternateContent>
          <mc:Choice Requires="wps">
            <w:drawing>
              <wp:anchor distT="0" distB="0" distL="114300" distR="114300" simplePos="0" relativeHeight="251658336" behindDoc="1" locked="1" layoutInCell="1" allowOverlap="1" wp14:anchorId="5539FD42" wp14:editId="2A3E3169">
                <wp:simplePos x="0" y="0"/>
                <wp:positionH relativeFrom="page">
                  <wp:posOffset>359410</wp:posOffset>
                </wp:positionH>
                <wp:positionV relativeFrom="page">
                  <wp:posOffset>9071610</wp:posOffset>
                </wp:positionV>
                <wp:extent cx="6840220" cy="431800"/>
                <wp:effectExtent l="0" t="0" r="0" b="0"/>
                <wp:wrapNone/>
                <wp:docPr id="1402" name="Text Box 1402"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32B93"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9FD42" id="Text Box 1402" o:spid="_x0000_s1101" type="#_x0000_t202" alt="Title: Decorative Cover Shape" style="position:absolute;left:0;text-align:left;margin-left:28.3pt;margin-top:714.3pt;width:538.6pt;height:34pt;z-index:-251658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DAiwP6gAIA&#10;AGIFAAAOAAAAAAAAAAAAAAAAAC4CAABkcnMvZTJvRG9jLnhtbFBLAQItABQABgAIAAAAIQCRaybX&#10;3QAAAA0BAAAPAAAAAAAAAAAAAAAAANoEAABkcnMvZG93bnJldi54bWxQSwUGAAAAAAQABADzAAAA&#10;5AUAAAAA&#10;" fillcolor="#201547" stroked="f" strokeweight=".5pt">
                <v:textbox inset="10mm,0,10mm,0">
                  <w:txbxContent>
                    <w:p w14:paraId="32E32B93" w14:textId="77777777" w:rsidR="00324D1B" w:rsidRDefault="00324D1B" w:rsidP="00324D1B">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335" behindDoc="0" locked="1" layoutInCell="1" allowOverlap="1" wp14:anchorId="2CB5B308" wp14:editId="3F77EFF0">
                <wp:simplePos x="0" y="0"/>
                <wp:positionH relativeFrom="page">
                  <wp:posOffset>360045</wp:posOffset>
                </wp:positionH>
                <wp:positionV relativeFrom="page">
                  <wp:posOffset>360045</wp:posOffset>
                </wp:positionV>
                <wp:extent cx="1864995" cy="1976120"/>
                <wp:effectExtent l="0" t="0" r="0" b="0"/>
                <wp:wrapNone/>
                <wp:docPr id="100" name="Freeform: Shape 10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2F98F9" id="Freeform: Shape 100" o:spid="_x0000_s1026" style="position:absolute;margin-left:28.35pt;margin-top:28.35pt;width:146.85pt;height:155.6pt;z-index:2516583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334" behindDoc="0" locked="1" layoutInCell="1" allowOverlap="1" wp14:anchorId="51A1FC84" wp14:editId="07B532AC">
                <wp:simplePos x="0" y="0"/>
                <wp:positionH relativeFrom="page">
                  <wp:posOffset>359410</wp:posOffset>
                </wp:positionH>
                <wp:positionV relativeFrom="page">
                  <wp:posOffset>359410</wp:posOffset>
                </wp:positionV>
                <wp:extent cx="1864995" cy="1976120"/>
                <wp:effectExtent l="0" t="0" r="0" b="0"/>
                <wp:wrapNone/>
                <wp:docPr id="101" name="Freeform: Shape 10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D48D4F9" id="Freeform: Shape 101" o:spid="_x0000_s1026" style="position:absolute;margin-left:28.3pt;margin-top:28.3pt;width:146.85pt;height:155.6pt;z-index:2516583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333" behindDoc="0" locked="1" layoutInCell="1" allowOverlap="1" wp14:anchorId="4E614026" wp14:editId="31EA0E20">
                <wp:simplePos x="0" y="0"/>
                <wp:positionH relativeFrom="page">
                  <wp:posOffset>0</wp:posOffset>
                </wp:positionH>
                <wp:positionV relativeFrom="page">
                  <wp:align>bottom</wp:align>
                </wp:positionV>
                <wp:extent cx="3848100" cy="720090"/>
                <wp:effectExtent l="0" t="0" r="0" b="0"/>
                <wp:wrapNone/>
                <wp:docPr id="455" name="Text Box 455"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5AED1" w14:textId="77777777" w:rsidR="00324D1B" w:rsidRDefault="00324D1B" w:rsidP="00324D1B">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4026" id="Text Box 455" o:spid="_x0000_s1102" type="#_x0000_t202" style="position:absolute;left:0;text-align:left;margin-left:0;margin-top:0;width:303pt;height:56.7pt;z-index:25165833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Brdd+W8CAAA+BQAADgAAAAAAAAAAAAAAAAAu&#10;AgAAZHJzL2Uyb0RvYy54bWxQSwECLQAUAAYACAAAACEA9MrPqNoAAAAFAQAADwAAAAAAAAAAAAAA&#10;AADJBAAAZHJzL2Rvd25yZXYueG1sUEsFBgAAAAAEAAQA8wAAANAFAAAAAA==&#10;" filled="f" stroked="f" strokeweight=".5pt">
                <v:textbox inset="20mm">
                  <w:txbxContent>
                    <w:p w14:paraId="62A5AED1" w14:textId="77777777" w:rsidR="00324D1B" w:rsidRDefault="00324D1B" w:rsidP="00324D1B">
                      <w:pPr>
                        <w:pStyle w:val="xWebCoverPage"/>
                      </w:pPr>
                      <w:r>
                        <w:t>delwp.vic.gov.au</w:t>
                      </w:r>
                    </w:p>
                  </w:txbxContent>
                </v:textbox>
                <w10:wrap anchorx="page" anchory="page"/>
                <w10:anchorlock/>
              </v:shape>
            </w:pict>
          </mc:Fallback>
        </mc:AlternateContent>
      </w:r>
      <w:r>
        <w:t>Invasive vertebrate (deer)</w:t>
      </w:r>
    </w:p>
    <w:p w14:paraId="02A7AD0A" w14:textId="35430117" w:rsidR="00324D1B" w:rsidRPr="000423A3" w:rsidRDefault="00324D1B" w:rsidP="00324D1B">
      <w:pPr>
        <w:pStyle w:val="BodyText"/>
      </w:pPr>
      <w:r>
        <w:t xml:space="preserve">Threats to this </w:t>
      </w:r>
      <w:r w:rsidR="001D3902">
        <w:t>species</w:t>
      </w:r>
      <w:r>
        <w:t xml:space="preserve"> potentially include browsing by deer which causes habitat loss and </w:t>
      </w:r>
      <w:r w:rsidR="0063458B">
        <w:t>degradation and</w:t>
      </w:r>
      <w:r>
        <w:t xml:space="preserve"> reduces population sizes. Deer are well established across most of the </w:t>
      </w:r>
      <w:r w:rsidR="001D3902">
        <w:t>species’</w:t>
      </w:r>
      <w:r>
        <w:t xml:space="preserve"> range, however the </w:t>
      </w:r>
      <w:r w:rsidR="001D3902">
        <w:t>species</w:t>
      </w:r>
      <w:r>
        <w:t xml:space="preserve"> is probably not heavily targeted and </w:t>
      </w:r>
      <w:r w:rsidR="00DC6F67">
        <w:t>can</w:t>
      </w:r>
      <w:r>
        <w:t xml:space="preserve"> re-shoot if </w:t>
      </w:r>
      <w:r w:rsidRPr="000423A3">
        <w:t>browsed.</w:t>
      </w:r>
    </w:p>
    <w:p w14:paraId="75A60FF7" w14:textId="77777777" w:rsidR="00324D1B" w:rsidRPr="000423A3" w:rsidRDefault="00324D1B" w:rsidP="00324D1B">
      <w:pPr>
        <w:pStyle w:val="BodyText"/>
      </w:pPr>
      <w:r w:rsidRPr="000423A3">
        <w:t>Current existing controls for this hazard include:</w:t>
      </w:r>
    </w:p>
    <w:p w14:paraId="7EBF692F" w14:textId="77777777" w:rsidR="00324D1B" w:rsidRPr="000423A3" w:rsidRDefault="00324D1B" w:rsidP="006670D2">
      <w:pPr>
        <w:pStyle w:val="PullOutBoxBullet"/>
      </w:pPr>
      <w:r w:rsidRPr="000423A3">
        <w:t xml:space="preserve">Regional deer control strategy. </w:t>
      </w:r>
      <w:r w:rsidRPr="000423A3">
        <w:rPr>
          <w:rStyle w:val="normaltextrun"/>
        </w:rPr>
        <w:t>The effectiveness of this control for this species has been evaluated as poor because targeted culling is patchy, expensive, and challenging to target in remote forest areas. Sambar deer occur across a large area so there is a reservoir of other areas to recolonise from.</w:t>
      </w:r>
    </w:p>
    <w:p w14:paraId="10331F59" w14:textId="4C01A10E"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154</w:t>
      </w:r>
      <w:r w:rsidR="000B6788" w:rsidRPr="00291BDC">
        <w:rPr>
          <w:bCs/>
          <w:noProof/>
        </w:rPr>
        <w:fldChar w:fldCharType="end"/>
      </w:r>
      <w:r w:rsidRPr="00FF310C">
        <w:t>. Long Pink-bells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324D1B" w14:paraId="4851410D"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44642C5"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667C4433"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21040F41" w14:textId="77777777" w:rsidTr="001B5B4C">
        <w:tc>
          <w:tcPr>
            <w:tcW w:w="2268" w:type="dxa"/>
            <w:tcBorders>
              <w:top w:val="single" w:sz="8" w:space="0" w:color="CDDC29" w:themeColor="text2"/>
              <w:left w:val="nil"/>
              <w:bottom w:val="single" w:sz="8" w:space="0" w:color="CDDC29" w:themeColor="text2"/>
              <w:right w:val="nil"/>
            </w:tcBorders>
            <w:hideMark/>
          </w:tcPr>
          <w:p w14:paraId="70397878" w14:textId="7E965DC5" w:rsidR="00324D1B" w:rsidRDefault="00462D6C" w:rsidP="001B5B4C">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67CF913F" w14:textId="77777777" w:rsidR="00324D1B" w:rsidRDefault="00324D1B" w:rsidP="001B5B4C">
            <w:pPr>
              <w:pStyle w:val="BodyText"/>
            </w:pPr>
            <w:r>
              <w:t>Not required for this hazard as it is a longer-term threat.</w:t>
            </w:r>
          </w:p>
        </w:tc>
      </w:tr>
      <w:tr w:rsidR="00324D1B" w14:paraId="122A5CEC" w14:textId="77777777" w:rsidTr="001B5B4C">
        <w:tc>
          <w:tcPr>
            <w:tcW w:w="2268" w:type="dxa"/>
            <w:tcBorders>
              <w:top w:val="single" w:sz="8" w:space="0" w:color="CDDC29" w:themeColor="text2"/>
              <w:left w:val="nil"/>
              <w:bottom w:val="single" w:sz="8" w:space="0" w:color="CDDC29" w:themeColor="text2"/>
              <w:right w:val="nil"/>
            </w:tcBorders>
            <w:hideMark/>
          </w:tcPr>
          <w:p w14:paraId="12C58D6B" w14:textId="0CF8E378" w:rsidR="00324D1B" w:rsidRDefault="00462D6C" w:rsidP="001B5B4C">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3FCEF4D3" w14:textId="61A9AB77" w:rsidR="00324D1B" w:rsidRDefault="00324D1B" w:rsidP="006670D2">
            <w:pPr>
              <w:pStyle w:val="PullOutBoxBullet"/>
            </w:pPr>
            <w:r>
              <w:t xml:space="preserve">Monitor the impact of deer on the </w:t>
            </w:r>
            <w:r w:rsidR="001D3902">
              <w:t>species</w:t>
            </w:r>
            <w:r>
              <w:t xml:space="preserve">; </w:t>
            </w:r>
          </w:p>
          <w:p w14:paraId="019309EA" w14:textId="4B71BB9D" w:rsidR="00324D1B" w:rsidRDefault="00324D1B" w:rsidP="006670D2">
            <w:pPr>
              <w:pStyle w:val="PullOutBoxBullet"/>
            </w:pPr>
            <w:r>
              <w:t xml:space="preserve">Target deer control around the </w:t>
            </w:r>
            <w:r w:rsidR="001D3902">
              <w:t>species’</w:t>
            </w:r>
            <w:r>
              <w:t xml:space="preserve"> habitat; and </w:t>
            </w:r>
          </w:p>
          <w:p w14:paraId="00EFFF86" w14:textId="6C3D78E1" w:rsidR="00324D1B" w:rsidRDefault="00324D1B" w:rsidP="006670D2">
            <w:pPr>
              <w:pStyle w:val="PullOutBoxBullet"/>
            </w:pPr>
            <w:r>
              <w:t>Assess the feasibility of fencing core populations if browsing is having a significantly negative impact.</w:t>
            </w:r>
          </w:p>
        </w:tc>
      </w:tr>
    </w:tbl>
    <w:p w14:paraId="7E3B9345" w14:textId="77777777" w:rsidR="00324D1B" w:rsidRDefault="00324D1B" w:rsidP="00324D1B">
      <w:pPr>
        <w:pStyle w:val="Heading5"/>
        <w:numPr>
          <w:ilvl w:val="0"/>
          <w:numId w:val="0"/>
        </w:numPr>
        <w:tabs>
          <w:tab w:val="left" w:pos="720"/>
        </w:tabs>
        <w:ind w:left="1008" w:hanging="1008"/>
      </w:pPr>
      <w:r>
        <w:t>Invasive plant (weeds)</w:t>
      </w:r>
    </w:p>
    <w:p w14:paraId="4E8DC533" w14:textId="0E2BC619" w:rsidR="00324D1B" w:rsidRPr="0072254F" w:rsidRDefault="00324D1B" w:rsidP="00324D1B">
      <w:pPr>
        <w:spacing w:line="240" w:lineRule="auto"/>
        <w:textAlignment w:val="baseline"/>
        <w:rPr>
          <w:rFonts w:ascii="Arial" w:hAnsi="Arial"/>
          <w:color w:val="363534"/>
          <w:sz w:val="18"/>
          <w:szCs w:val="18"/>
        </w:rPr>
      </w:pPr>
      <w:r w:rsidRPr="0072254F">
        <w:rPr>
          <w:rFonts w:ascii="Arial" w:hAnsi="Arial"/>
          <w:color w:val="363534"/>
          <w:sz w:val="18"/>
          <w:szCs w:val="18"/>
        </w:rPr>
        <w:t xml:space="preserve">Weed invasion has largely accompanied the incursion of residential development into the district with accompanying risks, including the dispersal of </w:t>
      </w:r>
      <w:r w:rsidRPr="0072254F">
        <w:rPr>
          <w:rFonts w:ascii="Arial" w:hAnsi="Arial"/>
          <w:i/>
          <w:iCs/>
          <w:color w:val="363534"/>
          <w:sz w:val="18"/>
          <w:szCs w:val="18"/>
        </w:rPr>
        <w:t>Phytophthora cinnamomi</w:t>
      </w:r>
      <w:r w:rsidRPr="0072254F">
        <w:rPr>
          <w:rFonts w:ascii="Arial" w:hAnsi="Arial"/>
          <w:color w:val="363534"/>
          <w:sz w:val="18"/>
          <w:szCs w:val="18"/>
        </w:rPr>
        <w:t xml:space="preserve"> from residential gardens and earthworks, elevated nutrient levels</w:t>
      </w:r>
      <w:r w:rsidR="00D76CA7">
        <w:rPr>
          <w:rFonts w:ascii="Arial" w:hAnsi="Arial"/>
          <w:color w:val="363534"/>
          <w:sz w:val="18"/>
          <w:szCs w:val="18"/>
        </w:rPr>
        <w:t>,</w:t>
      </w:r>
      <w:r w:rsidRPr="0072254F">
        <w:rPr>
          <w:rFonts w:ascii="Arial" w:hAnsi="Arial"/>
          <w:color w:val="363534"/>
          <w:sz w:val="18"/>
          <w:szCs w:val="18"/>
        </w:rPr>
        <w:t xml:space="preserve"> associated edge effects and reduction of native herbivores. T</w:t>
      </w:r>
      <w:r w:rsidRPr="0072254F">
        <w:rPr>
          <w:rStyle w:val="BodyTextChar"/>
        </w:rPr>
        <w:t xml:space="preserve">he </w:t>
      </w:r>
      <w:r w:rsidR="001D3902">
        <w:rPr>
          <w:rStyle w:val="BodyTextChar"/>
        </w:rPr>
        <w:t>species</w:t>
      </w:r>
      <w:r w:rsidRPr="0072254F">
        <w:rPr>
          <w:rStyle w:val="BodyTextChar"/>
        </w:rPr>
        <w:t xml:space="preserve"> prefers heathy to shrubby foothill forests that are not particularly prone to weed invasion</w:t>
      </w:r>
      <w:r w:rsidR="008E34DC">
        <w:rPr>
          <w:rStyle w:val="BodyTextChar"/>
        </w:rPr>
        <w:t xml:space="preserve">, </w:t>
      </w:r>
      <w:r w:rsidR="008E34DC" w:rsidRPr="0072254F">
        <w:rPr>
          <w:rFonts w:ascii="Arial" w:hAnsi="Arial"/>
          <w:color w:val="363534"/>
          <w:sz w:val="18"/>
          <w:szCs w:val="18"/>
        </w:rPr>
        <w:t>however the extent of incursions of garden escapes into bushland has increased in recent years.</w:t>
      </w:r>
      <w:r w:rsidR="008E34DC">
        <w:rPr>
          <w:rFonts w:ascii="Arial" w:hAnsi="Arial"/>
          <w:color w:val="363534"/>
          <w:sz w:val="18"/>
          <w:szCs w:val="18"/>
        </w:rPr>
        <w:t xml:space="preserve"> </w:t>
      </w:r>
      <w:r w:rsidRPr="0072254F">
        <w:rPr>
          <w:sz w:val="18"/>
          <w:szCs w:val="18"/>
        </w:rPr>
        <w:t xml:space="preserve">This hazard extends across around 30% of the </w:t>
      </w:r>
      <w:r w:rsidR="001D3902">
        <w:rPr>
          <w:sz w:val="18"/>
          <w:szCs w:val="18"/>
        </w:rPr>
        <w:t>species’</w:t>
      </w:r>
      <w:r w:rsidRPr="0072254F">
        <w:rPr>
          <w:sz w:val="18"/>
          <w:szCs w:val="18"/>
        </w:rPr>
        <w:t xml:space="preserve"> distribution in and around private land.</w:t>
      </w:r>
    </w:p>
    <w:p w14:paraId="2FD312D0" w14:textId="77777777" w:rsidR="00324D1B" w:rsidRPr="000423A3" w:rsidRDefault="00324D1B" w:rsidP="00324D1B">
      <w:pPr>
        <w:pStyle w:val="BodyText"/>
      </w:pPr>
      <w:r w:rsidRPr="000423A3">
        <w:t>Current existing controls for this hazard include:</w:t>
      </w:r>
    </w:p>
    <w:p w14:paraId="4F8594DF" w14:textId="77777777" w:rsidR="00324D1B" w:rsidRPr="000423A3" w:rsidRDefault="00324D1B" w:rsidP="006670D2">
      <w:pPr>
        <w:pStyle w:val="PullOutBoxBullet"/>
      </w:pPr>
      <w:r w:rsidRPr="000423A3">
        <w:t xml:space="preserve">The </w:t>
      </w:r>
      <w:r w:rsidRPr="000423A3">
        <w:rPr>
          <w:i/>
          <w:iCs/>
        </w:rPr>
        <w:t xml:space="preserve">Catchment and Land Protection Act 1994. </w:t>
      </w:r>
      <w:r w:rsidRPr="000423A3">
        <w:t>The effectiveness of this control for this species has been evaluated as poor because while many of the relevant problem species (notably woody weeds and large geophytes) can be effectively and selectively controlled by skilled operators, the resources available for this work are very limited and there are very few controls on introductions of potentially invasive flora. The majority of weed spraying contractors operating on public land lack the expertise to selectively treat the relevant weed species without eliminating the associated ground flora.</w:t>
      </w:r>
    </w:p>
    <w:p w14:paraId="67FE85E1" w14:textId="0C44892A" w:rsidR="009F77A4" w:rsidRPr="0055375E" w:rsidRDefault="00324D1B" w:rsidP="006670D2">
      <w:pPr>
        <w:pStyle w:val="PullOutBoxBullet"/>
      </w:pPr>
      <w:r>
        <w:t xml:space="preserve">Targeted invasive species programs. The effectiveness of this control for this species has been evaluated as mostly poor, but likely to be satisfactory in selected priority sites. There is a limited availability of resources for more careful ecological rehabilitation work by skilled revegetators providing selective protection of remnant flora. </w:t>
      </w:r>
    </w:p>
    <w:p w14:paraId="537E61C3" w14:textId="6D9C8DE2"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155</w:t>
      </w:r>
      <w:r w:rsidR="000B6788" w:rsidRPr="00291BDC">
        <w:rPr>
          <w:bCs/>
          <w:noProof/>
        </w:rPr>
        <w:fldChar w:fldCharType="end"/>
      </w:r>
      <w:r w:rsidRPr="00FF310C">
        <w:t>. Long Pink-bells protection requirements and recommendations for invasive plant (weeds)</w:t>
      </w:r>
    </w:p>
    <w:tbl>
      <w:tblPr>
        <w:tblStyle w:val="TableGrid"/>
        <w:tblW w:w="0" w:type="auto"/>
        <w:tblLook w:val="04A0" w:firstRow="1" w:lastRow="0" w:firstColumn="1" w:lastColumn="0" w:noHBand="0" w:noVBand="1"/>
      </w:tblPr>
      <w:tblGrid>
        <w:gridCol w:w="2268"/>
        <w:gridCol w:w="7371"/>
      </w:tblGrid>
      <w:tr w:rsidR="00324D1B" w14:paraId="557C6F88"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2795F6A"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54E3CB9"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569BCD55" w14:textId="77777777" w:rsidTr="001B5B4C">
        <w:tc>
          <w:tcPr>
            <w:tcW w:w="2268" w:type="dxa"/>
            <w:tcBorders>
              <w:top w:val="single" w:sz="8" w:space="0" w:color="CDDC29" w:themeColor="text2"/>
              <w:left w:val="nil"/>
              <w:bottom w:val="single" w:sz="8" w:space="0" w:color="CDDC29" w:themeColor="text2"/>
              <w:right w:val="nil"/>
            </w:tcBorders>
            <w:hideMark/>
          </w:tcPr>
          <w:p w14:paraId="21CF84A8" w14:textId="3C4EBA11" w:rsidR="00324D1B" w:rsidRDefault="001969E2" w:rsidP="001B5B4C">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3120E91D" w14:textId="77777777" w:rsidR="00324D1B" w:rsidRDefault="00324D1B" w:rsidP="001B5B4C">
            <w:pPr>
              <w:pStyle w:val="BodyText"/>
            </w:pPr>
            <w:r>
              <w:t>Not required for this hazard as it is a longer-term threat.</w:t>
            </w:r>
          </w:p>
        </w:tc>
      </w:tr>
      <w:tr w:rsidR="00324D1B" w14:paraId="4C1E2A63" w14:textId="77777777" w:rsidTr="001B5B4C">
        <w:tc>
          <w:tcPr>
            <w:tcW w:w="2268" w:type="dxa"/>
            <w:tcBorders>
              <w:top w:val="single" w:sz="8" w:space="0" w:color="CDDC29" w:themeColor="text2"/>
              <w:left w:val="nil"/>
              <w:bottom w:val="single" w:sz="8" w:space="0" w:color="CDDC29" w:themeColor="text2"/>
              <w:right w:val="nil"/>
            </w:tcBorders>
            <w:hideMark/>
          </w:tcPr>
          <w:p w14:paraId="2D0608A1" w14:textId="45336CF3" w:rsidR="00324D1B" w:rsidRDefault="001969E2" w:rsidP="001B5B4C">
            <w:pPr>
              <w:pStyle w:val="BodyText"/>
            </w:pPr>
            <w:r>
              <w:t>Potential m</w:t>
            </w:r>
            <w:r w:rsidR="00324D1B">
              <w:t>anagement actions</w:t>
            </w:r>
          </w:p>
        </w:tc>
        <w:tc>
          <w:tcPr>
            <w:tcW w:w="7371" w:type="dxa"/>
            <w:tcBorders>
              <w:top w:val="single" w:sz="8" w:space="0" w:color="CDDC29" w:themeColor="text2"/>
              <w:left w:val="nil"/>
              <w:bottom w:val="single" w:sz="8" w:space="0" w:color="CDDC29" w:themeColor="text2"/>
              <w:right w:val="nil"/>
            </w:tcBorders>
            <w:hideMark/>
          </w:tcPr>
          <w:p w14:paraId="5B85D36A" w14:textId="77777777" w:rsidR="00324D1B" w:rsidRDefault="00324D1B" w:rsidP="006670D2">
            <w:pPr>
              <w:pStyle w:val="PullOutBoxBullet"/>
            </w:pPr>
            <w:r>
              <w:t xml:space="preserve">Undertake public education about invasive plants; </w:t>
            </w:r>
          </w:p>
          <w:p w14:paraId="380C7BED" w14:textId="77777777" w:rsidR="00324D1B" w:rsidRDefault="00324D1B" w:rsidP="006670D2">
            <w:pPr>
              <w:pStyle w:val="PullOutBoxBullet"/>
            </w:pPr>
            <w:r>
              <w:t xml:space="preserve">Monitor invasions and review the actual resilience of the vegetation; </w:t>
            </w:r>
          </w:p>
          <w:p w14:paraId="51FAF496" w14:textId="77777777" w:rsidR="00324D1B" w:rsidRDefault="00324D1B" w:rsidP="006670D2">
            <w:pPr>
              <w:pStyle w:val="PullOutBoxBullet"/>
            </w:pPr>
            <w:r>
              <w:t xml:space="preserve">Provide adequate resources to address issues before they become uncontrollable; </w:t>
            </w:r>
          </w:p>
          <w:p w14:paraId="2385EEE4" w14:textId="491F21AB" w:rsidR="00324D1B" w:rsidRDefault="00324D1B" w:rsidP="006670D2">
            <w:pPr>
              <w:pStyle w:val="PullOutBoxBullet"/>
            </w:pPr>
            <w:r>
              <w:t xml:space="preserve">Conduct weed control where required in the </w:t>
            </w:r>
            <w:r w:rsidR="001D3902">
              <w:t>species’</w:t>
            </w:r>
            <w:r>
              <w:t xml:space="preserve"> habitat; and </w:t>
            </w:r>
          </w:p>
          <w:p w14:paraId="642A76D8" w14:textId="77777777" w:rsidR="00324D1B" w:rsidRDefault="00324D1B" w:rsidP="006670D2">
            <w:pPr>
              <w:pStyle w:val="PullOutBoxBullet"/>
            </w:pPr>
            <w:r>
              <w:t xml:space="preserve">Establish and utilise on-ground work crews with sufficient ecological rehabilitation skills. </w:t>
            </w:r>
          </w:p>
        </w:tc>
      </w:tr>
    </w:tbl>
    <w:p w14:paraId="5F32597C" w14:textId="77777777" w:rsidR="00324D1B" w:rsidRPr="000423A3" w:rsidRDefault="00324D1B" w:rsidP="00FB5A2B">
      <w:pPr>
        <w:pStyle w:val="Heading2"/>
        <w:ind w:left="0"/>
        <w:rPr>
          <w:i/>
          <w:iCs/>
        </w:rPr>
      </w:pPr>
      <w:bookmarkStart w:id="690" w:name="_Toc95234110"/>
      <w:bookmarkStart w:id="691" w:name="_Toc113271054"/>
      <w:r w:rsidRPr="000423A3">
        <w:t xml:space="preserve">Mountain Bird-orchid </w:t>
      </w:r>
      <w:r w:rsidRPr="005F7D8C">
        <w:rPr>
          <w:i/>
          <w:iCs/>
        </w:rPr>
        <w:t>(Chiloglottis jeanesii)</w:t>
      </w:r>
      <w:bookmarkEnd w:id="690"/>
      <w:bookmarkEnd w:id="691"/>
    </w:p>
    <w:p w14:paraId="299FC516" w14:textId="460E46F7" w:rsidR="00324D1B" w:rsidRDefault="00324D1B" w:rsidP="00324D1B">
      <w:pPr>
        <w:pStyle w:val="BodyText"/>
      </w:pPr>
      <w:r>
        <w:t xml:space="preserve">The Mountain Bird-orchid was listed as Vulnerable in Australia under the FFG Act in May 2021. The </w:t>
      </w:r>
      <w:r w:rsidR="001D3902">
        <w:t>species</w:t>
      </w:r>
      <w:r>
        <w:t xml:space="preserve"> has VBA points in the Central Highlands (84% of VBA points) and Gippsland (16% of VBA points) RFA regions. </w:t>
      </w:r>
      <w:r w:rsidR="009119A2" w:rsidRPr="00C02DCA">
        <w:t xml:space="preserve">While the CAM </w:t>
      </w:r>
      <w:r w:rsidR="009119A2">
        <w:t>assessment</w:t>
      </w:r>
      <w:r w:rsidR="009119A2" w:rsidRPr="00C02DCA">
        <w:t xml:space="preserve"> focusses on the impacts of</w:t>
      </w:r>
      <w:r w:rsidR="009119A2">
        <w:t xml:space="preserve"> fire on this </w:t>
      </w:r>
      <w:r w:rsidR="001D3902">
        <w:t>species</w:t>
      </w:r>
      <w:r w:rsidR="009119A2" w:rsidRPr="00C02DCA">
        <w:t>,</w:t>
      </w:r>
      <w:r w:rsidR="009119A2">
        <w:t xml:space="preserve"> the</w:t>
      </w:r>
      <w:r w:rsidR="009119A2" w:rsidRPr="00C02DCA">
        <w:t xml:space="preserve"> expert</w:t>
      </w:r>
      <w:r w:rsidR="009119A2">
        <w:t>/s</w:t>
      </w:r>
      <w:r w:rsidR="009119A2" w:rsidRPr="00C02DCA">
        <w:t xml:space="preserve"> did not assess t</w:t>
      </w:r>
      <w:r w:rsidR="009119A2">
        <w:t>hat</w:t>
      </w:r>
      <w:r w:rsidR="009119A2" w:rsidRPr="00C02DCA">
        <w:t xml:space="preserve"> </w:t>
      </w:r>
      <w:r w:rsidR="009119A2">
        <w:t>hazard</w:t>
      </w:r>
      <w:r w:rsidR="009119A2" w:rsidRPr="00C02DCA">
        <w:t xml:space="preserve"> as part of this risk assessment.</w:t>
      </w:r>
      <w:r w:rsidR="009119A2">
        <w:t xml:space="preserve"> </w:t>
      </w:r>
      <w:r>
        <w:rPr>
          <w:rStyle w:val="BodyTextChar"/>
        </w:rPr>
        <w:t>Permanent protections are recommended to address any hazards identified at a significant or high risk, and all</w:t>
      </w:r>
      <w:r>
        <w:t xml:space="preserve"> hazards rated a medium risk or higher will be considered in future management planning.</w:t>
      </w:r>
    </w:p>
    <w:p w14:paraId="7158AB11" w14:textId="77777777" w:rsidR="00324D1B" w:rsidRDefault="00324D1B" w:rsidP="007E5EBF">
      <w:pPr>
        <w:pStyle w:val="Heading3"/>
      </w:pPr>
      <w:r>
        <w:t>Risk Assessment</w:t>
      </w:r>
    </w:p>
    <w:p w14:paraId="71A78F5A" w14:textId="5517B26B"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156</w:t>
      </w:r>
      <w:r w:rsidR="000B6788" w:rsidRPr="00291BDC">
        <w:rPr>
          <w:bCs/>
          <w:noProof/>
        </w:rPr>
        <w:fldChar w:fldCharType="end"/>
      </w:r>
      <w:r w:rsidRPr="00FF310C">
        <w:t>. Mountain Bird-orchid risk ratings in the Central Highlands RFA region:</w:t>
      </w:r>
    </w:p>
    <w:tbl>
      <w:tblPr>
        <w:tblStyle w:val="TableGrid"/>
        <w:tblW w:w="6804" w:type="dxa"/>
        <w:tblLook w:val="04A0" w:firstRow="1" w:lastRow="0" w:firstColumn="1" w:lastColumn="0" w:noHBand="0" w:noVBand="1"/>
      </w:tblPr>
      <w:tblGrid>
        <w:gridCol w:w="2268"/>
        <w:gridCol w:w="2268"/>
        <w:gridCol w:w="2268"/>
      </w:tblGrid>
      <w:tr w:rsidR="00324D1B" w14:paraId="576355FA"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tcPr>
          <w:p w14:paraId="44336A5A" w14:textId="77777777" w:rsidR="00324D1B" w:rsidRDefault="00324D1B" w:rsidP="006670D2">
            <w:pPr>
              <w:pStyle w:val="CaptionImageorFigure"/>
            </w:pPr>
          </w:p>
        </w:tc>
        <w:tc>
          <w:tcPr>
            <w:tcW w:w="2268" w:type="dxa"/>
            <w:tcBorders>
              <w:top w:val="single" w:sz="8" w:space="0" w:color="CDDC29" w:themeColor="text2"/>
              <w:left w:val="nil"/>
              <w:bottom w:val="single" w:sz="8" w:space="0" w:color="CDDC29" w:themeColor="text2"/>
              <w:right w:val="nil"/>
            </w:tcBorders>
            <w:vAlign w:val="center"/>
            <w:hideMark/>
          </w:tcPr>
          <w:p w14:paraId="0383E5E0"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2268" w:type="dxa"/>
            <w:tcBorders>
              <w:top w:val="single" w:sz="8" w:space="0" w:color="CDDC29" w:themeColor="text2"/>
              <w:left w:val="nil"/>
              <w:bottom w:val="single" w:sz="8" w:space="0" w:color="CDDC29" w:themeColor="text2"/>
              <w:right w:val="nil"/>
            </w:tcBorders>
            <w:vAlign w:val="center"/>
            <w:hideMark/>
          </w:tcPr>
          <w:p w14:paraId="76167A6B" w14:textId="77777777" w:rsidR="00324D1B" w:rsidRDefault="00324D1B"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324D1B" w14:paraId="66896952"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18E64272" w14:textId="77777777" w:rsidR="00324D1B" w:rsidRDefault="00324D1B" w:rsidP="009F77A4">
            <w:pPr>
              <w:pStyle w:val="BodyText"/>
              <w:jc w:val="center"/>
            </w:pPr>
            <w:r>
              <w:t>Consequence</w:t>
            </w:r>
          </w:p>
        </w:tc>
        <w:tc>
          <w:tcPr>
            <w:tcW w:w="2268" w:type="dxa"/>
            <w:tcBorders>
              <w:top w:val="single" w:sz="8" w:space="0" w:color="CDDC29" w:themeColor="text2"/>
              <w:left w:val="nil"/>
              <w:bottom w:val="single" w:sz="8" w:space="0" w:color="CDDC29" w:themeColor="text2"/>
              <w:right w:val="nil"/>
            </w:tcBorders>
            <w:vAlign w:val="center"/>
            <w:hideMark/>
          </w:tcPr>
          <w:p w14:paraId="548FD519" w14:textId="77777777" w:rsidR="00324D1B" w:rsidRDefault="00324D1B" w:rsidP="009F77A4">
            <w:pPr>
              <w:pStyle w:val="BodyText"/>
              <w:jc w:val="center"/>
            </w:pPr>
            <w:r>
              <w:t>Moderate</w:t>
            </w:r>
          </w:p>
        </w:tc>
        <w:tc>
          <w:tcPr>
            <w:tcW w:w="2268" w:type="dxa"/>
            <w:tcBorders>
              <w:top w:val="single" w:sz="8" w:space="0" w:color="CDDC29" w:themeColor="text2"/>
              <w:left w:val="nil"/>
              <w:bottom w:val="single" w:sz="8" w:space="0" w:color="CDDC29" w:themeColor="text2"/>
              <w:right w:val="nil"/>
            </w:tcBorders>
            <w:vAlign w:val="center"/>
            <w:hideMark/>
          </w:tcPr>
          <w:p w14:paraId="2CEEF713" w14:textId="77777777" w:rsidR="00324D1B" w:rsidRDefault="00324D1B" w:rsidP="009F77A4">
            <w:pPr>
              <w:pStyle w:val="BodyText"/>
              <w:jc w:val="center"/>
            </w:pPr>
            <w:r>
              <w:t>Minor</w:t>
            </w:r>
          </w:p>
        </w:tc>
      </w:tr>
      <w:tr w:rsidR="00324D1B" w14:paraId="015CB620"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409A4B53" w14:textId="77777777" w:rsidR="00324D1B" w:rsidRDefault="00324D1B" w:rsidP="009F77A4">
            <w:pPr>
              <w:pStyle w:val="BodyText"/>
              <w:jc w:val="center"/>
            </w:pPr>
            <w:r>
              <w:t>Likelihood</w:t>
            </w:r>
          </w:p>
        </w:tc>
        <w:tc>
          <w:tcPr>
            <w:tcW w:w="2268" w:type="dxa"/>
            <w:tcBorders>
              <w:top w:val="single" w:sz="8" w:space="0" w:color="CDDC29" w:themeColor="text2"/>
              <w:left w:val="nil"/>
              <w:bottom w:val="single" w:sz="8" w:space="0" w:color="CDDC29" w:themeColor="text2"/>
              <w:right w:val="nil"/>
            </w:tcBorders>
            <w:vAlign w:val="center"/>
            <w:hideMark/>
          </w:tcPr>
          <w:p w14:paraId="7A489580" w14:textId="77777777" w:rsidR="00324D1B" w:rsidRDefault="00324D1B" w:rsidP="009F77A4">
            <w:pPr>
              <w:pStyle w:val="BodyText"/>
              <w:jc w:val="center"/>
            </w:pPr>
            <w:r>
              <w:t>Likely</w:t>
            </w:r>
          </w:p>
        </w:tc>
        <w:tc>
          <w:tcPr>
            <w:tcW w:w="2268" w:type="dxa"/>
            <w:tcBorders>
              <w:top w:val="single" w:sz="8" w:space="0" w:color="CDDC29" w:themeColor="text2"/>
              <w:left w:val="nil"/>
              <w:bottom w:val="single" w:sz="8" w:space="0" w:color="CDDC29" w:themeColor="text2"/>
              <w:right w:val="nil"/>
            </w:tcBorders>
            <w:vAlign w:val="center"/>
            <w:hideMark/>
          </w:tcPr>
          <w:p w14:paraId="4D9C5459" w14:textId="77777777" w:rsidR="00324D1B" w:rsidRDefault="00324D1B" w:rsidP="009F77A4">
            <w:pPr>
              <w:pStyle w:val="BodyText"/>
              <w:jc w:val="center"/>
            </w:pPr>
            <w:r>
              <w:t>Possible</w:t>
            </w:r>
          </w:p>
        </w:tc>
      </w:tr>
      <w:tr w:rsidR="00324D1B" w14:paraId="730EC66D" w14:textId="77777777" w:rsidTr="00324D1B">
        <w:tc>
          <w:tcPr>
            <w:tcW w:w="2268" w:type="dxa"/>
            <w:tcBorders>
              <w:top w:val="single" w:sz="8" w:space="0" w:color="CDDC29" w:themeColor="text2"/>
              <w:left w:val="nil"/>
              <w:bottom w:val="single" w:sz="8" w:space="0" w:color="CDDC29" w:themeColor="text2"/>
              <w:right w:val="nil"/>
            </w:tcBorders>
            <w:vAlign w:val="center"/>
            <w:hideMark/>
          </w:tcPr>
          <w:p w14:paraId="5CC38A4B" w14:textId="77777777" w:rsidR="00324D1B" w:rsidRDefault="00324D1B" w:rsidP="009F77A4">
            <w:pPr>
              <w:pStyle w:val="BodyText"/>
              <w:jc w:val="center"/>
            </w:pPr>
            <w:r>
              <w:t>Overall risk rating</w:t>
            </w:r>
          </w:p>
        </w:tc>
        <w:tc>
          <w:tcPr>
            <w:tcW w:w="2268" w:type="dxa"/>
            <w:tcBorders>
              <w:top w:val="single" w:sz="8" w:space="0" w:color="CDDC29" w:themeColor="text2"/>
              <w:left w:val="nil"/>
              <w:bottom w:val="single" w:sz="8" w:space="0" w:color="CDDC29" w:themeColor="text2"/>
              <w:right w:val="nil"/>
            </w:tcBorders>
            <w:shd w:val="clear" w:color="auto" w:fill="FFC000"/>
            <w:vAlign w:val="center"/>
            <w:hideMark/>
          </w:tcPr>
          <w:p w14:paraId="549D4094" w14:textId="77777777" w:rsidR="00324D1B" w:rsidRDefault="00324D1B" w:rsidP="009F77A4">
            <w:pPr>
              <w:pStyle w:val="BodyText"/>
              <w:jc w:val="center"/>
            </w:pPr>
            <w:r>
              <w:t>Significant</w:t>
            </w:r>
          </w:p>
        </w:tc>
        <w:tc>
          <w:tcPr>
            <w:tcW w:w="2268" w:type="dxa"/>
            <w:tcBorders>
              <w:top w:val="single" w:sz="8" w:space="0" w:color="CDDC29" w:themeColor="text2"/>
              <w:left w:val="nil"/>
              <w:bottom w:val="single" w:sz="8" w:space="0" w:color="CDDC29" w:themeColor="text2"/>
              <w:right w:val="nil"/>
            </w:tcBorders>
            <w:shd w:val="clear" w:color="auto" w:fill="FFFF00"/>
            <w:vAlign w:val="center"/>
            <w:hideMark/>
          </w:tcPr>
          <w:p w14:paraId="2FC35132" w14:textId="77777777" w:rsidR="00324D1B" w:rsidRDefault="00324D1B" w:rsidP="009F77A4">
            <w:pPr>
              <w:pStyle w:val="BodyText"/>
              <w:jc w:val="center"/>
            </w:pPr>
            <w:r>
              <w:t>Medium</w:t>
            </w:r>
          </w:p>
        </w:tc>
      </w:tr>
    </w:tbl>
    <w:p w14:paraId="18DF2695" w14:textId="77777777" w:rsidR="00324D1B" w:rsidRDefault="00324D1B" w:rsidP="007E5EBF">
      <w:pPr>
        <w:pStyle w:val="Heading3"/>
        <w:jc w:val="both"/>
      </w:pPr>
      <w:r>
        <w:t>Forestry operations</w:t>
      </w:r>
    </w:p>
    <w:p w14:paraId="43D7D3A8" w14:textId="77777777" w:rsidR="00324D1B" w:rsidRDefault="00324D1B" w:rsidP="007E5EBF">
      <w:pPr>
        <w:pStyle w:val="Heading5"/>
      </w:pPr>
      <w:r>
        <w:t>Forestry operations</w:t>
      </w:r>
    </w:p>
    <w:p w14:paraId="49DFB058" w14:textId="2724DAE5" w:rsidR="00324D1B" w:rsidRDefault="00324D1B" w:rsidP="00324D1B">
      <w:pPr>
        <w:pStyle w:val="BodyText"/>
      </w:pPr>
      <w:r>
        <w:t xml:space="preserve">The association of the </w:t>
      </w:r>
      <w:r w:rsidR="001D3902">
        <w:t>species</w:t>
      </w:r>
      <w:r>
        <w:t xml:space="preserve"> with landscapes dominated by merchantable forest types suggests it may have suffered significant historic decline through early </w:t>
      </w:r>
      <w:r w:rsidR="00542F46">
        <w:t>timber harvesting</w:t>
      </w:r>
      <w:r w:rsidR="006C41B9">
        <w:t xml:space="preserve"> </w:t>
      </w:r>
      <w:r>
        <w:t xml:space="preserve">of the Melbourne water catchments, forestry operations in Mountain Ash forests in the last 70 years and the impact of repeated fire events since the late 1800s. The key impact of forestry operations is likely to be through the disruption of soils by machinery operating throughout </w:t>
      </w:r>
      <w:r w:rsidR="003B3D54">
        <w:t>timber harvesting</w:t>
      </w:r>
      <w:r>
        <w:t xml:space="preserve"> coupes</w:t>
      </w:r>
      <w:r w:rsidR="0072700B">
        <w:t>,</w:t>
      </w:r>
      <w:r>
        <w:t xml:space="preserve"> particularly along snig tracks, on log landings and through preparation of fire control lines for regeneration burns. Road construction and maintenance to service forestry operations could also impact on populations. </w:t>
      </w:r>
      <w:r w:rsidR="00A4677B" w:rsidRPr="00FD57DB">
        <w:t xml:space="preserve">Based on the 2015 net harvest area layer, 15% of the </w:t>
      </w:r>
      <w:r w:rsidR="001D3902">
        <w:t>species’</w:t>
      </w:r>
      <w:r w:rsidR="00A4677B" w:rsidRPr="00FD57DB">
        <w:t xml:space="preserve"> VBA points are in merchantable areas. Using the revised operable layer, this is reduced to </w:t>
      </w:r>
      <w:r w:rsidR="0037093B" w:rsidRPr="00FD57DB">
        <w:t>9</w:t>
      </w:r>
      <w:r w:rsidR="00A4677B" w:rsidRPr="00FD57DB">
        <w:t>%</w:t>
      </w:r>
      <w:r w:rsidR="0037093B" w:rsidRPr="00FD57DB">
        <w:t>.</w:t>
      </w:r>
      <w:r w:rsidR="00A4677B" w:rsidRPr="00B6162A">
        <w:t xml:space="preserve"> </w:t>
      </w:r>
    </w:p>
    <w:p w14:paraId="257CF16B" w14:textId="77777777" w:rsidR="00324D1B" w:rsidRPr="000423A3" w:rsidRDefault="00324D1B" w:rsidP="00324D1B">
      <w:pPr>
        <w:pStyle w:val="BodyText"/>
      </w:pPr>
      <w:r>
        <w:t xml:space="preserve">Current existing </w:t>
      </w:r>
      <w:r w:rsidRPr="000423A3">
        <w:t>controls for this hazard include:</w:t>
      </w:r>
    </w:p>
    <w:p w14:paraId="45465A5B" w14:textId="0E6194D1" w:rsidR="00324D1B" w:rsidRPr="000423A3" w:rsidRDefault="00324D1B" w:rsidP="006670D2">
      <w:pPr>
        <w:pStyle w:val="PullOutBoxBullet"/>
      </w:pPr>
      <w:r w:rsidRPr="000423A3">
        <w:t xml:space="preserve">The </w:t>
      </w:r>
      <w:r w:rsidRPr="000423A3">
        <w:rPr>
          <w:i/>
          <w:iCs/>
        </w:rPr>
        <w:t xml:space="preserve">Code of Practice for Timber Production 2014. </w:t>
      </w:r>
      <w:r w:rsidRPr="000423A3">
        <w:t xml:space="preserve">There is no species-specific prescription for this </w:t>
      </w:r>
      <w:r w:rsidR="001D3902">
        <w:t>species</w:t>
      </w:r>
      <w:r w:rsidRPr="000423A3">
        <w:t xml:space="preserve"> in the Code, however the Code includes general protections for rainforest, old-growth forests and waterways including a prohibition on harvesting, the application of buffers and </w:t>
      </w:r>
      <w:r w:rsidR="000D065A" w:rsidRPr="00915D82">
        <w:t>design standards for roads, crossings</w:t>
      </w:r>
      <w:r w:rsidR="00E83EC2" w:rsidRPr="00915D82">
        <w:t>,</w:t>
      </w:r>
      <w:r w:rsidR="000D065A" w:rsidRPr="00915D82">
        <w:t xml:space="preserve"> and coupe infrastructure</w:t>
      </w:r>
      <w:r w:rsidRPr="000423A3">
        <w:t xml:space="preserve">. The lack of a specific prescription leads to the effectiveness of the Code being assessed as poor for this </w:t>
      </w:r>
      <w:r w:rsidR="001D3902">
        <w:t>species</w:t>
      </w:r>
      <w:r w:rsidRPr="000423A3">
        <w:t xml:space="preserve">. </w:t>
      </w:r>
    </w:p>
    <w:p w14:paraId="37052FA6" w14:textId="3625253F" w:rsidR="00024DF4" w:rsidRDefault="00324D1B" w:rsidP="006670D2">
      <w:pPr>
        <w:pStyle w:val="PullOutBoxBullet"/>
      </w:pPr>
      <w:r w:rsidRPr="000423A3">
        <w:t xml:space="preserve">The CAR reserve system. The effectiveness of this control for this species has been evaluated as poor as 45% of the </w:t>
      </w:r>
      <w:r w:rsidR="001D3902">
        <w:t>species’</w:t>
      </w:r>
      <w:r w:rsidRPr="000423A3">
        <w:t xml:space="preserve"> important populations and 57% of post-1970s VBA points are within the reserve system</w:t>
      </w:r>
      <w:r w:rsidR="00ED6F6C">
        <w:t>.</w:t>
      </w:r>
    </w:p>
    <w:p w14:paraId="5D01BDEF" w14:textId="0C701A2E"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157</w:t>
      </w:r>
      <w:r w:rsidR="000B6788" w:rsidRPr="00291BDC">
        <w:rPr>
          <w:bCs/>
          <w:noProof/>
        </w:rPr>
        <w:fldChar w:fldCharType="end"/>
      </w:r>
      <w:r w:rsidRPr="00FF310C">
        <w:t xml:space="preserve">. Mountain Bird-orchid protection requirements and recommendations for </w:t>
      </w:r>
      <w:r w:rsidR="00940F6A" w:rsidRPr="00FF310C">
        <w:t>f</w:t>
      </w:r>
      <w:r w:rsidRPr="00FF310C">
        <w:t>orestry operations</w:t>
      </w:r>
    </w:p>
    <w:tbl>
      <w:tblPr>
        <w:tblStyle w:val="TableGrid"/>
        <w:tblW w:w="0" w:type="auto"/>
        <w:tblLook w:val="04A0" w:firstRow="1" w:lastRow="0" w:firstColumn="1" w:lastColumn="0" w:noHBand="0" w:noVBand="1"/>
      </w:tblPr>
      <w:tblGrid>
        <w:gridCol w:w="2268"/>
        <w:gridCol w:w="7371"/>
      </w:tblGrid>
      <w:tr w:rsidR="00324D1B" w14:paraId="43768C29" w14:textId="77777777" w:rsidTr="00324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26E0505E" w14:textId="77777777" w:rsidR="00324D1B" w:rsidRDefault="00324D1B">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0677F820"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2E72C181" w14:textId="77777777" w:rsidTr="001B5B4C">
        <w:tc>
          <w:tcPr>
            <w:tcW w:w="2268" w:type="dxa"/>
            <w:tcBorders>
              <w:top w:val="single" w:sz="8" w:space="0" w:color="CDDC29" w:themeColor="text2"/>
              <w:left w:val="nil"/>
              <w:bottom w:val="single" w:sz="8" w:space="0" w:color="CDDC29" w:themeColor="text2"/>
              <w:right w:val="nil"/>
            </w:tcBorders>
            <w:hideMark/>
          </w:tcPr>
          <w:p w14:paraId="35EBE500" w14:textId="46788A0A" w:rsidR="00324D1B" w:rsidRDefault="00940F6A" w:rsidP="001B5B4C">
            <w:pPr>
              <w:pStyle w:val="BodyText"/>
            </w:pPr>
            <w:r>
              <w:t>Interim protect</w:t>
            </w:r>
            <w:r w:rsidR="008A73A8">
              <w:t>i</w:t>
            </w:r>
            <w:r>
              <w:t xml:space="preserve">ons </w:t>
            </w:r>
          </w:p>
        </w:tc>
        <w:tc>
          <w:tcPr>
            <w:tcW w:w="7371" w:type="dxa"/>
            <w:tcBorders>
              <w:top w:val="single" w:sz="8" w:space="0" w:color="CDDC29" w:themeColor="text2"/>
              <w:left w:val="nil"/>
              <w:bottom w:val="single" w:sz="8" w:space="0" w:color="CDDC29" w:themeColor="text2"/>
              <w:right w:val="nil"/>
            </w:tcBorders>
            <w:hideMark/>
          </w:tcPr>
          <w:p w14:paraId="35BCFE41" w14:textId="77777777" w:rsidR="00324D1B" w:rsidRDefault="00324D1B" w:rsidP="001B5B4C">
            <w:pPr>
              <w:pStyle w:val="BodyText"/>
            </w:pPr>
            <w:r>
              <w:t>Not required for this hazard.</w:t>
            </w:r>
          </w:p>
        </w:tc>
      </w:tr>
      <w:tr w:rsidR="0064681B" w14:paraId="43BD8A42" w14:textId="77777777" w:rsidTr="001B5B4C">
        <w:tc>
          <w:tcPr>
            <w:tcW w:w="2268" w:type="dxa"/>
            <w:tcBorders>
              <w:top w:val="single" w:sz="8" w:space="0" w:color="CDDC29" w:themeColor="text2"/>
              <w:left w:val="nil"/>
              <w:bottom w:val="single" w:sz="8" w:space="0" w:color="CDDC29" w:themeColor="text2"/>
              <w:right w:val="nil"/>
            </w:tcBorders>
          </w:tcPr>
          <w:p w14:paraId="3E38A349" w14:textId="596DCC68" w:rsidR="0064681B" w:rsidRDefault="0064681B" w:rsidP="001B5B4C">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5D5D7947" w14:textId="77777777" w:rsidR="00FB08C4" w:rsidRPr="00E31362" w:rsidRDefault="00FB08C4" w:rsidP="006670D2">
            <w:pPr>
              <w:pStyle w:val="PullOutBoxBullet"/>
            </w:pPr>
            <w:r w:rsidRPr="00E31362">
              <w:t>Comprehensively search likely habitat and map important populations; and</w:t>
            </w:r>
          </w:p>
          <w:p w14:paraId="1DDD0961" w14:textId="5CBCA4FE" w:rsidR="0064681B" w:rsidRDefault="00FB08C4" w:rsidP="006670D2">
            <w:pPr>
              <w:pStyle w:val="PullOutBoxBullet"/>
            </w:pPr>
            <w:r w:rsidRPr="00E31362">
              <w:t>Establish monitoring sites and collect baseline data.</w:t>
            </w:r>
          </w:p>
        </w:tc>
      </w:tr>
      <w:tr w:rsidR="0064681B" w14:paraId="23D9533C" w14:textId="77777777" w:rsidTr="001B5B4C">
        <w:tc>
          <w:tcPr>
            <w:tcW w:w="2268" w:type="dxa"/>
            <w:tcBorders>
              <w:top w:val="single" w:sz="8" w:space="0" w:color="CDDC29" w:themeColor="text2"/>
              <w:left w:val="nil"/>
              <w:bottom w:val="single" w:sz="8" w:space="0" w:color="CDDC29" w:themeColor="text2"/>
              <w:right w:val="nil"/>
            </w:tcBorders>
            <w:hideMark/>
          </w:tcPr>
          <w:p w14:paraId="03764D0E" w14:textId="77777777" w:rsidR="0064681B" w:rsidRDefault="0064681B" w:rsidP="001B5B4C">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6C76C7BB" w14:textId="77777777" w:rsidR="0064681B" w:rsidRDefault="0064681B" w:rsidP="001B5B4C">
            <w:pPr>
              <w:pStyle w:val="BodyText"/>
            </w:pPr>
            <w:r>
              <w:t>Additional permanent protections may be required in the longer-term.</w:t>
            </w:r>
          </w:p>
        </w:tc>
      </w:tr>
      <w:tr w:rsidR="0064681B" w14:paraId="07D2ABE6" w14:textId="77777777" w:rsidTr="001B5B4C">
        <w:tc>
          <w:tcPr>
            <w:tcW w:w="2268" w:type="dxa"/>
            <w:tcBorders>
              <w:top w:val="single" w:sz="8" w:space="0" w:color="CDDC29" w:themeColor="text2"/>
              <w:left w:val="nil"/>
              <w:bottom w:val="single" w:sz="8" w:space="0" w:color="CDDC29" w:themeColor="text2"/>
              <w:right w:val="nil"/>
            </w:tcBorders>
            <w:hideMark/>
          </w:tcPr>
          <w:p w14:paraId="635AF9D7" w14:textId="59006367" w:rsidR="0064681B" w:rsidRDefault="0064681B" w:rsidP="001B5B4C">
            <w:pPr>
              <w:pStyle w:val="BodyText"/>
            </w:pPr>
            <w:r>
              <w:t>Potential management actions</w:t>
            </w:r>
          </w:p>
        </w:tc>
        <w:tc>
          <w:tcPr>
            <w:tcW w:w="7371" w:type="dxa"/>
            <w:tcBorders>
              <w:top w:val="single" w:sz="8" w:space="0" w:color="CDDC29" w:themeColor="text2"/>
              <w:left w:val="nil"/>
              <w:bottom w:val="single" w:sz="8" w:space="0" w:color="CDDC29" w:themeColor="text2"/>
              <w:right w:val="nil"/>
            </w:tcBorders>
            <w:hideMark/>
          </w:tcPr>
          <w:p w14:paraId="342F8D2A" w14:textId="77777777" w:rsidR="0064681B" w:rsidRDefault="0064681B" w:rsidP="006670D2">
            <w:pPr>
              <w:pStyle w:val="PullOutBoxBullet"/>
            </w:pPr>
            <w:r>
              <w:t>Species-specific code prescriptions should be considered in any future Code amendments;</w:t>
            </w:r>
          </w:p>
          <w:p w14:paraId="0F287FCF" w14:textId="421878D8" w:rsidR="0064681B" w:rsidRDefault="0064681B" w:rsidP="006670D2">
            <w:pPr>
              <w:pStyle w:val="PullOutBoxBullet"/>
            </w:pPr>
            <w:r>
              <w:t xml:space="preserve">Exclude patches of forest from harvesting where the </w:t>
            </w:r>
            <w:r w:rsidR="001D3902">
              <w:t>species</w:t>
            </w:r>
            <w:r>
              <w:t xml:space="preserve"> has been located in coupes; and </w:t>
            </w:r>
          </w:p>
          <w:p w14:paraId="1FBBEF29" w14:textId="77777777" w:rsidR="0064681B" w:rsidRDefault="0064681B" w:rsidP="006670D2">
            <w:pPr>
              <w:pStyle w:val="PullOutBoxBullet"/>
            </w:pPr>
            <w:r>
              <w:t>Conduct</w:t>
            </w:r>
            <w:r>
              <w:rPr>
                <w:i/>
                <w:iCs/>
              </w:rPr>
              <w:t xml:space="preserve"> ex-situ </w:t>
            </w:r>
            <w:r>
              <w:t xml:space="preserve">propagation to establish populations in protected sites. </w:t>
            </w:r>
          </w:p>
        </w:tc>
      </w:tr>
    </w:tbl>
    <w:p w14:paraId="38194C47" w14:textId="77777777" w:rsidR="00324D1B" w:rsidRDefault="00324D1B" w:rsidP="007E5EBF">
      <w:pPr>
        <w:pStyle w:val="Heading3"/>
        <w:jc w:val="both"/>
      </w:pPr>
      <w:r>
        <w:t>Invasive species</w:t>
      </w:r>
    </w:p>
    <w:p w14:paraId="3D9022B3" w14:textId="77777777" w:rsidR="00324D1B" w:rsidRDefault="00324D1B" w:rsidP="00324D1B">
      <w:pPr>
        <w:pStyle w:val="Heading5"/>
        <w:numPr>
          <w:ilvl w:val="0"/>
          <w:numId w:val="0"/>
        </w:numPr>
        <w:tabs>
          <w:tab w:val="left" w:pos="720"/>
        </w:tabs>
      </w:pPr>
      <w:r>
        <w:t>Invasive vertebrate (deer)</w:t>
      </w:r>
    </w:p>
    <w:p w14:paraId="5D8FFDE0" w14:textId="2D148A02" w:rsidR="00324D1B" w:rsidRDefault="00324D1B" w:rsidP="00324D1B">
      <w:pPr>
        <w:pStyle w:val="BodyText"/>
      </w:pPr>
      <w:r>
        <w:t xml:space="preserve">The </w:t>
      </w:r>
      <w:r w:rsidR="001D3902">
        <w:t>species</w:t>
      </w:r>
      <w:r>
        <w:t xml:space="preserve"> is also threatened by Sambar activity, particularly trampling and wallowing in damp habitats in riparian or gully vegetation, and deer are also vectors for weed propagules into the </w:t>
      </w:r>
      <w:r w:rsidR="001D3902">
        <w:t>species’</w:t>
      </w:r>
      <w:r>
        <w:t xml:space="preserve"> habitat. However, it is difficult to determine the exact effect of deer on the </w:t>
      </w:r>
      <w:r w:rsidR="001D3902">
        <w:t>species’</w:t>
      </w:r>
      <w:r>
        <w:t xml:space="preserve"> populations as the </w:t>
      </w:r>
      <w:r w:rsidR="001D3902">
        <w:t>species</w:t>
      </w:r>
      <w:r>
        <w:t xml:space="preserve"> has been observed in reasonable numbers where deer are also moderately abundant in the landscape. It is possible that the habitat range or niche of the </w:t>
      </w:r>
      <w:r w:rsidR="001D3902">
        <w:t>species</w:t>
      </w:r>
      <w:r>
        <w:t xml:space="preserve"> allows it to avoid areas of concentrated deer impacts. Sambar occur across approximately 80% of the </w:t>
      </w:r>
      <w:r w:rsidR="001D3902">
        <w:t>species’</w:t>
      </w:r>
      <w:r>
        <w:t xml:space="preserve"> modelled habitat.</w:t>
      </w:r>
    </w:p>
    <w:p w14:paraId="780B53D6" w14:textId="77777777" w:rsidR="00324D1B" w:rsidRPr="000423A3" w:rsidRDefault="00324D1B" w:rsidP="00324D1B">
      <w:pPr>
        <w:pStyle w:val="BodyText"/>
      </w:pPr>
      <w:r>
        <w:t xml:space="preserve">Current existing controls for this </w:t>
      </w:r>
      <w:r w:rsidRPr="000423A3">
        <w:t>hazard include:</w:t>
      </w:r>
    </w:p>
    <w:p w14:paraId="659C344C" w14:textId="6BBDFBC6" w:rsidR="00324D1B" w:rsidRPr="000423A3" w:rsidRDefault="00324D1B" w:rsidP="006670D2">
      <w:pPr>
        <w:pStyle w:val="PullOutBoxBullet"/>
      </w:pPr>
      <w:r w:rsidRPr="000423A3">
        <w:t xml:space="preserve">The Victorian Deer Control Strategy. The effectiveness of this control for this species has been evaluated as poor as it is difficult to determine the exact effect of deer on the </w:t>
      </w:r>
      <w:r w:rsidR="001D3902">
        <w:t>species’</w:t>
      </w:r>
      <w:r w:rsidRPr="000423A3">
        <w:t xml:space="preserve"> populations, and because deer control programs occur variously across the Central Highlands. </w:t>
      </w:r>
    </w:p>
    <w:p w14:paraId="348F35AE" w14:textId="77777777" w:rsidR="00324D1B" w:rsidRPr="000423A3" w:rsidRDefault="00324D1B" w:rsidP="006670D2">
      <w:pPr>
        <w:pStyle w:val="PullOutBoxBullet"/>
      </w:pPr>
      <w:r w:rsidRPr="000423A3">
        <w:t>The Bushfire Biodiversity Response and Recovery program. The effectiveness of this control for this species has been evaluated as poor because such measures are not applied consistently enough over time to provide a sustained gain in the context of control for deer.</w:t>
      </w:r>
    </w:p>
    <w:p w14:paraId="750B2787" w14:textId="42068BC6" w:rsidR="00324D1B" w:rsidRPr="00FF310C" w:rsidRDefault="00324D1B"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158</w:t>
      </w:r>
      <w:r w:rsidR="000B6788" w:rsidRPr="00291BDC">
        <w:rPr>
          <w:bCs/>
          <w:noProof/>
        </w:rPr>
        <w:fldChar w:fldCharType="end"/>
      </w:r>
      <w:r w:rsidRPr="00FF310C">
        <w:t>. Mountain Bird-orchid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324D1B" w14:paraId="4D29E815" w14:textId="77777777" w:rsidTr="60664A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accent2"/>
              <w:left w:val="nil"/>
              <w:bottom w:val="single" w:sz="8" w:space="0" w:color="CDDC29" w:themeColor="accent2"/>
              <w:right w:val="nil"/>
            </w:tcBorders>
            <w:vAlign w:val="center"/>
            <w:hideMark/>
          </w:tcPr>
          <w:p w14:paraId="47F865A5" w14:textId="77777777" w:rsidR="00324D1B" w:rsidRDefault="00324D1B">
            <w:pPr>
              <w:pStyle w:val="BodyText"/>
            </w:pPr>
            <w:r>
              <w:t>Requirement</w:t>
            </w:r>
          </w:p>
        </w:tc>
        <w:tc>
          <w:tcPr>
            <w:tcW w:w="7371" w:type="dxa"/>
            <w:tcBorders>
              <w:top w:val="single" w:sz="8" w:space="0" w:color="CDDC29" w:themeColor="accent2"/>
              <w:left w:val="nil"/>
              <w:bottom w:val="single" w:sz="8" w:space="0" w:color="CDDC29" w:themeColor="accent2"/>
              <w:right w:val="nil"/>
            </w:tcBorders>
            <w:vAlign w:val="center"/>
            <w:hideMark/>
          </w:tcPr>
          <w:p w14:paraId="1F6051AC" w14:textId="77777777" w:rsidR="00324D1B" w:rsidRDefault="00324D1B">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324D1B" w14:paraId="2AA9A173" w14:textId="77777777" w:rsidTr="60664A41">
        <w:tc>
          <w:tcPr>
            <w:tcW w:w="2268" w:type="dxa"/>
            <w:tcBorders>
              <w:top w:val="single" w:sz="8" w:space="0" w:color="CDDC29" w:themeColor="accent2"/>
              <w:left w:val="nil"/>
              <w:bottom w:val="single" w:sz="8" w:space="0" w:color="CDDC29" w:themeColor="accent2"/>
              <w:right w:val="nil"/>
            </w:tcBorders>
            <w:hideMark/>
          </w:tcPr>
          <w:p w14:paraId="5BB95B19" w14:textId="61B33832" w:rsidR="00324D1B" w:rsidRDefault="008A73A8" w:rsidP="001B5B4C">
            <w:pPr>
              <w:pStyle w:val="BodyText"/>
            </w:pPr>
            <w:r>
              <w:t>Priority management actions</w:t>
            </w:r>
          </w:p>
        </w:tc>
        <w:tc>
          <w:tcPr>
            <w:tcW w:w="7371" w:type="dxa"/>
            <w:tcBorders>
              <w:top w:val="single" w:sz="8" w:space="0" w:color="CDDC29" w:themeColor="accent2"/>
              <w:left w:val="nil"/>
              <w:bottom w:val="single" w:sz="8" w:space="0" w:color="CDDC29" w:themeColor="accent2"/>
              <w:right w:val="nil"/>
            </w:tcBorders>
            <w:hideMark/>
          </w:tcPr>
          <w:p w14:paraId="70E8B661" w14:textId="77777777" w:rsidR="00324D1B" w:rsidRDefault="00324D1B" w:rsidP="001B5B4C">
            <w:pPr>
              <w:pStyle w:val="BodyText"/>
            </w:pPr>
            <w:r>
              <w:t>Not required for this hazard based on the overall risk level of medium.</w:t>
            </w:r>
          </w:p>
        </w:tc>
      </w:tr>
      <w:tr w:rsidR="00324D1B" w14:paraId="0C357EFC" w14:textId="77777777" w:rsidTr="60664A41">
        <w:tc>
          <w:tcPr>
            <w:tcW w:w="2268" w:type="dxa"/>
            <w:tcBorders>
              <w:top w:val="single" w:sz="8" w:space="0" w:color="CDDC29" w:themeColor="accent2"/>
              <w:left w:val="nil"/>
              <w:bottom w:val="single" w:sz="8" w:space="0" w:color="CDDC29" w:themeColor="accent2"/>
              <w:right w:val="nil"/>
            </w:tcBorders>
            <w:hideMark/>
          </w:tcPr>
          <w:p w14:paraId="66DD7BA2" w14:textId="1CDC4938" w:rsidR="00324D1B" w:rsidRDefault="008A73A8" w:rsidP="001B5B4C">
            <w:pPr>
              <w:pStyle w:val="BodyText"/>
            </w:pPr>
            <w:r>
              <w:t>Potential m</w:t>
            </w:r>
            <w:r w:rsidR="00324D1B">
              <w:t>anagement actions</w:t>
            </w:r>
          </w:p>
        </w:tc>
        <w:tc>
          <w:tcPr>
            <w:tcW w:w="7371" w:type="dxa"/>
            <w:tcBorders>
              <w:top w:val="single" w:sz="8" w:space="0" w:color="CDDC29" w:themeColor="accent2"/>
              <w:left w:val="nil"/>
              <w:bottom w:val="single" w:sz="8" w:space="0" w:color="CDDC29" w:themeColor="accent2"/>
              <w:right w:val="nil"/>
            </w:tcBorders>
            <w:hideMark/>
          </w:tcPr>
          <w:p w14:paraId="59DCE378" w14:textId="07FEF627" w:rsidR="00324D1B" w:rsidRDefault="00324D1B" w:rsidP="006670D2">
            <w:pPr>
              <w:pStyle w:val="PullOutBoxBullet"/>
            </w:pPr>
            <w:r>
              <w:t>Establish deer exclosure areas around some important populations and monitor vegetation growth;</w:t>
            </w:r>
          </w:p>
          <w:p w14:paraId="75B39B02" w14:textId="77777777" w:rsidR="006630A5" w:rsidRDefault="00324D1B" w:rsidP="006670D2">
            <w:pPr>
              <w:pStyle w:val="PullOutBoxBullet"/>
            </w:pPr>
            <w:r>
              <w:t>Undertake targeted surveys in areas on the margins of reported range, including forests of West Gippsland</w:t>
            </w:r>
            <w:r w:rsidR="006630A5">
              <w:t>;</w:t>
            </w:r>
            <w:r>
              <w:t xml:space="preserve"> and </w:t>
            </w:r>
          </w:p>
          <w:p w14:paraId="0A0F68D6" w14:textId="11F73D3E" w:rsidR="00324D1B" w:rsidRDefault="006630A5" w:rsidP="006670D2">
            <w:pPr>
              <w:pStyle w:val="PullOutBoxBullet"/>
            </w:pPr>
            <w:r>
              <w:t>U</w:t>
            </w:r>
            <w:r w:rsidR="00324D1B">
              <w:t xml:space="preserve">pdate information in the VBA to gain a better understanding for planning. </w:t>
            </w:r>
          </w:p>
        </w:tc>
      </w:tr>
    </w:tbl>
    <w:p w14:paraId="7B554796" w14:textId="77777777" w:rsidR="00324D1B" w:rsidRDefault="00324D1B" w:rsidP="00324D1B">
      <w:pPr>
        <w:rPr>
          <w:rFonts w:cs="Times New Roman"/>
          <w:lang w:eastAsia="en-US"/>
        </w:rPr>
      </w:pPr>
    </w:p>
    <w:p w14:paraId="0AFAB3F5" w14:textId="58EF70EE" w:rsidR="00E35A89" w:rsidRDefault="00E35A89">
      <w:r>
        <w:br w:type="page"/>
      </w:r>
    </w:p>
    <w:p w14:paraId="248FBAD8" w14:textId="77777777" w:rsidR="005F2101" w:rsidRPr="00291810" w:rsidRDefault="005F2101" w:rsidP="00FB5A2B">
      <w:pPr>
        <w:pStyle w:val="Heading2"/>
        <w:ind w:left="0"/>
        <w:rPr>
          <w:i/>
        </w:rPr>
      </w:pPr>
      <w:bookmarkStart w:id="692" w:name="_Toc95129478"/>
      <w:bookmarkStart w:id="693" w:name="_Toc113271055"/>
      <w:r w:rsidRPr="00291810">
        <w:t xml:space="preserve">Naked Sun-orchid </w:t>
      </w:r>
      <w:r w:rsidRPr="00B25B89">
        <w:rPr>
          <w:i/>
        </w:rPr>
        <w:t>(Thelymitra circumsepta)</w:t>
      </w:r>
      <w:bookmarkEnd w:id="692"/>
      <w:bookmarkEnd w:id="693"/>
    </w:p>
    <w:p w14:paraId="38FFB242" w14:textId="63820308" w:rsidR="005F2101" w:rsidRDefault="005F2101" w:rsidP="005F2101">
      <w:pPr>
        <w:pStyle w:val="BodyText"/>
      </w:pPr>
      <w:r>
        <w:t xml:space="preserve">The Naked Sun-orchid was listed as Endangered in Victoria under the FFG Act in May 2021. The </w:t>
      </w:r>
      <w:r w:rsidR="001D3902">
        <w:t>species</w:t>
      </w:r>
      <w:r>
        <w:t xml:space="preserve"> has modelled habitat in the West (41% of modelled habitat), East Gippsland (35% of modelled habitat), Gippsland (10% of modelled habitat) and Central Highlands (8% of modelled habitat) RFA regions and has 6% of modelled habitat in the non-RFA regions.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446653E2" w14:textId="77777777" w:rsidR="005F2101" w:rsidRDefault="005F2101" w:rsidP="007E5EBF">
      <w:pPr>
        <w:pStyle w:val="Heading3"/>
      </w:pPr>
      <w:r>
        <w:t>Risk Assessment</w:t>
      </w:r>
    </w:p>
    <w:p w14:paraId="24ACF100" w14:textId="6570D21E"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159</w:t>
      </w:r>
      <w:r w:rsidR="000B6788" w:rsidRPr="00291BDC">
        <w:rPr>
          <w:bCs/>
          <w:noProof/>
        </w:rPr>
        <w:fldChar w:fldCharType="end"/>
      </w:r>
      <w:r w:rsidRPr="00FF310C">
        <w:t xml:space="preserve">. Naked Sun-orchid risk ratings in the East Gippsland, Gippsland and West RFA </w:t>
      </w:r>
      <w:r w:rsidR="00E450B7">
        <w:t>r</w:t>
      </w:r>
      <w:r w:rsidRPr="00FF310C">
        <w:t>egions</w:t>
      </w:r>
      <w:r w:rsidR="00E450B7">
        <w:t>:</w:t>
      </w:r>
    </w:p>
    <w:tbl>
      <w:tblPr>
        <w:tblStyle w:val="TableGrid"/>
        <w:tblW w:w="9210" w:type="dxa"/>
        <w:tblLayout w:type="fixed"/>
        <w:tblLook w:val="04A0" w:firstRow="1" w:lastRow="0" w:firstColumn="1" w:lastColumn="0" w:noHBand="0" w:noVBand="1"/>
      </w:tblPr>
      <w:tblGrid>
        <w:gridCol w:w="1842"/>
        <w:gridCol w:w="1842"/>
        <w:gridCol w:w="1842"/>
        <w:gridCol w:w="1842"/>
        <w:gridCol w:w="1842"/>
      </w:tblGrid>
      <w:tr w:rsidR="005F2101" w14:paraId="73968301"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2" w:type="dxa"/>
            <w:tcBorders>
              <w:top w:val="single" w:sz="8" w:space="0" w:color="CDDC29" w:themeColor="text2"/>
              <w:left w:val="nil"/>
              <w:bottom w:val="single" w:sz="8" w:space="0" w:color="CDDC29" w:themeColor="text2"/>
              <w:right w:val="nil"/>
            </w:tcBorders>
            <w:vAlign w:val="center"/>
          </w:tcPr>
          <w:p w14:paraId="19A6560F" w14:textId="77777777" w:rsidR="005F2101" w:rsidRDefault="005F2101" w:rsidP="006670D2">
            <w:pPr>
              <w:pStyle w:val="CaptionImageorFigure"/>
            </w:pPr>
          </w:p>
        </w:tc>
        <w:tc>
          <w:tcPr>
            <w:tcW w:w="1842" w:type="dxa"/>
            <w:tcBorders>
              <w:top w:val="single" w:sz="8" w:space="0" w:color="CDDC29" w:themeColor="text2"/>
              <w:left w:val="nil"/>
              <w:bottom w:val="single" w:sz="8" w:space="0" w:color="CDDC29" w:themeColor="text2"/>
              <w:right w:val="nil"/>
            </w:tcBorders>
            <w:hideMark/>
          </w:tcPr>
          <w:p w14:paraId="1D4034C0"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Drought</w:t>
            </w:r>
          </w:p>
        </w:tc>
        <w:tc>
          <w:tcPr>
            <w:tcW w:w="1842" w:type="dxa"/>
            <w:tcBorders>
              <w:top w:val="single" w:sz="8" w:space="0" w:color="CDDC29" w:themeColor="text2"/>
              <w:left w:val="nil"/>
              <w:bottom w:val="single" w:sz="8" w:space="0" w:color="CDDC29" w:themeColor="text2"/>
              <w:right w:val="nil"/>
            </w:tcBorders>
            <w:hideMark/>
          </w:tcPr>
          <w:p w14:paraId="43345F2D"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Bushfire</w:t>
            </w:r>
          </w:p>
        </w:tc>
        <w:tc>
          <w:tcPr>
            <w:tcW w:w="1842" w:type="dxa"/>
            <w:tcBorders>
              <w:top w:val="single" w:sz="8" w:space="0" w:color="CDDC29" w:themeColor="text2"/>
              <w:left w:val="nil"/>
              <w:bottom w:val="single" w:sz="8" w:space="0" w:color="CDDC29" w:themeColor="text2"/>
              <w:right w:val="nil"/>
            </w:tcBorders>
            <w:hideMark/>
          </w:tcPr>
          <w:p w14:paraId="4B340861"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Planned burning</w:t>
            </w:r>
          </w:p>
        </w:tc>
        <w:tc>
          <w:tcPr>
            <w:tcW w:w="1842" w:type="dxa"/>
            <w:tcBorders>
              <w:top w:val="single" w:sz="8" w:space="0" w:color="CDDC29" w:themeColor="text2"/>
              <w:left w:val="nil"/>
              <w:bottom w:val="single" w:sz="8" w:space="0" w:color="CDDC29" w:themeColor="text2"/>
              <w:right w:val="nil"/>
            </w:tcBorders>
          </w:tcPr>
          <w:p w14:paraId="26325292"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r>
      <w:tr w:rsidR="005F2101" w14:paraId="09917FC5" w14:textId="77777777" w:rsidTr="00296E0F">
        <w:tc>
          <w:tcPr>
            <w:tcW w:w="1842" w:type="dxa"/>
            <w:tcBorders>
              <w:top w:val="single" w:sz="8" w:space="0" w:color="CDDC29" w:themeColor="text2"/>
              <w:left w:val="nil"/>
              <w:bottom w:val="single" w:sz="8" w:space="0" w:color="CDDC29" w:themeColor="text2"/>
              <w:right w:val="nil"/>
            </w:tcBorders>
            <w:vAlign w:val="center"/>
            <w:hideMark/>
          </w:tcPr>
          <w:p w14:paraId="702CA0A4" w14:textId="77777777" w:rsidR="005F2101" w:rsidRDefault="005F2101" w:rsidP="009F77A4">
            <w:pPr>
              <w:pStyle w:val="BodyText"/>
              <w:jc w:val="center"/>
            </w:pPr>
            <w:r>
              <w:t>Consequence</w:t>
            </w:r>
          </w:p>
        </w:tc>
        <w:tc>
          <w:tcPr>
            <w:tcW w:w="1842" w:type="dxa"/>
            <w:tcBorders>
              <w:top w:val="single" w:sz="8" w:space="0" w:color="CDDC29" w:themeColor="text2"/>
              <w:left w:val="nil"/>
              <w:bottom w:val="single" w:sz="8" w:space="0" w:color="CDDC29" w:themeColor="text2"/>
              <w:right w:val="nil"/>
            </w:tcBorders>
            <w:hideMark/>
          </w:tcPr>
          <w:p w14:paraId="7B1BA757" w14:textId="77777777" w:rsidR="005F2101" w:rsidRDefault="005F2101" w:rsidP="009F77A4">
            <w:pPr>
              <w:pStyle w:val="BodyText"/>
              <w:jc w:val="center"/>
            </w:pPr>
            <w:r>
              <w:t>Minor</w:t>
            </w:r>
          </w:p>
        </w:tc>
        <w:tc>
          <w:tcPr>
            <w:tcW w:w="1842" w:type="dxa"/>
            <w:tcBorders>
              <w:top w:val="single" w:sz="8" w:space="0" w:color="CDDC29" w:themeColor="text2"/>
              <w:left w:val="nil"/>
              <w:bottom w:val="single" w:sz="8" w:space="0" w:color="CDDC29" w:themeColor="text2"/>
              <w:right w:val="nil"/>
            </w:tcBorders>
            <w:hideMark/>
          </w:tcPr>
          <w:p w14:paraId="6EEFA6DE" w14:textId="77777777" w:rsidR="005F2101" w:rsidRDefault="005F2101" w:rsidP="009F77A4">
            <w:pPr>
              <w:pStyle w:val="BodyText"/>
              <w:jc w:val="center"/>
            </w:pPr>
            <w:r>
              <w:t>Major</w:t>
            </w:r>
          </w:p>
        </w:tc>
        <w:tc>
          <w:tcPr>
            <w:tcW w:w="1842" w:type="dxa"/>
            <w:tcBorders>
              <w:top w:val="single" w:sz="8" w:space="0" w:color="CDDC29" w:themeColor="text2"/>
              <w:left w:val="nil"/>
              <w:bottom w:val="single" w:sz="8" w:space="0" w:color="CDDC29" w:themeColor="text2"/>
              <w:right w:val="nil"/>
            </w:tcBorders>
            <w:hideMark/>
          </w:tcPr>
          <w:p w14:paraId="7AE192FF" w14:textId="77777777" w:rsidR="005F2101" w:rsidRDefault="005F2101" w:rsidP="009F77A4">
            <w:pPr>
              <w:pStyle w:val="BodyText"/>
              <w:jc w:val="center"/>
            </w:pPr>
            <w:r>
              <w:t>Moderate</w:t>
            </w:r>
          </w:p>
        </w:tc>
        <w:tc>
          <w:tcPr>
            <w:tcW w:w="1842" w:type="dxa"/>
            <w:tcBorders>
              <w:top w:val="single" w:sz="8" w:space="0" w:color="CDDC29" w:themeColor="text2"/>
              <w:left w:val="nil"/>
              <w:bottom w:val="single" w:sz="8" w:space="0" w:color="CDDC29" w:themeColor="text2"/>
              <w:right w:val="nil"/>
            </w:tcBorders>
          </w:tcPr>
          <w:p w14:paraId="3AD146AF" w14:textId="77777777" w:rsidR="005F2101" w:rsidRDefault="005F2101" w:rsidP="009F77A4">
            <w:pPr>
              <w:pStyle w:val="BodyText"/>
              <w:jc w:val="center"/>
            </w:pPr>
            <w:r>
              <w:t>Major</w:t>
            </w:r>
          </w:p>
        </w:tc>
      </w:tr>
      <w:tr w:rsidR="005F2101" w14:paraId="51051BFB" w14:textId="77777777" w:rsidTr="00296E0F">
        <w:tc>
          <w:tcPr>
            <w:tcW w:w="1842" w:type="dxa"/>
            <w:tcBorders>
              <w:top w:val="single" w:sz="8" w:space="0" w:color="CDDC29" w:themeColor="text2"/>
              <w:left w:val="nil"/>
              <w:bottom w:val="single" w:sz="8" w:space="0" w:color="CDDC29" w:themeColor="text2"/>
              <w:right w:val="nil"/>
            </w:tcBorders>
            <w:vAlign w:val="center"/>
            <w:hideMark/>
          </w:tcPr>
          <w:p w14:paraId="2DDF5407" w14:textId="77777777" w:rsidR="005F2101" w:rsidRDefault="005F2101" w:rsidP="009F77A4">
            <w:pPr>
              <w:pStyle w:val="BodyText"/>
              <w:jc w:val="center"/>
            </w:pPr>
            <w:r>
              <w:t>Likelihood</w:t>
            </w:r>
          </w:p>
        </w:tc>
        <w:tc>
          <w:tcPr>
            <w:tcW w:w="1842" w:type="dxa"/>
            <w:tcBorders>
              <w:top w:val="single" w:sz="8" w:space="0" w:color="CDDC29" w:themeColor="text2"/>
              <w:left w:val="nil"/>
              <w:bottom w:val="single" w:sz="8" w:space="0" w:color="CDDC29" w:themeColor="text2"/>
              <w:right w:val="nil"/>
            </w:tcBorders>
            <w:hideMark/>
          </w:tcPr>
          <w:p w14:paraId="6BA75181" w14:textId="77777777" w:rsidR="005F2101" w:rsidRDefault="005F2101" w:rsidP="009F77A4">
            <w:pPr>
              <w:pStyle w:val="BodyText"/>
              <w:jc w:val="center"/>
            </w:pPr>
            <w:r>
              <w:t>Likely</w:t>
            </w:r>
          </w:p>
        </w:tc>
        <w:tc>
          <w:tcPr>
            <w:tcW w:w="1842" w:type="dxa"/>
            <w:tcBorders>
              <w:top w:val="single" w:sz="8" w:space="0" w:color="CDDC29" w:themeColor="text2"/>
              <w:left w:val="nil"/>
              <w:bottom w:val="single" w:sz="8" w:space="0" w:color="CDDC29" w:themeColor="text2"/>
              <w:right w:val="nil"/>
            </w:tcBorders>
            <w:hideMark/>
          </w:tcPr>
          <w:p w14:paraId="0CEEAE37" w14:textId="77777777" w:rsidR="005F2101" w:rsidRDefault="005F2101" w:rsidP="009F77A4">
            <w:pPr>
              <w:pStyle w:val="BodyText"/>
              <w:jc w:val="center"/>
            </w:pPr>
            <w:r>
              <w:t>Possible</w:t>
            </w:r>
          </w:p>
        </w:tc>
        <w:tc>
          <w:tcPr>
            <w:tcW w:w="1842" w:type="dxa"/>
            <w:tcBorders>
              <w:top w:val="single" w:sz="8" w:space="0" w:color="CDDC29" w:themeColor="text2"/>
              <w:left w:val="nil"/>
              <w:bottom w:val="single" w:sz="8" w:space="0" w:color="CDDC29" w:themeColor="text2"/>
              <w:right w:val="nil"/>
            </w:tcBorders>
            <w:hideMark/>
          </w:tcPr>
          <w:p w14:paraId="3B9E1A45" w14:textId="77777777" w:rsidR="005F2101" w:rsidRDefault="005F2101" w:rsidP="009F77A4">
            <w:pPr>
              <w:pStyle w:val="BodyText"/>
              <w:jc w:val="center"/>
            </w:pPr>
            <w:r>
              <w:t>Possible</w:t>
            </w:r>
          </w:p>
        </w:tc>
        <w:tc>
          <w:tcPr>
            <w:tcW w:w="1842" w:type="dxa"/>
            <w:tcBorders>
              <w:top w:val="single" w:sz="8" w:space="0" w:color="CDDC29" w:themeColor="text2"/>
              <w:left w:val="nil"/>
              <w:bottom w:val="single" w:sz="8" w:space="0" w:color="CDDC29" w:themeColor="text2"/>
              <w:right w:val="nil"/>
            </w:tcBorders>
          </w:tcPr>
          <w:p w14:paraId="3B629BF0" w14:textId="77777777" w:rsidR="005F2101" w:rsidRDefault="005F2101" w:rsidP="009F77A4">
            <w:pPr>
              <w:pStyle w:val="BodyText"/>
              <w:jc w:val="center"/>
            </w:pPr>
            <w:r>
              <w:t>Possible</w:t>
            </w:r>
          </w:p>
        </w:tc>
      </w:tr>
      <w:tr w:rsidR="005F2101" w14:paraId="0258DC8C" w14:textId="77777777" w:rsidTr="00296E0F">
        <w:tc>
          <w:tcPr>
            <w:tcW w:w="0" w:type="dxa"/>
            <w:tcBorders>
              <w:top w:val="single" w:sz="8" w:space="0" w:color="CDDC29" w:themeColor="text2"/>
              <w:left w:val="nil"/>
              <w:bottom w:val="single" w:sz="8" w:space="0" w:color="CDDC29" w:themeColor="text2"/>
              <w:right w:val="nil"/>
            </w:tcBorders>
            <w:vAlign w:val="center"/>
            <w:hideMark/>
          </w:tcPr>
          <w:p w14:paraId="4C0F4533" w14:textId="77777777" w:rsidR="005F2101" w:rsidRDefault="005F2101" w:rsidP="009F77A4">
            <w:pPr>
              <w:pStyle w:val="BodyText"/>
              <w:jc w:val="center"/>
            </w:pPr>
            <w:r>
              <w:t>Overall risk rating</w:t>
            </w:r>
          </w:p>
        </w:tc>
        <w:tc>
          <w:tcPr>
            <w:tcW w:w="0" w:type="dxa"/>
            <w:tcBorders>
              <w:top w:val="single" w:sz="8" w:space="0" w:color="CDDC29" w:themeColor="text2"/>
              <w:left w:val="nil"/>
              <w:bottom w:val="single" w:sz="8" w:space="0" w:color="CDDC29" w:themeColor="text2"/>
              <w:right w:val="nil"/>
            </w:tcBorders>
            <w:shd w:val="clear" w:color="auto" w:fill="FFFF00"/>
            <w:hideMark/>
          </w:tcPr>
          <w:p w14:paraId="00DE8747" w14:textId="77777777" w:rsidR="005F2101" w:rsidRDefault="005F2101" w:rsidP="009F77A4">
            <w:pPr>
              <w:pStyle w:val="BodyText"/>
              <w:jc w:val="center"/>
            </w:pPr>
            <w:r>
              <w:t>Medium</w:t>
            </w:r>
          </w:p>
        </w:tc>
        <w:tc>
          <w:tcPr>
            <w:tcW w:w="0" w:type="dxa"/>
            <w:tcBorders>
              <w:top w:val="single" w:sz="8" w:space="0" w:color="CDDC29" w:themeColor="text2"/>
              <w:left w:val="nil"/>
              <w:bottom w:val="single" w:sz="8" w:space="0" w:color="CDDC29" w:themeColor="text2"/>
              <w:right w:val="nil"/>
            </w:tcBorders>
            <w:shd w:val="clear" w:color="auto" w:fill="FFC000"/>
            <w:hideMark/>
          </w:tcPr>
          <w:p w14:paraId="73F868C9" w14:textId="77777777" w:rsidR="005F2101" w:rsidRDefault="005F2101" w:rsidP="009F77A4">
            <w:pPr>
              <w:pStyle w:val="BodyText"/>
              <w:jc w:val="center"/>
            </w:pPr>
            <w:r>
              <w:t>Significant</w:t>
            </w:r>
          </w:p>
        </w:tc>
        <w:tc>
          <w:tcPr>
            <w:tcW w:w="0" w:type="dxa"/>
            <w:tcBorders>
              <w:top w:val="single" w:sz="8" w:space="0" w:color="CDDC29" w:themeColor="text2"/>
              <w:left w:val="nil"/>
              <w:bottom w:val="single" w:sz="8" w:space="0" w:color="CDDC29" w:themeColor="text2"/>
              <w:right w:val="nil"/>
            </w:tcBorders>
            <w:shd w:val="clear" w:color="auto" w:fill="FFFF00"/>
            <w:hideMark/>
          </w:tcPr>
          <w:p w14:paraId="1BD8D77E" w14:textId="77777777" w:rsidR="005F2101" w:rsidRDefault="005F2101" w:rsidP="009F77A4">
            <w:pPr>
              <w:pStyle w:val="BodyText"/>
              <w:jc w:val="center"/>
            </w:pPr>
            <w:r>
              <w:t>Medium</w:t>
            </w:r>
          </w:p>
        </w:tc>
        <w:tc>
          <w:tcPr>
            <w:tcW w:w="0" w:type="dxa"/>
            <w:tcBorders>
              <w:top w:val="single" w:sz="8" w:space="0" w:color="CDDC29" w:themeColor="text2"/>
              <w:left w:val="nil"/>
              <w:bottom w:val="single" w:sz="8" w:space="0" w:color="CDDC29" w:themeColor="text2"/>
              <w:right w:val="nil"/>
            </w:tcBorders>
            <w:shd w:val="clear" w:color="auto" w:fill="FFC000"/>
          </w:tcPr>
          <w:p w14:paraId="68CFAE26" w14:textId="77777777" w:rsidR="005F2101" w:rsidRDefault="005F2101" w:rsidP="009F77A4">
            <w:pPr>
              <w:pStyle w:val="BodyText"/>
              <w:jc w:val="center"/>
            </w:pPr>
            <w:r>
              <w:t>Significant</w:t>
            </w:r>
          </w:p>
        </w:tc>
      </w:tr>
    </w:tbl>
    <w:p w14:paraId="26119A30" w14:textId="04C94A1B"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160</w:t>
      </w:r>
      <w:r w:rsidR="000B6788" w:rsidRPr="00291BDC">
        <w:rPr>
          <w:bCs/>
          <w:noProof/>
        </w:rPr>
        <w:fldChar w:fldCharType="end"/>
      </w:r>
      <w:r w:rsidRPr="00FF310C">
        <w:t>. Naked Sun-orchid risk ratings in the Central Highlands and East Gippsland RFA regions only:</w:t>
      </w:r>
    </w:p>
    <w:tbl>
      <w:tblPr>
        <w:tblStyle w:val="TableGrid"/>
        <w:tblW w:w="4962" w:type="dxa"/>
        <w:tblLayout w:type="fixed"/>
        <w:tblLook w:val="04A0" w:firstRow="1" w:lastRow="0" w:firstColumn="1" w:lastColumn="0" w:noHBand="0" w:noVBand="1"/>
      </w:tblPr>
      <w:tblGrid>
        <w:gridCol w:w="2481"/>
        <w:gridCol w:w="2481"/>
      </w:tblGrid>
      <w:tr w:rsidR="005F2101" w14:paraId="0ED4472D"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81" w:type="dxa"/>
            <w:tcBorders>
              <w:top w:val="single" w:sz="8" w:space="0" w:color="CDDC29" w:themeColor="text2"/>
              <w:left w:val="nil"/>
              <w:bottom w:val="single" w:sz="8" w:space="0" w:color="CDDC29" w:themeColor="text2"/>
              <w:right w:val="nil"/>
            </w:tcBorders>
            <w:vAlign w:val="center"/>
          </w:tcPr>
          <w:p w14:paraId="0C54E72E" w14:textId="77777777" w:rsidR="005F2101" w:rsidRDefault="005F2101" w:rsidP="006670D2">
            <w:pPr>
              <w:pStyle w:val="CaptionImageorFigure"/>
            </w:pPr>
          </w:p>
        </w:tc>
        <w:tc>
          <w:tcPr>
            <w:tcW w:w="2481" w:type="dxa"/>
            <w:tcBorders>
              <w:top w:val="single" w:sz="8" w:space="0" w:color="CDDC29" w:themeColor="text2"/>
              <w:left w:val="nil"/>
              <w:bottom w:val="single" w:sz="8" w:space="0" w:color="CDDC29" w:themeColor="text2"/>
              <w:right w:val="nil"/>
            </w:tcBorders>
            <w:vAlign w:val="center"/>
            <w:hideMark/>
          </w:tcPr>
          <w:p w14:paraId="30357B9F"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r>
      <w:tr w:rsidR="005F2101" w14:paraId="6457C09E" w14:textId="77777777" w:rsidTr="00296E0F">
        <w:tc>
          <w:tcPr>
            <w:tcW w:w="2481" w:type="dxa"/>
            <w:tcBorders>
              <w:top w:val="single" w:sz="8" w:space="0" w:color="CDDC29" w:themeColor="text2"/>
              <w:left w:val="nil"/>
              <w:bottom w:val="single" w:sz="8" w:space="0" w:color="CDDC29" w:themeColor="text2"/>
              <w:right w:val="nil"/>
            </w:tcBorders>
            <w:vAlign w:val="center"/>
            <w:hideMark/>
          </w:tcPr>
          <w:p w14:paraId="00BB369C" w14:textId="77777777" w:rsidR="005F2101" w:rsidRDefault="005F2101" w:rsidP="009F77A4">
            <w:pPr>
              <w:pStyle w:val="BodyText"/>
              <w:jc w:val="center"/>
            </w:pPr>
            <w:r>
              <w:t>Consequence</w:t>
            </w:r>
          </w:p>
        </w:tc>
        <w:tc>
          <w:tcPr>
            <w:tcW w:w="2481" w:type="dxa"/>
            <w:tcBorders>
              <w:top w:val="single" w:sz="8" w:space="0" w:color="CDDC29" w:themeColor="text2"/>
              <w:left w:val="nil"/>
              <w:bottom w:val="single" w:sz="8" w:space="0" w:color="CDDC29" w:themeColor="text2"/>
              <w:right w:val="nil"/>
            </w:tcBorders>
            <w:vAlign w:val="center"/>
            <w:hideMark/>
          </w:tcPr>
          <w:p w14:paraId="292AA70F" w14:textId="77777777" w:rsidR="005F2101" w:rsidRDefault="005F2101" w:rsidP="009F77A4">
            <w:pPr>
              <w:pStyle w:val="BodyText"/>
              <w:jc w:val="center"/>
            </w:pPr>
            <w:r>
              <w:t>Major</w:t>
            </w:r>
          </w:p>
        </w:tc>
      </w:tr>
      <w:tr w:rsidR="005F2101" w14:paraId="1BDA7544" w14:textId="77777777" w:rsidTr="00296E0F">
        <w:tc>
          <w:tcPr>
            <w:tcW w:w="2481" w:type="dxa"/>
            <w:tcBorders>
              <w:top w:val="single" w:sz="8" w:space="0" w:color="CDDC29" w:themeColor="text2"/>
              <w:left w:val="nil"/>
              <w:bottom w:val="single" w:sz="8" w:space="0" w:color="CDDC29" w:themeColor="text2"/>
              <w:right w:val="nil"/>
            </w:tcBorders>
            <w:vAlign w:val="center"/>
            <w:hideMark/>
          </w:tcPr>
          <w:p w14:paraId="15854E65" w14:textId="77777777" w:rsidR="005F2101" w:rsidRDefault="005F2101" w:rsidP="009F77A4">
            <w:pPr>
              <w:pStyle w:val="BodyText"/>
              <w:jc w:val="center"/>
            </w:pPr>
            <w:r>
              <w:t>Likelihood</w:t>
            </w:r>
          </w:p>
        </w:tc>
        <w:tc>
          <w:tcPr>
            <w:tcW w:w="2481" w:type="dxa"/>
            <w:tcBorders>
              <w:top w:val="single" w:sz="8" w:space="0" w:color="CDDC29" w:themeColor="text2"/>
              <w:left w:val="nil"/>
              <w:bottom w:val="single" w:sz="8" w:space="0" w:color="CDDC29" w:themeColor="text2"/>
              <w:right w:val="nil"/>
            </w:tcBorders>
            <w:vAlign w:val="center"/>
            <w:hideMark/>
          </w:tcPr>
          <w:p w14:paraId="361D4485" w14:textId="77777777" w:rsidR="005F2101" w:rsidRDefault="005F2101" w:rsidP="009F77A4">
            <w:pPr>
              <w:pStyle w:val="BodyText"/>
              <w:jc w:val="center"/>
            </w:pPr>
            <w:r>
              <w:t>Unlikely</w:t>
            </w:r>
          </w:p>
        </w:tc>
      </w:tr>
      <w:tr w:rsidR="005F2101" w14:paraId="17FC15BB" w14:textId="77777777" w:rsidTr="00296E0F">
        <w:tc>
          <w:tcPr>
            <w:tcW w:w="2481" w:type="dxa"/>
            <w:tcBorders>
              <w:top w:val="single" w:sz="8" w:space="0" w:color="CDDC29" w:themeColor="text2"/>
              <w:left w:val="nil"/>
              <w:bottom w:val="single" w:sz="8" w:space="0" w:color="CDDC29" w:themeColor="text2"/>
              <w:right w:val="nil"/>
            </w:tcBorders>
            <w:vAlign w:val="center"/>
            <w:hideMark/>
          </w:tcPr>
          <w:p w14:paraId="26D1681A" w14:textId="77777777" w:rsidR="005F2101" w:rsidRDefault="005F2101" w:rsidP="009F77A4">
            <w:pPr>
              <w:pStyle w:val="BodyText"/>
              <w:jc w:val="center"/>
            </w:pPr>
            <w:r>
              <w:t>Overall risk rating</w:t>
            </w:r>
          </w:p>
        </w:tc>
        <w:tc>
          <w:tcPr>
            <w:tcW w:w="2481" w:type="dxa"/>
            <w:tcBorders>
              <w:top w:val="single" w:sz="8" w:space="0" w:color="CDDC29" w:themeColor="text2"/>
              <w:left w:val="nil"/>
              <w:bottom w:val="single" w:sz="8" w:space="0" w:color="CDDC29" w:themeColor="text2"/>
              <w:right w:val="nil"/>
            </w:tcBorders>
            <w:shd w:val="clear" w:color="auto" w:fill="FFFF00"/>
            <w:vAlign w:val="center"/>
            <w:hideMark/>
          </w:tcPr>
          <w:p w14:paraId="4A938257" w14:textId="77777777" w:rsidR="005F2101" w:rsidRDefault="005F2101" w:rsidP="009F77A4">
            <w:pPr>
              <w:pStyle w:val="BodyText"/>
              <w:jc w:val="center"/>
            </w:pPr>
            <w:r>
              <w:t>Medium</w:t>
            </w:r>
          </w:p>
        </w:tc>
      </w:tr>
    </w:tbl>
    <w:p w14:paraId="3CDA5D68" w14:textId="7C34B63A"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161</w:t>
      </w:r>
      <w:r w:rsidR="000B6788" w:rsidRPr="00291BDC">
        <w:rPr>
          <w:bCs/>
          <w:noProof/>
        </w:rPr>
        <w:fldChar w:fldCharType="end"/>
      </w:r>
      <w:r w:rsidRPr="00FF310C">
        <w:t>. Naked Sun-orchid risk ratings in the East Gippsland and Gippsland RFA regions only:</w:t>
      </w:r>
    </w:p>
    <w:tbl>
      <w:tblPr>
        <w:tblStyle w:val="TableGrid"/>
        <w:tblW w:w="4962" w:type="dxa"/>
        <w:tblLayout w:type="fixed"/>
        <w:tblLook w:val="04A0" w:firstRow="1" w:lastRow="0" w:firstColumn="1" w:lastColumn="0" w:noHBand="0" w:noVBand="1"/>
      </w:tblPr>
      <w:tblGrid>
        <w:gridCol w:w="2481"/>
        <w:gridCol w:w="2481"/>
      </w:tblGrid>
      <w:tr w:rsidR="005F2101" w14:paraId="118A8FC4"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81" w:type="dxa"/>
            <w:tcBorders>
              <w:top w:val="single" w:sz="8" w:space="0" w:color="CDDC29" w:themeColor="text2"/>
              <w:left w:val="nil"/>
              <w:bottom w:val="single" w:sz="8" w:space="0" w:color="CDDC29" w:themeColor="text2"/>
              <w:right w:val="nil"/>
            </w:tcBorders>
            <w:vAlign w:val="center"/>
          </w:tcPr>
          <w:p w14:paraId="203E3AA5" w14:textId="77777777" w:rsidR="005F2101" w:rsidRDefault="005F2101" w:rsidP="006670D2">
            <w:pPr>
              <w:pStyle w:val="CaptionImageorFigure"/>
            </w:pPr>
          </w:p>
        </w:tc>
        <w:tc>
          <w:tcPr>
            <w:tcW w:w="2481" w:type="dxa"/>
            <w:tcBorders>
              <w:top w:val="single" w:sz="8" w:space="0" w:color="CDDC29" w:themeColor="text2"/>
              <w:left w:val="nil"/>
              <w:bottom w:val="single" w:sz="8" w:space="0" w:color="CDDC29" w:themeColor="text2"/>
              <w:right w:val="nil"/>
            </w:tcBorders>
            <w:vAlign w:val="center"/>
            <w:hideMark/>
          </w:tcPr>
          <w:p w14:paraId="0E5C99F2"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(ungulates)</w:t>
            </w:r>
          </w:p>
        </w:tc>
      </w:tr>
      <w:tr w:rsidR="005F2101" w14:paraId="666632AD" w14:textId="77777777" w:rsidTr="00296E0F">
        <w:tc>
          <w:tcPr>
            <w:tcW w:w="2481" w:type="dxa"/>
            <w:tcBorders>
              <w:top w:val="single" w:sz="8" w:space="0" w:color="CDDC29" w:themeColor="text2"/>
              <w:left w:val="nil"/>
              <w:bottom w:val="single" w:sz="8" w:space="0" w:color="CDDC29" w:themeColor="text2"/>
              <w:right w:val="nil"/>
            </w:tcBorders>
            <w:vAlign w:val="center"/>
            <w:hideMark/>
          </w:tcPr>
          <w:p w14:paraId="0BBA042F" w14:textId="77777777" w:rsidR="005F2101" w:rsidRDefault="005F2101" w:rsidP="009F77A4">
            <w:pPr>
              <w:pStyle w:val="BodyText"/>
              <w:jc w:val="center"/>
            </w:pPr>
            <w:r>
              <w:t>Consequence</w:t>
            </w:r>
          </w:p>
        </w:tc>
        <w:tc>
          <w:tcPr>
            <w:tcW w:w="2481" w:type="dxa"/>
            <w:tcBorders>
              <w:top w:val="single" w:sz="8" w:space="0" w:color="CDDC29" w:themeColor="text2"/>
              <w:left w:val="nil"/>
              <w:bottom w:val="single" w:sz="8" w:space="0" w:color="CDDC29" w:themeColor="text2"/>
              <w:right w:val="nil"/>
            </w:tcBorders>
            <w:vAlign w:val="center"/>
            <w:hideMark/>
          </w:tcPr>
          <w:p w14:paraId="7A3F3877" w14:textId="77777777" w:rsidR="005F2101" w:rsidRDefault="005F2101" w:rsidP="009F77A4">
            <w:pPr>
              <w:pStyle w:val="BodyText"/>
              <w:jc w:val="center"/>
            </w:pPr>
            <w:r>
              <w:t>Major</w:t>
            </w:r>
          </w:p>
        </w:tc>
      </w:tr>
      <w:tr w:rsidR="005F2101" w14:paraId="254C2EDB" w14:textId="77777777" w:rsidTr="00296E0F">
        <w:tc>
          <w:tcPr>
            <w:tcW w:w="2481" w:type="dxa"/>
            <w:tcBorders>
              <w:top w:val="single" w:sz="8" w:space="0" w:color="CDDC29" w:themeColor="text2"/>
              <w:left w:val="nil"/>
              <w:bottom w:val="single" w:sz="8" w:space="0" w:color="CDDC29" w:themeColor="text2"/>
              <w:right w:val="nil"/>
            </w:tcBorders>
            <w:vAlign w:val="center"/>
            <w:hideMark/>
          </w:tcPr>
          <w:p w14:paraId="79B30404" w14:textId="77777777" w:rsidR="005F2101" w:rsidRDefault="005F2101" w:rsidP="009F77A4">
            <w:pPr>
              <w:pStyle w:val="BodyText"/>
              <w:jc w:val="center"/>
            </w:pPr>
            <w:r>
              <w:t>Likelihood</w:t>
            </w:r>
          </w:p>
        </w:tc>
        <w:tc>
          <w:tcPr>
            <w:tcW w:w="2481" w:type="dxa"/>
            <w:tcBorders>
              <w:top w:val="single" w:sz="8" w:space="0" w:color="CDDC29" w:themeColor="text2"/>
              <w:left w:val="nil"/>
              <w:bottom w:val="single" w:sz="8" w:space="0" w:color="CDDC29" w:themeColor="text2"/>
              <w:right w:val="nil"/>
            </w:tcBorders>
            <w:vAlign w:val="center"/>
            <w:hideMark/>
          </w:tcPr>
          <w:p w14:paraId="63AE003E" w14:textId="77777777" w:rsidR="005F2101" w:rsidRDefault="005F2101" w:rsidP="009F77A4">
            <w:pPr>
              <w:pStyle w:val="BodyText"/>
              <w:jc w:val="center"/>
            </w:pPr>
            <w:r>
              <w:t>Likely</w:t>
            </w:r>
          </w:p>
        </w:tc>
      </w:tr>
      <w:tr w:rsidR="005F2101" w14:paraId="2F7575E1" w14:textId="77777777" w:rsidTr="00296E0F">
        <w:tc>
          <w:tcPr>
            <w:tcW w:w="2481" w:type="dxa"/>
            <w:tcBorders>
              <w:top w:val="single" w:sz="8" w:space="0" w:color="CDDC29" w:themeColor="text2"/>
              <w:left w:val="nil"/>
              <w:bottom w:val="single" w:sz="8" w:space="0" w:color="CDDC29" w:themeColor="text2"/>
              <w:right w:val="nil"/>
            </w:tcBorders>
            <w:vAlign w:val="center"/>
            <w:hideMark/>
          </w:tcPr>
          <w:p w14:paraId="76AE4359" w14:textId="77777777" w:rsidR="005F2101" w:rsidRDefault="005F2101" w:rsidP="009F77A4">
            <w:pPr>
              <w:pStyle w:val="BodyText"/>
              <w:jc w:val="center"/>
            </w:pPr>
            <w:r>
              <w:t>Overall risk rating</w:t>
            </w:r>
          </w:p>
        </w:tc>
        <w:tc>
          <w:tcPr>
            <w:tcW w:w="2481" w:type="dxa"/>
            <w:tcBorders>
              <w:top w:val="single" w:sz="8" w:space="0" w:color="CDDC29" w:themeColor="text2"/>
              <w:left w:val="nil"/>
              <w:bottom w:val="single" w:sz="8" w:space="0" w:color="CDDC29" w:themeColor="text2"/>
              <w:right w:val="nil"/>
            </w:tcBorders>
            <w:shd w:val="clear" w:color="auto" w:fill="FF0000"/>
            <w:vAlign w:val="center"/>
            <w:hideMark/>
          </w:tcPr>
          <w:p w14:paraId="165AAB97" w14:textId="77777777" w:rsidR="005F2101" w:rsidRDefault="005F2101" w:rsidP="009F77A4">
            <w:pPr>
              <w:pStyle w:val="BodyText"/>
              <w:jc w:val="center"/>
            </w:pPr>
            <w:r>
              <w:t>High</w:t>
            </w:r>
          </w:p>
        </w:tc>
      </w:tr>
    </w:tbl>
    <w:p w14:paraId="48381127" w14:textId="77777777" w:rsidR="005F2101" w:rsidRDefault="005F2101" w:rsidP="007E5EBF">
      <w:pPr>
        <w:pStyle w:val="Heading3"/>
        <w:jc w:val="both"/>
      </w:pPr>
      <w:r>
        <w:t>Climate change</w:t>
      </w:r>
    </w:p>
    <w:p w14:paraId="29F6EBE5" w14:textId="77777777" w:rsidR="005F2101" w:rsidRDefault="005F2101" w:rsidP="007E5EBF">
      <w:pPr>
        <w:pStyle w:val="Heading5"/>
      </w:pPr>
      <w:r>
        <w:t>Drought</w:t>
      </w:r>
    </w:p>
    <w:p w14:paraId="00C48B29" w14:textId="63C0D53B" w:rsidR="005F2101" w:rsidRDefault="005F2101" w:rsidP="005F2101">
      <w:pPr>
        <w:pStyle w:val="BodyText"/>
      </w:pPr>
      <w:r>
        <w:rPr>
          <w:rStyle w:val="normaltextrun"/>
          <w:rFonts w:ascii="Arial" w:hAnsi="Arial" w:cs="Arial"/>
          <w:color w:val="363534"/>
          <w:bdr w:val="none" w:sz="0" w:space="0" w:color="auto" w:frame="1"/>
        </w:rPr>
        <w:t xml:space="preserve">The </w:t>
      </w:r>
      <w:r w:rsidR="001D3902">
        <w:rPr>
          <w:rStyle w:val="normaltextrun"/>
          <w:rFonts w:ascii="Arial" w:hAnsi="Arial" w:cs="Arial"/>
          <w:color w:val="363534"/>
          <w:bdr w:val="none" w:sz="0" w:space="0" w:color="auto" w:frame="1"/>
        </w:rPr>
        <w:t>species</w:t>
      </w:r>
      <w:r>
        <w:rPr>
          <w:rStyle w:val="normaltextrun"/>
          <w:rFonts w:ascii="Arial" w:hAnsi="Arial" w:cs="Arial"/>
          <w:color w:val="363534"/>
          <w:bdr w:val="none" w:sz="0" w:space="0" w:color="auto" w:frame="1"/>
        </w:rPr>
        <w:t xml:space="preserve"> is threatened by reduced rainfall due to increased climatic drying, causing declining habitat conditions.</w:t>
      </w:r>
      <w:r w:rsidR="00810F6F" w:rsidRPr="00810F6F">
        <w:t xml:space="preserve"> </w:t>
      </w:r>
      <w:r w:rsidR="00810F6F">
        <w:t>If drought occurs, it can lead to direct mortality and loss of habitat.</w:t>
      </w:r>
      <w:r>
        <w:rPr>
          <w:rStyle w:val="normaltextrun"/>
          <w:rFonts w:ascii="Arial" w:hAnsi="Arial" w:cs="Arial"/>
          <w:color w:val="363534"/>
          <w:bdr w:val="none" w:sz="0" w:space="0" w:color="auto" w:frame="1"/>
        </w:rPr>
        <w:t xml:space="preserve"> </w:t>
      </w:r>
      <w:r>
        <w:t>The occurrence of a very severe drought may</w:t>
      </w:r>
      <w:r w:rsidR="00F312B0">
        <w:t xml:space="preserve"> also</w:t>
      </w:r>
      <w:r>
        <w:t xml:space="preserve"> make the </w:t>
      </w:r>
      <w:r w:rsidR="001D3902">
        <w:t>species’</w:t>
      </w:r>
      <w:r>
        <w:t xml:space="preserve"> habitat more susceptible to a peat fire, however the likelihood of this occurring the next 20-years is probably likely small, and climate change is expected to impact over a longer timeframe. The interaction of fire and drought increase the impact of this hazard. </w:t>
      </w:r>
    </w:p>
    <w:p w14:paraId="0F1B44A4" w14:textId="49564604" w:rsidR="005F2101" w:rsidRPr="009773B1" w:rsidRDefault="005F2101" w:rsidP="005F2101">
      <w:pPr>
        <w:pStyle w:val="BodyText"/>
      </w:pPr>
      <w:r w:rsidRPr="00CF1F13">
        <w:t>Current</w:t>
      </w:r>
      <w:r w:rsidRPr="009773B1">
        <w:t xml:space="preserve"> control measures for this hazard are not effective in managing the risk to this </w:t>
      </w:r>
      <w:r w:rsidR="001D3902">
        <w:t>species</w:t>
      </w:r>
      <w:r w:rsidRPr="009773B1">
        <w:t xml:space="preserve"> at the scale relevant to its conservation</w:t>
      </w:r>
      <w:r w:rsidR="0032749B">
        <w:t>.</w:t>
      </w:r>
    </w:p>
    <w:p w14:paraId="22E4A03A" w14:textId="77777777" w:rsidR="00983A65" w:rsidRDefault="00983A65">
      <w:pPr>
        <w:rPr>
          <w:b/>
          <w:sz w:val="16"/>
          <w:szCs w:val="16"/>
        </w:rPr>
      </w:pPr>
      <w:r>
        <w:br w:type="page"/>
      </w:r>
    </w:p>
    <w:p w14:paraId="3BEAEC4D" w14:textId="05BC5EE2"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162</w:t>
      </w:r>
      <w:r w:rsidR="000B6788" w:rsidRPr="00291BDC">
        <w:rPr>
          <w:bCs/>
          <w:noProof/>
        </w:rPr>
        <w:fldChar w:fldCharType="end"/>
      </w:r>
      <w:r w:rsidRPr="00FF310C">
        <w:t>. Naked Sun-orchid protection requirements and recommendations for drought</w:t>
      </w:r>
    </w:p>
    <w:tbl>
      <w:tblPr>
        <w:tblStyle w:val="TableGrid"/>
        <w:tblW w:w="0" w:type="auto"/>
        <w:tblLook w:val="04A0" w:firstRow="1" w:lastRow="0" w:firstColumn="1" w:lastColumn="0" w:noHBand="0" w:noVBand="1"/>
      </w:tblPr>
      <w:tblGrid>
        <w:gridCol w:w="2268"/>
        <w:gridCol w:w="7371"/>
      </w:tblGrid>
      <w:tr w:rsidR="005F2101" w:rsidRPr="00867DAA" w14:paraId="75CAEC88"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3E7811EA" w14:textId="77777777" w:rsidR="005F2101" w:rsidRPr="00704719" w:rsidRDefault="005F2101" w:rsidP="00296E0F">
            <w:pPr>
              <w:pStyle w:val="BodyText"/>
            </w:pPr>
            <w:r w:rsidRPr="00704719">
              <w:t>Requirement</w:t>
            </w:r>
          </w:p>
        </w:tc>
        <w:tc>
          <w:tcPr>
            <w:tcW w:w="7371" w:type="dxa"/>
            <w:vAlign w:val="center"/>
          </w:tcPr>
          <w:p w14:paraId="1F540830"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5FE441BC" w14:textId="77777777" w:rsidTr="001B5B4C">
        <w:tc>
          <w:tcPr>
            <w:tcW w:w="2268" w:type="dxa"/>
          </w:tcPr>
          <w:p w14:paraId="04E1081C" w14:textId="674605FB" w:rsidR="005F2101" w:rsidRPr="003566BD" w:rsidRDefault="00BF2EDD" w:rsidP="001B5B4C">
            <w:pPr>
              <w:pStyle w:val="BodyText"/>
            </w:pPr>
            <w:r>
              <w:t>Priority management actions</w:t>
            </w:r>
          </w:p>
        </w:tc>
        <w:tc>
          <w:tcPr>
            <w:tcW w:w="7371" w:type="dxa"/>
          </w:tcPr>
          <w:p w14:paraId="4800C076" w14:textId="77777777" w:rsidR="005F2101" w:rsidRPr="003566BD" w:rsidRDefault="005F2101" w:rsidP="001B5B4C">
            <w:pPr>
              <w:pStyle w:val="BodyText"/>
            </w:pPr>
            <w:r w:rsidRPr="00200995">
              <w:t xml:space="preserve">Not required for this hazard </w:t>
            </w:r>
            <w:r>
              <w:t>as it is a longer-term threat.</w:t>
            </w:r>
          </w:p>
        </w:tc>
      </w:tr>
      <w:tr w:rsidR="005F2101" w:rsidRPr="00867DAA" w14:paraId="44E5EC47" w14:textId="77777777" w:rsidTr="001B5B4C">
        <w:tc>
          <w:tcPr>
            <w:tcW w:w="2268" w:type="dxa"/>
          </w:tcPr>
          <w:p w14:paraId="52BAC574" w14:textId="77777777" w:rsidR="005F2101" w:rsidRPr="003566BD" w:rsidRDefault="005F2101" w:rsidP="001B5B4C">
            <w:pPr>
              <w:pStyle w:val="BodyText"/>
            </w:pPr>
            <w:r w:rsidRPr="003566BD">
              <w:t>Permanent protections</w:t>
            </w:r>
          </w:p>
        </w:tc>
        <w:tc>
          <w:tcPr>
            <w:tcW w:w="7371" w:type="dxa"/>
            <w:shd w:val="clear" w:color="auto" w:fill="auto"/>
          </w:tcPr>
          <w:p w14:paraId="6235CC27" w14:textId="77777777" w:rsidR="005F2101" w:rsidRPr="003566BD" w:rsidRDefault="005F2101" w:rsidP="001B5B4C">
            <w:pPr>
              <w:pStyle w:val="BodyText"/>
            </w:pPr>
            <w:r w:rsidRPr="003566BD">
              <w:t>Additional permanent protections may be required in the longer-term</w:t>
            </w:r>
            <w:r>
              <w:t>.</w:t>
            </w:r>
          </w:p>
        </w:tc>
      </w:tr>
      <w:tr w:rsidR="005F2101" w:rsidRPr="00867DAA" w14:paraId="3CE82D68" w14:textId="77777777" w:rsidTr="001B5B4C">
        <w:tc>
          <w:tcPr>
            <w:tcW w:w="2268" w:type="dxa"/>
          </w:tcPr>
          <w:p w14:paraId="43A64027" w14:textId="04604D6C" w:rsidR="005F2101" w:rsidRPr="00867DAA" w:rsidRDefault="00BF2EDD" w:rsidP="001B5B4C">
            <w:pPr>
              <w:pStyle w:val="BodyText"/>
            </w:pPr>
            <w:r>
              <w:t>Potential m</w:t>
            </w:r>
            <w:r w:rsidR="005F2101" w:rsidRPr="00867DAA">
              <w:t>anagement actions</w:t>
            </w:r>
          </w:p>
        </w:tc>
        <w:tc>
          <w:tcPr>
            <w:tcW w:w="7371" w:type="dxa"/>
          </w:tcPr>
          <w:p w14:paraId="5BF7E245" w14:textId="77777777" w:rsidR="005F2101" w:rsidRDefault="005F2101" w:rsidP="006670D2">
            <w:pPr>
              <w:pStyle w:val="PullOutBoxBullet"/>
            </w:pPr>
            <w:r>
              <w:t xml:space="preserve">Include bushfire mitigations that aim to limit bushfire incursion into peat sites; and </w:t>
            </w:r>
          </w:p>
          <w:p w14:paraId="4FB0638E" w14:textId="2CE540EA" w:rsidR="005F2101" w:rsidRPr="007A5185" w:rsidRDefault="005F2101" w:rsidP="006670D2">
            <w:pPr>
              <w:pStyle w:val="PullOutBoxBullet"/>
            </w:pPr>
            <w:r>
              <w:t>Ensure species habitat is considered in incident management to avoid bushfire suppression negatively impacting the species</w:t>
            </w:r>
            <w:r w:rsidR="00E55F4D">
              <w:t xml:space="preserve"> where possible</w:t>
            </w:r>
            <w:r>
              <w:t>.</w:t>
            </w:r>
          </w:p>
        </w:tc>
      </w:tr>
    </w:tbl>
    <w:p w14:paraId="3222BB0F" w14:textId="77777777" w:rsidR="005F2101" w:rsidRDefault="005F2101" w:rsidP="007E5EBF">
      <w:pPr>
        <w:pStyle w:val="Heading3"/>
        <w:jc w:val="both"/>
      </w:pPr>
      <w:r>
        <w:t>Fire</w:t>
      </w:r>
    </w:p>
    <w:p w14:paraId="796F04D7" w14:textId="77777777" w:rsidR="005F2101" w:rsidRDefault="005F2101" w:rsidP="007E5EBF">
      <w:pPr>
        <w:pStyle w:val="Heading5"/>
      </w:pPr>
      <w:r>
        <w:t>Bushfire</w:t>
      </w:r>
    </w:p>
    <w:p w14:paraId="33199681" w14:textId="6F2ED421" w:rsidR="005F2101" w:rsidRDefault="005F2101" w:rsidP="005F2101">
      <w:pPr>
        <w:pStyle w:val="BodyText"/>
      </w:pPr>
      <w:r>
        <w:t xml:space="preserve">Despite the </w:t>
      </w:r>
      <w:r w:rsidR="001D3902">
        <w:t>species</w:t>
      </w:r>
      <w:r>
        <w:t xml:space="preserve"> being considered generally fire tolerant, under extreme fire conditions peaty soils have the potential to smoulder and kill underground plant structures</w:t>
      </w:r>
      <w:r w:rsidR="005C7DF8">
        <w:t xml:space="preserve"> of this </w:t>
      </w:r>
      <w:r w:rsidR="001D3902">
        <w:t>species</w:t>
      </w:r>
      <w:r>
        <w:t xml:space="preserve">. </w:t>
      </w:r>
      <w:r w:rsidR="005C7DF8">
        <w:t>This species</w:t>
      </w:r>
      <w:r>
        <w:t xml:space="preserve"> is</w:t>
      </w:r>
      <w:r w:rsidR="002B3473">
        <w:t xml:space="preserve"> also</w:t>
      </w:r>
      <w:r>
        <w:t xml:space="preserve"> at some risk from fire control strategies during an active fire, such as mechanical disturbance from control line construction. Post-fire, the impact of feral herbivores is exacerbated as herbivores are attracted to unburnt areas and disturb the soil. </w:t>
      </w:r>
      <w:r w:rsidR="00522115">
        <w:t xml:space="preserve">The </w:t>
      </w:r>
      <w:r w:rsidR="001D3902">
        <w:t>species’</w:t>
      </w:r>
      <w:r w:rsidR="00522115">
        <w:t xml:space="preserve"> recovery </w:t>
      </w:r>
      <w:r w:rsidR="002B3473">
        <w:t xml:space="preserve">therefore </w:t>
      </w:r>
      <w:r w:rsidR="00522115">
        <w:t>depends on effective control of the impacts of feral herbivores</w:t>
      </w:r>
      <w:r w:rsidR="00982E13">
        <w:t>,</w:t>
      </w:r>
      <w:r w:rsidR="00522115">
        <w:t xml:space="preserve"> and prevention of major soil and vegetation disturbance </w:t>
      </w:r>
      <w:r w:rsidR="00351F9A">
        <w:t>from</w:t>
      </w:r>
      <w:r w:rsidR="00522115">
        <w:t xml:space="preserve"> fire recovery activities. </w:t>
      </w:r>
      <w:r>
        <w:t xml:space="preserve">These risks apply to 100% of the </w:t>
      </w:r>
      <w:r w:rsidR="001D3902">
        <w:t>species’</w:t>
      </w:r>
      <w:r>
        <w:t xml:space="preserve"> habitat.</w:t>
      </w:r>
    </w:p>
    <w:p w14:paraId="77AFAA00" w14:textId="77777777" w:rsidR="005F2101" w:rsidRDefault="005F2101" w:rsidP="005F2101">
      <w:pPr>
        <w:pStyle w:val="BodyText"/>
      </w:pPr>
      <w:r>
        <w:t>Current controls for this hazard include:</w:t>
      </w:r>
    </w:p>
    <w:p w14:paraId="2919CBB8" w14:textId="328307DD" w:rsidR="005F2101" w:rsidRDefault="005F2101" w:rsidP="006670D2">
      <w:pPr>
        <w:pStyle w:val="PullOutBoxBullet"/>
      </w:pPr>
      <w:r>
        <w:t xml:space="preserve">Values checking and bushfire response: Documented habitat being identified early in incident management processes primarily to avoid disturbance from fire response activities. </w:t>
      </w:r>
      <w:bookmarkStart w:id="694" w:name="_Hlk111123032"/>
      <w:r w:rsidR="00AD5F4C" w:rsidRPr="005F6F30">
        <w:t xml:space="preserve">The effectiveness of these measures has been evaluated as poor at mitigating risk to this species. Values checking relies on existing site records and modelled distribution, and for some </w:t>
      </w:r>
      <w:r w:rsidR="009430A5">
        <w:t>taxa</w:t>
      </w:r>
      <w:r w:rsidR="00AD5F4C" w:rsidRPr="005F6F30">
        <w:t xml:space="preserve"> site records are not comprehensive. Habitat modelling may also exaggerate actual distributions, particularly for poorly-know</w:t>
      </w:r>
      <w:r w:rsidR="000E687D">
        <w:t>n</w:t>
      </w:r>
      <w:r w:rsidR="00AD5F4C" w:rsidRPr="005F6F30">
        <w:t xml:space="preserve"> </w:t>
      </w:r>
      <w:r w:rsidR="009430A5">
        <w:t>taxa</w:t>
      </w:r>
      <w:r w:rsidR="00AD5F4C" w:rsidRPr="005F6F30">
        <w:t>.</w:t>
      </w:r>
      <w:r w:rsidR="00AD5F4C" w:rsidRPr="00766EC4">
        <w:rPr>
          <w:rFonts w:eastAsia="Times New Roman" w:cstheme="minorHAnsi"/>
          <w:color w:val="000000"/>
          <w:sz w:val="20"/>
          <w:szCs w:val="20"/>
        </w:rPr>
        <w:t>    </w:t>
      </w:r>
      <w:bookmarkEnd w:id="694"/>
    </w:p>
    <w:p w14:paraId="5DA92649" w14:textId="1C0E1C76"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163</w:t>
      </w:r>
      <w:r w:rsidR="000B6788" w:rsidRPr="00291BDC">
        <w:rPr>
          <w:bCs/>
          <w:noProof/>
        </w:rPr>
        <w:fldChar w:fldCharType="end"/>
      </w:r>
      <w:r w:rsidRPr="00FF310C">
        <w:t>. Naked Sun-orchid protection requirements and recommendations for bushfire</w:t>
      </w:r>
    </w:p>
    <w:tbl>
      <w:tblPr>
        <w:tblStyle w:val="TableGrid"/>
        <w:tblW w:w="0" w:type="auto"/>
        <w:tblLook w:val="04A0" w:firstRow="1" w:lastRow="0" w:firstColumn="1" w:lastColumn="0" w:noHBand="0" w:noVBand="1"/>
      </w:tblPr>
      <w:tblGrid>
        <w:gridCol w:w="2268"/>
        <w:gridCol w:w="7371"/>
      </w:tblGrid>
      <w:tr w:rsidR="005F2101" w:rsidRPr="00867DAA" w14:paraId="1C623F6C"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3D2EB38F" w14:textId="77777777" w:rsidR="005F2101" w:rsidRPr="00704719" w:rsidRDefault="005F2101" w:rsidP="00296E0F">
            <w:pPr>
              <w:pStyle w:val="BodyText"/>
            </w:pPr>
            <w:r w:rsidRPr="00704719">
              <w:t>Requirement</w:t>
            </w:r>
          </w:p>
        </w:tc>
        <w:tc>
          <w:tcPr>
            <w:tcW w:w="7371" w:type="dxa"/>
            <w:vAlign w:val="center"/>
          </w:tcPr>
          <w:p w14:paraId="43AB4426"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4CEB7137" w14:textId="77777777" w:rsidTr="001B5B4C">
        <w:tc>
          <w:tcPr>
            <w:tcW w:w="2268" w:type="dxa"/>
          </w:tcPr>
          <w:p w14:paraId="0027CF01" w14:textId="7D86D689" w:rsidR="005F2101" w:rsidRPr="003566BD" w:rsidRDefault="006D316E" w:rsidP="001B5B4C">
            <w:pPr>
              <w:pStyle w:val="BodyText"/>
            </w:pPr>
            <w:r>
              <w:t>Priority management actions</w:t>
            </w:r>
          </w:p>
        </w:tc>
        <w:tc>
          <w:tcPr>
            <w:tcW w:w="7371" w:type="dxa"/>
          </w:tcPr>
          <w:p w14:paraId="123D18C1" w14:textId="77777777" w:rsidR="005F2101" w:rsidRPr="003566BD" w:rsidRDefault="005F2101" w:rsidP="001B5B4C">
            <w:pPr>
              <w:pStyle w:val="BodyText"/>
            </w:pPr>
            <w:r w:rsidRPr="00200995">
              <w:t xml:space="preserve">Not required for this hazard </w:t>
            </w:r>
            <w:r>
              <w:t>as it is a longer-term threat.</w:t>
            </w:r>
          </w:p>
        </w:tc>
      </w:tr>
      <w:tr w:rsidR="005F2101" w:rsidRPr="00867DAA" w14:paraId="6A284B9E" w14:textId="77777777" w:rsidTr="001B5B4C">
        <w:tc>
          <w:tcPr>
            <w:tcW w:w="2268" w:type="dxa"/>
          </w:tcPr>
          <w:p w14:paraId="51EEF786" w14:textId="51FA048C" w:rsidR="005F2101" w:rsidRPr="00867DAA" w:rsidRDefault="0058212C" w:rsidP="001B5B4C">
            <w:pPr>
              <w:pStyle w:val="BodyText"/>
            </w:pPr>
            <w:r>
              <w:t>Potential m</w:t>
            </w:r>
            <w:r w:rsidR="005F2101" w:rsidRPr="00867DAA">
              <w:t>anagement actions</w:t>
            </w:r>
          </w:p>
        </w:tc>
        <w:tc>
          <w:tcPr>
            <w:tcW w:w="7371" w:type="dxa"/>
          </w:tcPr>
          <w:p w14:paraId="579AB701" w14:textId="77777777" w:rsidR="005F2101" w:rsidRDefault="005F2101" w:rsidP="006670D2">
            <w:pPr>
              <w:pStyle w:val="PullOutBoxBullet"/>
            </w:pPr>
            <w:r>
              <w:t xml:space="preserve">Improve mapping of known locations; and </w:t>
            </w:r>
          </w:p>
          <w:p w14:paraId="656B8DB5" w14:textId="77777777" w:rsidR="005F2101" w:rsidRPr="007A5185" w:rsidRDefault="005F2101" w:rsidP="006670D2">
            <w:pPr>
              <w:pStyle w:val="PullOutBoxBullet"/>
            </w:pPr>
            <w:r>
              <w:t>Train key incident control centre personnel in the timely incorporation of detailed natural values.</w:t>
            </w:r>
          </w:p>
        </w:tc>
      </w:tr>
    </w:tbl>
    <w:p w14:paraId="26E9D7B3" w14:textId="77777777" w:rsidR="005F2101" w:rsidRDefault="005F2101" w:rsidP="007E5EBF">
      <w:pPr>
        <w:pStyle w:val="Heading5"/>
      </w:pPr>
      <w:r>
        <w:t>Planned burning</w:t>
      </w:r>
    </w:p>
    <w:p w14:paraId="7404A5B2" w14:textId="60248896" w:rsidR="005F2101" w:rsidRDefault="005F2101" w:rsidP="005F2101">
      <w:pPr>
        <w:pStyle w:val="BodyText"/>
      </w:pPr>
      <w:r>
        <w:t xml:space="preserve">The main risk of this hazard is forcing a particularly wet site to burn via </w:t>
      </w:r>
      <w:r w:rsidR="00920AE4">
        <w:t xml:space="preserve">planned </w:t>
      </w:r>
      <w:r>
        <w:t>burning in the wrong season (i.e., spring), which would burn off the active growth of the</w:t>
      </w:r>
      <w:r w:rsidR="00EF16E8">
        <w:t>se</w:t>
      </w:r>
      <w:r>
        <w:t xml:space="preserve"> plants. For this </w:t>
      </w:r>
      <w:r w:rsidR="001D3902">
        <w:t>species</w:t>
      </w:r>
      <w:r>
        <w:t xml:space="preserve">, every-year seed set is critical, so burning in the wrong season would limit its potential to recruit. As orchid seed is very short lived, limiting recruitment through </w:t>
      </w:r>
      <w:r w:rsidR="00445A63">
        <w:t xml:space="preserve">planned </w:t>
      </w:r>
      <w:r>
        <w:t>burning may result in local extinction</w:t>
      </w:r>
      <w:r w:rsidR="00F52CF8">
        <w:t xml:space="preserve"> of this species</w:t>
      </w:r>
      <w:r>
        <w:t xml:space="preserve">, however </w:t>
      </w:r>
      <w:r w:rsidR="00762089">
        <w:t>if</w:t>
      </w:r>
      <w:r>
        <w:t xml:space="preserve"> the burning is done at a time that would naturally burn (i.e., autumn) it is generally positive for the </w:t>
      </w:r>
      <w:r w:rsidR="001D3902">
        <w:t>species</w:t>
      </w:r>
      <w:r>
        <w:t>. This hazard applies to 20-30% of habitat.</w:t>
      </w:r>
    </w:p>
    <w:p w14:paraId="71559C4A" w14:textId="77777777" w:rsidR="005F2101" w:rsidRDefault="005F2101" w:rsidP="005F2101">
      <w:pPr>
        <w:pStyle w:val="BodyText"/>
      </w:pPr>
      <w:r>
        <w:t>Current controls for this hazard include:</w:t>
      </w:r>
    </w:p>
    <w:p w14:paraId="7C59C22F" w14:textId="060AE1F0" w:rsidR="005F2101" w:rsidRDefault="0061695D" w:rsidP="006670D2">
      <w:pPr>
        <w:pStyle w:val="PullOutBoxBullet"/>
      </w:pPr>
      <w:r w:rsidRPr="00F26BEE">
        <w:t xml:space="preserve">Values checking and strategic bushfire management planning. </w:t>
      </w:r>
      <w:r w:rsidRPr="00BB09D4">
        <w:t xml:space="preserve">The effectiveness of these measures has been evaluated as poor at mitigating risk to this species. Values checking relies on existing site records and modelled distribution, and for some </w:t>
      </w:r>
      <w:r w:rsidR="009430A5">
        <w:t xml:space="preserve">taxa </w:t>
      </w:r>
      <w:r w:rsidRPr="00BB09D4">
        <w:t>site records are not comprehensive. Habitat modelling may also exaggerate actual distributions, particularly for poorly-know</w:t>
      </w:r>
      <w:r w:rsidR="000E687D">
        <w:t>n</w:t>
      </w:r>
      <w:r w:rsidRPr="00BB09D4">
        <w:t xml:space="preserve"> </w:t>
      </w:r>
      <w:r w:rsidR="009430A5">
        <w:t>taxa</w:t>
      </w:r>
      <w:r w:rsidR="005F2101" w:rsidRPr="00DB7B28">
        <w:t>.</w:t>
      </w:r>
      <w:r w:rsidR="005F2101">
        <w:t xml:space="preserve">   </w:t>
      </w:r>
    </w:p>
    <w:p w14:paraId="0D75E069" w14:textId="299ABF52"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164</w:t>
      </w:r>
      <w:r w:rsidR="000B6788" w:rsidRPr="00291BDC">
        <w:rPr>
          <w:bCs/>
          <w:noProof/>
        </w:rPr>
        <w:fldChar w:fldCharType="end"/>
      </w:r>
      <w:r w:rsidRPr="00FF310C">
        <w:t>. Naked Sun-orchid protection requirements and recommendations for planned burning</w:t>
      </w:r>
    </w:p>
    <w:tbl>
      <w:tblPr>
        <w:tblStyle w:val="TableGrid"/>
        <w:tblW w:w="0" w:type="auto"/>
        <w:tblLook w:val="04A0" w:firstRow="1" w:lastRow="0" w:firstColumn="1" w:lastColumn="0" w:noHBand="0" w:noVBand="1"/>
      </w:tblPr>
      <w:tblGrid>
        <w:gridCol w:w="2268"/>
        <w:gridCol w:w="7371"/>
      </w:tblGrid>
      <w:tr w:rsidR="005F2101" w:rsidRPr="00867DAA" w14:paraId="3BCFBD24"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7E2EC25B" w14:textId="77777777" w:rsidR="005F2101" w:rsidRPr="00704719" w:rsidRDefault="005F2101" w:rsidP="00296E0F">
            <w:pPr>
              <w:pStyle w:val="BodyText"/>
            </w:pPr>
            <w:r w:rsidRPr="00704719">
              <w:t>Requirement</w:t>
            </w:r>
          </w:p>
        </w:tc>
        <w:tc>
          <w:tcPr>
            <w:tcW w:w="7371" w:type="dxa"/>
            <w:vAlign w:val="center"/>
          </w:tcPr>
          <w:p w14:paraId="62E30F53"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00D4FCF9" w14:textId="77777777" w:rsidTr="001B5B4C">
        <w:tc>
          <w:tcPr>
            <w:tcW w:w="2268" w:type="dxa"/>
          </w:tcPr>
          <w:p w14:paraId="2B97EDB0" w14:textId="71171302" w:rsidR="005F2101" w:rsidRPr="003566BD" w:rsidRDefault="0058212C" w:rsidP="001B5B4C">
            <w:pPr>
              <w:pStyle w:val="BodyText"/>
            </w:pPr>
            <w:r>
              <w:t>Priority management actions</w:t>
            </w:r>
          </w:p>
        </w:tc>
        <w:tc>
          <w:tcPr>
            <w:tcW w:w="7371" w:type="dxa"/>
          </w:tcPr>
          <w:p w14:paraId="7E864A15" w14:textId="77777777" w:rsidR="005F2101" w:rsidRPr="003566BD" w:rsidRDefault="005F2101" w:rsidP="001B5B4C">
            <w:pPr>
              <w:pStyle w:val="BodyText"/>
            </w:pPr>
            <w:r w:rsidRPr="00200995">
              <w:t>Not required for this hazard based on the overall risk level of medium</w:t>
            </w:r>
            <w:r>
              <w:t>.</w:t>
            </w:r>
          </w:p>
        </w:tc>
      </w:tr>
      <w:tr w:rsidR="005F2101" w:rsidRPr="00867DAA" w14:paraId="7335DEAA" w14:textId="77777777" w:rsidTr="001B5B4C">
        <w:tc>
          <w:tcPr>
            <w:tcW w:w="2268" w:type="dxa"/>
          </w:tcPr>
          <w:p w14:paraId="28BE18AD" w14:textId="124783F0" w:rsidR="005F2101" w:rsidRPr="00867DAA" w:rsidRDefault="0058212C" w:rsidP="001B5B4C">
            <w:pPr>
              <w:pStyle w:val="BodyText"/>
            </w:pPr>
            <w:r>
              <w:t>Potential m</w:t>
            </w:r>
            <w:r w:rsidR="005F2101" w:rsidRPr="00867DAA">
              <w:t>anagement actions</w:t>
            </w:r>
          </w:p>
        </w:tc>
        <w:tc>
          <w:tcPr>
            <w:tcW w:w="7371" w:type="dxa"/>
          </w:tcPr>
          <w:p w14:paraId="1FC56810" w14:textId="0EB5DFD0" w:rsidR="005F2101" w:rsidRPr="004307B8" w:rsidRDefault="005F2101" w:rsidP="006670D2">
            <w:pPr>
              <w:pStyle w:val="PullOutBoxBullet"/>
            </w:pPr>
            <w:r>
              <w:t xml:space="preserve">Improve values checking processes for this </w:t>
            </w:r>
            <w:r w:rsidR="001D3902">
              <w:t>species’</w:t>
            </w:r>
            <w:r>
              <w:t xml:space="preserve"> habitat, including on-ground survey and/or better modelling of habitat and consideration of modelling in the values checking process.</w:t>
            </w:r>
          </w:p>
        </w:tc>
      </w:tr>
    </w:tbl>
    <w:p w14:paraId="74AC0A14" w14:textId="77777777" w:rsidR="005F2101" w:rsidRDefault="005F2101" w:rsidP="007E5EBF">
      <w:pPr>
        <w:pStyle w:val="Heading3"/>
        <w:jc w:val="both"/>
      </w:pPr>
      <w:r>
        <w:t>Forestry operations</w:t>
      </w:r>
    </w:p>
    <w:p w14:paraId="070B97E2" w14:textId="77777777" w:rsidR="005F2101" w:rsidRDefault="005F2101" w:rsidP="007E5EBF">
      <w:pPr>
        <w:pStyle w:val="Heading5"/>
      </w:pPr>
      <w:r>
        <w:t>Forestry operations</w:t>
      </w:r>
    </w:p>
    <w:p w14:paraId="62CE5AE4" w14:textId="6895643A" w:rsidR="005F2101" w:rsidRDefault="00483408" w:rsidP="005F2101">
      <w:pPr>
        <w:pStyle w:val="BodyText"/>
      </w:pPr>
      <w:r w:rsidRPr="00915D82">
        <w:t xml:space="preserve">The </w:t>
      </w:r>
      <w:r w:rsidR="001D3902">
        <w:t>species</w:t>
      </w:r>
      <w:r w:rsidRPr="00915D82">
        <w:t xml:space="preserve"> can be impacted by direct mortality and mechanical damage resulting from forestry operations. Mechanical disturbance can impact the </w:t>
      </w:r>
      <w:r w:rsidR="001D3902">
        <w:t>species</w:t>
      </w:r>
      <w:r w:rsidRPr="00915D82">
        <w:t xml:space="preserve"> by causing swampy areas that the </w:t>
      </w:r>
      <w:r w:rsidR="001D3902">
        <w:t>species</w:t>
      </w:r>
      <w:r w:rsidRPr="00915D82">
        <w:t xml:space="preserve"> prefers to dry out</w:t>
      </w:r>
      <w:r w:rsidRPr="00B6162A">
        <w:t>.</w:t>
      </w:r>
      <w:r w:rsidRPr="00291BDC">
        <w:t xml:space="preserve"> </w:t>
      </w:r>
      <w:r w:rsidR="000D320C" w:rsidRPr="00FD57DB">
        <w:t>Based on the 2015 net harvest area layer,</w:t>
      </w:r>
      <w:r w:rsidR="00315F0D" w:rsidRPr="00FD57DB">
        <w:t xml:space="preserve"> around</w:t>
      </w:r>
      <w:r w:rsidR="00467FFA" w:rsidRPr="00FD57DB">
        <w:t xml:space="preserve"> 5-10</w:t>
      </w:r>
      <w:r w:rsidR="00315F0D" w:rsidRPr="00FD57DB">
        <w:t xml:space="preserve">% of the </w:t>
      </w:r>
      <w:r w:rsidR="001D3902">
        <w:t>species’</w:t>
      </w:r>
      <w:r w:rsidR="00467FFA" w:rsidRPr="00FD57DB">
        <w:t xml:space="preserve"> important populations are in merchantable areas. Using the revised operable layer, this is reduced to 2%. </w:t>
      </w:r>
      <w:r w:rsidR="00F8605E" w:rsidRPr="00FD57DB">
        <w:t>The modelled habitat in the Central Highlands RFA</w:t>
      </w:r>
      <w:r w:rsidR="00E450B7">
        <w:t xml:space="preserve"> region</w:t>
      </w:r>
      <w:r w:rsidR="00F8605E" w:rsidRPr="00FD57DB">
        <w:t xml:space="preserve"> that overlaps with merchantable areas is likely to be an overestimate as </w:t>
      </w:r>
      <w:r w:rsidR="00176560" w:rsidRPr="00FD57DB">
        <w:t xml:space="preserve">there is only one known location in the Toorongo River. </w:t>
      </w:r>
      <w:r w:rsidR="00315F0D" w:rsidRPr="00FD57DB">
        <w:t xml:space="preserve"> </w:t>
      </w:r>
      <w:r w:rsidR="000D320C" w:rsidRPr="00FD57DB">
        <w:t xml:space="preserve"> </w:t>
      </w:r>
    </w:p>
    <w:p w14:paraId="2181D9F6" w14:textId="77777777" w:rsidR="005F2101" w:rsidRDefault="005F2101" w:rsidP="005F2101">
      <w:pPr>
        <w:pStyle w:val="BodyText"/>
      </w:pPr>
      <w:r>
        <w:t>Current controls for this hazard include:</w:t>
      </w:r>
    </w:p>
    <w:p w14:paraId="0D9372E2" w14:textId="2A9B2B6D" w:rsidR="005F2101" w:rsidRDefault="005F2101" w:rsidP="006670D2">
      <w:pPr>
        <w:pStyle w:val="PullOutBoxBullet"/>
      </w:pPr>
      <w:r w:rsidRPr="003566BD">
        <w:t xml:space="preserve">The </w:t>
      </w:r>
      <w:r w:rsidRPr="003566BD">
        <w:rPr>
          <w:i/>
          <w:iCs/>
        </w:rPr>
        <w:t>Code of Practice for Timber Production 2014</w:t>
      </w:r>
      <w:r>
        <w:t xml:space="preserve">. This control was evaluated as satisfactory in the Gippsland and East Gippsland RFA regions as the 200m radius seems appropriate to mitigate impacts to this </w:t>
      </w:r>
      <w:r w:rsidR="001D3902">
        <w:t>species</w:t>
      </w:r>
      <w:r>
        <w:t>, however it is evaluated as poor in the Central Highlands RFA</w:t>
      </w:r>
      <w:r w:rsidR="00E450B7">
        <w:t xml:space="preserve"> region</w:t>
      </w:r>
      <w:r>
        <w:t xml:space="preserve"> where the code prescriptions do not extend; however, general Code requirements for waterways provide protection.</w:t>
      </w:r>
    </w:p>
    <w:p w14:paraId="6CAB0AA3" w14:textId="7818D4DF" w:rsidR="005F2101" w:rsidRPr="007822B8" w:rsidRDefault="005F2101"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poor</w:t>
      </w:r>
      <w:r w:rsidRPr="4F453272">
        <w:t xml:space="preserve"> as </w:t>
      </w:r>
      <w:r>
        <w:t>36</w:t>
      </w:r>
      <w:r w:rsidRPr="4F453272">
        <w:t xml:space="preserve">% of the </w:t>
      </w:r>
      <w:r w:rsidR="001D3902">
        <w:t>species’</w:t>
      </w:r>
      <w:r w:rsidRPr="4F453272">
        <w:t xml:space="preserve"> modelled distribution and</w:t>
      </w:r>
      <w:r>
        <w:t xml:space="preserve"> 56</w:t>
      </w:r>
      <w:r w:rsidRPr="4F453272">
        <w:t>% of important populations are within the reserve system</w:t>
      </w:r>
      <w:r w:rsidR="00DC7281">
        <w:t>.</w:t>
      </w:r>
    </w:p>
    <w:p w14:paraId="78C3F471" w14:textId="209096F1"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165</w:t>
      </w:r>
      <w:r w:rsidR="000B6788" w:rsidRPr="00291BDC">
        <w:rPr>
          <w:bCs/>
          <w:noProof/>
        </w:rPr>
        <w:fldChar w:fldCharType="end"/>
      </w:r>
      <w:r w:rsidRPr="00FF310C">
        <w:t xml:space="preserve">. Naked Sun-orchid protection requirements and recommendations for </w:t>
      </w:r>
      <w:r w:rsidR="0058212C" w:rsidRPr="00FF310C">
        <w:t>f</w:t>
      </w:r>
      <w:r w:rsidRPr="00FF310C">
        <w:t>orestry operations</w:t>
      </w:r>
    </w:p>
    <w:tbl>
      <w:tblPr>
        <w:tblStyle w:val="TableGrid"/>
        <w:tblW w:w="0" w:type="auto"/>
        <w:tblLook w:val="04A0" w:firstRow="1" w:lastRow="0" w:firstColumn="1" w:lastColumn="0" w:noHBand="0" w:noVBand="1"/>
      </w:tblPr>
      <w:tblGrid>
        <w:gridCol w:w="2268"/>
        <w:gridCol w:w="7371"/>
      </w:tblGrid>
      <w:tr w:rsidR="005F2101" w:rsidRPr="00867DAA" w14:paraId="6236A174"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10857C2E" w14:textId="77777777" w:rsidR="005F2101" w:rsidRPr="00704719" w:rsidRDefault="005F2101" w:rsidP="00296E0F">
            <w:pPr>
              <w:pStyle w:val="BodyText"/>
            </w:pPr>
            <w:r w:rsidRPr="00704719">
              <w:t>Requirement</w:t>
            </w:r>
          </w:p>
        </w:tc>
        <w:tc>
          <w:tcPr>
            <w:tcW w:w="7371" w:type="dxa"/>
            <w:vAlign w:val="center"/>
          </w:tcPr>
          <w:p w14:paraId="6BF99E31"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207C3026" w14:textId="77777777" w:rsidTr="001B5B4C">
        <w:tc>
          <w:tcPr>
            <w:tcW w:w="2268" w:type="dxa"/>
          </w:tcPr>
          <w:p w14:paraId="64DCCF75" w14:textId="65927475" w:rsidR="005F2101" w:rsidRPr="003566BD" w:rsidRDefault="005F2101" w:rsidP="001B5B4C">
            <w:pPr>
              <w:pStyle w:val="BodyText"/>
            </w:pPr>
            <w:r w:rsidRPr="003566BD">
              <w:t>Interim protections</w:t>
            </w:r>
            <w:r w:rsidR="0058212C">
              <w:t xml:space="preserve"> </w:t>
            </w:r>
          </w:p>
        </w:tc>
        <w:tc>
          <w:tcPr>
            <w:tcW w:w="7371" w:type="dxa"/>
          </w:tcPr>
          <w:p w14:paraId="060FA010" w14:textId="77777777" w:rsidR="005F2101" w:rsidRPr="003566BD" w:rsidRDefault="005F2101" w:rsidP="001B5B4C">
            <w:pPr>
              <w:pStyle w:val="BodyText"/>
            </w:pPr>
            <w:r w:rsidRPr="00200995">
              <w:t>Not required for this hazard based on the overall risk level of medium</w:t>
            </w:r>
            <w:r>
              <w:t>.</w:t>
            </w:r>
          </w:p>
        </w:tc>
      </w:tr>
      <w:tr w:rsidR="0064681B" w:rsidRPr="00867DAA" w14:paraId="45DA9CFC" w14:textId="77777777" w:rsidTr="001B5B4C">
        <w:tc>
          <w:tcPr>
            <w:tcW w:w="2268" w:type="dxa"/>
          </w:tcPr>
          <w:p w14:paraId="1000D795" w14:textId="79A5B80B" w:rsidR="0064681B" w:rsidRPr="003566BD" w:rsidRDefault="0064681B" w:rsidP="001B5B4C">
            <w:pPr>
              <w:pStyle w:val="BodyText"/>
            </w:pPr>
            <w:r>
              <w:t>Priority management actions</w:t>
            </w:r>
          </w:p>
        </w:tc>
        <w:tc>
          <w:tcPr>
            <w:tcW w:w="7371" w:type="dxa"/>
            <w:shd w:val="clear" w:color="auto" w:fill="auto"/>
          </w:tcPr>
          <w:p w14:paraId="5DDA955A" w14:textId="77777777" w:rsidR="00FB08C4" w:rsidRPr="00E31362" w:rsidRDefault="00FB08C4" w:rsidP="006670D2">
            <w:pPr>
              <w:pStyle w:val="PullOutBoxBullet"/>
            </w:pPr>
            <w:r w:rsidRPr="00E31362">
              <w:t>Comprehensively search likely habitat and map important populations; and</w:t>
            </w:r>
          </w:p>
          <w:p w14:paraId="0B5B3A5C" w14:textId="0E1CBAFE" w:rsidR="0064681B" w:rsidRPr="003566BD" w:rsidRDefault="00FB08C4" w:rsidP="006670D2">
            <w:pPr>
              <w:pStyle w:val="PullOutBoxBullet"/>
            </w:pPr>
            <w:r w:rsidRPr="00E31362">
              <w:t>Establish monitoring sites and collect baseline data.</w:t>
            </w:r>
          </w:p>
        </w:tc>
      </w:tr>
      <w:tr w:rsidR="005F2101" w:rsidRPr="00867DAA" w14:paraId="22FBF14F" w14:textId="77777777" w:rsidTr="001B5B4C">
        <w:tc>
          <w:tcPr>
            <w:tcW w:w="2268" w:type="dxa"/>
          </w:tcPr>
          <w:p w14:paraId="574FED55" w14:textId="77777777" w:rsidR="005F2101" w:rsidRPr="003566BD" w:rsidRDefault="005F2101" w:rsidP="001B5B4C">
            <w:pPr>
              <w:pStyle w:val="BodyText"/>
            </w:pPr>
            <w:r w:rsidRPr="003566BD">
              <w:t>Permanent protections</w:t>
            </w:r>
          </w:p>
        </w:tc>
        <w:tc>
          <w:tcPr>
            <w:tcW w:w="7371" w:type="dxa"/>
            <w:shd w:val="clear" w:color="auto" w:fill="auto"/>
          </w:tcPr>
          <w:p w14:paraId="3050B351" w14:textId="77777777" w:rsidR="005F2101" w:rsidRPr="003566BD" w:rsidRDefault="005F2101" w:rsidP="001B5B4C">
            <w:pPr>
              <w:pStyle w:val="BodyText"/>
            </w:pPr>
            <w:r w:rsidRPr="003566BD">
              <w:t>Additional permanent protections may be required in the longer-term</w:t>
            </w:r>
            <w:r>
              <w:t>.</w:t>
            </w:r>
          </w:p>
        </w:tc>
      </w:tr>
      <w:tr w:rsidR="005F2101" w:rsidRPr="00867DAA" w14:paraId="13564DDC" w14:textId="77777777" w:rsidTr="001B5B4C">
        <w:tc>
          <w:tcPr>
            <w:tcW w:w="2268" w:type="dxa"/>
          </w:tcPr>
          <w:p w14:paraId="36653718" w14:textId="4668977C" w:rsidR="005F2101" w:rsidRPr="00867DAA" w:rsidRDefault="0058212C" w:rsidP="001B5B4C">
            <w:pPr>
              <w:pStyle w:val="BodyText"/>
            </w:pPr>
            <w:r>
              <w:t>Potential m</w:t>
            </w:r>
            <w:r w:rsidR="005F2101" w:rsidRPr="00867DAA">
              <w:t>anagement actions</w:t>
            </w:r>
          </w:p>
        </w:tc>
        <w:tc>
          <w:tcPr>
            <w:tcW w:w="7371" w:type="dxa"/>
          </w:tcPr>
          <w:p w14:paraId="63FF73ED" w14:textId="498FCF3D" w:rsidR="005F2101" w:rsidRDefault="005D7DBB" w:rsidP="006670D2">
            <w:pPr>
              <w:pStyle w:val="PullOutBoxBullet"/>
            </w:pPr>
            <w:r w:rsidRPr="00915D82">
              <w:t xml:space="preserve">Conduct surveys during the appropriate season in potentially suitable habitat with a view to excluding forestry operations from areas supporting important populations; </w:t>
            </w:r>
            <w:r w:rsidR="005F2101">
              <w:t xml:space="preserve">and </w:t>
            </w:r>
          </w:p>
          <w:p w14:paraId="5A0F2DA1" w14:textId="499969B6" w:rsidR="005F2101" w:rsidRPr="00001691" w:rsidRDefault="005F2101" w:rsidP="006670D2">
            <w:pPr>
              <w:pStyle w:val="PullOutBoxBullet"/>
            </w:pPr>
            <w:r>
              <w:t>Consider expanding Code prescription across the species’ range to include the Central Highlands RFA</w:t>
            </w:r>
            <w:r w:rsidR="00E450B7">
              <w:t xml:space="preserve"> region</w:t>
            </w:r>
            <w:r>
              <w:t xml:space="preserve"> during any future Code amendments</w:t>
            </w:r>
            <w:r w:rsidR="00D2642A">
              <w:t>.</w:t>
            </w:r>
          </w:p>
        </w:tc>
      </w:tr>
    </w:tbl>
    <w:p w14:paraId="70F5B8A0" w14:textId="77777777" w:rsidR="005F2101" w:rsidRDefault="005F2101" w:rsidP="007E5EBF">
      <w:pPr>
        <w:pStyle w:val="Heading5"/>
      </w:pPr>
      <w:r>
        <w:t>Plantations</w:t>
      </w:r>
    </w:p>
    <w:p w14:paraId="1DB8CBD0" w14:textId="7039B126" w:rsidR="005F2101" w:rsidRDefault="005F2101" w:rsidP="005F2101">
      <w:pPr>
        <w:pStyle w:val="BodyText"/>
      </w:pPr>
      <w:r>
        <w:t xml:space="preserve">This hazard impacts the </w:t>
      </w:r>
      <w:r w:rsidR="001D3902">
        <w:t>species</w:t>
      </w:r>
      <w:r>
        <w:t xml:space="preserve"> via direct mortality, hydrological change, and mechanical disturbance. Hydrological changes occurring outside the plantation extent can negatively impact the </w:t>
      </w:r>
      <w:r w:rsidR="001D3902">
        <w:t>species</w:t>
      </w:r>
      <w:r>
        <w:t xml:space="preserve">, with stream-flow data from CMAs suggesting that actively growing young plantations reduce both overland flow and ground water recharge, which can reduce the </w:t>
      </w:r>
      <w:r w:rsidR="001D3902">
        <w:t>species’</w:t>
      </w:r>
      <w:r>
        <w:t xml:space="preserve"> preferred habitat of damp areas. Plantations potentially impact 10-15% of the </w:t>
      </w:r>
      <w:r w:rsidR="001D3902">
        <w:t>species’</w:t>
      </w:r>
      <w:r>
        <w:t xml:space="preserve"> distribution. Climatic drying exacerbates any hydrological changes.</w:t>
      </w:r>
    </w:p>
    <w:p w14:paraId="556F9D70" w14:textId="77777777" w:rsidR="005F2101" w:rsidRDefault="005F2101" w:rsidP="005F2101">
      <w:pPr>
        <w:pStyle w:val="BodyText"/>
      </w:pPr>
      <w:r>
        <w:t>Current controls for this hazard include:</w:t>
      </w:r>
    </w:p>
    <w:p w14:paraId="35F7B857" w14:textId="7A3CED0E" w:rsidR="005F2101" w:rsidRPr="00291810" w:rsidRDefault="005F2101" w:rsidP="006670D2">
      <w:pPr>
        <w:pStyle w:val="PullOutBoxBullet"/>
      </w:pPr>
      <w:r w:rsidRPr="003566BD">
        <w:t xml:space="preserve">The </w:t>
      </w:r>
      <w:r w:rsidRPr="00291810">
        <w:rPr>
          <w:i/>
          <w:iCs/>
        </w:rPr>
        <w:t>Code of Practice for Timber Production 2014</w:t>
      </w:r>
      <w:r w:rsidRPr="00291810">
        <w:t xml:space="preserve">. This control was evaluated as satisfactory in the Gippsland and East Gippsland RFA regions as the 200m radius seems appropriate to mitigate impacts to this </w:t>
      </w:r>
      <w:r w:rsidR="001D3902">
        <w:t>species</w:t>
      </w:r>
      <w:r w:rsidRPr="00291810">
        <w:t>, however it is evaluated as poor in the West RFA</w:t>
      </w:r>
      <w:r w:rsidR="00E450B7">
        <w:t xml:space="preserve"> region</w:t>
      </w:r>
      <w:r w:rsidRPr="00291810">
        <w:t xml:space="preserve"> where the code prescriptions do not extend; however, general Code requirements for waterways provide protection.</w:t>
      </w:r>
    </w:p>
    <w:p w14:paraId="7B67B599" w14:textId="197AAD24" w:rsidR="005F2101" w:rsidRPr="00291810" w:rsidRDefault="005F2101" w:rsidP="006670D2">
      <w:pPr>
        <w:pStyle w:val="PullOutBoxBullet"/>
      </w:pPr>
      <w:r w:rsidRPr="00291810">
        <w:t xml:space="preserve">Planning provisions. The effectiveness of this control for this species has been evaluated as poor to satisfactory as new plantations would not be likely to be approved on a known population and plantation managers </w:t>
      </w:r>
      <w:r w:rsidR="00444525">
        <w:t xml:space="preserve">are likely to </w:t>
      </w:r>
      <w:r w:rsidRPr="00291810">
        <w:t>observe approved boundaries. However, this assumes that the current understanding of distribution and abundance is comprehensive and accurate.</w:t>
      </w:r>
    </w:p>
    <w:p w14:paraId="54AEA02C" w14:textId="76F89C10"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166</w:t>
      </w:r>
      <w:r w:rsidR="000B6788" w:rsidRPr="00291BDC">
        <w:rPr>
          <w:bCs/>
          <w:noProof/>
        </w:rPr>
        <w:fldChar w:fldCharType="end"/>
      </w:r>
      <w:r w:rsidRPr="00FF310C">
        <w:t>. Naked Sun-orchid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5F2101" w:rsidRPr="00867DAA" w14:paraId="6EAD95FC"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4A439FE9" w14:textId="77777777" w:rsidR="005F2101" w:rsidRPr="00704719" w:rsidRDefault="005F2101" w:rsidP="00296E0F">
            <w:pPr>
              <w:pStyle w:val="BodyText"/>
            </w:pPr>
            <w:r w:rsidRPr="00704719">
              <w:t>Requirement</w:t>
            </w:r>
          </w:p>
        </w:tc>
        <w:tc>
          <w:tcPr>
            <w:tcW w:w="7371" w:type="dxa"/>
            <w:vAlign w:val="center"/>
          </w:tcPr>
          <w:p w14:paraId="1F5A8503"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18840BC2" w14:textId="77777777" w:rsidTr="001B5B4C">
        <w:tc>
          <w:tcPr>
            <w:tcW w:w="2268" w:type="dxa"/>
          </w:tcPr>
          <w:p w14:paraId="145FD2D8" w14:textId="2F182DCE" w:rsidR="005F2101" w:rsidRPr="003566BD" w:rsidRDefault="005F2101" w:rsidP="001B5B4C">
            <w:pPr>
              <w:pStyle w:val="BodyText"/>
            </w:pPr>
            <w:r w:rsidRPr="003566BD">
              <w:t>Interim protections</w:t>
            </w:r>
            <w:r w:rsidR="0058212C">
              <w:t xml:space="preserve"> </w:t>
            </w:r>
          </w:p>
        </w:tc>
        <w:tc>
          <w:tcPr>
            <w:tcW w:w="7371" w:type="dxa"/>
          </w:tcPr>
          <w:p w14:paraId="3B286A55" w14:textId="77777777" w:rsidR="005F2101" w:rsidRPr="003566BD" w:rsidRDefault="005F2101" w:rsidP="001B5B4C">
            <w:pPr>
              <w:pStyle w:val="BodyText"/>
            </w:pPr>
            <w:r w:rsidRPr="00200995">
              <w:t>Not required for this hazard</w:t>
            </w:r>
            <w:r>
              <w:t>.</w:t>
            </w:r>
          </w:p>
        </w:tc>
      </w:tr>
      <w:tr w:rsidR="0064681B" w:rsidRPr="00867DAA" w14:paraId="700EFE55" w14:textId="77777777" w:rsidTr="001B5B4C">
        <w:tc>
          <w:tcPr>
            <w:tcW w:w="2268" w:type="dxa"/>
          </w:tcPr>
          <w:p w14:paraId="6EA86170" w14:textId="0A3FE4BD" w:rsidR="0064681B" w:rsidRPr="003566BD" w:rsidRDefault="0064681B" w:rsidP="001B5B4C">
            <w:pPr>
              <w:pStyle w:val="BodyText"/>
            </w:pPr>
            <w:r>
              <w:t>Priority management actions</w:t>
            </w:r>
          </w:p>
        </w:tc>
        <w:tc>
          <w:tcPr>
            <w:tcW w:w="7371" w:type="dxa"/>
            <w:shd w:val="clear" w:color="auto" w:fill="auto"/>
          </w:tcPr>
          <w:p w14:paraId="4CAEFC39" w14:textId="1515D7B1" w:rsidR="0064681B" w:rsidRPr="003566BD" w:rsidRDefault="00507316" w:rsidP="006670D2">
            <w:pPr>
              <w:pStyle w:val="PullOutBoxBullet"/>
            </w:pPr>
            <w:r w:rsidRPr="00507316">
              <w:rPr>
                <w:lang w:eastAsia="en-US"/>
              </w:rPr>
              <w:t>Work</w:t>
            </w:r>
            <w:r w:rsidRPr="00507316">
              <w:t xml:space="preserve"> with plantation managers to identify important populations.</w:t>
            </w:r>
          </w:p>
        </w:tc>
      </w:tr>
      <w:tr w:rsidR="005F2101" w:rsidRPr="00867DAA" w14:paraId="4927441D" w14:textId="77777777" w:rsidTr="001B5B4C">
        <w:tc>
          <w:tcPr>
            <w:tcW w:w="2268" w:type="dxa"/>
          </w:tcPr>
          <w:p w14:paraId="1CC3D2E4" w14:textId="77777777" w:rsidR="005F2101" w:rsidRPr="003566BD" w:rsidRDefault="005F2101" w:rsidP="001B5B4C">
            <w:pPr>
              <w:pStyle w:val="BodyText"/>
            </w:pPr>
            <w:r w:rsidRPr="003566BD">
              <w:t>Permanent protections</w:t>
            </w:r>
          </w:p>
        </w:tc>
        <w:tc>
          <w:tcPr>
            <w:tcW w:w="7371" w:type="dxa"/>
            <w:shd w:val="clear" w:color="auto" w:fill="auto"/>
          </w:tcPr>
          <w:p w14:paraId="1F7E3E43" w14:textId="77777777" w:rsidR="005F2101" w:rsidRPr="003566BD" w:rsidRDefault="005F2101" w:rsidP="001B5B4C">
            <w:pPr>
              <w:pStyle w:val="BodyText"/>
            </w:pPr>
            <w:r w:rsidRPr="003566BD">
              <w:t>Additional permanent protections may be required in the longer-term</w:t>
            </w:r>
            <w:r>
              <w:t>.</w:t>
            </w:r>
          </w:p>
        </w:tc>
      </w:tr>
      <w:tr w:rsidR="005F2101" w:rsidRPr="00867DAA" w14:paraId="2F61177F" w14:textId="77777777" w:rsidTr="001B5B4C">
        <w:tc>
          <w:tcPr>
            <w:tcW w:w="2268" w:type="dxa"/>
          </w:tcPr>
          <w:p w14:paraId="026CFA16" w14:textId="02005BF9" w:rsidR="005F2101" w:rsidRPr="00867DAA" w:rsidRDefault="0058212C" w:rsidP="001B5B4C">
            <w:pPr>
              <w:pStyle w:val="BodyText"/>
            </w:pPr>
            <w:r>
              <w:t>Potential m</w:t>
            </w:r>
            <w:r w:rsidR="005F2101" w:rsidRPr="00867DAA">
              <w:t>anagement actions</w:t>
            </w:r>
          </w:p>
        </w:tc>
        <w:tc>
          <w:tcPr>
            <w:tcW w:w="7371" w:type="dxa"/>
          </w:tcPr>
          <w:p w14:paraId="29C2C089" w14:textId="749A9851" w:rsidR="005F2101" w:rsidRPr="004307B8" w:rsidRDefault="00984B44" w:rsidP="006670D2">
            <w:pPr>
              <w:pStyle w:val="PullOutBoxBullet"/>
            </w:pPr>
            <w:r w:rsidRPr="00915D82">
              <w:rPr>
                <w:lang w:eastAsia="en-US"/>
              </w:rPr>
              <w:t xml:space="preserve">Assess likely hydrological impacts of any proposed plantations in the vicinity of populations of this </w:t>
            </w:r>
            <w:r w:rsidR="001D3902">
              <w:rPr>
                <w:lang w:eastAsia="en-US"/>
              </w:rPr>
              <w:t>species</w:t>
            </w:r>
            <w:r w:rsidRPr="00915D82">
              <w:rPr>
                <w:lang w:eastAsia="en-US"/>
              </w:rPr>
              <w:t>.</w:t>
            </w:r>
          </w:p>
        </w:tc>
      </w:tr>
    </w:tbl>
    <w:p w14:paraId="3ACF37CE" w14:textId="77777777" w:rsidR="005F2101" w:rsidRDefault="005F2101" w:rsidP="007E5EBF">
      <w:pPr>
        <w:pStyle w:val="Heading3"/>
        <w:jc w:val="both"/>
      </w:pPr>
      <w:r>
        <w:t>Invasive species</w:t>
      </w:r>
    </w:p>
    <w:p w14:paraId="3A9CBD6B" w14:textId="77777777" w:rsidR="005F2101" w:rsidRDefault="005F2101" w:rsidP="007E5EBF">
      <w:pPr>
        <w:pStyle w:val="Heading5"/>
      </w:pPr>
      <w:r>
        <w:t>Invasive vertebrate (ungulates)</w:t>
      </w:r>
    </w:p>
    <w:p w14:paraId="2A1B74B5" w14:textId="7F8D5FB5" w:rsidR="005F2101" w:rsidRDefault="005F2101" w:rsidP="005F2101">
      <w:pPr>
        <w:pStyle w:val="BodyText"/>
      </w:pPr>
      <w:r>
        <w:t>Cattle, deer</w:t>
      </w:r>
      <w:r w:rsidR="00895DA0">
        <w:t>,</w:t>
      </w:r>
      <w:r>
        <w:t xml:space="preserve"> and horses trample and cause direct damage to plants and habitat, impacting hydrology and damp areas. The two known sites in the Nunninong area are most at risk. This hazard has the potential to impact up to 60% of the </w:t>
      </w:r>
      <w:r w:rsidR="001D3902">
        <w:t>species’</w:t>
      </w:r>
      <w:r>
        <w:t xml:space="preserve"> distribution, and already has a significant impact over 15%.</w:t>
      </w:r>
    </w:p>
    <w:p w14:paraId="7A591E7D" w14:textId="4579A82A" w:rsidR="005F2101" w:rsidRDefault="005F2101" w:rsidP="005F2101">
      <w:pPr>
        <w:pStyle w:val="BodyText"/>
      </w:pPr>
      <w:r>
        <w:t xml:space="preserve">There is a cumulative interaction with bushfire, with extensive bushfires concentrating deer and horses into the wetter, unburnt, areas of the landscape where this </w:t>
      </w:r>
      <w:r w:rsidR="001D3902">
        <w:t>species</w:t>
      </w:r>
      <w:r>
        <w:t xml:space="preserve"> occurs. </w:t>
      </w:r>
    </w:p>
    <w:p w14:paraId="47F3A057" w14:textId="77777777" w:rsidR="005F2101" w:rsidRDefault="005F2101" w:rsidP="005F2101">
      <w:pPr>
        <w:pStyle w:val="BodyText"/>
      </w:pPr>
      <w:r>
        <w:t>Current controls for this hazard are limited, but include:</w:t>
      </w:r>
    </w:p>
    <w:p w14:paraId="685AF80E" w14:textId="77777777" w:rsidR="005F2101" w:rsidRDefault="005F2101" w:rsidP="006670D2">
      <w:pPr>
        <w:pStyle w:val="PullOutBoxBullet"/>
      </w:pPr>
      <w:r>
        <w:t>Post-fire feral herbivore control. While this has been conducted near the known occurrences of this species, it is not an ongoing process, so the risk of the hazard is therefore considered uncontrolled for this species.</w:t>
      </w:r>
    </w:p>
    <w:p w14:paraId="04EB11BF" w14:textId="603A3C80"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167</w:t>
      </w:r>
      <w:r w:rsidR="000B6788" w:rsidRPr="00291BDC">
        <w:rPr>
          <w:bCs/>
          <w:noProof/>
        </w:rPr>
        <w:fldChar w:fldCharType="end"/>
      </w:r>
      <w:r w:rsidRPr="00FF310C">
        <w:t>. Naked Sun-orchid protection requirements and recommendations for invasive vertebrate (ungulates)</w:t>
      </w:r>
    </w:p>
    <w:tbl>
      <w:tblPr>
        <w:tblStyle w:val="TableGrid"/>
        <w:tblW w:w="0" w:type="auto"/>
        <w:tblLook w:val="04A0" w:firstRow="1" w:lastRow="0" w:firstColumn="1" w:lastColumn="0" w:noHBand="0" w:noVBand="1"/>
      </w:tblPr>
      <w:tblGrid>
        <w:gridCol w:w="2268"/>
        <w:gridCol w:w="7371"/>
      </w:tblGrid>
      <w:tr w:rsidR="005F2101" w:rsidRPr="00867DAA" w14:paraId="58C51CAE"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49148C00" w14:textId="77777777" w:rsidR="005F2101" w:rsidRPr="00704719" w:rsidRDefault="005F2101" w:rsidP="00296E0F">
            <w:pPr>
              <w:pStyle w:val="BodyText"/>
            </w:pPr>
            <w:r w:rsidRPr="00704719">
              <w:t>Requirement</w:t>
            </w:r>
          </w:p>
        </w:tc>
        <w:tc>
          <w:tcPr>
            <w:tcW w:w="7371" w:type="dxa"/>
            <w:vAlign w:val="center"/>
          </w:tcPr>
          <w:p w14:paraId="344BBE02"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6928F772" w14:textId="77777777" w:rsidTr="001B5B4C">
        <w:tc>
          <w:tcPr>
            <w:tcW w:w="2268" w:type="dxa"/>
          </w:tcPr>
          <w:p w14:paraId="1CEA23C4" w14:textId="248EBDA1" w:rsidR="005F2101" w:rsidRPr="003566BD" w:rsidRDefault="0058212C" w:rsidP="001B5B4C">
            <w:pPr>
              <w:pStyle w:val="BodyText"/>
            </w:pPr>
            <w:r>
              <w:t>Priority management actions</w:t>
            </w:r>
          </w:p>
        </w:tc>
        <w:tc>
          <w:tcPr>
            <w:tcW w:w="7371" w:type="dxa"/>
          </w:tcPr>
          <w:p w14:paraId="5D6AE6E6" w14:textId="77777777" w:rsidR="005F2101" w:rsidRPr="007935D4" w:rsidRDefault="005F2101" w:rsidP="001B5B4C">
            <w:pPr>
              <w:pStyle w:val="BodyText"/>
              <w:rPr>
                <w:highlight w:val="green"/>
              </w:rPr>
            </w:pPr>
            <w:r w:rsidRPr="00D95A46">
              <w:t>Not required for this hazard as it is a longer-term threat.</w:t>
            </w:r>
          </w:p>
        </w:tc>
      </w:tr>
      <w:tr w:rsidR="005F2101" w:rsidRPr="00867DAA" w14:paraId="75174494" w14:textId="77777777" w:rsidTr="001B5B4C">
        <w:tc>
          <w:tcPr>
            <w:tcW w:w="2268" w:type="dxa"/>
          </w:tcPr>
          <w:p w14:paraId="536260AD" w14:textId="7171CB30" w:rsidR="005F2101" w:rsidRPr="00867DAA" w:rsidRDefault="00665E23" w:rsidP="001B5B4C">
            <w:pPr>
              <w:pStyle w:val="BodyText"/>
            </w:pPr>
            <w:r>
              <w:t>Potential m</w:t>
            </w:r>
            <w:r w:rsidR="005F2101" w:rsidRPr="00867DAA">
              <w:t>anagement actions</w:t>
            </w:r>
          </w:p>
        </w:tc>
        <w:tc>
          <w:tcPr>
            <w:tcW w:w="7371" w:type="dxa"/>
          </w:tcPr>
          <w:p w14:paraId="0023B65A" w14:textId="77777777" w:rsidR="005F2101" w:rsidRPr="004307B8" w:rsidRDefault="005F2101" w:rsidP="006670D2">
            <w:pPr>
              <w:pStyle w:val="PullOutBoxBullet"/>
            </w:pPr>
            <w:r>
              <w:t>Targeted feral animal control in the vicinity of populations and/or exclusion fencing.</w:t>
            </w:r>
          </w:p>
        </w:tc>
      </w:tr>
    </w:tbl>
    <w:p w14:paraId="18AED037" w14:textId="77777777" w:rsidR="005F2101" w:rsidRDefault="005F2101" w:rsidP="005F2101">
      <w:pPr>
        <w:pStyle w:val="BodyText"/>
      </w:pPr>
    </w:p>
    <w:p w14:paraId="057685CE" w14:textId="77777777" w:rsidR="005F2101" w:rsidRDefault="005F2101" w:rsidP="005F2101">
      <w:pPr>
        <w:rPr>
          <w:rFonts w:cs="Times New Roman"/>
          <w:lang w:eastAsia="en-US"/>
        </w:rPr>
      </w:pPr>
      <w:r>
        <w:br w:type="page"/>
      </w:r>
    </w:p>
    <w:p w14:paraId="2EF7EFAD" w14:textId="77777777" w:rsidR="005F2101" w:rsidRPr="00291810" w:rsidRDefault="005F2101" w:rsidP="00FB5A2B">
      <w:pPr>
        <w:pStyle w:val="Heading2"/>
        <w:ind w:left="0"/>
        <w:rPr>
          <w:i/>
          <w:iCs/>
        </w:rPr>
      </w:pPr>
      <w:bookmarkStart w:id="695" w:name="_Toc95129479"/>
      <w:bookmarkStart w:id="696" w:name="_Toc113271056"/>
      <w:r w:rsidRPr="00291810">
        <w:t xml:space="preserve">Native Hemp </w:t>
      </w:r>
      <w:r w:rsidRPr="005F7D8C">
        <w:rPr>
          <w:i/>
          <w:iCs/>
        </w:rPr>
        <w:t>(Androcalva rossii)</w:t>
      </w:r>
      <w:bookmarkEnd w:id="695"/>
      <w:bookmarkEnd w:id="696"/>
    </w:p>
    <w:p w14:paraId="78B29064" w14:textId="7E5206C7" w:rsidR="005F2101" w:rsidRDefault="005F2101" w:rsidP="005F2101">
      <w:pPr>
        <w:pStyle w:val="BodyText"/>
      </w:pPr>
      <w:r>
        <w:t xml:space="preserve">The Native Hemp was listed as Critically Endangered in Victoria under the FFG Act in May 2021. The </w:t>
      </w:r>
      <w:r w:rsidR="001D3902">
        <w:t>species</w:t>
      </w:r>
      <w:r>
        <w:t xml:space="preserve"> has modelled habitat in the East Gippsland (100% modelled habitat) RFA region.</w:t>
      </w:r>
      <w:r w:rsidRPr="003D4B38">
        <w:rPr>
          <w:rStyle w:val="BodyTextChar"/>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755A56A5" w14:textId="77777777" w:rsidR="005F2101" w:rsidRDefault="005F2101" w:rsidP="007E5EBF">
      <w:pPr>
        <w:pStyle w:val="Heading3"/>
      </w:pPr>
      <w:r>
        <w:t>Risk Assessment</w:t>
      </w:r>
    </w:p>
    <w:p w14:paraId="25BADDC5" w14:textId="26BD85E4"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168</w:t>
      </w:r>
      <w:r w:rsidR="000B6788" w:rsidRPr="00291BDC">
        <w:rPr>
          <w:bCs/>
          <w:noProof/>
        </w:rPr>
        <w:fldChar w:fldCharType="end"/>
      </w:r>
      <w:r w:rsidRPr="00FF310C">
        <w:t>. Native Hemp risk ratings in the East Gippsland RFA region:</w:t>
      </w:r>
    </w:p>
    <w:tbl>
      <w:tblPr>
        <w:tblStyle w:val="TableGrid"/>
        <w:tblW w:w="9639" w:type="dxa"/>
        <w:tblLook w:val="04A0" w:firstRow="1" w:lastRow="0" w:firstColumn="1" w:lastColumn="0" w:noHBand="0" w:noVBand="1"/>
      </w:tblPr>
      <w:tblGrid>
        <w:gridCol w:w="1927"/>
        <w:gridCol w:w="1928"/>
        <w:gridCol w:w="1928"/>
        <w:gridCol w:w="1928"/>
        <w:gridCol w:w="1928"/>
      </w:tblGrid>
      <w:tr w:rsidR="005F2101" w14:paraId="37CA6066" w14:textId="77777777" w:rsidTr="000353E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Borders>
              <w:top w:val="single" w:sz="8" w:space="0" w:color="CDDC29" w:themeColor="text2"/>
              <w:left w:val="nil"/>
              <w:bottom w:val="single" w:sz="8" w:space="0" w:color="CDDC29" w:themeColor="text2"/>
              <w:right w:val="nil"/>
            </w:tcBorders>
            <w:vAlign w:val="center"/>
          </w:tcPr>
          <w:p w14:paraId="0CDAA2B7" w14:textId="77777777" w:rsidR="005F2101" w:rsidRDefault="005F2101" w:rsidP="006670D2">
            <w:pPr>
              <w:pStyle w:val="CaptionImageorFigure"/>
            </w:pPr>
          </w:p>
        </w:tc>
        <w:tc>
          <w:tcPr>
            <w:tcW w:w="1928" w:type="dxa"/>
            <w:tcBorders>
              <w:top w:val="single" w:sz="8" w:space="0" w:color="CDDC29" w:themeColor="text2"/>
              <w:left w:val="nil"/>
              <w:bottom w:val="single" w:sz="8" w:space="0" w:color="CDDC29" w:themeColor="text2"/>
              <w:right w:val="nil"/>
            </w:tcBorders>
            <w:vAlign w:val="center"/>
          </w:tcPr>
          <w:p w14:paraId="3AA0F948"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Drought</w:t>
            </w:r>
          </w:p>
        </w:tc>
        <w:tc>
          <w:tcPr>
            <w:tcW w:w="1928" w:type="dxa"/>
            <w:tcBorders>
              <w:top w:val="single" w:sz="8" w:space="0" w:color="CDDC29" w:themeColor="text2"/>
              <w:left w:val="nil"/>
              <w:bottom w:val="single" w:sz="8" w:space="0" w:color="CDDC29" w:themeColor="text2"/>
              <w:right w:val="nil"/>
            </w:tcBorders>
            <w:vAlign w:val="center"/>
            <w:hideMark/>
          </w:tcPr>
          <w:p w14:paraId="4C881ED7"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severity</w:t>
            </w:r>
          </w:p>
        </w:tc>
        <w:tc>
          <w:tcPr>
            <w:tcW w:w="1928" w:type="dxa"/>
            <w:tcBorders>
              <w:top w:val="single" w:sz="8" w:space="0" w:color="CDDC29" w:themeColor="text2"/>
              <w:left w:val="nil"/>
              <w:bottom w:val="single" w:sz="8" w:space="0" w:color="CDDC29" w:themeColor="text2"/>
              <w:right w:val="nil"/>
            </w:tcBorders>
            <w:vAlign w:val="center"/>
          </w:tcPr>
          <w:p w14:paraId="1D13F639"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1928" w:type="dxa"/>
            <w:tcBorders>
              <w:top w:val="single" w:sz="8" w:space="0" w:color="CDDC29" w:themeColor="text2"/>
              <w:left w:val="nil"/>
              <w:bottom w:val="single" w:sz="8" w:space="0" w:color="CDDC29" w:themeColor="text2"/>
              <w:right w:val="nil"/>
            </w:tcBorders>
            <w:vAlign w:val="center"/>
            <w:hideMark/>
          </w:tcPr>
          <w:p w14:paraId="21D9B390"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5F2101" w14:paraId="4FDDA829" w14:textId="77777777" w:rsidTr="00296E0F">
        <w:tc>
          <w:tcPr>
            <w:tcW w:w="0" w:type="dxa"/>
            <w:tcBorders>
              <w:top w:val="single" w:sz="8" w:space="0" w:color="CDDC29" w:themeColor="text2"/>
              <w:left w:val="nil"/>
              <w:bottom w:val="single" w:sz="8" w:space="0" w:color="CDDC29" w:themeColor="text2"/>
              <w:right w:val="nil"/>
            </w:tcBorders>
            <w:vAlign w:val="center"/>
            <w:hideMark/>
          </w:tcPr>
          <w:p w14:paraId="69E0EEA9" w14:textId="77777777" w:rsidR="005F2101" w:rsidRDefault="005F2101" w:rsidP="009F77A4">
            <w:pPr>
              <w:pStyle w:val="BodyText"/>
              <w:jc w:val="center"/>
            </w:pPr>
            <w:r>
              <w:t>Consequence</w:t>
            </w:r>
          </w:p>
        </w:tc>
        <w:tc>
          <w:tcPr>
            <w:tcW w:w="0" w:type="dxa"/>
            <w:tcBorders>
              <w:top w:val="single" w:sz="8" w:space="0" w:color="CDDC29" w:themeColor="text2"/>
              <w:left w:val="nil"/>
              <w:bottom w:val="single" w:sz="8" w:space="0" w:color="CDDC29" w:themeColor="text2"/>
              <w:right w:val="nil"/>
            </w:tcBorders>
            <w:vAlign w:val="center"/>
          </w:tcPr>
          <w:p w14:paraId="7530BFC7" w14:textId="77777777" w:rsidR="005F2101" w:rsidRDefault="005F2101" w:rsidP="009F77A4">
            <w:pPr>
              <w:pStyle w:val="BodyText"/>
              <w:jc w:val="center"/>
            </w:pPr>
            <w:r>
              <w:t>Extreme</w:t>
            </w:r>
          </w:p>
        </w:tc>
        <w:tc>
          <w:tcPr>
            <w:tcW w:w="0" w:type="dxa"/>
            <w:tcBorders>
              <w:top w:val="single" w:sz="8" w:space="0" w:color="CDDC29" w:themeColor="text2"/>
              <w:left w:val="nil"/>
              <w:bottom w:val="single" w:sz="8" w:space="0" w:color="CDDC29" w:themeColor="text2"/>
              <w:right w:val="nil"/>
            </w:tcBorders>
            <w:vAlign w:val="center"/>
            <w:hideMark/>
          </w:tcPr>
          <w:p w14:paraId="6A3A3531" w14:textId="77777777" w:rsidR="005F2101" w:rsidRDefault="005F2101" w:rsidP="009F77A4">
            <w:pPr>
              <w:pStyle w:val="BodyText"/>
              <w:jc w:val="center"/>
            </w:pPr>
            <w:r>
              <w:t>Major</w:t>
            </w:r>
          </w:p>
        </w:tc>
        <w:tc>
          <w:tcPr>
            <w:tcW w:w="0" w:type="dxa"/>
            <w:tcBorders>
              <w:top w:val="single" w:sz="8" w:space="0" w:color="CDDC29" w:themeColor="text2"/>
              <w:left w:val="nil"/>
              <w:bottom w:val="single" w:sz="8" w:space="0" w:color="CDDC29" w:themeColor="text2"/>
              <w:right w:val="nil"/>
            </w:tcBorders>
            <w:vAlign w:val="center"/>
          </w:tcPr>
          <w:p w14:paraId="56179B66" w14:textId="77777777" w:rsidR="005F2101" w:rsidRDefault="005F2101" w:rsidP="009F77A4">
            <w:pPr>
              <w:pStyle w:val="BodyText"/>
              <w:jc w:val="center"/>
            </w:pPr>
            <w:r>
              <w:t>Minor</w:t>
            </w:r>
          </w:p>
        </w:tc>
        <w:tc>
          <w:tcPr>
            <w:tcW w:w="0" w:type="dxa"/>
            <w:tcBorders>
              <w:top w:val="single" w:sz="8" w:space="0" w:color="CDDC29" w:themeColor="text2"/>
              <w:left w:val="nil"/>
              <w:bottom w:val="single" w:sz="8" w:space="0" w:color="CDDC29" w:themeColor="text2"/>
              <w:right w:val="nil"/>
            </w:tcBorders>
            <w:vAlign w:val="center"/>
            <w:hideMark/>
          </w:tcPr>
          <w:p w14:paraId="62B188E5" w14:textId="77777777" w:rsidR="005F2101" w:rsidRDefault="005F2101" w:rsidP="009F77A4">
            <w:pPr>
              <w:pStyle w:val="BodyText"/>
              <w:jc w:val="center"/>
            </w:pPr>
            <w:r>
              <w:t>Extreme</w:t>
            </w:r>
          </w:p>
        </w:tc>
      </w:tr>
      <w:tr w:rsidR="005F2101" w14:paraId="347D6384" w14:textId="77777777" w:rsidTr="00296E0F">
        <w:tc>
          <w:tcPr>
            <w:tcW w:w="0" w:type="dxa"/>
            <w:tcBorders>
              <w:top w:val="single" w:sz="8" w:space="0" w:color="CDDC29" w:themeColor="text2"/>
              <w:left w:val="nil"/>
              <w:bottom w:val="single" w:sz="8" w:space="0" w:color="CDDC29" w:themeColor="text2"/>
              <w:right w:val="nil"/>
            </w:tcBorders>
            <w:vAlign w:val="center"/>
            <w:hideMark/>
          </w:tcPr>
          <w:p w14:paraId="0589071D" w14:textId="77777777" w:rsidR="005F2101" w:rsidRDefault="005F2101" w:rsidP="009F77A4">
            <w:pPr>
              <w:pStyle w:val="BodyText"/>
              <w:jc w:val="center"/>
            </w:pPr>
            <w:r>
              <w:t>Likelihood</w:t>
            </w:r>
          </w:p>
        </w:tc>
        <w:tc>
          <w:tcPr>
            <w:tcW w:w="0" w:type="dxa"/>
            <w:tcBorders>
              <w:top w:val="single" w:sz="8" w:space="0" w:color="CDDC29" w:themeColor="text2"/>
              <w:left w:val="nil"/>
              <w:bottom w:val="single" w:sz="8" w:space="0" w:color="CDDC29" w:themeColor="text2"/>
              <w:right w:val="nil"/>
            </w:tcBorders>
            <w:vAlign w:val="center"/>
          </w:tcPr>
          <w:p w14:paraId="74E28B52" w14:textId="77777777" w:rsidR="005F2101" w:rsidRDefault="005F2101" w:rsidP="009F77A4">
            <w:pPr>
              <w:pStyle w:val="BodyText"/>
              <w:jc w:val="center"/>
            </w:pPr>
            <w:r>
              <w:t>Possible</w:t>
            </w:r>
          </w:p>
        </w:tc>
        <w:tc>
          <w:tcPr>
            <w:tcW w:w="0" w:type="dxa"/>
            <w:tcBorders>
              <w:top w:val="single" w:sz="8" w:space="0" w:color="CDDC29" w:themeColor="text2"/>
              <w:left w:val="nil"/>
              <w:bottom w:val="single" w:sz="8" w:space="0" w:color="CDDC29" w:themeColor="text2"/>
              <w:right w:val="nil"/>
            </w:tcBorders>
            <w:vAlign w:val="center"/>
            <w:hideMark/>
          </w:tcPr>
          <w:p w14:paraId="3207B3F0" w14:textId="77777777" w:rsidR="005F2101" w:rsidRDefault="005F2101" w:rsidP="009F77A4">
            <w:pPr>
              <w:pStyle w:val="BodyText"/>
              <w:jc w:val="center"/>
            </w:pPr>
            <w:r>
              <w:t>Possible</w:t>
            </w:r>
          </w:p>
        </w:tc>
        <w:tc>
          <w:tcPr>
            <w:tcW w:w="0" w:type="dxa"/>
            <w:tcBorders>
              <w:top w:val="single" w:sz="8" w:space="0" w:color="CDDC29" w:themeColor="text2"/>
              <w:left w:val="nil"/>
              <w:bottom w:val="single" w:sz="8" w:space="0" w:color="CDDC29" w:themeColor="text2"/>
              <w:right w:val="nil"/>
            </w:tcBorders>
            <w:vAlign w:val="center"/>
          </w:tcPr>
          <w:p w14:paraId="6C8ECE6F" w14:textId="77777777" w:rsidR="005F2101" w:rsidRDefault="005F2101" w:rsidP="009F77A4">
            <w:pPr>
              <w:pStyle w:val="BodyText"/>
              <w:jc w:val="center"/>
            </w:pPr>
            <w:r>
              <w:t>Unlikely</w:t>
            </w:r>
          </w:p>
        </w:tc>
        <w:tc>
          <w:tcPr>
            <w:tcW w:w="0" w:type="dxa"/>
            <w:tcBorders>
              <w:top w:val="single" w:sz="8" w:space="0" w:color="CDDC29" w:themeColor="text2"/>
              <w:left w:val="nil"/>
              <w:bottom w:val="single" w:sz="8" w:space="0" w:color="CDDC29" w:themeColor="text2"/>
              <w:right w:val="nil"/>
            </w:tcBorders>
            <w:vAlign w:val="center"/>
            <w:hideMark/>
          </w:tcPr>
          <w:p w14:paraId="3D9266C5" w14:textId="77777777" w:rsidR="005F2101" w:rsidRDefault="005F2101" w:rsidP="009F77A4">
            <w:pPr>
              <w:pStyle w:val="BodyText"/>
              <w:jc w:val="center"/>
            </w:pPr>
            <w:r>
              <w:t>Possible</w:t>
            </w:r>
          </w:p>
        </w:tc>
      </w:tr>
      <w:tr w:rsidR="005F2101" w14:paraId="754C2303" w14:textId="77777777" w:rsidTr="00296E0F">
        <w:tc>
          <w:tcPr>
            <w:tcW w:w="0" w:type="dxa"/>
            <w:tcBorders>
              <w:top w:val="single" w:sz="8" w:space="0" w:color="CDDC29" w:themeColor="text2"/>
              <w:left w:val="nil"/>
              <w:bottom w:val="single" w:sz="8" w:space="0" w:color="CDDC29" w:themeColor="text2"/>
              <w:right w:val="nil"/>
            </w:tcBorders>
            <w:vAlign w:val="center"/>
            <w:hideMark/>
          </w:tcPr>
          <w:p w14:paraId="495F9186" w14:textId="77777777" w:rsidR="005F2101" w:rsidRDefault="005F2101" w:rsidP="009F77A4">
            <w:pPr>
              <w:pStyle w:val="BodyText"/>
              <w:jc w:val="center"/>
            </w:pPr>
            <w:r>
              <w:t>Overall risk rating</w:t>
            </w:r>
          </w:p>
        </w:tc>
        <w:tc>
          <w:tcPr>
            <w:tcW w:w="0" w:type="dxa"/>
            <w:tcBorders>
              <w:top w:val="single" w:sz="8" w:space="0" w:color="CDDC29" w:themeColor="text2"/>
              <w:left w:val="nil"/>
              <w:bottom w:val="single" w:sz="8" w:space="0" w:color="CDDC29" w:themeColor="text2"/>
              <w:right w:val="nil"/>
            </w:tcBorders>
            <w:shd w:val="clear" w:color="auto" w:fill="FF0000"/>
            <w:vAlign w:val="center"/>
          </w:tcPr>
          <w:p w14:paraId="725EA1F6" w14:textId="77777777" w:rsidR="005F2101" w:rsidRDefault="005F2101" w:rsidP="009F77A4">
            <w:pPr>
              <w:pStyle w:val="BodyText"/>
              <w:jc w:val="center"/>
            </w:pPr>
            <w:r>
              <w:t>High</w:t>
            </w:r>
          </w:p>
        </w:tc>
        <w:tc>
          <w:tcPr>
            <w:tcW w:w="0" w:type="dxa"/>
            <w:tcBorders>
              <w:top w:val="single" w:sz="8" w:space="0" w:color="CDDC29" w:themeColor="text2"/>
              <w:left w:val="nil"/>
              <w:bottom w:val="single" w:sz="8" w:space="0" w:color="CDDC29" w:themeColor="text2"/>
              <w:right w:val="nil"/>
            </w:tcBorders>
            <w:shd w:val="clear" w:color="auto" w:fill="FFC000"/>
            <w:vAlign w:val="center"/>
            <w:hideMark/>
          </w:tcPr>
          <w:p w14:paraId="337843DE" w14:textId="77777777" w:rsidR="005F2101" w:rsidRDefault="005F2101" w:rsidP="009F77A4">
            <w:pPr>
              <w:pStyle w:val="BodyText"/>
              <w:jc w:val="center"/>
            </w:pPr>
            <w:r>
              <w:t>Significant</w:t>
            </w:r>
          </w:p>
        </w:tc>
        <w:tc>
          <w:tcPr>
            <w:tcW w:w="0" w:type="dxa"/>
            <w:tcBorders>
              <w:top w:val="single" w:sz="8" w:space="0" w:color="CDDC29" w:themeColor="text2"/>
              <w:left w:val="nil"/>
              <w:bottom w:val="single" w:sz="8" w:space="0" w:color="CDDC29" w:themeColor="text2"/>
              <w:right w:val="nil"/>
            </w:tcBorders>
            <w:shd w:val="clear" w:color="auto" w:fill="92D050"/>
            <w:vAlign w:val="center"/>
          </w:tcPr>
          <w:p w14:paraId="27D06BE6" w14:textId="77777777" w:rsidR="005F2101" w:rsidRDefault="005F2101" w:rsidP="009F77A4">
            <w:pPr>
              <w:pStyle w:val="BodyText"/>
              <w:jc w:val="center"/>
            </w:pPr>
            <w:r>
              <w:t>Low</w:t>
            </w:r>
          </w:p>
        </w:tc>
        <w:tc>
          <w:tcPr>
            <w:tcW w:w="0" w:type="dxa"/>
            <w:tcBorders>
              <w:top w:val="single" w:sz="8" w:space="0" w:color="CDDC29" w:themeColor="text2"/>
              <w:left w:val="nil"/>
              <w:bottom w:val="single" w:sz="8" w:space="0" w:color="CDDC29" w:themeColor="text2"/>
              <w:right w:val="nil"/>
            </w:tcBorders>
            <w:shd w:val="clear" w:color="auto" w:fill="FF0000"/>
            <w:vAlign w:val="center"/>
            <w:hideMark/>
          </w:tcPr>
          <w:p w14:paraId="01C81EA4" w14:textId="77777777" w:rsidR="005F2101" w:rsidRDefault="005F2101" w:rsidP="009F77A4">
            <w:pPr>
              <w:pStyle w:val="BodyText"/>
              <w:jc w:val="center"/>
            </w:pPr>
            <w:r>
              <w:t>High</w:t>
            </w:r>
          </w:p>
        </w:tc>
      </w:tr>
    </w:tbl>
    <w:p w14:paraId="04E81518" w14:textId="77777777" w:rsidR="005F2101" w:rsidRDefault="005F2101" w:rsidP="007E5EBF">
      <w:pPr>
        <w:pStyle w:val="Heading3"/>
      </w:pPr>
      <w:r>
        <w:t>Climate change</w:t>
      </w:r>
    </w:p>
    <w:p w14:paraId="567DEC98" w14:textId="77777777" w:rsidR="005F2101" w:rsidRDefault="005F2101" w:rsidP="007E5EBF">
      <w:pPr>
        <w:pStyle w:val="Heading5"/>
      </w:pPr>
      <w:r>
        <w:t>Drought</w:t>
      </w:r>
    </w:p>
    <w:p w14:paraId="37EA69DF" w14:textId="77777777" w:rsidR="005F2101" w:rsidRDefault="005F2101" w:rsidP="005F2101">
      <w:pPr>
        <w:pStyle w:val="BodyText"/>
      </w:pPr>
      <w:r>
        <w:t>On its own, severe drought is not a major hazard. However, when this occurs in concert with a disturbance event, most likely bushfire, regeneration will be more susceptible to the impacts of drought, especially if it occurs within three to four years post-fire as it can wipe out all regeneration. This hazard applies to 100% of the distribution and results in direct mortality and recruitment failure.</w:t>
      </w:r>
    </w:p>
    <w:p w14:paraId="36EC6402" w14:textId="08E8D9C1" w:rsidR="005F2101" w:rsidRPr="009773B1" w:rsidRDefault="005F2101" w:rsidP="005F2101">
      <w:pPr>
        <w:pStyle w:val="BodyText"/>
      </w:pPr>
      <w:r w:rsidRPr="009773B1">
        <w:t xml:space="preserve">Current control measures for this hazard are not effective in managing the risk to this </w:t>
      </w:r>
      <w:r w:rsidR="001D3902">
        <w:t>species</w:t>
      </w:r>
      <w:r w:rsidRPr="009773B1">
        <w:t xml:space="preserve"> at the scale relevant to its conservation</w:t>
      </w:r>
      <w:r>
        <w:t>.</w:t>
      </w:r>
    </w:p>
    <w:p w14:paraId="25C56BF5" w14:textId="6B85AFB3"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169</w:t>
      </w:r>
      <w:r w:rsidR="000B6788" w:rsidRPr="00291BDC">
        <w:rPr>
          <w:bCs/>
          <w:noProof/>
        </w:rPr>
        <w:fldChar w:fldCharType="end"/>
      </w:r>
      <w:r w:rsidRPr="00FF310C">
        <w:t>. Native Hemp protection requirements and recommendations for drought</w:t>
      </w:r>
    </w:p>
    <w:tbl>
      <w:tblPr>
        <w:tblStyle w:val="TableGrid"/>
        <w:tblW w:w="0" w:type="auto"/>
        <w:tblLook w:val="04A0" w:firstRow="1" w:lastRow="0" w:firstColumn="1" w:lastColumn="0" w:noHBand="0" w:noVBand="1"/>
      </w:tblPr>
      <w:tblGrid>
        <w:gridCol w:w="2268"/>
        <w:gridCol w:w="7371"/>
      </w:tblGrid>
      <w:tr w:rsidR="005F2101" w:rsidRPr="00867DAA" w14:paraId="292BD0E5"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21CB5791" w14:textId="77777777" w:rsidR="005F2101" w:rsidRPr="00704719" w:rsidRDefault="005F2101" w:rsidP="00296E0F">
            <w:pPr>
              <w:pStyle w:val="BodyText"/>
            </w:pPr>
            <w:r w:rsidRPr="00704719">
              <w:t>Requirement</w:t>
            </w:r>
          </w:p>
        </w:tc>
        <w:tc>
          <w:tcPr>
            <w:tcW w:w="7371" w:type="dxa"/>
            <w:vAlign w:val="center"/>
          </w:tcPr>
          <w:p w14:paraId="10EB2D0C"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48387249" w14:textId="77777777" w:rsidTr="001B5B4C">
        <w:tc>
          <w:tcPr>
            <w:tcW w:w="2268" w:type="dxa"/>
          </w:tcPr>
          <w:p w14:paraId="10F9A920" w14:textId="358CDEA8" w:rsidR="005F2101" w:rsidRPr="003566BD" w:rsidRDefault="00665E23" w:rsidP="001B5B4C">
            <w:pPr>
              <w:pStyle w:val="BodyText"/>
            </w:pPr>
            <w:r>
              <w:t>Priority management actions</w:t>
            </w:r>
          </w:p>
        </w:tc>
        <w:tc>
          <w:tcPr>
            <w:tcW w:w="7371" w:type="dxa"/>
          </w:tcPr>
          <w:p w14:paraId="54D9F27C" w14:textId="77777777" w:rsidR="005F2101" w:rsidRPr="003566BD" w:rsidRDefault="005F2101" w:rsidP="001B5B4C">
            <w:pPr>
              <w:pStyle w:val="BodyText"/>
            </w:pPr>
            <w:r w:rsidRPr="00200995">
              <w:t xml:space="preserve">Not required for this hazard </w:t>
            </w:r>
            <w:r>
              <w:t>as it is a longer-term threat.</w:t>
            </w:r>
          </w:p>
        </w:tc>
      </w:tr>
      <w:tr w:rsidR="005F2101" w:rsidRPr="00867DAA" w14:paraId="7E3C04A9" w14:textId="77777777" w:rsidTr="001B5B4C">
        <w:tc>
          <w:tcPr>
            <w:tcW w:w="2268" w:type="dxa"/>
          </w:tcPr>
          <w:p w14:paraId="5EF5672F" w14:textId="7C66D834" w:rsidR="005F2101" w:rsidRPr="00867DAA" w:rsidRDefault="00665E23" w:rsidP="001B5B4C">
            <w:pPr>
              <w:pStyle w:val="BodyText"/>
            </w:pPr>
            <w:r>
              <w:t>Potential m</w:t>
            </w:r>
            <w:r w:rsidR="005F2101" w:rsidRPr="00867DAA">
              <w:t>anagement actions</w:t>
            </w:r>
          </w:p>
        </w:tc>
        <w:tc>
          <w:tcPr>
            <w:tcW w:w="7371" w:type="dxa"/>
          </w:tcPr>
          <w:p w14:paraId="07846C51" w14:textId="27C61748" w:rsidR="005F2101" w:rsidRPr="00001691" w:rsidRDefault="009F77A4" w:rsidP="006670D2">
            <w:pPr>
              <w:pStyle w:val="PullOutBoxBullet"/>
            </w:pPr>
            <w:r>
              <w:t>M</w:t>
            </w:r>
            <w:r w:rsidR="005F2101">
              <w:t xml:space="preserve">aintain </w:t>
            </w:r>
            <w:r w:rsidR="005F2101" w:rsidRPr="00915D82">
              <w:rPr>
                <w:i/>
                <w:iCs/>
              </w:rPr>
              <w:t>ex</w:t>
            </w:r>
            <w:r w:rsidR="00665E23" w:rsidRPr="00915D82">
              <w:rPr>
                <w:i/>
                <w:iCs/>
              </w:rPr>
              <w:t>-</w:t>
            </w:r>
            <w:r w:rsidR="005F2101" w:rsidRPr="00915D82">
              <w:rPr>
                <w:i/>
                <w:iCs/>
              </w:rPr>
              <w:t>situ</w:t>
            </w:r>
            <w:r w:rsidR="005F2101">
              <w:t xml:space="preserve"> seed collection</w:t>
            </w:r>
            <w:r w:rsidR="00433C2C">
              <w:t>.</w:t>
            </w:r>
          </w:p>
        </w:tc>
      </w:tr>
    </w:tbl>
    <w:p w14:paraId="5F8BD229" w14:textId="77777777" w:rsidR="005F2101" w:rsidRDefault="005F2101" w:rsidP="007E5EBF">
      <w:pPr>
        <w:pStyle w:val="Heading3"/>
      </w:pPr>
      <w:r>
        <w:t>Fire</w:t>
      </w:r>
    </w:p>
    <w:p w14:paraId="120A5806" w14:textId="77777777" w:rsidR="005F2101" w:rsidRDefault="005F2101" w:rsidP="007E5EBF">
      <w:pPr>
        <w:pStyle w:val="Heading5"/>
      </w:pPr>
      <w:r>
        <w:t>Increased fire frequency and severity</w:t>
      </w:r>
    </w:p>
    <w:p w14:paraId="31DF8B96" w14:textId="326E90D2" w:rsidR="005F2101" w:rsidRDefault="005F2101" w:rsidP="005F2101">
      <w:pPr>
        <w:pStyle w:val="BodyText"/>
      </w:pPr>
      <w:r>
        <w:t xml:space="preserve">This </w:t>
      </w:r>
      <w:r w:rsidR="001D3902">
        <w:t>species</w:t>
      </w:r>
      <w:r>
        <w:t xml:space="preserve"> can be fire-killed</w:t>
      </w:r>
      <w:r w:rsidR="001C61E1">
        <w:t>;</w:t>
      </w:r>
      <w:r>
        <w:t xml:space="preserve"> </w:t>
      </w:r>
      <w:r w:rsidR="001C61E1">
        <w:t>however,</w:t>
      </w:r>
      <w:r>
        <w:t xml:space="preserve"> fire also promotes regeneration. This hazard occurs across 100% of its range but is variable as the population in Orbost would not be subject to the same extent due to its isolation from forest. The likely minimum </w:t>
      </w:r>
      <w:r w:rsidR="00B872CF">
        <w:t>t</w:t>
      </w:r>
      <w:r>
        <w:t xml:space="preserve">olerable </w:t>
      </w:r>
      <w:r w:rsidR="00B872CF">
        <w:t>f</w:t>
      </w:r>
      <w:r>
        <w:t xml:space="preserve">ire </w:t>
      </w:r>
      <w:r w:rsidR="00B872CF">
        <w:t>i</w:t>
      </w:r>
      <w:r>
        <w:t xml:space="preserve">nterval for population maintenance for this </w:t>
      </w:r>
      <w:r w:rsidR="001D3902">
        <w:t>species</w:t>
      </w:r>
      <w:r>
        <w:t xml:space="preserve"> is 20 years, therefore increased fire frequency as predicted and sometimes seen due to climate change would suggest that this 20-year period may plausibly be exceeded across its range. Fire intensity is likely not an issue, however higher intensity fire at more regular intervals is the key risk to this </w:t>
      </w:r>
      <w:r w:rsidR="001D3902">
        <w:t>species</w:t>
      </w:r>
      <w:r>
        <w:t xml:space="preserve">. </w:t>
      </w:r>
    </w:p>
    <w:p w14:paraId="67FAD62D" w14:textId="77777777" w:rsidR="005F2101" w:rsidRDefault="005F2101" w:rsidP="005F2101">
      <w:pPr>
        <w:pStyle w:val="BodyText"/>
      </w:pPr>
      <w:r>
        <w:t>Current controls include:</w:t>
      </w:r>
    </w:p>
    <w:p w14:paraId="1CF770A4" w14:textId="21DD9711" w:rsidR="005F2101" w:rsidRPr="00DD2674" w:rsidRDefault="005F2101" w:rsidP="00C803B7">
      <w:pPr>
        <w:pStyle w:val="ListBullet"/>
        <w:numPr>
          <w:ilvl w:val="0"/>
          <w:numId w:val="6"/>
        </w:numPr>
        <w:ind w:left="397" w:right="113" w:hanging="284"/>
      </w:pPr>
      <w:r w:rsidRPr="002E53A6">
        <w:t xml:space="preserve">Planned Burning. </w:t>
      </w:r>
      <w:r w:rsidR="001B2E13" w:rsidRPr="00C80E90">
        <w:t xml:space="preserve">The effectiveness of planned burning as a risk mitigation for this species has been evaluated as poor. </w:t>
      </w:r>
      <w:r w:rsidR="0025780F">
        <w:t>The combination of p</w:t>
      </w:r>
      <w:r w:rsidR="001B2E13" w:rsidRPr="00C80E90">
        <w:t>lanned burns and bushfires may</w:t>
      </w:r>
      <w:r w:rsidR="001B2E13" w:rsidRPr="00C80E90" w:rsidDel="0025780F">
        <w:t xml:space="preserve"> </w:t>
      </w:r>
      <w:r w:rsidR="001B2E13" w:rsidRPr="00C80E90">
        <w:t>exceed</w:t>
      </w:r>
      <w:r w:rsidR="0025780F">
        <w:t xml:space="preserve"> the</w:t>
      </w:r>
      <w:r w:rsidR="001B2E13" w:rsidRPr="00C80E90">
        <w:t xml:space="preserve"> tolerable fire interval</w:t>
      </w:r>
      <w:r w:rsidR="0022594E">
        <w:t xml:space="preserve"> for this species.</w:t>
      </w:r>
    </w:p>
    <w:p w14:paraId="5BA8F375" w14:textId="3368A9A8"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170</w:t>
      </w:r>
      <w:r w:rsidR="000B6788" w:rsidRPr="00291BDC">
        <w:rPr>
          <w:bCs/>
          <w:noProof/>
        </w:rPr>
        <w:fldChar w:fldCharType="end"/>
      </w:r>
      <w:r w:rsidRPr="00FF310C">
        <w:t>. Native Hemp protection requirements and recommendations for increased fire frequency and severity</w:t>
      </w:r>
    </w:p>
    <w:tbl>
      <w:tblPr>
        <w:tblStyle w:val="TableGrid"/>
        <w:tblW w:w="0" w:type="auto"/>
        <w:tblLook w:val="04A0" w:firstRow="1" w:lastRow="0" w:firstColumn="1" w:lastColumn="0" w:noHBand="0" w:noVBand="1"/>
      </w:tblPr>
      <w:tblGrid>
        <w:gridCol w:w="2268"/>
        <w:gridCol w:w="7371"/>
      </w:tblGrid>
      <w:tr w:rsidR="005F2101" w:rsidRPr="00867DAA" w14:paraId="4BB7F537"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7B90ABF6" w14:textId="77777777" w:rsidR="005F2101" w:rsidRPr="00704719" w:rsidRDefault="005F2101" w:rsidP="00296E0F">
            <w:pPr>
              <w:pStyle w:val="BodyText"/>
            </w:pPr>
            <w:r w:rsidRPr="00704719">
              <w:t>Requirement</w:t>
            </w:r>
          </w:p>
        </w:tc>
        <w:tc>
          <w:tcPr>
            <w:tcW w:w="7371" w:type="dxa"/>
            <w:vAlign w:val="center"/>
          </w:tcPr>
          <w:p w14:paraId="7822021C"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48033B4B" w14:textId="77777777" w:rsidTr="001B5B4C">
        <w:tc>
          <w:tcPr>
            <w:tcW w:w="2268" w:type="dxa"/>
          </w:tcPr>
          <w:p w14:paraId="6B47215C" w14:textId="4953E8E9" w:rsidR="005F2101" w:rsidRPr="003566BD" w:rsidRDefault="00665E23" w:rsidP="001B5B4C">
            <w:pPr>
              <w:pStyle w:val="BodyText"/>
            </w:pPr>
            <w:r>
              <w:t>Priority management actions</w:t>
            </w:r>
          </w:p>
        </w:tc>
        <w:tc>
          <w:tcPr>
            <w:tcW w:w="7371" w:type="dxa"/>
          </w:tcPr>
          <w:p w14:paraId="22D7B338" w14:textId="77777777" w:rsidR="005F2101" w:rsidRPr="003566BD" w:rsidRDefault="005F2101" w:rsidP="001B5B4C">
            <w:pPr>
              <w:pStyle w:val="BodyText"/>
            </w:pPr>
            <w:r w:rsidRPr="00200995">
              <w:t xml:space="preserve">Not required for this hazard </w:t>
            </w:r>
            <w:r>
              <w:t>as it is a longer-term threat.</w:t>
            </w:r>
          </w:p>
        </w:tc>
      </w:tr>
      <w:tr w:rsidR="005F2101" w:rsidRPr="00867DAA" w14:paraId="05764574" w14:textId="77777777" w:rsidTr="001B5B4C">
        <w:tc>
          <w:tcPr>
            <w:tcW w:w="2268" w:type="dxa"/>
          </w:tcPr>
          <w:p w14:paraId="7646A65C" w14:textId="44BA65F7" w:rsidR="005F2101" w:rsidRPr="00867DAA" w:rsidRDefault="00665E23" w:rsidP="001B5B4C">
            <w:pPr>
              <w:pStyle w:val="BodyText"/>
            </w:pPr>
            <w:r>
              <w:t>Potential m</w:t>
            </w:r>
            <w:r w:rsidR="005F2101" w:rsidRPr="00867DAA">
              <w:t>anagement actions</w:t>
            </w:r>
          </w:p>
        </w:tc>
        <w:tc>
          <w:tcPr>
            <w:tcW w:w="7371" w:type="dxa"/>
          </w:tcPr>
          <w:p w14:paraId="0F6905DF" w14:textId="77777777" w:rsidR="005F2101" w:rsidRDefault="005F2101" w:rsidP="006670D2">
            <w:pPr>
              <w:pStyle w:val="PullOutBoxBullet"/>
            </w:pPr>
            <w:r>
              <w:t xml:space="preserve">Collect emergency seedbank stores; </w:t>
            </w:r>
          </w:p>
          <w:p w14:paraId="4B12E599" w14:textId="77777777" w:rsidR="005F2101" w:rsidRDefault="005F2101" w:rsidP="006670D2">
            <w:pPr>
              <w:pStyle w:val="PullOutBoxBullet"/>
            </w:pPr>
            <w:r>
              <w:t xml:space="preserve">Improve values checking for fire response planning so that it is protected in incident management processes (e.g., to protect from mechanical disturbance, back burning); and </w:t>
            </w:r>
          </w:p>
          <w:p w14:paraId="2EFEF128" w14:textId="71C031FF" w:rsidR="005F2101" w:rsidRPr="004307B8" w:rsidRDefault="005F2101" w:rsidP="006670D2">
            <w:pPr>
              <w:pStyle w:val="PullOutBoxBullet"/>
            </w:pPr>
            <w:r>
              <w:t>Improve mapping and knowledge of the distribution of the species – the 2019</w:t>
            </w:r>
            <w:r w:rsidR="00DF57CB">
              <w:t>-</w:t>
            </w:r>
            <w:r>
              <w:t>20 fires in East Gippsland may have prompted soil recruitment that we would otherwise not see.</w:t>
            </w:r>
          </w:p>
        </w:tc>
      </w:tr>
    </w:tbl>
    <w:p w14:paraId="25533647" w14:textId="77777777" w:rsidR="005F2101" w:rsidRDefault="005F2101" w:rsidP="007E5EBF">
      <w:pPr>
        <w:pStyle w:val="Heading3"/>
      </w:pPr>
      <w:r>
        <w:t>Forestry operations</w:t>
      </w:r>
    </w:p>
    <w:p w14:paraId="0456120C" w14:textId="77777777" w:rsidR="005F2101" w:rsidRDefault="005F2101" w:rsidP="007E5EBF">
      <w:pPr>
        <w:pStyle w:val="Heading5"/>
      </w:pPr>
      <w:r>
        <w:t>Forestry operations</w:t>
      </w:r>
    </w:p>
    <w:p w14:paraId="74FEF813" w14:textId="32FBB143" w:rsidR="005F2101" w:rsidRDefault="000456A7" w:rsidP="005F2101">
      <w:pPr>
        <w:pStyle w:val="BodyText"/>
      </w:pPr>
      <w:r w:rsidRPr="00FD57DB">
        <w:t xml:space="preserve">Based on the 2015 net harvest area layer 28% of the </w:t>
      </w:r>
      <w:r w:rsidR="001D3902">
        <w:t>species’</w:t>
      </w:r>
      <w:r w:rsidRPr="00FD57DB">
        <w:t xml:space="preserve"> modelled habitat and 5% of its VBA points are in merchantable areas. Using the revised operable area layer, this is reduced to 11% of the </w:t>
      </w:r>
      <w:r w:rsidR="001D3902">
        <w:t>species’</w:t>
      </w:r>
      <w:r w:rsidRPr="00FD57DB">
        <w:t xml:space="preserve"> modelled habitat and 2% of its VBA points</w:t>
      </w:r>
      <w:r>
        <w:rPr>
          <w:color w:val="7030A0"/>
        </w:rPr>
        <w:t xml:space="preserve">. </w:t>
      </w:r>
      <w:r w:rsidR="005F2101">
        <w:t xml:space="preserve">Plants could be mechanically removed in harvesting or roading activities, however most of the occurrences of this </w:t>
      </w:r>
      <w:r w:rsidR="001D3902">
        <w:t>species</w:t>
      </w:r>
      <w:r w:rsidR="005F2101">
        <w:t xml:space="preserve"> in areas available to forestry would be along stream sides and afforded protections under the Code. </w:t>
      </w:r>
      <w:r w:rsidR="001634AF">
        <w:t>S</w:t>
      </w:r>
      <w:r w:rsidR="005F2101">
        <w:t xml:space="preserve">edimentation could occur and soil could be compromised through harvesting. Adjacent management </w:t>
      </w:r>
      <w:r w:rsidR="00C803B7">
        <w:t>practise</w:t>
      </w:r>
      <w:r w:rsidR="005F2101">
        <w:t xml:space="preserve">s such as coupe burns may also create unsuitable habitat. </w:t>
      </w:r>
    </w:p>
    <w:p w14:paraId="747FE710" w14:textId="77777777" w:rsidR="005F2101" w:rsidRDefault="005F2101" w:rsidP="005F2101">
      <w:pPr>
        <w:pStyle w:val="BodyText"/>
      </w:pPr>
      <w:r>
        <w:t>Current controls include:</w:t>
      </w:r>
    </w:p>
    <w:p w14:paraId="69D03BE2" w14:textId="3FAA2D57" w:rsidR="005F2101" w:rsidRDefault="005F2101" w:rsidP="006670D2">
      <w:pPr>
        <w:pStyle w:val="PullOutBoxBullet"/>
      </w:pPr>
      <w:r w:rsidRPr="003566BD">
        <w:t xml:space="preserve">The </w:t>
      </w:r>
      <w:r w:rsidRPr="003566BD">
        <w:rPr>
          <w:i/>
          <w:iCs/>
        </w:rPr>
        <w:t>Code of Practice for Timber Production 2014</w:t>
      </w:r>
      <w:r>
        <w:rPr>
          <w:i/>
          <w:iCs/>
        </w:rPr>
        <w:t xml:space="preserve">. </w:t>
      </w:r>
      <w:r>
        <w:t xml:space="preserve">This control was evaluated as satisfactory as there are species-specific prescriptions for this </w:t>
      </w:r>
      <w:r w:rsidR="001D3902">
        <w:t>species</w:t>
      </w:r>
      <w:r>
        <w:t>, and it is generally associated with streams which include additional buffered areas. These buffers probably mitigate fire and regeneration related impacts that may follow forestry operations as well as mechanical disturbance impacts.</w:t>
      </w:r>
    </w:p>
    <w:p w14:paraId="74963CAB" w14:textId="658965F9" w:rsidR="005F2101" w:rsidRPr="00574115" w:rsidRDefault="005F2101"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poor</w:t>
      </w:r>
      <w:r w:rsidRPr="4F453272">
        <w:t xml:space="preserve"> as </w:t>
      </w:r>
      <w:r>
        <w:t>47</w:t>
      </w:r>
      <w:r w:rsidRPr="4F453272">
        <w:t xml:space="preserve">% of the </w:t>
      </w:r>
      <w:r w:rsidR="001D3902">
        <w:t>species’</w:t>
      </w:r>
      <w:r w:rsidRPr="4F453272">
        <w:t xml:space="preserve"> modelled distribution and</w:t>
      </w:r>
      <w:r>
        <w:t xml:space="preserve"> 45</w:t>
      </w:r>
      <w:r w:rsidRPr="4F453272">
        <w:t>% of important populations are within the reserve system.</w:t>
      </w:r>
    </w:p>
    <w:p w14:paraId="42A257B8" w14:textId="06D92250"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171</w:t>
      </w:r>
      <w:r w:rsidR="000B6788" w:rsidRPr="00291BDC">
        <w:rPr>
          <w:bCs/>
          <w:noProof/>
        </w:rPr>
        <w:fldChar w:fldCharType="end"/>
      </w:r>
      <w:r w:rsidRPr="00FF310C">
        <w:t xml:space="preserve">. Native Hemp protection requirements and recommendations for </w:t>
      </w:r>
      <w:r w:rsidR="00635CC5" w:rsidRPr="00FF310C">
        <w:t>f</w:t>
      </w:r>
      <w:r w:rsidRPr="00FF310C">
        <w:t>orestry operations</w:t>
      </w:r>
    </w:p>
    <w:tbl>
      <w:tblPr>
        <w:tblStyle w:val="TableGrid"/>
        <w:tblW w:w="0" w:type="auto"/>
        <w:tblLook w:val="04A0" w:firstRow="1" w:lastRow="0" w:firstColumn="1" w:lastColumn="0" w:noHBand="0" w:noVBand="1"/>
      </w:tblPr>
      <w:tblGrid>
        <w:gridCol w:w="2268"/>
        <w:gridCol w:w="7371"/>
      </w:tblGrid>
      <w:tr w:rsidR="005F2101" w:rsidRPr="00867DAA" w14:paraId="29690976"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690C0163" w14:textId="77777777" w:rsidR="005F2101" w:rsidRPr="00704719" w:rsidRDefault="005F2101" w:rsidP="00296E0F">
            <w:pPr>
              <w:pStyle w:val="BodyText"/>
            </w:pPr>
            <w:r w:rsidRPr="00704719">
              <w:t>Requirement</w:t>
            </w:r>
          </w:p>
        </w:tc>
        <w:tc>
          <w:tcPr>
            <w:tcW w:w="7371" w:type="dxa"/>
            <w:vAlign w:val="center"/>
          </w:tcPr>
          <w:p w14:paraId="0C9E211D"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5987A1E0" w14:textId="77777777" w:rsidTr="001B5B4C">
        <w:tc>
          <w:tcPr>
            <w:tcW w:w="2268" w:type="dxa"/>
          </w:tcPr>
          <w:p w14:paraId="3D9CC8FC" w14:textId="24CA51CB" w:rsidR="005F2101" w:rsidRPr="003566BD" w:rsidRDefault="005F2101" w:rsidP="001B5B4C">
            <w:pPr>
              <w:pStyle w:val="BodyText"/>
            </w:pPr>
            <w:r w:rsidRPr="003566BD">
              <w:t>Interim protections</w:t>
            </w:r>
            <w:r w:rsidR="00635CC5">
              <w:t xml:space="preserve"> </w:t>
            </w:r>
          </w:p>
        </w:tc>
        <w:tc>
          <w:tcPr>
            <w:tcW w:w="7371" w:type="dxa"/>
          </w:tcPr>
          <w:p w14:paraId="42D75293" w14:textId="77777777" w:rsidR="005F2101" w:rsidRPr="003566BD" w:rsidRDefault="005F2101" w:rsidP="001B5B4C">
            <w:pPr>
              <w:pStyle w:val="BodyText"/>
            </w:pPr>
            <w:r w:rsidRPr="00200995">
              <w:t xml:space="preserve">Not required for this hazard based on the overall risk level of </w:t>
            </w:r>
            <w:r>
              <w:t>low.</w:t>
            </w:r>
          </w:p>
        </w:tc>
      </w:tr>
      <w:tr w:rsidR="0064681B" w:rsidRPr="00867DAA" w14:paraId="4AF2BF7B" w14:textId="77777777" w:rsidTr="001B5B4C">
        <w:tc>
          <w:tcPr>
            <w:tcW w:w="2268" w:type="dxa"/>
          </w:tcPr>
          <w:p w14:paraId="5AE2E70A" w14:textId="5DA8B3FD" w:rsidR="0064681B" w:rsidRPr="003566BD" w:rsidRDefault="001D6CFC" w:rsidP="001B5B4C">
            <w:pPr>
              <w:pStyle w:val="BodyText"/>
            </w:pPr>
            <w:r>
              <w:t>Priority management actions</w:t>
            </w:r>
          </w:p>
        </w:tc>
        <w:tc>
          <w:tcPr>
            <w:tcW w:w="7371" w:type="dxa"/>
            <w:shd w:val="clear" w:color="auto" w:fill="auto"/>
          </w:tcPr>
          <w:p w14:paraId="4DC64931" w14:textId="0C9AAC22" w:rsidR="0064681B" w:rsidRPr="00200995" w:rsidRDefault="005F2101" w:rsidP="001B5B4C">
            <w:pPr>
              <w:pStyle w:val="BodyText"/>
            </w:pPr>
            <w:r w:rsidRPr="00200995">
              <w:t xml:space="preserve">Not required for this hazard based on the overall risk level of </w:t>
            </w:r>
            <w:r>
              <w:t>low.</w:t>
            </w:r>
          </w:p>
        </w:tc>
      </w:tr>
      <w:tr w:rsidR="005F2101" w:rsidRPr="00867DAA" w14:paraId="0372DA78" w14:textId="77777777" w:rsidTr="001B5B4C">
        <w:tc>
          <w:tcPr>
            <w:tcW w:w="2268" w:type="dxa"/>
          </w:tcPr>
          <w:p w14:paraId="4359EB5C" w14:textId="77777777" w:rsidR="005F2101" w:rsidRPr="003566BD" w:rsidRDefault="005F2101" w:rsidP="001B5B4C">
            <w:pPr>
              <w:pStyle w:val="BodyText"/>
            </w:pPr>
            <w:r w:rsidRPr="003566BD">
              <w:t>Permanent protections</w:t>
            </w:r>
          </w:p>
        </w:tc>
        <w:tc>
          <w:tcPr>
            <w:tcW w:w="7371" w:type="dxa"/>
            <w:shd w:val="clear" w:color="auto" w:fill="auto"/>
          </w:tcPr>
          <w:p w14:paraId="6BA71238" w14:textId="38784847" w:rsidR="005F2101" w:rsidRPr="003566BD" w:rsidRDefault="00635CC5" w:rsidP="001B5B4C">
            <w:pPr>
              <w:pStyle w:val="BodyText"/>
            </w:pPr>
            <w:r w:rsidRPr="00200995">
              <w:t xml:space="preserve">Not required for this hazard based on the overall risk level of </w:t>
            </w:r>
            <w:r>
              <w:t>low.</w:t>
            </w:r>
          </w:p>
        </w:tc>
      </w:tr>
      <w:tr w:rsidR="005F2101" w:rsidRPr="00867DAA" w14:paraId="598FB7E2" w14:textId="77777777" w:rsidTr="001B5B4C">
        <w:tc>
          <w:tcPr>
            <w:tcW w:w="2268" w:type="dxa"/>
          </w:tcPr>
          <w:p w14:paraId="6833E543" w14:textId="797990A6" w:rsidR="005F2101" w:rsidRPr="00867DAA" w:rsidRDefault="00635CC5" w:rsidP="001B5B4C">
            <w:pPr>
              <w:pStyle w:val="BodyText"/>
            </w:pPr>
            <w:r>
              <w:t>Potential m</w:t>
            </w:r>
            <w:r w:rsidR="005F2101" w:rsidRPr="00867DAA">
              <w:t>anagement actions</w:t>
            </w:r>
          </w:p>
        </w:tc>
        <w:tc>
          <w:tcPr>
            <w:tcW w:w="7371" w:type="dxa"/>
          </w:tcPr>
          <w:p w14:paraId="29EF39F8" w14:textId="59666648" w:rsidR="005F2101" w:rsidRPr="004307B8" w:rsidRDefault="005F2101" w:rsidP="006670D2">
            <w:pPr>
              <w:pStyle w:val="PullOutBoxBullet"/>
            </w:pPr>
            <w:r>
              <w:t>Improve mapping and knowledge of the distribution of the species – there is a current opportunity to do this as the 2019</w:t>
            </w:r>
            <w:r w:rsidR="00DF57CB">
              <w:t>-</w:t>
            </w:r>
            <w:r>
              <w:t>20 fires in East Gippsland may have prompted soil recruitment that we would otherwise not see.</w:t>
            </w:r>
          </w:p>
        </w:tc>
      </w:tr>
    </w:tbl>
    <w:p w14:paraId="798E3C4E" w14:textId="77777777" w:rsidR="005F2101" w:rsidRDefault="005F2101" w:rsidP="007E5EBF">
      <w:pPr>
        <w:pStyle w:val="Heading3"/>
      </w:pPr>
      <w:r>
        <w:t>Invasive species</w:t>
      </w:r>
    </w:p>
    <w:p w14:paraId="60AC690E" w14:textId="77777777" w:rsidR="005F2101" w:rsidRDefault="005F2101" w:rsidP="007E5EBF">
      <w:pPr>
        <w:pStyle w:val="Heading5"/>
      </w:pPr>
      <w:r>
        <w:t>Invasive vertebrate (deer)</w:t>
      </w:r>
    </w:p>
    <w:p w14:paraId="51472D81" w14:textId="7F8EE1C1" w:rsidR="005F2101" w:rsidRDefault="005F2101" w:rsidP="005F2101">
      <w:pPr>
        <w:pStyle w:val="BodyText"/>
      </w:pPr>
      <w:r>
        <w:t xml:space="preserve">Browsing by feral deer occurs across 100% of the </w:t>
      </w:r>
      <w:r w:rsidR="001D3902">
        <w:t>species’</w:t>
      </w:r>
      <w:r>
        <w:t xml:space="preserve"> extent and can lead to direct mortality and recruitment failure. Following a disturbance event such as bushfire, regeneration of the </w:t>
      </w:r>
      <w:r w:rsidR="001D3902">
        <w:t>species</w:t>
      </w:r>
      <w:r>
        <w:t xml:space="preserve"> is highly susceptible to browsing by deer.</w:t>
      </w:r>
    </w:p>
    <w:p w14:paraId="32A98B86" w14:textId="31D311E6" w:rsidR="005F2101" w:rsidRDefault="005F2101" w:rsidP="005F2101">
      <w:pPr>
        <w:pStyle w:val="BodyText"/>
      </w:pPr>
      <w:r>
        <w:t xml:space="preserve">Currently, the </w:t>
      </w:r>
      <w:r w:rsidR="001D3902">
        <w:t>species</w:t>
      </w:r>
      <w:r>
        <w:t xml:space="preserve"> is threatened by a combination of clearing for agriculture, proximity to roads, public access, browsing by Sambar Deer</w:t>
      </w:r>
      <w:r w:rsidDel="009B700A">
        <w:t xml:space="preserve"> </w:t>
      </w:r>
      <w:r>
        <w:t>(particularly at recruitment stages), imposed anthropogenic fire regimes, and climatic warming and drying, which synergistically increase the risk of recruitment failure in response to repeat fire events and extreme drought stress. Populations that are exposed to higher levels of frequent disturbance may become extinct, leading to a substantial reduction in the </w:t>
      </w:r>
      <w:r w:rsidR="001D3902">
        <w:t>species</w:t>
      </w:r>
      <w:r>
        <w:t>. </w:t>
      </w:r>
    </w:p>
    <w:p w14:paraId="2D5A6F78" w14:textId="77777777" w:rsidR="005F2101" w:rsidRDefault="005F2101" w:rsidP="005F2101">
      <w:pPr>
        <w:pStyle w:val="BodyText"/>
      </w:pPr>
      <w:r>
        <w:t>Current controls include:</w:t>
      </w:r>
    </w:p>
    <w:p w14:paraId="017315A1" w14:textId="2110C45B" w:rsidR="005F2101" w:rsidRDefault="005F2101" w:rsidP="006670D2">
      <w:pPr>
        <w:pStyle w:val="PullOutBoxBullet"/>
        <w:rPr>
          <w:rStyle w:val="normaltextrun"/>
          <w:lang w:eastAsia="en-US"/>
        </w:rPr>
      </w:pPr>
      <w:r w:rsidRPr="00D95A46">
        <w:rPr>
          <w:rStyle w:val="normaltextrun"/>
        </w:rPr>
        <w:t xml:space="preserve">Targeted deer control. </w:t>
      </w:r>
      <w:r w:rsidRPr="00CB51DA">
        <w:rPr>
          <w:rStyle w:val="normaltextrun"/>
        </w:rPr>
        <w:t>The effectiveness of this control for this species has been evaluated as poor</w:t>
      </w:r>
      <w:r>
        <w:rPr>
          <w:rStyle w:val="normaltextrun"/>
        </w:rPr>
        <w:t xml:space="preserve"> </w:t>
      </w:r>
      <w:r w:rsidRPr="00D95A46">
        <w:rPr>
          <w:rStyle w:val="normaltextrun"/>
        </w:rPr>
        <w:t xml:space="preserve">because targeted culling is patchy, expensive, and challenging to target in remote forest areas. Sambar </w:t>
      </w:r>
      <w:r w:rsidR="00AA35AE">
        <w:rPr>
          <w:rStyle w:val="normaltextrun"/>
        </w:rPr>
        <w:t>D</w:t>
      </w:r>
      <w:r w:rsidRPr="00D95A46">
        <w:rPr>
          <w:rStyle w:val="normaltextrun"/>
        </w:rPr>
        <w:t>eer occur across a large area so there is a reservoir of other areas to recolonise from.</w:t>
      </w:r>
      <w:r w:rsidR="0074191A">
        <w:rPr>
          <w:rStyle w:val="normaltextrun"/>
        </w:rPr>
        <w:t xml:space="preserve"> </w:t>
      </w:r>
      <w:r w:rsidR="0074191A" w:rsidRPr="00F05594">
        <w:t xml:space="preserve">It is important to note, however, that </w:t>
      </w:r>
      <w:r w:rsidR="0074191A" w:rsidRPr="00F05594">
        <w:rPr>
          <w:rStyle w:val="eop"/>
          <w:rFonts w:ascii="Arial" w:hAnsi="Arial"/>
          <w:color w:val="363534"/>
        </w:rPr>
        <w:t>recent deer control programs carried out throughout East Gippsland show significant advances in ground-based shooting by using thermal imaging, after-dark hunting and in some cases the use of silencers. Targeted control programs should not be considered inappropriate if program funding is sustainable and the target flora species for protection face significant threat from deer activity.</w:t>
      </w:r>
    </w:p>
    <w:p w14:paraId="37117C75" w14:textId="0C8B232D" w:rsidR="005F2101" w:rsidRPr="00FF310C" w:rsidRDefault="005F2101"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172</w:t>
      </w:r>
      <w:r w:rsidR="000B6788" w:rsidRPr="00B846FE">
        <w:rPr>
          <w:bCs/>
          <w:noProof/>
        </w:rPr>
        <w:fldChar w:fldCharType="end"/>
      </w:r>
      <w:r w:rsidRPr="00FF310C">
        <w:t>. Native Hemp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5F2101" w:rsidRPr="00867DAA" w14:paraId="54019CEA"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34E06C79" w14:textId="77777777" w:rsidR="005F2101" w:rsidRPr="00704719" w:rsidRDefault="005F2101" w:rsidP="00296E0F">
            <w:pPr>
              <w:pStyle w:val="BodyText"/>
            </w:pPr>
            <w:r w:rsidRPr="00704719">
              <w:t>Requirement</w:t>
            </w:r>
          </w:p>
        </w:tc>
        <w:tc>
          <w:tcPr>
            <w:tcW w:w="7371" w:type="dxa"/>
            <w:vAlign w:val="center"/>
          </w:tcPr>
          <w:p w14:paraId="20AE2657"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5E1EEB44" w14:textId="77777777" w:rsidTr="001B5B4C">
        <w:tc>
          <w:tcPr>
            <w:tcW w:w="2268" w:type="dxa"/>
          </w:tcPr>
          <w:p w14:paraId="5CED9785" w14:textId="47AF2DBC" w:rsidR="005F2101" w:rsidRPr="003566BD" w:rsidRDefault="00635CC5" w:rsidP="001B5B4C">
            <w:pPr>
              <w:pStyle w:val="BodyText"/>
            </w:pPr>
            <w:r>
              <w:t>Priority management actions</w:t>
            </w:r>
          </w:p>
        </w:tc>
        <w:tc>
          <w:tcPr>
            <w:tcW w:w="7371" w:type="dxa"/>
          </w:tcPr>
          <w:p w14:paraId="21DAB358" w14:textId="77777777" w:rsidR="005F2101" w:rsidRPr="003566BD" w:rsidRDefault="005F2101" w:rsidP="001B5B4C">
            <w:pPr>
              <w:pStyle w:val="BodyText"/>
            </w:pPr>
            <w:r w:rsidRPr="00200995">
              <w:t>Not required for this hazard</w:t>
            </w:r>
            <w:r>
              <w:t>.</w:t>
            </w:r>
          </w:p>
        </w:tc>
      </w:tr>
      <w:tr w:rsidR="005F2101" w:rsidRPr="00867DAA" w14:paraId="58B938F8" w14:textId="77777777" w:rsidTr="001B5B4C">
        <w:tc>
          <w:tcPr>
            <w:tcW w:w="2268" w:type="dxa"/>
          </w:tcPr>
          <w:p w14:paraId="680ED4E6" w14:textId="7B2CC85F" w:rsidR="005F2101" w:rsidRPr="00867DAA" w:rsidRDefault="00635CC5" w:rsidP="001B5B4C">
            <w:pPr>
              <w:pStyle w:val="BodyText"/>
            </w:pPr>
            <w:r>
              <w:t>Potential m</w:t>
            </w:r>
            <w:r w:rsidR="005F2101" w:rsidRPr="00867DAA">
              <w:t>anagement actions</w:t>
            </w:r>
          </w:p>
        </w:tc>
        <w:tc>
          <w:tcPr>
            <w:tcW w:w="7371" w:type="dxa"/>
          </w:tcPr>
          <w:p w14:paraId="1C0A7863" w14:textId="341AAEE9" w:rsidR="005F2101" w:rsidRPr="004307B8" w:rsidRDefault="005F2101" w:rsidP="006670D2">
            <w:pPr>
              <w:pStyle w:val="PullOutBoxBullet"/>
            </w:pPr>
            <w:r>
              <w:t>Undertake targeted deer control following a disturbance event</w:t>
            </w:r>
            <w:r w:rsidR="00AA35AE">
              <w:t>.</w:t>
            </w:r>
          </w:p>
        </w:tc>
      </w:tr>
    </w:tbl>
    <w:p w14:paraId="54CB551D" w14:textId="77777777" w:rsidR="005F2101" w:rsidRDefault="005F2101" w:rsidP="005F2101">
      <w:pPr>
        <w:rPr>
          <w:rFonts w:cs="Times New Roman"/>
          <w:lang w:eastAsia="en-US"/>
        </w:rPr>
      </w:pPr>
      <w:r>
        <w:br w:type="page"/>
      </w:r>
    </w:p>
    <w:p w14:paraId="178D1D44" w14:textId="77777777" w:rsidR="005F2101" w:rsidRPr="00457D00" w:rsidRDefault="005F2101" w:rsidP="00FB5A2B">
      <w:pPr>
        <w:pStyle w:val="Heading2"/>
        <w:ind w:left="0"/>
        <w:rPr>
          <w:i/>
          <w:iCs/>
        </w:rPr>
      </w:pPr>
      <w:bookmarkStart w:id="697" w:name="_Toc88566987"/>
      <w:bookmarkStart w:id="698" w:name="_Toc95129480"/>
      <w:bookmarkStart w:id="699" w:name="_Toc113271057"/>
      <w:r w:rsidRPr="00457D00">
        <w:t>Oval Fork-fern </w:t>
      </w:r>
      <w:r w:rsidRPr="005F7D8C">
        <w:rPr>
          <w:i/>
          <w:iCs/>
        </w:rPr>
        <w:t>(Tmesipteris ovata)</w:t>
      </w:r>
      <w:bookmarkEnd w:id="697"/>
      <w:bookmarkEnd w:id="698"/>
      <w:bookmarkEnd w:id="699"/>
      <w:r w:rsidRPr="00457D00">
        <w:t> </w:t>
      </w:r>
    </w:p>
    <w:p w14:paraId="1BA88A7A" w14:textId="21168BB2" w:rsidR="005F2101" w:rsidRDefault="005F2101" w:rsidP="005F2101">
      <w:pPr>
        <w:pStyle w:val="BodyText"/>
        <w:rPr>
          <w:lang w:eastAsia="en-AU"/>
        </w:rPr>
      </w:pPr>
      <w:r w:rsidRPr="00CC7A45">
        <w:t xml:space="preserve">The </w:t>
      </w:r>
      <w:r>
        <w:t>Oval Fork-fern</w:t>
      </w:r>
      <w:r w:rsidRPr="00CC7A45">
        <w:t xml:space="preserve"> was listed as</w:t>
      </w:r>
      <w:r>
        <w:t xml:space="preserve"> Endangered</w:t>
      </w:r>
      <w:r w:rsidRPr="00CC7A45">
        <w:t xml:space="preserve"> </w:t>
      </w:r>
      <w:r>
        <w:t xml:space="preserve">in Victoria </w:t>
      </w:r>
      <w:r w:rsidRPr="00CC7A45">
        <w:t>under the FFG Act in May 2021</w:t>
      </w:r>
      <w:r>
        <w:t xml:space="preserve">. </w:t>
      </w:r>
      <w:r w:rsidRPr="00CC7A45">
        <w:t xml:space="preserve">The </w:t>
      </w:r>
      <w:r w:rsidR="001D3902">
        <w:t>species</w:t>
      </w:r>
      <w:r w:rsidRPr="00CC7A45">
        <w:t xml:space="preserve"> has </w:t>
      </w:r>
      <w:r>
        <w:t>VBA points</w:t>
      </w:r>
      <w:r w:rsidRPr="00CC7A45">
        <w:t xml:space="preserve"> in the </w:t>
      </w:r>
      <w:r>
        <w:t xml:space="preserve">East Gippsland (68% of VBA points), Central Highlands (23% of VBA points) and Gippsland (9% of VBA points) </w:t>
      </w:r>
      <w:r w:rsidRPr="00CC7A45">
        <w:t xml:space="preserve">RFA </w:t>
      </w:r>
      <w:r w:rsidRPr="005856B4">
        <w:rPr>
          <w:rStyle w:val="BodyTextChar"/>
        </w:rPr>
        <w:t>regions</w:t>
      </w:r>
      <w:r>
        <w:rPr>
          <w:rStyle w:val="BodyTextChar"/>
        </w:rPr>
        <w:t>.</w:t>
      </w:r>
      <w:r>
        <w:rPr>
          <w:lang w:eastAsia="en-AU"/>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2BD53CD1" w14:textId="77777777" w:rsidR="005F2101" w:rsidRDefault="005F2101" w:rsidP="007E5EBF">
      <w:pPr>
        <w:pStyle w:val="Heading3"/>
      </w:pPr>
      <w:r>
        <w:t>Risk Assessment</w:t>
      </w:r>
    </w:p>
    <w:p w14:paraId="2E8AF73E" w14:textId="5437CF80" w:rsidR="005F2101" w:rsidRPr="00FF310C" w:rsidRDefault="005F2101" w:rsidP="006670D2">
      <w:pPr>
        <w:pStyle w:val="Caption"/>
      </w:pPr>
      <w:r w:rsidRPr="00FF310C">
        <w:t xml:space="preserve">Table </w:t>
      </w:r>
      <w:r w:rsidRPr="00291BDC">
        <w:rPr>
          <w:bCs/>
        </w:rPr>
        <w:fldChar w:fldCharType="begin"/>
      </w:r>
      <w:r w:rsidRPr="00FF310C">
        <w:instrText>SEQ Table \* ARABIC</w:instrText>
      </w:r>
      <w:r w:rsidRPr="00291BDC">
        <w:rPr>
          <w:bCs/>
        </w:rPr>
        <w:fldChar w:fldCharType="separate"/>
      </w:r>
      <w:r w:rsidR="00692F0D">
        <w:rPr>
          <w:noProof/>
        </w:rPr>
        <w:t>173</w:t>
      </w:r>
      <w:r w:rsidRPr="00291BDC">
        <w:rPr>
          <w:bCs/>
        </w:rPr>
        <w:fldChar w:fldCharType="end"/>
      </w:r>
      <w:r w:rsidRPr="00FF310C">
        <w:t>. Oval Fork-fern risk ratings in the Central Highlands, and Gippsland RFA regions:</w:t>
      </w:r>
    </w:p>
    <w:tbl>
      <w:tblPr>
        <w:tblStyle w:val="TableGrid"/>
        <w:tblW w:w="10254" w:type="dxa"/>
        <w:tblLayout w:type="fixed"/>
        <w:tblLook w:val="04A0" w:firstRow="1" w:lastRow="0" w:firstColumn="1" w:lastColumn="0" w:noHBand="0" w:noVBand="1"/>
      </w:tblPr>
      <w:tblGrid>
        <w:gridCol w:w="1464"/>
        <w:gridCol w:w="1465"/>
        <w:gridCol w:w="1465"/>
        <w:gridCol w:w="1465"/>
        <w:gridCol w:w="1465"/>
        <w:gridCol w:w="1465"/>
        <w:gridCol w:w="1465"/>
      </w:tblGrid>
      <w:tr w:rsidR="005F2101" w14:paraId="2917AE1B"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vAlign w:val="center"/>
          </w:tcPr>
          <w:p w14:paraId="243BCCC8" w14:textId="77777777" w:rsidR="005F2101" w:rsidRPr="00643008" w:rsidRDefault="005F2101" w:rsidP="006670D2">
            <w:pPr>
              <w:pStyle w:val="CaptionImageorFigure"/>
            </w:pPr>
          </w:p>
        </w:tc>
        <w:tc>
          <w:tcPr>
            <w:tcW w:w="0" w:type="dxa"/>
            <w:vAlign w:val="center"/>
          </w:tcPr>
          <w:p w14:paraId="252BE488"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Drought</w:t>
            </w:r>
          </w:p>
        </w:tc>
        <w:tc>
          <w:tcPr>
            <w:tcW w:w="0" w:type="dxa"/>
            <w:vAlign w:val="center"/>
          </w:tcPr>
          <w:p w14:paraId="1FEB0103"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0" w:type="dxa"/>
            <w:vAlign w:val="center"/>
          </w:tcPr>
          <w:p w14:paraId="15928E22"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 Roading</w:t>
            </w:r>
          </w:p>
        </w:tc>
        <w:tc>
          <w:tcPr>
            <w:tcW w:w="0" w:type="dxa"/>
            <w:vAlign w:val="center"/>
          </w:tcPr>
          <w:p w14:paraId="3263711D" w14:textId="77777777" w:rsidR="005F2101" w:rsidRPr="00643008"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Habitat clearing</w:t>
            </w:r>
          </w:p>
        </w:tc>
        <w:tc>
          <w:tcPr>
            <w:tcW w:w="0" w:type="dxa"/>
            <w:vAlign w:val="center"/>
          </w:tcPr>
          <w:p w14:paraId="2BF7394E"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c>
          <w:tcPr>
            <w:tcW w:w="0" w:type="dxa"/>
            <w:vAlign w:val="center"/>
          </w:tcPr>
          <w:p w14:paraId="465E4206"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Myrtle Wilt*</w:t>
            </w:r>
          </w:p>
        </w:tc>
      </w:tr>
      <w:tr w:rsidR="005F2101" w14:paraId="64796DF6" w14:textId="77777777" w:rsidTr="00296E0F">
        <w:tc>
          <w:tcPr>
            <w:tcW w:w="0" w:type="dxa"/>
            <w:vAlign w:val="center"/>
          </w:tcPr>
          <w:p w14:paraId="0C7F180E" w14:textId="77777777" w:rsidR="005F2101" w:rsidRPr="00D65476" w:rsidRDefault="005F2101" w:rsidP="009F77A4">
            <w:pPr>
              <w:pStyle w:val="BodyText"/>
              <w:jc w:val="center"/>
            </w:pPr>
            <w:r w:rsidRPr="00D65476">
              <w:t>Consequence</w:t>
            </w:r>
          </w:p>
        </w:tc>
        <w:tc>
          <w:tcPr>
            <w:tcW w:w="0" w:type="dxa"/>
            <w:vAlign w:val="center"/>
          </w:tcPr>
          <w:p w14:paraId="02CA8730" w14:textId="77777777" w:rsidR="005F2101" w:rsidRPr="00D65476" w:rsidRDefault="005F2101" w:rsidP="009F77A4">
            <w:pPr>
              <w:pStyle w:val="BodyText"/>
              <w:jc w:val="center"/>
            </w:pPr>
            <w:r w:rsidRPr="00D65476">
              <w:t>Extreme</w:t>
            </w:r>
          </w:p>
        </w:tc>
        <w:tc>
          <w:tcPr>
            <w:tcW w:w="0" w:type="dxa"/>
            <w:vAlign w:val="center"/>
          </w:tcPr>
          <w:p w14:paraId="2EB0F576" w14:textId="77777777" w:rsidR="005F2101" w:rsidRPr="00D65476" w:rsidRDefault="005F2101" w:rsidP="009F77A4">
            <w:pPr>
              <w:pStyle w:val="BodyText"/>
              <w:jc w:val="center"/>
            </w:pPr>
            <w:r w:rsidRPr="00D65476">
              <w:t>Extreme</w:t>
            </w:r>
          </w:p>
        </w:tc>
        <w:tc>
          <w:tcPr>
            <w:tcW w:w="0" w:type="dxa"/>
            <w:vAlign w:val="center"/>
          </w:tcPr>
          <w:p w14:paraId="55C56C1C" w14:textId="77777777" w:rsidR="005F2101" w:rsidRPr="00D65476" w:rsidRDefault="005F2101" w:rsidP="009F77A4">
            <w:pPr>
              <w:pStyle w:val="BodyText"/>
              <w:jc w:val="center"/>
            </w:pPr>
            <w:r>
              <w:t>Moderate</w:t>
            </w:r>
          </w:p>
        </w:tc>
        <w:tc>
          <w:tcPr>
            <w:tcW w:w="0" w:type="dxa"/>
            <w:vAlign w:val="center"/>
          </w:tcPr>
          <w:p w14:paraId="11D16084" w14:textId="77777777" w:rsidR="005F2101" w:rsidRPr="00D65476" w:rsidRDefault="005F2101" w:rsidP="009F77A4">
            <w:pPr>
              <w:pStyle w:val="BodyText"/>
              <w:jc w:val="center"/>
            </w:pPr>
            <w:r w:rsidRPr="00D65476">
              <w:t>Minor</w:t>
            </w:r>
          </w:p>
        </w:tc>
        <w:tc>
          <w:tcPr>
            <w:tcW w:w="0" w:type="dxa"/>
            <w:vAlign w:val="center"/>
          </w:tcPr>
          <w:p w14:paraId="28706279" w14:textId="77777777" w:rsidR="005F2101" w:rsidRPr="00D65476" w:rsidRDefault="005F2101" w:rsidP="009F77A4">
            <w:pPr>
              <w:pStyle w:val="BodyText"/>
              <w:jc w:val="center"/>
            </w:pPr>
            <w:r w:rsidRPr="00D65476">
              <w:t>Moderate</w:t>
            </w:r>
          </w:p>
        </w:tc>
        <w:tc>
          <w:tcPr>
            <w:tcW w:w="0" w:type="dxa"/>
            <w:vAlign w:val="center"/>
          </w:tcPr>
          <w:p w14:paraId="7A7E9079" w14:textId="77777777" w:rsidR="005F2101" w:rsidRPr="00D65476" w:rsidRDefault="005F2101" w:rsidP="009F77A4">
            <w:pPr>
              <w:pStyle w:val="BodyText"/>
              <w:jc w:val="center"/>
            </w:pPr>
            <w:r w:rsidRPr="00D65476">
              <w:t>Moderate</w:t>
            </w:r>
          </w:p>
        </w:tc>
      </w:tr>
      <w:tr w:rsidR="005F2101" w14:paraId="34BC9088" w14:textId="77777777" w:rsidTr="00296E0F">
        <w:tc>
          <w:tcPr>
            <w:tcW w:w="0" w:type="dxa"/>
            <w:vAlign w:val="center"/>
          </w:tcPr>
          <w:p w14:paraId="217C67E3" w14:textId="77777777" w:rsidR="005F2101" w:rsidRPr="00D65476" w:rsidRDefault="005F2101" w:rsidP="009F77A4">
            <w:pPr>
              <w:pStyle w:val="BodyText"/>
              <w:jc w:val="center"/>
            </w:pPr>
            <w:r w:rsidRPr="00D65476">
              <w:t>Likelihood</w:t>
            </w:r>
          </w:p>
        </w:tc>
        <w:tc>
          <w:tcPr>
            <w:tcW w:w="0" w:type="dxa"/>
            <w:vAlign w:val="center"/>
          </w:tcPr>
          <w:p w14:paraId="3CAA2A0F" w14:textId="77777777" w:rsidR="005F2101" w:rsidRPr="00D65476" w:rsidRDefault="005F2101" w:rsidP="009F77A4">
            <w:pPr>
              <w:pStyle w:val="BodyText"/>
              <w:jc w:val="center"/>
            </w:pPr>
            <w:r w:rsidRPr="00D65476">
              <w:t>Almost Certain</w:t>
            </w:r>
          </w:p>
        </w:tc>
        <w:tc>
          <w:tcPr>
            <w:tcW w:w="0" w:type="dxa"/>
            <w:vAlign w:val="center"/>
          </w:tcPr>
          <w:p w14:paraId="671C5CEF" w14:textId="77777777" w:rsidR="005F2101" w:rsidRPr="00D65476" w:rsidRDefault="005F2101" w:rsidP="009F77A4">
            <w:pPr>
              <w:pStyle w:val="BodyText"/>
              <w:jc w:val="center"/>
            </w:pPr>
            <w:r w:rsidRPr="00D65476">
              <w:t>Almost Certain</w:t>
            </w:r>
          </w:p>
        </w:tc>
        <w:tc>
          <w:tcPr>
            <w:tcW w:w="0" w:type="dxa"/>
            <w:vAlign w:val="center"/>
          </w:tcPr>
          <w:p w14:paraId="462634B6" w14:textId="77777777" w:rsidR="005F2101" w:rsidRPr="00D65476" w:rsidRDefault="005F2101" w:rsidP="009F77A4">
            <w:pPr>
              <w:pStyle w:val="BodyText"/>
              <w:jc w:val="center"/>
            </w:pPr>
            <w:r w:rsidRPr="00D65476">
              <w:t>Possible</w:t>
            </w:r>
          </w:p>
        </w:tc>
        <w:tc>
          <w:tcPr>
            <w:tcW w:w="0" w:type="dxa"/>
            <w:vAlign w:val="center"/>
          </w:tcPr>
          <w:p w14:paraId="42C0F592" w14:textId="77777777" w:rsidR="005F2101" w:rsidRPr="00D65476" w:rsidRDefault="005F2101" w:rsidP="009F77A4">
            <w:pPr>
              <w:pStyle w:val="BodyText"/>
              <w:jc w:val="center"/>
            </w:pPr>
            <w:r w:rsidRPr="00D65476">
              <w:t>Unlikely</w:t>
            </w:r>
          </w:p>
        </w:tc>
        <w:tc>
          <w:tcPr>
            <w:tcW w:w="0" w:type="dxa"/>
            <w:vAlign w:val="center"/>
          </w:tcPr>
          <w:p w14:paraId="7F99B881" w14:textId="77777777" w:rsidR="005F2101" w:rsidRPr="00D65476" w:rsidRDefault="005F2101" w:rsidP="009F77A4">
            <w:pPr>
              <w:pStyle w:val="BodyText"/>
              <w:jc w:val="center"/>
            </w:pPr>
            <w:r w:rsidRPr="00D65476">
              <w:t>Possible</w:t>
            </w:r>
          </w:p>
        </w:tc>
        <w:tc>
          <w:tcPr>
            <w:tcW w:w="0" w:type="dxa"/>
            <w:vAlign w:val="center"/>
          </w:tcPr>
          <w:p w14:paraId="47481E3B" w14:textId="77777777" w:rsidR="005F2101" w:rsidRPr="00D65476" w:rsidRDefault="005F2101" w:rsidP="009F77A4">
            <w:pPr>
              <w:pStyle w:val="BodyText"/>
              <w:jc w:val="center"/>
            </w:pPr>
            <w:r w:rsidRPr="00D65476">
              <w:t>Possible</w:t>
            </w:r>
          </w:p>
        </w:tc>
      </w:tr>
      <w:tr w:rsidR="005F2101" w14:paraId="04A8D8D2" w14:textId="77777777" w:rsidTr="00296E0F">
        <w:tc>
          <w:tcPr>
            <w:tcW w:w="0" w:type="dxa"/>
            <w:vAlign w:val="center"/>
          </w:tcPr>
          <w:p w14:paraId="410175BE" w14:textId="77777777" w:rsidR="005F2101" w:rsidRPr="00D65476" w:rsidRDefault="005F2101" w:rsidP="009F77A4">
            <w:pPr>
              <w:pStyle w:val="BodyText"/>
              <w:jc w:val="center"/>
            </w:pPr>
            <w:r w:rsidRPr="00D65476">
              <w:t>Overall risk rating</w:t>
            </w:r>
          </w:p>
        </w:tc>
        <w:tc>
          <w:tcPr>
            <w:tcW w:w="0" w:type="dxa"/>
            <w:shd w:val="clear" w:color="auto" w:fill="FF0000"/>
            <w:vAlign w:val="center"/>
          </w:tcPr>
          <w:p w14:paraId="700EC6AC" w14:textId="77777777" w:rsidR="005F2101" w:rsidRPr="00D65476" w:rsidRDefault="005F2101" w:rsidP="009F77A4">
            <w:pPr>
              <w:pStyle w:val="BodyText"/>
              <w:jc w:val="center"/>
            </w:pPr>
            <w:r w:rsidRPr="00D65476">
              <w:t>High</w:t>
            </w:r>
          </w:p>
        </w:tc>
        <w:tc>
          <w:tcPr>
            <w:tcW w:w="0" w:type="dxa"/>
            <w:shd w:val="clear" w:color="auto" w:fill="FF0000"/>
            <w:vAlign w:val="center"/>
          </w:tcPr>
          <w:p w14:paraId="01E8ADB9" w14:textId="77777777" w:rsidR="005F2101" w:rsidRPr="00D65476" w:rsidRDefault="005F2101" w:rsidP="009F77A4">
            <w:pPr>
              <w:pStyle w:val="BodyText"/>
              <w:jc w:val="center"/>
            </w:pPr>
            <w:r w:rsidRPr="00D65476">
              <w:t>High</w:t>
            </w:r>
          </w:p>
        </w:tc>
        <w:tc>
          <w:tcPr>
            <w:tcW w:w="0" w:type="dxa"/>
            <w:shd w:val="clear" w:color="auto" w:fill="FFFF00"/>
            <w:vAlign w:val="center"/>
          </w:tcPr>
          <w:p w14:paraId="565D41C9" w14:textId="77777777" w:rsidR="005F2101" w:rsidRPr="00D65476" w:rsidRDefault="005F2101" w:rsidP="009F77A4">
            <w:pPr>
              <w:pStyle w:val="BodyText"/>
              <w:jc w:val="center"/>
            </w:pPr>
            <w:r>
              <w:t>Medium</w:t>
            </w:r>
          </w:p>
        </w:tc>
        <w:tc>
          <w:tcPr>
            <w:tcW w:w="0" w:type="dxa"/>
            <w:shd w:val="clear" w:color="auto" w:fill="92D050"/>
            <w:vAlign w:val="center"/>
          </w:tcPr>
          <w:p w14:paraId="52B1A2F9" w14:textId="77777777" w:rsidR="005F2101" w:rsidRPr="00D65476" w:rsidRDefault="005F2101" w:rsidP="009F77A4">
            <w:pPr>
              <w:pStyle w:val="BodyText"/>
              <w:jc w:val="center"/>
            </w:pPr>
            <w:r w:rsidRPr="00D65476">
              <w:t>Low</w:t>
            </w:r>
          </w:p>
        </w:tc>
        <w:tc>
          <w:tcPr>
            <w:tcW w:w="0" w:type="dxa"/>
            <w:shd w:val="clear" w:color="auto" w:fill="FFFF00"/>
            <w:vAlign w:val="center"/>
          </w:tcPr>
          <w:p w14:paraId="03C60AF8" w14:textId="77777777" w:rsidR="005F2101" w:rsidRPr="00D65476" w:rsidRDefault="005F2101" w:rsidP="009F77A4">
            <w:pPr>
              <w:pStyle w:val="BodyText"/>
              <w:jc w:val="center"/>
            </w:pPr>
            <w:r w:rsidRPr="00D65476">
              <w:t>Medium</w:t>
            </w:r>
          </w:p>
        </w:tc>
        <w:tc>
          <w:tcPr>
            <w:tcW w:w="0" w:type="dxa"/>
            <w:shd w:val="clear" w:color="auto" w:fill="FFFF00"/>
            <w:vAlign w:val="center"/>
          </w:tcPr>
          <w:p w14:paraId="5F9F7DC5" w14:textId="77777777" w:rsidR="005F2101" w:rsidRPr="00D65476" w:rsidRDefault="005F2101" w:rsidP="009F77A4">
            <w:pPr>
              <w:pStyle w:val="BodyText"/>
              <w:jc w:val="center"/>
            </w:pPr>
            <w:r w:rsidRPr="00D65476">
              <w:t>Medium</w:t>
            </w:r>
          </w:p>
        </w:tc>
      </w:tr>
    </w:tbl>
    <w:p w14:paraId="5C929321" w14:textId="3AD2A810" w:rsidR="005F2101" w:rsidRPr="00FF310C" w:rsidRDefault="005F2101" w:rsidP="006670D2">
      <w:pPr>
        <w:pStyle w:val="Caption"/>
      </w:pPr>
      <w:r w:rsidRPr="00FF310C">
        <w:t xml:space="preserve">Table </w:t>
      </w:r>
      <w:r w:rsidRPr="00291BDC">
        <w:rPr>
          <w:bCs/>
        </w:rPr>
        <w:fldChar w:fldCharType="begin"/>
      </w:r>
      <w:r w:rsidRPr="00FF310C">
        <w:instrText>SEQ Table \* ARABIC</w:instrText>
      </w:r>
      <w:r w:rsidRPr="00291BDC">
        <w:rPr>
          <w:bCs/>
        </w:rPr>
        <w:fldChar w:fldCharType="separate"/>
      </w:r>
      <w:r w:rsidR="00692F0D">
        <w:rPr>
          <w:noProof/>
        </w:rPr>
        <w:t>174</w:t>
      </w:r>
      <w:r w:rsidRPr="00291BDC">
        <w:rPr>
          <w:bCs/>
        </w:rPr>
        <w:fldChar w:fldCharType="end"/>
      </w:r>
      <w:r w:rsidRPr="00FF310C">
        <w:t>. Oval Fork-fern risk ratings in the East Gippsland RFA region only:</w:t>
      </w:r>
    </w:p>
    <w:tbl>
      <w:tblPr>
        <w:tblStyle w:val="TableGrid"/>
        <w:tblW w:w="10254" w:type="dxa"/>
        <w:tblLayout w:type="fixed"/>
        <w:tblLook w:val="04A0" w:firstRow="1" w:lastRow="0" w:firstColumn="1" w:lastColumn="0" w:noHBand="0" w:noVBand="1"/>
      </w:tblPr>
      <w:tblGrid>
        <w:gridCol w:w="1464"/>
        <w:gridCol w:w="1465"/>
        <w:gridCol w:w="1465"/>
        <w:gridCol w:w="1465"/>
        <w:gridCol w:w="1465"/>
        <w:gridCol w:w="1465"/>
        <w:gridCol w:w="1465"/>
      </w:tblGrid>
      <w:tr w:rsidR="005F2101" w14:paraId="336C1E7B"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vAlign w:val="center"/>
          </w:tcPr>
          <w:p w14:paraId="7E234495" w14:textId="77777777" w:rsidR="005F2101" w:rsidRPr="00643008" w:rsidRDefault="005F2101" w:rsidP="006670D2">
            <w:pPr>
              <w:pStyle w:val="CaptionImageorFigure"/>
            </w:pPr>
          </w:p>
        </w:tc>
        <w:tc>
          <w:tcPr>
            <w:tcW w:w="0" w:type="dxa"/>
            <w:vAlign w:val="center"/>
          </w:tcPr>
          <w:p w14:paraId="2A0B020A"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Drought</w:t>
            </w:r>
          </w:p>
        </w:tc>
        <w:tc>
          <w:tcPr>
            <w:tcW w:w="0" w:type="dxa"/>
            <w:vAlign w:val="center"/>
          </w:tcPr>
          <w:p w14:paraId="035A017E"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0" w:type="dxa"/>
            <w:vAlign w:val="center"/>
          </w:tcPr>
          <w:p w14:paraId="2EF7F9AB"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 Roading</w:t>
            </w:r>
          </w:p>
        </w:tc>
        <w:tc>
          <w:tcPr>
            <w:tcW w:w="0" w:type="dxa"/>
            <w:vAlign w:val="center"/>
          </w:tcPr>
          <w:p w14:paraId="7A31E61E" w14:textId="77777777" w:rsidR="005F2101" w:rsidRPr="00643008"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Habitat clearing</w:t>
            </w:r>
          </w:p>
        </w:tc>
        <w:tc>
          <w:tcPr>
            <w:tcW w:w="0" w:type="dxa"/>
            <w:vAlign w:val="center"/>
          </w:tcPr>
          <w:p w14:paraId="6755F44C"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c>
          <w:tcPr>
            <w:tcW w:w="0" w:type="dxa"/>
            <w:vAlign w:val="center"/>
          </w:tcPr>
          <w:p w14:paraId="6789FAEC"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Myrtle Wilt*</w:t>
            </w:r>
          </w:p>
        </w:tc>
      </w:tr>
      <w:tr w:rsidR="005F2101" w14:paraId="1B6A4378" w14:textId="77777777" w:rsidTr="00296E0F">
        <w:tc>
          <w:tcPr>
            <w:tcW w:w="0" w:type="dxa"/>
            <w:vAlign w:val="center"/>
          </w:tcPr>
          <w:p w14:paraId="55DA19FE" w14:textId="77777777" w:rsidR="005F2101" w:rsidRPr="00D65476" w:rsidRDefault="005F2101" w:rsidP="009F77A4">
            <w:pPr>
              <w:pStyle w:val="BodyText"/>
              <w:jc w:val="center"/>
            </w:pPr>
            <w:r w:rsidRPr="00D65476">
              <w:t>Consequence</w:t>
            </w:r>
          </w:p>
        </w:tc>
        <w:tc>
          <w:tcPr>
            <w:tcW w:w="0" w:type="dxa"/>
            <w:vAlign w:val="center"/>
          </w:tcPr>
          <w:p w14:paraId="2B23FFCA" w14:textId="77777777" w:rsidR="005F2101" w:rsidRPr="00D65476" w:rsidRDefault="005F2101" w:rsidP="009F77A4">
            <w:pPr>
              <w:pStyle w:val="BodyText"/>
              <w:jc w:val="center"/>
            </w:pPr>
            <w:r w:rsidRPr="00D65476">
              <w:t>Extreme</w:t>
            </w:r>
          </w:p>
        </w:tc>
        <w:tc>
          <w:tcPr>
            <w:tcW w:w="0" w:type="dxa"/>
            <w:vAlign w:val="center"/>
          </w:tcPr>
          <w:p w14:paraId="1F18AC0C" w14:textId="77777777" w:rsidR="005F2101" w:rsidRPr="00D65476" w:rsidRDefault="005F2101" w:rsidP="009F77A4">
            <w:pPr>
              <w:pStyle w:val="BodyText"/>
              <w:jc w:val="center"/>
            </w:pPr>
            <w:r w:rsidRPr="00D65476">
              <w:t>Extreme</w:t>
            </w:r>
          </w:p>
        </w:tc>
        <w:tc>
          <w:tcPr>
            <w:tcW w:w="0" w:type="dxa"/>
            <w:vAlign w:val="center"/>
          </w:tcPr>
          <w:p w14:paraId="108CFCAA" w14:textId="77777777" w:rsidR="005F2101" w:rsidRPr="00D65476" w:rsidRDefault="005F2101" w:rsidP="009F77A4">
            <w:pPr>
              <w:pStyle w:val="BodyText"/>
              <w:jc w:val="center"/>
            </w:pPr>
            <w:r>
              <w:t>Moderate</w:t>
            </w:r>
          </w:p>
        </w:tc>
        <w:tc>
          <w:tcPr>
            <w:tcW w:w="0" w:type="dxa"/>
            <w:vAlign w:val="center"/>
          </w:tcPr>
          <w:p w14:paraId="0BC5B0FF" w14:textId="77777777" w:rsidR="005F2101" w:rsidRPr="00D65476" w:rsidRDefault="005F2101" w:rsidP="009F77A4">
            <w:pPr>
              <w:pStyle w:val="BodyText"/>
              <w:jc w:val="center"/>
            </w:pPr>
            <w:r w:rsidRPr="00D65476">
              <w:t>Minor</w:t>
            </w:r>
          </w:p>
        </w:tc>
        <w:tc>
          <w:tcPr>
            <w:tcW w:w="0" w:type="dxa"/>
            <w:vAlign w:val="center"/>
          </w:tcPr>
          <w:p w14:paraId="3A23D2B2" w14:textId="77777777" w:rsidR="005F2101" w:rsidRPr="00D65476" w:rsidRDefault="005F2101" w:rsidP="009F77A4">
            <w:pPr>
              <w:pStyle w:val="BodyText"/>
              <w:jc w:val="center"/>
            </w:pPr>
            <w:r w:rsidRPr="00D65476">
              <w:t>Moderate</w:t>
            </w:r>
          </w:p>
        </w:tc>
        <w:tc>
          <w:tcPr>
            <w:tcW w:w="0" w:type="dxa"/>
            <w:vAlign w:val="center"/>
          </w:tcPr>
          <w:p w14:paraId="0B56C904" w14:textId="77777777" w:rsidR="005F2101" w:rsidRPr="00D65476" w:rsidRDefault="005F2101" w:rsidP="009F77A4">
            <w:pPr>
              <w:pStyle w:val="BodyText"/>
              <w:jc w:val="center"/>
            </w:pPr>
            <w:r>
              <w:t>Negligible</w:t>
            </w:r>
          </w:p>
        </w:tc>
      </w:tr>
      <w:tr w:rsidR="005F2101" w14:paraId="575EB37E" w14:textId="77777777" w:rsidTr="00296E0F">
        <w:tc>
          <w:tcPr>
            <w:tcW w:w="0" w:type="dxa"/>
            <w:vAlign w:val="center"/>
          </w:tcPr>
          <w:p w14:paraId="56AB2217" w14:textId="77777777" w:rsidR="005F2101" w:rsidRPr="00D65476" w:rsidRDefault="005F2101" w:rsidP="009F77A4">
            <w:pPr>
              <w:pStyle w:val="BodyText"/>
              <w:jc w:val="center"/>
            </w:pPr>
            <w:r w:rsidRPr="00D65476">
              <w:t>Likelihood</w:t>
            </w:r>
          </w:p>
        </w:tc>
        <w:tc>
          <w:tcPr>
            <w:tcW w:w="0" w:type="dxa"/>
            <w:vAlign w:val="center"/>
          </w:tcPr>
          <w:p w14:paraId="7E47C1D7" w14:textId="77777777" w:rsidR="005F2101" w:rsidRPr="00D65476" w:rsidRDefault="005F2101" w:rsidP="009F77A4">
            <w:pPr>
              <w:pStyle w:val="BodyText"/>
              <w:jc w:val="center"/>
            </w:pPr>
            <w:r w:rsidRPr="00D65476">
              <w:t>Almost Certain</w:t>
            </w:r>
          </w:p>
        </w:tc>
        <w:tc>
          <w:tcPr>
            <w:tcW w:w="0" w:type="dxa"/>
            <w:vAlign w:val="center"/>
          </w:tcPr>
          <w:p w14:paraId="21E44E1E" w14:textId="77777777" w:rsidR="005F2101" w:rsidRPr="00D65476" w:rsidRDefault="005F2101" w:rsidP="009F77A4">
            <w:pPr>
              <w:pStyle w:val="BodyText"/>
              <w:jc w:val="center"/>
            </w:pPr>
            <w:r w:rsidRPr="00D65476">
              <w:t>Almost Certain</w:t>
            </w:r>
          </w:p>
        </w:tc>
        <w:tc>
          <w:tcPr>
            <w:tcW w:w="0" w:type="dxa"/>
            <w:vAlign w:val="center"/>
          </w:tcPr>
          <w:p w14:paraId="4E9595DC" w14:textId="77777777" w:rsidR="005F2101" w:rsidRPr="00D65476" w:rsidRDefault="005F2101" w:rsidP="009F77A4">
            <w:pPr>
              <w:pStyle w:val="BodyText"/>
              <w:jc w:val="center"/>
            </w:pPr>
            <w:r>
              <w:t>Likely</w:t>
            </w:r>
          </w:p>
        </w:tc>
        <w:tc>
          <w:tcPr>
            <w:tcW w:w="0" w:type="dxa"/>
            <w:vAlign w:val="center"/>
          </w:tcPr>
          <w:p w14:paraId="5BA30544" w14:textId="77777777" w:rsidR="005F2101" w:rsidRPr="00D65476" w:rsidRDefault="005F2101" w:rsidP="009F77A4">
            <w:pPr>
              <w:pStyle w:val="BodyText"/>
              <w:jc w:val="center"/>
            </w:pPr>
            <w:r w:rsidRPr="00D65476">
              <w:t>Unlikely</w:t>
            </w:r>
          </w:p>
        </w:tc>
        <w:tc>
          <w:tcPr>
            <w:tcW w:w="0" w:type="dxa"/>
            <w:vAlign w:val="center"/>
          </w:tcPr>
          <w:p w14:paraId="180DF492" w14:textId="77777777" w:rsidR="005F2101" w:rsidRPr="00D65476" w:rsidRDefault="005F2101" w:rsidP="009F77A4">
            <w:pPr>
              <w:pStyle w:val="BodyText"/>
              <w:jc w:val="center"/>
            </w:pPr>
            <w:r w:rsidRPr="00D65476">
              <w:t>Possible</w:t>
            </w:r>
          </w:p>
        </w:tc>
        <w:tc>
          <w:tcPr>
            <w:tcW w:w="0" w:type="dxa"/>
            <w:vAlign w:val="center"/>
          </w:tcPr>
          <w:p w14:paraId="6A6C49F9" w14:textId="77777777" w:rsidR="005F2101" w:rsidRPr="00D65476" w:rsidRDefault="005F2101" w:rsidP="009F77A4">
            <w:pPr>
              <w:pStyle w:val="BodyText"/>
              <w:jc w:val="center"/>
            </w:pPr>
            <w:r>
              <w:t>Rare</w:t>
            </w:r>
          </w:p>
        </w:tc>
      </w:tr>
      <w:tr w:rsidR="005F2101" w14:paraId="3E3D67E6" w14:textId="77777777" w:rsidTr="00296E0F">
        <w:tc>
          <w:tcPr>
            <w:tcW w:w="0" w:type="dxa"/>
            <w:vAlign w:val="center"/>
          </w:tcPr>
          <w:p w14:paraId="6718C109" w14:textId="77777777" w:rsidR="005F2101" w:rsidRPr="00D65476" w:rsidRDefault="005F2101" w:rsidP="009F77A4">
            <w:pPr>
              <w:pStyle w:val="BodyText"/>
              <w:jc w:val="center"/>
            </w:pPr>
            <w:r w:rsidRPr="00D65476">
              <w:t>Overall risk rating</w:t>
            </w:r>
          </w:p>
        </w:tc>
        <w:tc>
          <w:tcPr>
            <w:tcW w:w="0" w:type="dxa"/>
            <w:shd w:val="clear" w:color="auto" w:fill="FF0000"/>
            <w:vAlign w:val="center"/>
          </w:tcPr>
          <w:p w14:paraId="3BB2756C" w14:textId="77777777" w:rsidR="005F2101" w:rsidRPr="00D65476" w:rsidRDefault="005F2101" w:rsidP="009F77A4">
            <w:pPr>
              <w:pStyle w:val="BodyText"/>
              <w:jc w:val="center"/>
            </w:pPr>
            <w:r w:rsidRPr="00D65476">
              <w:t>High</w:t>
            </w:r>
          </w:p>
        </w:tc>
        <w:tc>
          <w:tcPr>
            <w:tcW w:w="0" w:type="dxa"/>
            <w:shd w:val="clear" w:color="auto" w:fill="FF0000"/>
            <w:vAlign w:val="center"/>
          </w:tcPr>
          <w:p w14:paraId="484F9370" w14:textId="77777777" w:rsidR="005F2101" w:rsidRPr="00D65476" w:rsidRDefault="005F2101" w:rsidP="009F77A4">
            <w:pPr>
              <w:pStyle w:val="BodyText"/>
              <w:jc w:val="center"/>
            </w:pPr>
            <w:r w:rsidRPr="00D65476">
              <w:t>High</w:t>
            </w:r>
          </w:p>
        </w:tc>
        <w:tc>
          <w:tcPr>
            <w:tcW w:w="0" w:type="dxa"/>
            <w:shd w:val="clear" w:color="auto" w:fill="FFC000"/>
            <w:vAlign w:val="center"/>
          </w:tcPr>
          <w:p w14:paraId="2FD81C69" w14:textId="77777777" w:rsidR="005F2101" w:rsidRPr="00D65476" w:rsidRDefault="005F2101" w:rsidP="009F77A4">
            <w:pPr>
              <w:pStyle w:val="BodyText"/>
              <w:jc w:val="center"/>
            </w:pPr>
            <w:r w:rsidRPr="00D65476">
              <w:t>Significant</w:t>
            </w:r>
          </w:p>
        </w:tc>
        <w:tc>
          <w:tcPr>
            <w:tcW w:w="0" w:type="dxa"/>
            <w:shd w:val="clear" w:color="auto" w:fill="92D050"/>
            <w:vAlign w:val="center"/>
          </w:tcPr>
          <w:p w14:paraId="10C6B121" w14:textId="77777777" w:rsidR="005F2101" w:rsidRPr="00D65476" w:rsidRDefault="005F2101" w:rsidP="009F77A4">
            <w:pPr>
              <w:pStyle w:val="BodyText"/>
              <w:jc w:val="center"/>
            </w:pPr>
            <w:r w:rsidRPr="00D65476">
              <w:t>Low</w:t>
            </w:r>
          </w:p>
        </w:tc>
        <w:tc>
          <w:tcPr>
            <w:tcW w:w="0" w:type="dxa"/>
            <w:shd w:val="clear" w:color="auto" w:fill="FFFF00"/>
            <w:vAlign w:val="center"/>
          </w:tcPr>
          <w:p w14:paraId="3185EF51" w14:textId="77777777" w:rsidR="005F2101" w:rsidRPr="00D65476" w:rsidRDefault="005F2101" w:rsidP="009F77A4">
            <w:pPr>
              <w:pStyle w:val="BodyText"/>
              <w:jc w:val="center"/>
            </w:pPr>
            <w:r w:rsidRPr="00D65476">
              <w:t>Medium</w:t>
            </w:r>
          </w:p>
        </w:tc>
        <w:tc>
          <w:tcPr>
            <w:tcW w:w="0" w:type="dxa"/>
            <w:shd w:val="clear" w:color="auto" w:fill="92D050"/>
            <w:vAlign w:val="center"/>
          </w:tcPr>
          <w:p w14:paraId="7A3AD655" w14:textId="77777777" w:rsidR="005F2101" w:rsidRPr="00D65476" w:rsidRDefault="005F2101" w:rsidP="009F77A4">
            <w:pPr>
              <w:pStyle w:val="BodyText"/>
              <w:jc w:val="center"/>
            </w:pPr>
            <w:r>
              <w:t>Low</w:t>
            </w:r>
          </w:p>
        </w:tc>
      </w:tr>
    </w:tbl>
    <w:p w14:paraId="54C7C77B" w14:textId="77777777" w:rsidR="005F2101" w:rsidRDefault="005F2101" w:rsidP="007E5EBF">
      <w:pPr>
        <w:pStyle w:val="Heading3"/>
      </w:pPr>
      <w:r>
        <w:t>Climate change; Fire</w:t>
      </w:r>
    </w:p>
    <w:p w14:paraId="0F3CAD3A" w14:textId="77777777" w:rsidR="005F2101" w:rsidRPr="001C0DE0" w:rsidRDefault="005F2101" w:rsidP="007E5EBF">
      <w:pPr>
        <w:pStyle w:val="Heading5"/>
      </w:pPr>
      <w:r>
        <w:t>Drought and i</w:t>
      </w:r>
      <w:r w:rsidRPr="00C7754C">
        <w:t>ncreased fire frequenc</w:t>
      </w:r>
      <w:r>
        <w:t xml:space="preserve">y and </w:t>
      </w:r>
      <w:r w:rsidRPr="00987E9D">
        <w:t>intensity</w:t>
      </w:r>
    </w:p>
    <w:p w14:paraId="25CE40FF" w14:textId="0A81DECA" w:rsidR="005F2101" w:rsidRPr="00704719" w:rsidRDefault="005F2101" w:rsidP="005F2101">
      <w:pPr>
        <w:pStyle w:val="BodyText"/>
      </w:pPr>
      <w:r>
        <w:t xml:space="preserve">Drought and increased fire frequency and intensity have been combined here due to the close relationship between the two hazards. The primary current and future threat to the </w:t>
      </w:r>
      <w:r w:rsidR="001D3902">
        <w:t>species</w:t>
      </w:r>
      <w:r>
        <w:t xml:space="preserve"> is climate change-driven severe droughts and the associated predicted increase in the frequency and intensity of bushfires. Recent frequent bushfires are likely to have directly killed plants and opened rainforest remnants to desiccation and invasion by non-rainforest taxa. The high risk of future fires suggest that the </w:t>
      </w:r>
      <w:r w:rsidR="001D3902">
        <w:t>species</w:t>
      </w:r>
      <w:r>
        <w:t xml:space="preserve"> may become close to extinction in the next 100 years. This hazard extends across all the </w:t>
      </w:r>
      <w:r w:rsidR="001D3902">
        <w:t>species’</w:t>
      </w:r>
      <w:r>
        <w:t xml:space="preserve"> distribution now that rainforest gullies are likely no longer protected from fire due to increased drying, and it is believed to have </w:t>
      </w:r>
      <w:r w:rsidR="001C61E1">
        <w:t>most of</w:t>
      </w:r>
      <w:r>
        <w:t xml:space="preserve"> its Victorian sites occurring within the boundary of the 2019-20 bushfires.</w:t>
      </w:r>
      <w:r w:rsidRPr="00704719">
        <w:t xml:space="preserve"> </w:t>
      </w:r>
    </w:p>
    <w:p w14:paraId="74A02F94" w14:textId="77777777" w:rsidR="005F2101" w:rsidRPr="00704719" w:rsidRDefault="005F2101" w:rsidP="005F2101">
      <w:pPr>
        <w:pStyle w:val="BodyText"/>
      </w:pPr>
      <w:r>
        <w:t xml:space="preserve">Current controls </w:t>
      </w:r>
      <w:r w:rsidRPr="00704719">
        <w:t>for this hazard include:</w:t>
      </w:r>
    </w:p>
    <w:p w14:paraId="404E42C4" w14:textId="1FE9D367" w:rsidR="005F2101" w:rsidRPr="00087267" w:rsidRDefault="005F2101" w:rsidP="006670D2">
      <w:pPr>
        <w:pStyle w:val="PullOutBoxBullet"/>
      </w:pPr>
      <w:r w:rsidRPr="00087267">
        <w:t xml:space="preserve">The </w:t>
      </w:r>
      <w:r w:rsidRPr="00433C83">
        <w:rPr>
          <w:i/>
          <w:iCs/>
        </w:rPr>
        <w:t>Climate Change Act 2017</w:t>
      </w:r>
      <w:r w:rsidRPr="00C23B38">
        <w:t xml:space="preserve"> </w:t>
      </w:r>
      <w:r w:rsidRPr="00087267">
        <w:t xml:space="preserve">and associated mitigation strategies. These controls are not effective in managing the risk to this </w:t>
      </w:r>
      <w:r w:rsidR="001D3902">
        <w:t>species</w:t>
      </w:r>
      <w:r w:rsidRPr="00087267">
        <w:t xml:space="preserve"> at the scale relevant to its conservation.</w:t>
      </w:r>
    </w:p>
    <w:p w14:paraId="156438BD" w14:textId="4C85E0DB" w:rsidR="005F2101" w:rsidRDefault="005F2101" w:rsidP="006670D2">
      <w:pPr>
        <w:pStyle w:val="PullOutBoxBullet"/>
      </w:pPr>
      <w:r>
        <w:t>Planned burning. This control is considered ineffective in this case as the species’ habitat is generally not suitable for planned burning. Strategic fuel</w:t>
      </w:r>
      <w:r w:rsidR="00DF761D">
        <w:t xml:space="preserve"> </w:t>
      </w:r>
      <w:r>
        <w:t>breaks and associated backburning may however provide valuable protection in some cases for this species and its habitat from severe bushfires.</w:t>
      </w:r>
    </w:p>
    <w:p w14:paraId="40E174D7" w14:textId="77777777" w:rsidR="005F2101" w:rsidRDefault="005F2101" w:rsidP="005F2101">
      <w:pPr>
        <w:rPr>
          <w:b/>
          <w:bCs/>
          <w:sz w:val="16"/>
        </w:rPr>
      </w:pPr>
      <w:r>
        <w:br w:type="page"/>
      </w:r>
    </w:p>
    <w:p w14:paraId="244C2F34" w14:textId="637C4322"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175</w:t>
      </w:r>
      <w:r w:rsidR="000B6788" w:rsidRPr="00291BDC">
        <w:rPr>
          <w:bCs/>
          <w:noProof/>
        </w:rPr>
        <w:fldChar w:fldCharType="end"/>
      </w:r>
      <w:r w:rsidRPr="00FF310C">
        <w:t>. Oval Fork-fern protection requirements and recommendations for drought and increase fire frequency and intensity</w:t>
      </w:r>
    </w:p>
    <w:tbl>
      <w:tblPr>
        <w:tblStyle w:val="TableGrid"/>
        <w:tblW w:w="0" w:type="auto"/>
        <w:tblLook w:val="04A0" w:firstRow="1" w:lastRow="0" w:firstColumn="1" w:lastColumn="0" w:noHBand="0" w:noVBand="1"/>
      </w:tblPr>
      <w:tblGrid>
        <w:gridCol w:w="2268"/>
        <w:gridCol w:w="7371"/>
      </w:tblGrid>
      <w:tr w:rsidR="005F2101" w:rsidRPr="00867DAA" w14:paraId="3B712714"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19BBA23A" w14:textId="77777777" w:rsidR="005F2101" w:rsidRPr="00704719" w:rsidRDefault="005F2101" w:rsidP="00296E0F">
            <w:pPr>
              <w:pStyle w:val="BodyText"/>
            </w:pPr>
            <w:r w:rsidRPr="00704719">
              <w:t>Requirement</w:t>
            </w:r>
          </w:p>
        </w:tc>
        <w:tc>
          <w:tcPr>
            <w:tcW w:w="7371" w:type="dxa"/>
            <w:vAlign w:val="center"/>
          </w:tcPr>
          <w:p w14:paraId="4E4B57B9"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3C875EFA" w14:textId="77777777" w:rsidTr="0097320D">
        <w:tc>
          <w:tcPr>
            <w:tcW w:w="2268" w:type="dxa"/>
          </w:tcPr>
          <w:p w14:paraId="7EF5000E" w14:textId="000FD941" w:rsidR="005F2101" w:rsidRPr="003566BD" w:rsidRDefault="00635CC5" w:rsidP="0097320D">
            <w:pPr>
              <w:pStyle w:val="BodyText"/>
            </w:pPr>
            <w:r>
              <w:t>Priority management actions</w:t>
            </w:r>
          </w:p>
        </w:tc>
        <w:tc>
          <w:tcPr>
            <w:tcW w:w="7371" w:type="dxa"/>
          </w:tcPr>
          <w:p w14:paraId="18101877" w14:textId="77777777" w:rsidR="005F2101" w:rsidRPr="003566BD" w:rsidRDefault="005F2101" w:rsidP="0097320D">
            <w:pPr>
              <w:pStyle w:val="BodyText"/>
            </w:pPr>
            <w:r w:rsidRPr="00200995">
              <w:t>Not required for th</w:t>
            </w:r>
            <w:r>
              <w:t>ese</w:t>
            </w:r>
            <w:r w:rsidRPr="00200995">
              <w:t xml:space="preserve"> hazard</w:t>
            </w:r>
            <w:r>
              <w:t>s as they are longer-term threats.</w:t>
            </w:r>
          </w:p>
        </w:tc>
      </w:tr>
      <w:tr w:rsidR="005F2101" w:rsidRPr="00867DAA" w14:paraId="7A3DB472" w14:textId="77777777" w:rsidTr="0097320D">
        <w:tc>
          <w:tcPr>
            <w:tcW w:w="2268" w:type="dxa"/>
          </w:tcPr>
          <w:p w14:paraId="54BCD68A" w14:textId="4E04AC97" w:rsidR="005F2101" w:rsidRPr="00867DAA" w:rsidRDefault="00635CC5" w:rsidP="0097320D">
            <w:pPr>
              <w:pStyle w:val="BodyText"/>
            </w:pPr>
            <w:r>
              <w:t>Potential m</w:t>
            </w:r>
            <w:r w:rsidR="005F2101" w:rsidRPr="00867DAA">
              <w:t>anagement actions</w:t>
            </w:r>
          </w:p>
        </w:tc>
        <w:tc>
          <w:tcPr>
            <w:tcW w:w="7371" w:type="dxa"/>
          </w:tcPr>
          <w:p w14:paraId="6B7F5EC5" w14:textId="28ED9D9A" w:rsidR="005F2101" w:rsidRDefault="005F2101" w:rsidP="006670D2">
            <w:pPr>
              <w:pStyle w:val="PullOutBoxBullet"/>
            </w:pPr>
            <w:r>
              <w:t xml:space="preserve">Assess the populations in </w:t>
            </w:r>
            <w:r w:rsidR="001B0D36">
              <w:t>E</w:t>
            </w:r>
            <w:r>
              <w:t>ast Gippsland to discover how much has been lost</w:t>
            </w:r>
            <w:r w:rsidRPr="00D65476">
              <w:t xml:space="preserve">; </w:t>
            </w:r>
          </w:p>
          <w:p w14:paraId="1063A853" w14:textId="77777777" w:rsidR="005F2101" w:rsidRDefault="005F2101" w:rsidP="006670D2">
            <w:pPr>
              <w:pStyle w:val="PullOutBoxBullet"/>
            </w:pPr>
            <w:r>
              <w:t>Investigate</w:t>
            </w:r>
            <w:r w:rsidRPr="00D65476">
              <w:t xml:space="preserve"> potential for cooler burns around gullies to try and reduce intensity of bigger fires; and</w:t>
            </w:r>
          </w:p>
          <w:p w14:paraId="5A3D3C43" w14:textId="4118821A" w:rsidR="005F2101" w:rsidRPr="004307B8" w:rsidRDefault="005F2101" w:rsidP="006670D2">
            <w:pPr>
              <w:pStyle w:val="PullOutBoxBullet"/>
            </w:pPr>
            <w:r w:rsidRPr="00DD2674">
              <w:rPr>
                <w:rFonts w:cs="Arial"/>
              </w:rPr>
              <w:t>The</w:t>
            </w:r>
            <w:r>
              <w:t xml:space="preserve"> VCS is being developed to accommodate spore collection for ferns, so ensure this </w:t>
            </w:r>
            <w:r w:rsidR="001D3902">
              <w:t>species</w:t>
            </w:r>
            <w:r>
              <w:t xml:space="preserve"> is included in early collections.</w:t>
            </w:r>
          </w:p>
        </w:tc>
      </w:tr>
    </w:tbl>
    <w:p w14:paraId="2C407F03" w14:textId="77777777" w:rsidR="005F2101" w:rsidRDefault="005F2101" w:rsidP="007E5EBF">
      <w:pPr>
        <w:pStyle w:val="Heading3"/>
      </w:pPr>
      <w:r>
        <w:t>Forestry operations</w:t>
      </w:r>
    </w:p>
    <w:p w14:paraId="41556AD6" w14:textId="77777777" w:rsidR="005F2101" w:rsidRPr="001C0DE0" w:rsidRDefault="005F2101" w:rsidP="007E5EBF">
      <w:pPr>
        <w:pStyle w:val="Heading5"/>
      </w:pPr>
      <w:r>
        <w:t>Forestry operations and roading</w:t>
      </w:r>
    </w:p>
    <w:p w14:paraId="41C8A8BD" w14:textId="49985AB0" w:rsidR="00D60160" w:rsidRDefault="00D60160" w:rsidP="00D60160">
      <w:pPr>
        <w:pStyle w:val="BodyText"/>
      </w:pPr>
      <w:r w:rsidRPr="00FD57DB">
        <w:t xml:space="preserve">This </w:t>
      </w:r>
      <w:r w:rsidR="001D3902">
        <w:t>species</w:t>
      </w:r>
      <w:r w:rsidRPr="00FD57DB">
        <w:t xml:space="preserve"> generally occurs in association with rainforest. An analysis of VBA records showed that ~</w:t>
      </w:r>
      <w:r w:rsidR="00C66414">
        <w:t>43</w:t>
      </w:r>
      <w:r w:rsidRPr="00FD57DB">
        <w:t xml:space="preserve">% occurred within mapped rainforest or its buffers. In this situation, occurrences should be adequately protected from forestry operations due to the requirements of the Code. The risk to this species from forestry operations in the East Gippsland RFA region was re-assessed in light of new information about the exposure to forestry operations. The experts concluded that, where the species occurred on the margins or outside rainforest and/or its buffers, and especially where the rainforest habitat might have been burnt by bushfires or otherwise disturbed, protection could not be assumed. The experts emphasised the need for additional protections that targeted both the known occurrences and the rainforest habitat where it had been disturbed and stressed the importance of greater survey effort to improve understanding of the distribution and abundance of this </w:t>
      </w:r>
      <w:r w:rsidR="001D3902">
        <w:t>species</w:t>
      </w:r>
      <w:r w:rsidRPr="00FD57DB">
        <w:t>.</w:t>
      </w:r>
    </w:p>
    <w:p w14:paraId="04F057EE" w14:textId="0772ED56" w:rsidR="005F2101" w:rsidRPr="00782C53" w:rsidRDefault="005F2101" w:rsidP="005F2101">
      <w:pPr>
        <w:pStyle w:val="BodyText"/>
      </w:pPr>
      <w:r w:rsidRPr="00782C53">
        <w:t xml:space="preserve">In addition to edge effects, permanent roads create conditions suitable for weed establishment, especially for </w:t>
      </w:r>
      <w:r w:rsidR="008A6308">
        <w:t>b</w:t>
      </w:r>
      <w:r w:rsidRPr="00782C53">
        <w:t>lackberries</w:t>
      </w:r>
      <w:r w:rsidR="00026AED">
        <w:t xml:space="preserve">, </w:t>
      </w:r>
      <w:r w:rsidRPr="00782C53">
        <w:t xml:space="preserve">and harvesting and roading in habitat could also lead to Myrtle Wilt. </w:t>
      </w:r>
      <w:r w:rsidR="00BA0643" w:rsidRPr="00FD57DB">
        <w:t xml:space="preserve">Based on the 2015 net harvest area layer, </w:t>
      </w:r>
      <w:r w:rsidR="00BA0643" w:rsidRPr="00DB16BD">
        <w:t>a</w:t>
      </w:r>
      <w:r w:rsidRPr="00DB16BD">
        <w:t>pproximately 10-20% of the population could be exposed to the hazard, including in the Central Highlands, Strzelecki Ranges and East Gippsland.</w:t>
      </w:r>
      <w:r w:rsidR="00B645AC" w:rsidRPr="00FD57DB">
        <w:t xml:space="preserve"> Using the revised operable area layer,</w:t>
      </w:r>
      <w:r w:rsidR="00BA0643" w:rsidRPr="00FD57DB">
        <w:t xml:space="preserve"> this reduces to</w:t>
      </w:r>
      <w:r w:rsidR="00B645AC" w:rsidRPr="00FD57DB">
        <w:t xml:space="preserve"> 9% of the </w:t>
      </w:r>
      <w:r w:rsidR="001D3902">
        <w:t>species’</w:t>
      </w:r>
      <w:r w:rsidR="00B645AC" w:rsidRPr="00FD57DB">
        <w:t xml:space="preserve"> VBA points</w:t>
      </w:r>
      <w:r w:rsidR="00E86352" w:rsidRPr="00FD57DB">
        <w:t>,</w:t>
      </w:r>
      <w:r w:rsidR="00BA0643" w:rsidRPr="00FD57DB">
        <w:t xml:space="preserve"> including </w:t>
      </w:r>
      <w:r w:rsidR="00F67DBC" w:rsidRPr="00FD57DB">
        <w:t>16% in the Central Highlands</w:t>
      </w:r>
      <w:r w:rsidR="00E86352" w:rsidRPr="00FD57DB">
        <w:t xml:space="preserve"> RFA</w:t>
      </w:r>
      <w:r w:rsidR="00E450B7">
        <w:t xml:space="preserve"> region</w:t>
      </w:r>
      <w:r w:rsidR="00F67DBC" w:rsidRPr="00FD57DB">
        <w:t xml:space="preserve"> and 8% in the East Gippsland RFA</w:t>
      </w:r>
      <w:r w:rsidR="00E450B7">
        <w:t xml:space="preserve"> region</w:t>
      </w:r>
      <w:r w:rsidR="00F67DBC" w:rsidRPr="00FD57DB">
        <w:t>.</w:t>
      </w:r>
    </w:p>
    <w:p w14:paraId="136A042E" w14:textId="77777777" w:rsidR="005F2101" w:rsidRDefault="005F2101" w:rsidP="005F2101">
      <w:pPr>
        <w:pStyle w:val="BodyText"/>
      </w:pPr>
      <w:r>
        <w:t xml:space="preserve">Current controls </w:t>
      </w:r>
      <w:r w:rsidRPr="00660ABA">
        <w:t>for this hazard includ</w:t>
      </w:r>
      <w:r>
        <w:t>e:</w:t>
      </w:r>
    </w:p>
    <w:p w14:paraId="652F0D75" w14:textId="367AA5BD" w:rsidR="005F2101" w:rsidRDefault="005F2101" w:rsidP="006670D2">
      <w:pPr>
        <w:pStyle w:val="PullOutBoxBullet"/>
        <w:rPr>
          <w:rFonts w:eastAsiaTheme="minorEastAsia" w:cstheme="minorBidi"/>
          <w:sz w:val="22"/>
          <w:szCs w:val="22"/>
        </w:rPr>
      </w:pPr>
      <w:r w:rsidRPr="4F453272">
        <w:t xml:space="preserve">The </w:t>
      </w:r>
      <w:r w:rsidRPr="4F453272">
        <w:rPr>
          <w:i/>
          <w:iCs/>
        </w:rPr>
        <w:t xml:space="preserve">Code of Practice for Timber Production 2014. </w:t>
      </w:r>
      <w:r w:rsidR="00FC0FD3" w:rsidRPr="00915D82">
        <w:t xml:space="preserve">The effectiveness of this control for this species was rated as poor. Concerns regarding the accurate field identification of rainforest following disturbance warrants a more reliable approach to its protection. There is no species-specific prescription for this </w:t>
      </w:r>
      <w:r w:rsidR="001D3902">
        <w:t>species</w:t>
      </w:r>
      <w:r w:rsidR="00FC0FD3" w:rsidRPr="00915D82">
        <w:t xml:space="preserve"> in the Code, however the Code includes general protections for waterways and rainforest including a prohibition on harvesting, the application of buffers and </w:t>
      </w:r>
      <w:r w:rsidR="004A2A23" w:rsidRPr="00915D82">
        <w:t>design standards for roads, crossings</w:t>
      </w:r>
      <w:r w:rsidR="00A2592D" w:rsidRPr="00915D82">
        <w:t>,</w:t>
      </w:r>
      <w:r w:rsidR="004A2A23" w:rsidRPr="00915D82">
        <w:t xml:space="preserve"> and coupe infrastructure.</w:t>
      </w:r>
    </w:p>
    <w:p w14:paraId="59243CE9" w14:textId="47D57605" w:rsidR="005F2101" w:rsidRPr="00C4228E" w:rsidRDefault="005F2101"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satisfactory</w:t>
      </w:r>
      <w:r w:rsidRPr="4F453272">
        <w:t xml:space="preserve"> as </w:t>
      </w:r>
      <w:r>
        <w:t>61</w:t>
      </w:r>
      <w:r w:rsidRPr="4F453272">
        <w:t xml:space="preserve">% of the </w:t>
      </w:r>
      <w:r w:rsidR="001D3902">
        <w:t>species’</w:t>
      </w:r>
      <w:r w:rsidRPr="4F453272">
        <w:t xml:space="preserve"> </w:t>
      </w:r>
      <w:r>
        <w:t>important populations</w:t>
      </w:r>
      <w:r w:rsidRPr="4F453272">
        <w:t xml:space="preserve"> and</w:t>
      </w:r>
      <w:r>
        <w:t xml:space="preserve"> 69</w:t>
      </w:r>
      <w:r w:rsidRPr="4F453272">
        <w:t>% of</w:t>
      </w:r>
      <w:r>
        <w:t xml:space="preserve"> post-1970 VBA points</w:t>
      </w:r>
      <w:r w:rsidRPr="4F453272">
        <w:t xml:space="preserve"> are within the reserve system.</w:t>
      </w:r>
    </w:p>
    <w:p w14:paraId="557645B1" w14:textId="77777777" w:rsidR="00457D00" w:rsidRDefault="00457D00">
      <w:pPr>
        <w:rPr>
          <w:b/>
          <w:bCs/>
          <w:sz w:val="16"/>
        </w:rPr>
      </w:pPr>
      <w:r>
        <w:br w:type="page"/>
      </w:r>
    </w:p>
    <w:p w14:paraId="5E4196B3" w14:textId="3B4F8F4D"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176</w:t>
      </w:r>
      <w:r w:rsidR="000B6788" w:rsidRPr="00291BDC">
        <w:rPr>
          <w:bCs/>
          <w:noProof/>
        </w:rPr>
        <w:fldChar w:fldCharType="end"/>
      </w:r>
      <w:r w:rsidRPr="00FF310C">
        <w:t>. Oval Fork-fern protection requirements and recommendations for Forestry operations and roading</w:t>
      </w:r>
    </w:p>
    <w:tbl>
      <w:tblPr>
        <w:tblStyle w:val="TableGrid"/>
        <w:tblW w:w="0" w:type="auto"/>
        <w:tblLook w:val="04A0" w:firstRow="1" w:lastRow="0" w:firstColumn="1" w:lastColumn="0" w:noHBand="0" w:noVBand="1"/>
      </w:tblPr>
      <w:tblGrid>
        <w:gridCol w:w="2268"/>
        <w:gridCol w:w="7371"/>
      </w:tblGrid>
      <w:tr w:rsidR="003F25FD" w:rsidRPr="00867DAA" w14:paraId="5E47EEDA" w14:textId="77777777" w:rsidTr="003F25F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53F4BFD" w14:textId="77777777" w:rsidR="005F2101" w:rsidRPr="007B5B86" w:rsidRDefault="005F2101" w:rsidP="00296E0F">
            <w:pPr>
              <w:pStyle w:val="BodyText"/>
            </w:pPr>
            <w:r w:rsidRPr="007B5B86">
              <w:t>Requirement</w:t>
            </w:r>
          </w:p>
        </w:tc>
        <w:tc>
          <w:tcPr>
            <w:tcW w:w="7371" w:type="dxa"/>
          </w:tcPr>
          <w:p w14:paraId="3852DF29" w14:textId="77777777" w:rsidR="005F2101" w:rsidRPr="007B5B86"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5F2101" w:rsidRPr="00867DAA" w14:paraId="40FC5C32" w14:textId="77777777" w:rsidTr="0045799B">
        <w:tc>
          <w:tcPr>
            <w:tcW w:w="0" w:type="dxa"/>
          </w:tcPr>
          <w:p w14:paraId="08A2FB90" w14:textId="66479EF6" w:rsidR="005F2101" w:rsidRPr="00867DAA" w:rsidRDefault="005F2101" w:rsidP="0097320D">
            <w:pPr>
              <w:pStyle w:val="BodyText"/>
            </w:pPr>
            <w:r w:rsidRPr="00867DAA">
              <w:t>Interim protections</w:t>
            </w:r>
            <w:r w:rsidR="004E2985">
              <w:t xml:space="preserve"> </w:t>
            </w:r>
          </w:p>
        </w:tc>
        <w:tc>
          <w:tcPr>
            <w:tcW w:w="0" w:type="dxa"/>
          </w:tcPr>
          <w:p w14:paraId="2A2EB48E" w14:textId="01101C51" w:rsidR="00DA24AF" w:rsidRPr="00013BFB" w:rsidRDefault="00DA24AF" w:rsidP="00DA24AF">
            <w:pPr>
              <w:pStyle w:val="BodyText"/>
              <w:rPr>
                <w:rFonts w:eastAsia="Calibri"/>
              </w:rPr>
            </w:pPr>
            <w:r w:rsidRPr="00013BFB">
              <w:rPr>
                <w:rFonts w:eastAsia="Calibri"/>
              </w:rPr>
              <w:t xml:space="preserve">Within the East Gippsland </w:t>
            </w:r>
            <w:r w:rsidR="008E5592">
              <w:rPr>
                <w:rFonts w:eastAsia="Calibri"/>
              </w:rPr>
              <w:t xml:space="preserve">and Gippsland </w:t>
            </w:r>
            <w:r w:rsidRPr="00013BFB">
              <w:rPr>
                <w:rFonts w:eastAsia="Calibri"/>
              </w:rPr>
              <w:t>RFA region</w:t>
            </w:r>
            <w:r w:rsidR="008E5592">
              <w:rPr>
                <w:rFonts w:eastAsia="Calibri"/>
              </w:rPr>
              <w:t>s</w:t>
            </w:r>
            <w:r w:rsidRPr="00013BFB">
              <w:rPr>
                <w:rFonts w:eastAsia="Calibri"/>
              </w:rPr>
              <w:t xml:space="preserve">, the Secretary will establish Special Protection Zone(s) to protect Warm Temperate Rainforest </w:t>
            </w:r>
            <w:r w:rsidR="008E5592">
              <w:rPr>
                <w:rFonts w:eastAsia="Calibri"/>
              </w:rPr>
              <w:t xml:space="preserve">and Cool Temperate Rainforest </w:t>
            </w:r>
            <w:r w:rsidRPr="00013BFB">
              <w:rPr>
                <w:rFonts w:eastAsia="Calibri"/>
              </w:rPr>
              <w:t xml:space="preserve">communities including relevant buffers based on </w:t>
            </w:r>
            <w:r w:rsidR="00225397">
              <w:rPr>
                <w:rFonts w:eastAsia="Calibri"/>
              </w:rPr>
              <w:t xml:space="preserve">the </w:t>
            </w:r>
            <w:r w:rsidRPr="00013BFB">
              <w:rPr>
                <w:rFonts w:eastAsia="Calibri"/>
              </w:rPr>
              <w:t xml:space="preserve">Department’s corporate spatial dataset RAINFOR where the rainforest extent has been impacted by high severity fire in the last 10 years (since 2012) (DELWP 2019-20 Fire Severity: Crown Burn and High Crown Scorch). This is to provide protection for the habitat of unrecorded populations of this </w:t>
            </w:r>
            <w:r w:rsidR="001D3902">
              <w:rPr>
                <w:rFonts w:eastAsia="Calibri"/>
              </w:rPr>
              <w:t>species</w:t>
            </w:r>
            <w:r w:rsidRPr="00013BFB">
              <w:rPr>
                <w:rFonts w:eastAsia="Calibri"/>
              </w:rPr>
              <w:t xml:space="preserve"> where it has been recently disturbed</w:t>
            </w:r>
            <w:r w:rsidR="00D73C18">
              <w:rPr>
                <w:rFonts w:eastAsia="Calibri"/>
              </w:rPr>
              <w:t xml:space="preserve"> (See Map 4).</w:t>
            </w:r>
          </w:p>
          <w:p w14:paraId="5CD16607" w14:textId="40A47118" w:rsidR="00DA24AF" w:rsidRPr="00013BFB" w:rsidRDefault="00DA24AF" w:rsidP="00DA24AF">
            <w:pPr>
              <w:pStyle w:val="BodyText"/>
              <w:rPr>
                <w:rFonts w:eastAsia="Calibri"/>
              </w:rPr>
            </w:pPr>
            <w:r w:rsidRPr="00013BFB">
              <w:rPr>
                <w:rFonts w:eastAsia="Calibri"/>
              </w:rPr>
              <w:t xml:space="preserve">Within </w:t>
            </w:r>
            <w:r>
              <w:rPr>
                <w:rFonts w:eastAsia="Calibri"/>
              </w:rPr>
              <w:t xml:space="preserve">the Central Highlands, </w:t>
            </w:r>
            <w:r w:rsidRPr="00013BFB">
              <w:rPr>
                <w:rFonts w:eastAsia="Calibri"/>
              </w:rPr>
              <w:t>East Gippsland</w:t>
            </w:r>
            <w:r>
              <w:rPr>
                <w:rFonts w:eastAsia="Calibri"/>
              </w:rPr>
              <w:t xml:space="preserve"> and Gippsland</w:t>
            </w:r>
            <w:r w:rsidRPr="00013BFB">
              <w:rPr>
                <w:rFonts w:eastAsia="Calibri"/>
              </w:rPr>
              <w:t xml:space="preserve"> RFA region</w:t>
            </w:r>
            <w:r>
              <w:rPr>
                <w:rFonts w:eastAsia="Calibri"/>
              </w:rPr>
              <w:t>s</w:t>
            </w:r>
            <w:r w:rsidRPr="00013BFB">
              <w:rPr>
                <w:rFonts w:eastAsia="Calibri"/>
              </w:rPr>
              <w:t xml:space="preserve">, the Secretary will establish Special Management Zone(s) of 200 m radius around post-1970 VBA records of this </w:t>
            </w:r>
            <w:r w:rsidR="001D3902">
              <w:rPr>
                <w:rFonts w:eastAsia="Calibri"/>
              </w:rPr>
              <w:t>species</w:t>
            </w:r>
            <w:r w:rsidRPr="00013BFB">
              <w:rPr>
                <w:rFonts w:eastAsia="Calibri"/>
              </w:rPr>
              <w:t xml:space="preserve"> with 100 m or better accuracy and any new records</w:t>
            </w:r>
            <w:r w:rsidR="00D73C18">
              <w:rPr>
                <w:rFonts w:eastAsia="Calibri"/>
              </w:rPr>
              <w:t xml:space="preserve"> (See Maps 5a and 5b).</w:t>
            </w:r>
          </w:p>
          <w:p w14:paraId="6DC5312C" w14:textId="311AB538" w:rsidR="005F2101" w:rsidRPr="00867DAA" w:rsidRDefault="00DA24AF" w:rsidP="0097320D">
            <w:pPr>
              <w:pStyle w:val="BodyText"/>
            </w:pPr>
            <w:r w:rsidRPr="00013BFB">
              <w:rPr>
                <w:rFonts w:eastAsia="Calibri"/>
              </w:rPr>
              <w:t>Note that permanent protections have been recommended for two Warm Temperate Rainforest communities in East Gippsland (</w:t>
            </w:r>
            <w:r w:rsidRPr="00013BFB">
              <w:t>Warm Temperate Rainforest - East Gippsland Alluvial Terraces and Warm Temperate Rainforest - Far East Gippsland)</w:t>
            </w:r>
            <w:r w:rsidRPr="00013BFB">
              <w:rPr>
                <w:rFonts w:eastAsia="Calibri"/>
              </w:rPr>
              <w:t>. This measure may also provide additional protection and may overlap with areas identified above.</w:t>
            </w:r>
          </w:p>
        </w:tc>
      </w:tr>
      <w:tr w:rsidR="00404818" w:rsidRPr="00867DAA" w14:paraId="43268FEB" w14:textId="77777777" w:rsidTr="0045799B">
        <w:tc>
          <w:tcPr>
            <w:tcW w:w="0" w:type="dxa"/>
          </w:tcPr>
          <w:p w14:paraId="2284F980" w14:textId="396BF706" w:rsidR="00404818" w:rsidRPr="00867DAA" w:rsidRDefault="00404818" w:rsidP="0097320D">
            <w:pPr>
              <w:pStyle w:val="BodyText"/>
            </w:pPr>
            <w:r>
              <w:t>Priority management actions</w:t>
            </w:r>
          </w:p>
        </w:tc>
        <w:tc>
          <w:tcPr>
            <w:tcW w:w="0" w:type="dxa"/>
          </w:tcPr>
          <w:p w14:paraId="2AC9A3A1" w14:textId="77777777" w:rsidR="005672B6" w:rsidRPr="00E31362" w:rsidRDefault="005672B6" w:rsidP="006670D2">
            <w:pPr>
              <w:pStyle w:val="PullOutBoxBullet"/>
            </w:pPr>
            <w:r w:rsidRPr="00E31362">
              <w:t>Comprehensively search likely habitat and map important populations; and</w:t>
            </w:r>
          </w:p>
          <w:p w14:paraId="62647698" w14:textId="023D634A" w:rsidR="00404818" w:rsidRPr="003566BD" w:rsidRDefault="005672B6" w:rsidP="006670D2">
            <w:pPr>
              <w:pStyle w:val="PullOutBoxBullet"/>
            </w:pPr>
            <w:r w:rsidRPr="00E31362">
              <w:t>Establish monitoring sites and collect baseline data.</w:t>
            </w:r>
          </w:p>
        </w:tc>
      </w:tr>
      <w:tr w:rsidR="005F2101" w:rsidRPr="00867DAA" w14:paraId="53398718" w14:textId="77777777" w:rsidTr="0097320D">
        <w:tc>
          <w:tcPr>
            <w:tcW w:w="2268" w:type="dxa"/>
          </w:tcPr>
          <w:p w14:paraId="2C69C3B4" w14:textId="77777777" w:rsidR="005F2101" w:rsidRPr="00867DAA" w:rsidRDefault="005F2101" w:rsidP="0097320D">
            <w:pPr>
              <w:pStyle w:val="BodyText"/>
            </w:pPr>
            <w:r w:rsidRPr="00867DAA">
              <w:t>Permanent protections</w:t>
            </w:r>
          </w:p>
        </w:tc>
        <w:tc>
          <w:tcPr>
            <w:tcW w:w="7371" w:type="dxa"/>
          </w:tcPr>
          <w:p w14:paraId="7085AC8D" w14:textId="77777777" w:rsidR="005F2101" w:rsidRPr="00867DAA" w:rsidRDefault="005F2101" w:rsidP="0097320D">
            <w:pPr>
              <w:pStyle w:val="BodyText"/>
            </w:pPr>
            <w:r w:rsidRPr="003566BD">
              <w:t>Additional permanent protections may be required in the longer-term</w:t>
            </w:r>
            <w:r>
              <w:t>.</w:t>
            </w:r>
          </w:p>
        </w:tc>
      </w:tr>
      <w:tr w:rsidR="005F2101" w:rsidRPr="00867DAA" w14:paraId="28E64C01" w14:textId="77777777" w:rsidTr="0045799B">
        <w:tc>
          <w:tcPr>
            <w:tcW w:w="0" w:type="dxa"/>
          </w:tcPr>
          <w:p w14:paraId="610096E2" w14:textId="3B21E285" w:rsidR="005F2101" w:rsidRPr="00867DAA" w:rsidRDefault="004E2985" w:rsidP="0097320D">
            <w:pPr>
              <w:pStyle w:val="BodyText"/>
            </w:pPr>
            <w:r>
              <w:t>Potential m</w:t>
            </w:r>
            <w:r w:rsidR="005F2101" w:rsidRPr="00867DAA">
              <w:t>anagement actions</w:t>
            </w:r>
          </w:p>
        </w:tc>
        <w:tc>
          <w:tcPr>
            <w:tcW w:w="0" w:type="dxa"/>
          </w:tcPr>
          <w:p w14:paraId="6EA93CE8" w14:textId="55CB6290" w:rsidR="005F2101" w:rsidRDefault="005F2101" w:rsidP="006670D2">
            <w:pPr>
              <w:pStyle w:val="PullOutBoxBullet"/>
            </w:pPr>
            <w:r w:rsidRPr="00D65476">
              <w:t xml:space="preserve">Conduct FPSP surveys at all coupes that could potentially support the </w:t>
            </w:r>
            <w:r w:rsidR="001D3902">
              <w:t>species</w:t>
            </w:r>
            <w:r>
              <w:t xml:space="preserve">; and </w:t>
            </w:r>
          </w:p>
          <w:p w14:paraId="6D928431" w14:textId="37F4EF2E" w:rsidR="005F2101" w:rsidRPr="00867DAA" w:rsidRDefault="005F2101" w:rsidP="006670D2">
            <w:pPr>
              <w:pStyle w:val="PullOutBoxBullet"/>
            </w:pPr>
            <w:r>
              <w:rPr>
                <w:rFonts w:ascii="Arial" w:hAnsi="Arial"/>
                <w:color w:val="363534"/>
              </w:rPr>
              <w:t xml:space="preserve">The </w:t>
            </w:r>
            <w:r>
              <w:t xml:space="preserve">VCS is being developed to accommodate spore collection for ferns, so ensure this </w:t>
            </w:r>
            <w:r w:rsidR="001D3902">
              <w:t>species</w:t>
            </w:r>
            <w:r>
              <w:t xml:space="preserve"> is included in early collections.</w:t>
            </w:r>
          </w:p>
        </w:tc>
      </w:tr>
    </w:tbl>
    <w:p w14:paraId="5CD33E43" w14:textId="71A8BFF7" w:rsidR="0003519D" w:rsidRDefault="0003519D" w:rsidP="007E5EBF">
      <w:pPr>
        <w:pStyle w:val="Heading3"/>
        <w:ind w:left="720" w:hanging="720"/>
        <w:jc w:val="both"/>
      </w:pPr>
      <w:r>
        <w:t>Habitat loss, degradation</w:t>
      </w:r>
      <w:r w:rsidR="00A2592D">
        <w:t>,</w:t>
      </w:r>
      <w:r>
        <w:t xml:space="preserve"> and fragmentation</w:t>
      </w:r>
    </w:p>
    <w:p w14:paraId="3284D688" w14:textId="77777777" w:rsidR="005F2101" w:rsidRPr="001C0DE0" w:rsidRDefault="005F2101" w:rsidP="007E5EBF">
      <w:pPr>
        <w:pStyle w:val="Heading5"/>
      </w:pPr>
      <w:r>
        <w:t>Habitat clearing</w:t>
      </w:r>
    </w:p>
    <w:p w14:paraId="2D26E983" w14:textId="7D788EB5" w:rsidR="005F2101" w:rsidRDefault="005F2101" w:rsidP="005F2101">
      <w:pPr>
        <w:pStyle w:val="BodyText"/>
      </w:pPr>
      <w:r>
        <w:t>Most habitat is in National parks or reserves with only a small proportion of records on private land. There is minimal incentive for landowners to clear this kind of habitat as it is not suitable for agricultural or building purposes.</w:t>
      </w:r>
      <w:r w:rsidRPr="00DE3522">
        <w:t xml:space="preserve"> </w:t>
      </w:r>
      <w:r>
        <w:t>Clearing opens habitat to drying and therefore more frequent/intense fires</w:t>
      </w:r>
      <w:r w:rsidR="00345077">
        <w:t xml:space="preserve"> and</w:t>
      </w:r>
      <w:r>
        <w:t xml:space="preserve"> opens it up for weed invasion and Myrtle Wilt. This hazard extends across less than 5% of the </w:t>
      </w:r>
      <w:r w:rsidR="001D3902">
        <w:t>species’</w:t>
      </w:r>
      <w:r>
        <w:t xml:space="preserve"> habitat.  </w:t>
      </w:r>
    </w:p>
    <w:p w14:paraId="48D912B7" w14:textId="77777777" w:rsidR="005F2101" w:rsidRDefault="005F2101" w:rsidP="005F2101">
      <w:pPr>
        <w:pStyle w:val="BodyText"/>
      </w:pPr>
      <w:r>
        <w:t xml:space="preserve">Current controls </w:t>
      </w:r>
      <w:r w:rsidRPr="00660ABA">
        <w:t>for this hazard includ</w:t>
      </w:r>
      <w:r>
        <w:t>e:</w:t>
      </w:r>
    </w:p>
    <w:p w14:paraId="4AAFE54D" w14:textId="2C583CC9" w:rsidR="005F2101" w:rsidRDefault="005F2101" w:rsidP="006670D2">
      <w:pPr>
        <w:pStyle w:val="PullOutBoxBullet"/>
      </w:pPr>
      <w:r>
        <w:t xml:space="preserve">Native vegetation regulations. </w:t>
      </w:r>
      <w:r w:rsidRPr="00160F2E">
        <w:t>The effectiveness of this control for this species has been evaluated as</w:t>
      </w:r>
      <w:r>
        <w:t xml:space="preserve"> satisfactory because even though </w:t>
      </w:r>
      <w:r w:rsidR="000A106C">
        <w:t xml:space="preserve">it hasn’t been directly demonstrated, </w:t>
      </w:r>
      <w:r>
        <w:t>there hasn’t really been pressure to clear this kind of habitat</w:t>
      </w:r>
      <w:r w:rsidR="00345077">
        <w:t>,</w:t>
      </w:r>
      <w:r w:rsidR="000A106C">
        <w:t xml:space="preserve"> so </w:t>
      </w:r>
      <w:r>
        <w:t xml:space="preserve">it appears to be effective. </w:t>
      </w:r>
    </w:p>
    <w:p w14:paraId="58FC8740" w14:textId="630A7344" w:rsidR="005F2101" w:rsidRDefault="005F2101" w:rsidP="006670D2">
      <w:pPr>
        <w:pStyle w:val="PullOutBoxBullet"/>
      </w:pPr>
      <w:r w:rsidRPr="4F453272">
        <w:t xml:space="preserve">The CAR reserve system. </w:t>
      </w:r>
      <w:r w:rsidRPr="00160F2E">
        <w:t>The effectiveness of this control for this species has been evaluated as</w:t>
      </w:r>
      <w:r>
        <w:t xml:space="preserve"> satisfactory</w:t>
      </w:r>
      <w:r w:rsidRPr="4F453272">
        <w:t xml:space="preserve"> as </w:t>
      </w:r>
      <w:r>
        <w:t>61</w:t>
      </w:r>
      <w:r w:rsidRPr="4F453272">
        <w:t xml:space="preserve">% of the </w:t>
      </w:r>
      <w:r w:rsidR="001D3902">
        <w:t>species’</w:t>
      </w:r>
      <w:r w:rsidRPr="4F453272">
        <w:t xml:space="preserve"> </w:t>
      </w:r>
      <w:r>
        <w:t>important populations</w:t>
      </w:r>
      <w:r w:rsidRPr="4F453272">
        <w:t xml:space="preserve"> and</w:t>
      </w:r>
      <w:r>
        <w:t xml:space="preserve"> 69</w:t>
      </w:r>
      <w:r w:rsidRPr="4F453272">
        <w:t>% of</w:t>
      </w:r>
      <w:r>
        <w:t xml:space="preserve"> post-1970 VBA points</w:t>
      </w:r>
      <w:r w:rsidRPr="4F453272">
        <w:t xml:space="preserve"> are within the reserve system</w:t>
      </w:r>
      <w:r>
        <w:t>.</w:t>
      </w:r>
    </w:p>
    <w:p w14:paraId="6ADD78A4" w14:textId="4F0EDE8C"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177</w:t>
      </w:r>
      <w:r w:rsidR="000B6788" w:rsidRPr="00291BDC">
        <w:rPr>
          <w:bCs/>
          <w:noProof/>
        </w:rPr>
        <w:fldChar w:fldCharType="end"/>
      </w:r>
      <w:r w:rsidRPr="00FF310C">
        <w:t>. Oval Fork-fern protection requirements and recommendations for habitat clearing</w:t>
      </w:r>
    </w:p>
    <w:tbl>
      <w:tblPr>
        <w:tblStyle w:val="TableGrid"/>
        <w:tblW w:w="0" w:type="auto"/>
        <w:tblLook w:val="04A0" w:firstRow="1" w:lastRow="0" w:firstColumn="1" w:lastColumn="0" w:noHBand="0" w:noVBand="1"/>
      </w:tblPr>
      <w:tblGrid>
        <w:gridCol w:w="2268"/>
        <w:gridCol w:w="7371"/>
      </w:tblGrid>
      <w:tr w:rsidR="003F25FD" w:rsidRPr="00867DAA" w14:paraId="38B136B9" w14:textId="77777777" w:rsidTr="003F25F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D6A15FA" w14:textId="77777777" w:rsidR="005F2101" w:rsidRPr="007B5B86" w:rsidRDefault="005F2101" w:rsidP="00296E0F">
            <w:pPr>
              <w:pStyle w:val="BodyText"/>
            </w:pPr>
            <w:r w:rsidRPr="007B5B86">
              <w:t>Requirement</w:t>
            </w:r>
          </w:p>
        </w:tc>
        <w:tc>
          <w:tcPr>
            <w:tcW w:w="7371" w:type="dxa"/>
          </w:tcPr>
          <w:p w14:paraId="79D9EEF5" w14:textId="77777777" w:rsidR="005F2101" w:rsidRPr="007B5B86"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5F2101" w:rsidRPr="00867DAA" w14:paraId="1B0C232C" w14:textId="77777777" w:rsidTr="0045799B">
        <w:tc>
          <w:tcPr>
            <w:tcW w:w="0" w:type="dxa"/>
          </w:tcPr>
          <w:p w14:paraId="018D2BA8" w14:textId="1DFBDC17" w:rsidR="005F2101" w:rsidRPr="00867DAA" w:rsidRDefault="00A822B0" w:rsidP="0097320D">
            <w:pPr>
              <w:pStyle w:val="BodyText"/>
            </w:pPr>
            <w:r>
              <w:t>Priority management actions</w:t>
            </w:r>
          </w:p>
        </w:tc>
        <w:tc>
          <w:tcPr>
            <w:tcW w:w="0" w:type="dxa"/>
          </w:tcPr>
          <w:p w14:paraId="1FD07458" w14:textId="77777777" w:rsidR="005F2101" w:rsidRPr="00867DAA" w:rsidRDefault="005F2101" w:rsidP="0097320D">
            <w:pPr>
              <w:pStyle w:val="BodyText"/>
            </w:pPr>
            <w:r w:rsidRPr="00200995">
              <w:t xml:space="preserve">Not required for this hazard based on the overall risk level of </w:t>
            </w:r>
            <w:r>
              <w:t>low.</w:t>
            </w:r>
          </w:p>
        </w:tc>
      </w:tr>
      <w:tr w:rsidR="005F2101" w:rsidRPr="00867DAA" w14:paraId="17E31578" w14:textId="77777777" w:rsidTr="0045799B">
        <w:tc>
          <w:tcPr>
            <w:tcW w:w="0" w:type="dxa"/>
          </w:tcPr>
          <w:p w14:paraId="32200E5C" w14:textId="3803F5E1" w:rsidR="005F2101" w:rsidRPr="00867DAA" w:rsidRDefault="00A822B0" w:rsidP="0097320D">
            <w:pPr>
              <w:pStyle w:val="BodyText"/>
            </w:pPr>
            <w:r>
              <w:t>Potential m</w:t>
            </w:r>
            <w:r w:rsidR="005F2101" w:rsidRPr="00867DAA">
              <w:t>anagement actions</w:t>
            </w:r>
          </w:p>
        </w:tc>
        <w:tc>
          <w:tcPr>
            <w:tcW w:w="0" w:type="dxa"/>
          </w:tcPr>
          <w:p w14:paraId="12D39D04" w14:textId="77777777" w:rsidR="005F2101" w:rsidRDefault="005F2101" w:rsidP="006670D2">
            <w:pPr>
              <w:pStyle w:val="PullOutBoxBullet"/>
            </w:pPr>
            <w:r>
              <w:t xml:space="preserve">Ensure compliance of native </w:t>
            </w:r>
            <w:r w:rsidRPr="00CF1F13">
              <w:t>vegetation</w:t>
            </w:r>
            <w:r>
              <w:t xml:space="preserve"> removal regulations;</w:t>
            </w:r>
          </w:p>
          <w:p w14:paraId="5B3B61C4" w14:textId="756F9271" w:rsidR="005F2101" w:rsidRDefault="005F2101" w:rsidP="006670D2">
            <w:pPr>
              <w:pStyle w:val="PullOutBoxBullet"/>
            </w:pPr>
            <w:r>
              <w:t xml:space="preserve">Provide information on the </w:t>
            </w:r>
            <w:r w:rsidR="001D3902">
              <w:t>species</w:t>
            </w:r>
            <w:r>
              <w:t xml:space="preserve"> and incentives for landowners to protect habitat; and </w:t>
            </w:r>
          </w:p>
          <w:p w14:paraId="102288B4" w14:textId="6D868D00" w:rsidR="005F2101" w:rsidRPr="00867DAA" w:rsidRDefault="005F2101" w:rsidP="006670D2">
            <w:pPr>
              <w:pStyle w:val="PullOutBoxBullet"/>
            </w:pPr>
            <w:r>
              <w:t>Monitor populations</w:t>
            </w:r>
            <w:r w:rsidR="001A3765">
              <w:t>.</w:t>
            </w:r>
          </w:p>
        </w:tc>
      </w:tr>
    </w:tbl>
    <w:p w14:paraId="7DBB5948" w14:textId="77777777" w:rsidR="005F2101" w:rsidRDefault="005F2101" w:rsidP="007E5EBF">
      <w:pPr>
        <w:pStyle w:val="Heading3"/>
      </w:pPr>
      <w:r w:rsidRPr="00D55628">
        <w:rPr>
          <w:rFonts w:cs="Times New Roman"/>
          <w:noProof/>
          <w:lang w:eastAsia="en-US"/>
        </w:rPr>
        <mc:AlternateContent>
          <mc:Choice Requires="wps">
            <w:drawing>
              <wp:anchor distT="0" distB="0" distL="114300" distR="114300" simplePos="1" relativeHeight="251658356" behindDoc="1" locked="1" layoutInCell="1" allowOverlap="1" wp14:anchorId="106467B2" wp14:editId="76EAC13F">
                <wp:simplePos x="359410" y="9071610"/>
                <wp:positionH relativeFrom="page">
                  <wp:posOffset>359410</wp:posOffset>
                </wp:positionH>
                <wp:positionV relativeFrom="page">
                  <wp:posOffset>9071610</wp:posOffset>
                </wp:positionV>
                <wp:extent cx="6840001" cy="432000"/>
                <wp:effectExtent l="0" t="0" r="0" b="0"/>
                <wp:wrapNone/>
                <wp:docPr id="159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0B388"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467B2" id="_x0000_s1103" type="#_x0000_t202" alt="Title: Decorative Cover Shape" style="position:absolute;left:0;text-align:left;margin-left:28.3pt;margin-top:714.3pt;width:538.6pt;height:34pt;z-index:-2516581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" fillcolor="#201547" stroked="f" strokeweight=".5pt">
                <v:textbox inset="10mm,0,10mm,0">
                  <w:txbxContent>
                    <w:p w14:paraId="70F0B388"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355" behindDoc="0" locked="1" layoutInCell="1" allowOverlap="1" wp14:anchorId="270486D3" wp14:editId="73B506B8">
                <wp:simplePos x="0" y="0"/>
                <wp:positionH relativeFrom="page">
                  <wp:posOffset>360045</wp:posOffset>
                </wp:positionH>
                <wp:positionV relativeFrom="page">
                  <wp:posOffset>360045</wp:posOffset>
                </wp:positionV>
                <wp:extent cx="1864800" cy="1976400"/>
                <wp:effectExtent l="0" t="0" r="0" b="0"/>
                <wp:wrapNone/>
                <wp:docPr id="1410"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92E735" id="TriangleTopACIMono" o:spid="_x0000_s1026" style="position:absolute;margin-left:28.35pt;margin-top:28.35pt;width:146.85pt;height:155.6pt;z-index:2516583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354" behindDoc="0" locked="1" layoutInCell="1" allowOverlap="1" wp14:anchorId="02CFB849" wp14:editId="75DD6A4F">
                <wp:simplePos x="0" y="0"/>
                <wp:positionH relativeFrom="page">
                  <wp:posOffset>359410</wp:posOffset>
                </wp:positionH>
                <wp:positionV relativeFrom="page">
                  <wp:posOffset>359410</wp:posOffset>
                </wp:positionV>
                <wp:extent cx="1864800" cy="1976400"/>
                <wp:effectExtent l="0" t="0" r="0" b="0"/>
                <wp:wrapNone/>
                <wp:docPr id="1412"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5F492CA" id="TriangleTop" o:spid="_x0000_s1026" style="position:absolute;margin-left:28.3pt;margin-top:28.3pt;width:146.85pt;height:155.6pt;z-index:2516583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353" behindDoc="0" locked="1" layoutInCell="1" allowOverlap="1" wp14:anchorId="4A4455D5" wp14:editId="3A9DA3F9">
                <wp:simplePos x="0" y="0"/>
                <wp:positionH relativeFrom="page">
                  <wp:posOffset>0</wp:posOffset>
                </wp:positionH>
                <wp:positionV relativeFrom="page">
                  <wp:align>bottom</wp:align>
                </wp:positionV>
                <wp:extent cx="3848400" cy="720000"/>
                <wp:effectExtent l="0" t="0" r="0" b="0"/>
                <wp:wrapNone/>
                <wp:docPr id="1413"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4C9B2" w14:textId="77777777" w:rsidR="005F2101" w:rsidRPr="009F69FA" w:rsidRDefault="005F2101" w:rsidP="005F2101">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455D5" id="_x0000_s1104" type="#_x0000_t202" style="position:absolute;left:0;text-align:left;margin-left:0;margin-top:0;width:303pt;height:56.7pt;z-index:25165835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G3BE29tAgAARgUAAA4AAAAAAAAAAAAAAAAALgIA&#10;AGRycy9lMm9Eb2MueG1sUEsBAi0AFAAGAAgAAAAhAPTKz6jaAAAABQEAAA8AAAAAAAAAAAAAAAAA&#10;xwQAAGRycy9kb3ducmV2LnhtbFBLBQYAAAAABAAEAPMAAADOBQAAAAA=&#10;" filled="f" stroked="f" strokeweight=".5pt">
                <v:textbox inset="20mm">
                  <w:txbxContent>
                    <w:p w14:paraId="54B4C9B2" w14:textId="77777777" w:rsidR="005F2101" w:rsidRPr="009F69FA" w:rsidRDefault="005F2101" w:rsidP="005F2101">
                      <w:pPr>
                        <w:pStyle w:val="xWebCoverPage"/>
                      </w:pPr>
                      <w:r w:rsidRPr="009F69FA">
                        <w:t>de</w:t>
                      </w:r>
                      <w:r>
                        <w:t>lw</w:t>
                      </w:r>
                      <w:r w:rsidRPr="009F69FA">
                        <w:t>p.vic.gov.au</w:t>
                      </w:r>
                    </w:p>
                  </w:txbxContent>
                </v:textbox>
                <w10:wrap anchorx="page" anchory="page"/>
                <w10:anchorlock/>
              </v:shape>
            </w:pict>
          </mc:Fallback>
        </mc:AlternateContent>
      </w:r>
      <w:r>
        <w:t>Invasive species</w:t>
      </w:r>
    </w:p>
    <w:p w14:paraId="175D244E" w14:textId="77777777" w:rsidR="005F2101" w:rsidRPr="001C0DE0" w:rsidRDefault="005F2101" w:rsidP="007E5EBF">
      <w:pPr>
        <w:pStyle w:val="Heading5"/>
      </w:pPr>
      <w:r>
        <w:t>Invasive vertebrate (deer)</w:t>
      </w:r>
    </w:p>
    <w:p w14:paraId="6B4695A1" w14:textId="3B55D8B3" w:rsidR="005F2101" w:rsidRDefault="005F2101" w:rsidP="005F2101">
      <w:pPr>
        <w:pStyle w:val="BodyText"/>
        <w:rPr>
          <w:rFonts w:ascii="Arial" w:hAnsi="Arial"/>
          <w:color w:val="363534"/>
        </w:rPr>
      </w:pPr>
      <w:r w:rsidRPr="00255C77">
        <w:t xml:space="preserve">The </w:t>
      </w:r>
      <w:r w:rsidR="001D3902">
        <w:t>species</w:t>
      </w:r>
      <w:r w:rsidRPr="00255C77">
        <w:t xml:space="preserve"> is</w:t>
      </w:r>
      <w:r w:rsidRPr="00704719">
        <w:t xml:space="preserve"> threatened by rutting</w:t>
      </w:r>
      <w:r>
        <w:t xml:space="preserve"> and </w:t>
      </w:r>
      <w:r w:rsidRPr="00704719">
        <w:t>wallowing by deer, particularly Sambar</w:t>
      </w:r>
      <w:r>
        <w:t xml:space="preserve">, </w:t>
      </w:r>
      <w:r w:rsidRPr="00255C77">
        <w:t>which target rainforest and other riparian communities</w:t>
      </w:r>
      <w:r>
        <w:t>, and while b</w:t>
      </w:r>
      <w:r w:rsidRPr="0026100A">
        <w:t xml:space="preserve">rowsing </w:t>
      </w:r>
      <w:r>
        <w:t xml:space="preserve">is </w:t>
      </w:r>
      <w:r w:rsidRPr="0026100A">
        <w:t xml:space="preserve">not </w:t>
      </w:r>
      <w:r>
        <w:t>likely, it is</w:t>
      </w:r>
      <w:r w:rsidRPr="0026100A">
        <w:t xml:space="preserve"> possible</w:t>
      </w:r>
      <w:r>
        <w:t>. Antler rubbing could be more of an issue, however th</w:t>
      </w:r>
      <w:r w:rsidRPr="0026100A">
        <w:t xml:space="preserve">ey </w:t>
      </w:r>
      <w:r>
        <w:t>appear to prefer</w:t>
      </w:r>
      <w:r w:rsidRPr="0026100A">
        <w:t xml:space="preserve"> tree stumps of a certain diameter</w:t>
      </w:r>
      <w:r>
        <w:t xml:space="preserve"> </w:t>
      </w:r>
      <w:r w:rsidRPr="0026100A">
        <w:t xml:space="preserve">and harder timber rather than tree-ferns where this </w:t>
      </w:r>
      <w:r w:rsidR="001D3902">
        <w:t>species</w:t>
      </w:r>
      <w:r w:rsidRPr="0026100A">
        <w:t xml:space="preserve"> grow</w:t>
      </w:r>
      <w:r>
        <w:t>s. Regardless,</w:t>
      </w:r>
      <w:r w:rsidRPr="0026100A">
        <w:t xml:space="preserve"> deer are still likely to degrade the </w:t>
      </w:r>
      <w:r w:rsidR="001D3902">
        <w:t>species’</w:t>
      </w:r>
      <w:r w:rsidRPr="0026100A">
        <w:t xml:space="preserve"> habitat over time</w:t>
      </w:r>
      <w:r w:rsidRPr="00704719">
        <w:t>.</w:t>
      </w:r>
      <w:r w:rsidRPr="003C1A16">
        <w:t xml:space="preserve"> </w:t>
      </w:r>
      <w:r w:rsidRPr="0026100A">
        <w:t xml:space="preserve">After bushfires deer numbers can </w:t>
      </w:r>
      <w:r>
        <w:t>increase</w:t>
      </w:r>
      <w:r w:rsidRPr="0026100A">
        <w:t xml:space="preserve"> in regenerating forest</w:t>
      </w:r>
      <w:r>
        <w:t>s, which can also happen after</w:t>
      </w:r>
      <w:r w:rsidRPr="0026100A">
        <w:t xml:space="preserve"> timber harvesting but not at </w:t>
      </w:r>
      <w:r>
        <w:t xml:space="preserve">the </w:t>
      </w:r>
      <w:r w:rsidRPr="0026100A">
        <w:t>same landscape scale</w:t>
      </w:r>
      <w:r>
        <w:t xml:space="preserve">. This hazard extends across all the </w:t>
      </w:r>
      <w:r w:rsidR="001D3902">
        <w:t>species’</w:t>
      </w:r>
      <w:r>
        <w:t xml:space="preserve"> distribution.</w:t>
      </w:r>
    </w:p>
    <w:p w14:paraId="0DE744C4" w14:textId="77777777" w:rsidR="005F2101" w:rsidRDefault="005F2101" w:rsidP="005F2101">
      <w:pPr>
        <w:pStyle w:val="BodyText"/>
      </w:pPr>
      <w:r>
        <w:t xml:space="preserve">Current controls </w:t>
      </w:r>
      <w:r w:rsidRPr="00660ABA">
        <w:t>for this hazard includ</w:t>
      </w:r>
      <w:r>
        <w:t>e:</w:t>
      </w:r>
    </w:p>
    <w:p w14:paraId="7C45CFAB" w14:textId="704E9030" w:rsidR="005F2101" w:rsidRDefault="005F2101" w:rsidP="006670D2">
      <w:pPr>
        <w:pStyle w:val="PullOutBoxBullet"/>
        <w:rPr>
          <w:rStyle w:val="normaltextrun"/>
          <w:lang w:eastAsia="en-US"/>
        </w:rPr>
      </w:pPr>
      <w:r w:rsidRPr="00D95A46">
        <w:rPr>
          <w:rStyle w:val="normaltextrun"/>
        </w:rPr>
        <w:t xml:space="preserve">Targeted deer control. </w:t>
      </w:r>
      <w:r w:rsidRPr="00CB51DA">
        <w:rPr>
          <w:rStyle w:val="normaltextrun"/>
        </w:rPr>
        <w:t>The effectiveness of this control for this species has been evaluated as poor</w:t>
      </w:r>
      <w:r>
        <w:rPr>
          <w:rStyle w:val="normaltextrun"/>
        </w:rPr>
        <w:t xml:space="preserve"> </w:t>
      </w:r>
      <w:r w:rsidRPr="00D95A46">
        <w:rPr>
          <w:rStyle w:val="normaltextrun"/>
        </w:rPr>
        <w:t>because targeted culling is patchy, expensive, and challenging to target in remote forest areas. Sambar deer occur across a large area so there is a reservoir of other areas to recolonise from.</w:t>
      </w:r>
      <w:r w:rsidR="0074191A" w:rsidRPr="0074191A">
        <w:t xml:space="preserve"> </w:t>
      </w:r>
      <w:r w:rsidR="0074191A" w:rsidRPr="00F05594">
        <w:t xml:space="preserve">It is important to note, however, that </w:t>
      </w:r>
      <w:r w:rsidR="0074191A" w:rsidRPr="00F05594">
        <w:rPr>
          <w:rStyle w:val="eop"/>
          <w:rFonts w:ascii="Arial" w:hAnsi="Arial"/>
          <w:color w:val="363534"/>
        </w:rPr>
        <w:t>recent deer control programs carried out throughout East Gippsland show significant advances in ground-based shooting by using thermal imaging, after-dark hunting and in some cases the use of silencers. Targeted control programs should not be considered inappropriate if program funding is sustainable and the target flora species for protection face significant threat from deer activity.</w:t>
      </w:r>
    </w:p>
    <w:p w14:paraId="1D3CC35E" w14:textId="3CBBC065"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178</w:t>
      </w:r>
      <w:r w:rsidR="000B6788" w:rsidRPr="00291BDC">
        <w:rPr>
          <w:bCs/>
          <w:noProof/>
        </w:rPr>
        <w:fldChar w:fldCharType="end"/>
      </w:r>
      <w:r w:rsidRPr="00FF310C">
        <w:t>. Oval Fork-fern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3F25FD" w:rsidRPr="00867DAA" w14:paraId="1CED4CD1" w14:textId="77777777" w:rsidTr="003F25F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F1FA485" w14:textId="77777777" w:rsidR="005F2101" w:rsidRPr="007B5B86" w:rsidRDefault="005F2101" w:rsidP="00296E0F">
            <w:pPr>
              <w:pStyle w:val="BodyText"/>
            </w:pPr>
            <w:r w:rsidRPr="007B5B86">
              <w:t>Requirement</w:t>
            </w:r>
          </w:p>
        </w:tc>
        <w:tc>
          <w:tcPr>
            <w:tcW w:w="7371" w:type="dxa"/>
          </w:tcPr>
          <w:p w14:paraId="3BF76513" w14:textId="77777777" w:rsidR="005F2101" w:rsidRPr="007B5B86"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5F2101" w:rsidRPr="00867DAA" w14:paraId="091EC045" w14:textId="77777777" w:rsidTr="0045799B">
        <w:tc>
          <w:tcPr>
            <w:tcW w:w="0" w:type="dxa"/>
          </w:tcPr>
          <w:p w14:paraId="56A8A945" w14:textId="0AFC9B6C" w:rsidR="005F2101" w:rsidRPr="00867DAA" w:rsidRDefault="006A1215" w:rsidP="0097320D">
            <w:pPr>
              <w:pStyle w:val="BodyText"/>
            </w:pPr>
            <w:r>
              <w:t>Priority management actions</w:t>
            </w:r>
          </w:p>
        </w:tc>
        <w:tc>
          <w:tcPr>
            <w:tcW w:w="0" w:type="dxa"/>
          </w:tcPr>
          <w:p w14:paraId="1F729083" w14:textId="77777777" w:rsidR="005F2101" w:rsidRPr="00867DAA" w:rsidRDefault="005F2101" w:rsidP="0097320D">
            <w:pPr>
              <w:pStyle w:val="BodyText"/>
            </w:pPr>
            <w:r w:rsidRPr="00200995">
              <w:t xml:space="preserve">Not required for this hazard based on the overall risk level of </w:t>
            </w:r>
            <w:r>
              <w:t>medium.</w:t>
            </w:r>
          </w:p>
        </w:tc>
      </w:tr>
      <w:tr w:rsidR="005F2101" w:rsidRPr="00867DAA" w14:paraId="30B0E422" w14:textId="77777777" w:rsidTr="0045799B">
        <w:tc>
          <w:tcPr>
            <w:tcW w:w="0" w:type="dxa"/>
          </w:tcPr>
          <w:p w14:paraId="0F744B9A" w14:textId="078E90E9" w:rsidR="005F2101" w:rsidRPr="00867DAA" w:rsidRDefault="006A1215" w:rsidP="0097320D">
            <w:pPr>
              <w:pStyle w:val="BodyText"/>
            </w:pPr>
            <w:r>
              <w:t>Potential m</w:t>
            </w:r>
            <w:r w:rsidR="005F2101" w:rsidRPr="00867DAA">
              <w:t>anagement actions</w:t>
            </w:r>
          </w:p>
        </w:tc>
        <w:tc>
          <w:tcPr>
            <w:tcW w:w="0" w:type="dxa"/>
          </w:tcPr>
          <w:p w14:paraId="7B8500B9" w14:textId="77777777" w:rsidR="005F2101" w:rsidRDefault="005F2101" w:rsidP="006670D2">
            <w:pPr>
              <w:pStyle w:val="PullOutBoxBullet"/>
            </w:pPr>
            <w:r>
              <w:t xml:space="preserve">Assess the feasibility of fencing in areas in the short term where there are numerous deer and are impacting smaller populations/single plants; and </w:t>
            </w:r>
          </w:p>
          <w:p w14:paraId="3879B8BC" w14:textId="77777777" w:rsidR="005F2101" w:rsidRPr="00D55906" w:rsidRDefault="005F2101" w:rsidP="006670D2">
            <w:pPr>
              <w:pStyle w:val="PullOutBoxBullet"/>
            </w:pPr>
            <w:r>
              <w:t>Undertake targeted deer control in the vicinity of Oval Fork-fern populations.</w:t>
            </w:r>
          </w:p>
        </w:tc>
      </w:tr>
    </w:tbl>
    <w:p w14:paraId="0D2CAC0B" w14:textId="77777777" w:rsidR="005F2101" w:rsidRDefault="005F2101" w:rsidP="007E5EBF">
      <w:pPr>
        <w:pStyle w:val="Heading3"/>
      </w:pPr>
      <w:r>
        <w:t>Population dynamics</w:t>
      </w:r>
    </w:p>
    <w:p w14:paraId="05D0E49C" w14:textId="77777777" w:rsidR="005F2101" w:rsidRPr="001C0DE0" w:rsidRDefault="005F2101" w:rsidP="007E5EBF">
      <w:pPr>
        <w:pStyle w:val="Heading5"/>
      </w:pPr>
      <w:r>
        <w:t>Myrtle Wilt</w:t>
      </w:r>
    </w:p>
    <w:p w14:paraId="38FAB49F" w14:textId="7C8DB857" w:rsidR="00DF0984" w:rsidRDefault="005F2101" w:rsidP="005F2101">
      <w:pPr>
        <w:pStyle w:val="BodyText"/>
      </w:pPr>
      <w:r>
        <w:t xml:space="preserve">This hazard depends on Myrtle Beech extent across the </w:t>
      </w:r>
      <w:r w:rsidR="001D3902">
        <w:t>species’</w:t>
      </w:r>
      <w:r>
        <w:t xml:space="preserve"> habitat. It does not occur in East Gippsland which has approximately half of the </w:t>
      </w:r>
      <w:r w:rsidR="001D3902">
        <w:t>species’</w:t>
      </w:r>
      <w:r>
        <w:t xml:space="preserve"> populations, so overall around 30% of the </w:t>
      </w:r>
      <w:r w:rsidR="001D3902">
        <w:t>species</w:t>
      </w:r>
      <w:r>
        <w:t xml:space="preserve"> is potentially at threat from Myrtle wilt.</w:t>
      </w:r>
      <w:r w:rsidRPr="004A570A">
        <w:t xml:space="preserve"> </w:t>
      </w:r>
      <w:r w:rsidR="00DF0984">
        <w:t>Any disturbance to a patch of Myrtle Beech makes it more susceptible to Myrtle Wilt</w:t>
      </w:r>
      <w:r w:rsidR="00345077">
        <w:t xml:space="preserve"> and</w:t>
      </w:r>
      <w:r w:rsidR="00DF0984">
        <w:t xml:space="preserve"> dying back of myrtles could change the whole ecology of the forest with more light, heat and wind coming through. </w:t>
      </w:r>
    </w:p>
    <w:p w14:paraId="39DEFA81" w14:textId="48B993D2" w:rsidR="005F2101" w:rsidRPr="00704719" w:rsidRDefault="005F2101" w:rsidP="005F2101">
      <w:pPr>
        <w:pStyle w:val="BodyText"/>
        <w:rPr>
          <w:rStyle w:val="BodyTextChar"/>
        </w:rPr>
      </w:pPr>
      <w:r>
        <w:t>Extensive camera trap use for Leadbeater’s Possum (</w:t>
      </w:r>
      <w:r w:rsidR="00205984" w:rsidRPr="00915D82">
        <w:rPr>
          <w:i/>
          <w:iCs/>
        </w:rPr>
        <w:t>Gymnobelideus leadbeateri</w:t>
      </w:r>
      <w:r w:rsidR="00205984">
        <w:t>)</w:t>
      </w:r>
      <w:r w:rsidR="00205984" w:rsidRPr="00205984" w:rsidDel="00205984">
        <w:t xml:space="preserve"> </w:t>
      </w:r>
      <w:r>
        <w:t>in the Central Highlands RFA</w:t>
      </w:r>
      <w:r w:rsidR="00E450B7">
        <w:t xml:space="preserve"> region</w:t>
      </w:r>
      <w:r>
        <w:t xml:space="preserve"> require arborists to climb trees to install cameras.</w:t>
      </w:r>
      <w:r w:rsidR="00202C53">
        <w:t xml:space="preserve"> The</w:t>
      </w:r>
      <w:r>
        <w:t xml:space="preserve"> FPSP generally require that any arborist climbing a Myrtle Beech, which is a common species targeted for camera traps as it occupies good habitat for L</w:t>
      </w:r>
      <w:r w:rsidR="00205984">
        <w:t>eadbeater’s Possum</w:t>
      </w:r>
      <w:r>
        <w:t>, to remove spikes from arborist boots to limit potential spread of pathogens. This may be a standard operational requirement with</w:t>
      </w:r>
      <w:r w:rsidR="00202C53">
        <w:t xml:space="preserve"> the</w:t>
      </w:r>
      <w:r>
        <w:t xml:space="preserve"> </w:t>
      </w:r>
      <w:r w:rsidR="0063458B">
        <w:t>FPSP,</w:t>
      </w:r>
      <w:r>
        <w:t xml:space="preserve"> but it is unclear if it is required by other organisations. </w:t>
      </w:r>
      <w:r w:rsidRPr="00704719">
        <w:rPr>
          <w:rStyle w:val="BodyTextChar"/>
        </w:rPr>
        <w:t xml:space="preserve">This hazard </w:t>
      </w:r>
      <w:r>
        <w:rPr>
          <w:rStyle w:val="BodyTextChar"/>
        </w:rPr>
        <w:t>i</w:t>
      </w:r>
      <w:r w:rsidRPr="00704719">
        <w:rPr>
          <w:rStyle w:val="BodyTextChar"/>
        </w:rPr>
        <w:t>nteracts with forest operations</w:t>
      </w:r>
      <w:r>
        <w:rPr>
          <w:rStyle w:val="BodyTextChar"/>
        </w:rPr>
        <w:t xml:space="preserve"> as</w:t>
      </w:r>
      <w:r w:rsidRPr="00704719">
        <w:rPr>
          <w:rStyle w:val="BodyTextChar"/>
        </w:rPr>
        <w:t xml:space="preserve"> damage to Myrtle Beech trees through mechanical disturbances is one of the main ways Myrtle </w:t>
      </w:r>
      <w:r w:rsidR="00D51C3E">
        <w:rPr>
          <w:rStyle w:val="BodyTextChar"/>
        </w:rPr>
        <w:t>W</w:t>
      </w:r>
      <w:r w:rsidRPr="00704719">
        <w:rPr>
          <w:rStyle w:val="BodyTextChar"/>
        </w:rPr>
        <w:t>ilt</w:t>
      </w:r>
      <w:r>
        <w:rPr>
          <w:rStyle w:val="BodyTextChar"/>
        </w:rPr>
        <w:t xml:space="preserve"> might be exacerbated</w:t>
      </w:r>
      <w:r w:rsidRPr="00704719">
        <w:rPr>
          <w:rStyle w:val="BodyTextChar"/>
        </w:rPr>
        <w:t xml:space="preserve"> in core forest areas in the Central Highlands RFA</w:t>
      </w:r>
      <w:r>
        <w:rPr>
          <w:rStyle w:val="BodyTextChar"/>
        </w:rPr>
        <w:t xml:space="preserve"> region</w:t>
      </w:r>
      <w:r w:rsidRPr="00704719">
        <w:rPr>
          <w:rStyle w:val="BodyTextChar"/>
        </w:rPr>
        <w:t xml:space="preserve">. </w:t>
      </w:r>
    </w:p>
    <w:p w14:paraId="3A3D0BCB" w14:textId="77777777" w:rsidR="005F2101" w:rsidRDefault="005F2101" w:rsidP="005F2101">
      <w:pPr>
        <w:pStyle w:val="BodyText"/>
      </w:pPr>
      <w:r>
        <w:t xml:space="preserve">Current controls </w:t>
      </w:r>
      <w:r w:rsidRPr="00660ABA">
        <w:t>for this hazard includ</w:t>
      </w:r>
      <w:r>
        <w:t>e:</w:t>
      </w:r>
    </w:p>
    <w:p w14:paraId="52FA37EC" w14:textId="2D48AAAA" w:rsidR="005F2101" w:rsidRPr="002D6D6F" w:rsidRDefault="005F2101" w:rsidP="006670D2">
      <w:pPr>
        <w:pStyle w:val="PullOutBoxBullet"/>
      </w:pPr>
      <w:r>
        <w:t xml:space="preserve">The </w:t>
      </w:r>
      <w:r w:rsidRPr="60664A41">
        <w:rPr>
          <w:i/>
          <w:iCs/>
        </w:rPr>
        <w:t>Code of Practice for Timber Production 2014</w:t>
      </w:r>
      <w:r>
        <w:t xml:space="preserve">. The effectiveness of this control for this species has been evaluated as satisfactory when Myrtle Beech occurs in rainforest </w:t>
      </w:r>
      <w:r w:rsidR="004A0B09">
        <w:t>if</w:t>
      </w:r>
      <w:r>
        <w:t xml:space="preserve"> the rainforest buffers are consistently applied to limit disturbance. In cases where rainforest is disturbed the control would be evaluated as poor, as well as when Myrtle Beech occurs outside rainforest, such as in small groves across hillslopes in high rainfall montane habitat</w:t>
      </w:r>
      <w:r w:rsidR="00BB4C8D">
        <w:t xml:space="preserve"> </w:t>
      </w:r>
      <w:r>
        <w:t>associated with Montane Riparian Thicket and patchy seepage zones</w:t>
      </w:r>
      <w:r w:rsidR="003F3B42">
        <w:t>,</w:t>
      </w:r>
      <w:r w:rsidR="003F3B42" w:rsidRPr="60664A41">
        <w:rPr>
          <w:color w:val="504B60" w:themeColor="accent6" w:themeShade="80"/>
        </w:rPr>
        <w:t xml:space="preserve"> n</w:t>
      </w:r>
      <w:r w:rsidR="003F3B42">
        <w:t>oting that wetlands and Montane Riparian Thicket are protected from harvesting under the Code</w:t>
      </w:r>
      <w:r>
        <w:t xml:space="preserve">. </w:t>
      </w:r>
    </w:p>
    <w:p w14:paraId="1A13CB80" w14:textId="77777777" w:rsidR="00983A65" w:rsidRDefault="00983A65">
      <w:pPr>
        <w:rPr>
          <w:b/>
          <w:sz w:val="16"/>
          <w:szCs w:val="16"/>
        </w:rPr>
      </w:pPr>
      <w:r>
        <w:br w:type="page"/>
      </w:r>
    </w:p>
    <w:p w14:paraId="64403605" w14:textId="08B7CC53"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179</w:t>
      </w:r>
      <w:r w:rsidR="000B6788" w:rsidRPr="00291BDC">
        <w:rPr>
          <w:bCs/>
          <w:noProof/>
        </w:rPr>
        <w:fldChar w:fldCharType="end"/>
      </w:r>
      <w:r w:rsidRPr="00FF310C">
        <w:t xml:space="preserve">. Oval Fork-fern protection requirements and recommendations for </w:t>
      </w:r>
      <w:r w:rsidR="00EF4D09" w:rsidRPr="00FF310C">
        <w:t>M</w:t>
      </w:r>
      <w:r w:rsidRPr="00FF310C">
        <w:t xml:space="preserve">yrtle </w:t>
      </w:r>
      <w:r w:rsidR="00EF4D09" w:rsidRPr="00FF310C">
        <w:t>W</w:t>
      </w:r>
      <w:r w:rsidRPr="00FF310C">
        <w:t>ilt</w:t>
      </w:r>
    </w:p>
    <w:tbl>
      <w:tblPr>
        <w:tblStyle w:val="TableGrid"/>
        <w:tblW w:w="0" w:type="auto"/>
        <w:tblLook w:val="04A0" w:firstRow="1" w:lastRow="0" w:firstColumn="1" w:lastColumn="0" w:noHBand="0" w:noVBand="1"/>
      </w:tblPr>
      <w:tblGrid>
        <w:gridCol w:w="2268"/>
        <w:gridCol w:w="7371"/>
      </w:tblGrid>
      <w:tr w:rsidR="003F25FD" w:rsidRPr="00867DAA" w14:paraId="1DD079CD" w14:textId="77777777" w:rsidTr="003F25F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E653D21" w14:textId="77777777" w:rsidR="005F2101" w:rsidRPr="007B5B86" w:rsidRDefault="005F2101" w:rsidP="00296E0F">
            <w:pPr>
              <w:pStyle w:val="BodyText"/>
            </w:pPr>
            <w:r w:rsidRPr="007B5B86">
              <w:t>Requirement</w:t>
            </w:r>
          </w:p>
        </w:tc>
        <w:tc>
          <w:tcPr>
            <w:tcW w:w="7371" w:type="dxa"/>
          </w:tcPr>
          <w:p w14:paraId="5CE6D043" w14:textId="77777777" w:rsidR="005F2101" w:rsidRPr="007B5B86"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5F2101" w:rsidRPr="00867DAA" w14:paraId="2748EFB5" w14:textId="77777777" w:rsidTr="0045799B">
        <w:tc>
          <w:tcPr>
            <w:tcW w:w="0" w:type="dxa"/>
          </w:tcPr>
          <w:p w14:paraId="61DD70AE" w14:textId="2F5B5789" w:rsidR="005F2101" w:rsidRPr="00867DAA" w:rsidRDefault="006A1215" w:rsidP="0097320D">
            <w:pPr>
              <w:pStyle w:val="BodyText"/>
            </w:pPr>
            <w:r>
              <w:t>Priority management actions</w:t>
            </w:r>
          </w:p>
        </w:tc>
        <w:tc>
          <w:tcPr>
            <w:tcW w:w="0" w:type="dxa"/>
          </w:tcPr>
          <w:p w14:paraId="0738C0CB" w14:textId="77777777" w:rsidR="005F2101" w:rsidRPr="00867DAA" w:rsidRDefault="005F2101" w:rsidP="0097320D">
            <w:pPr>
              <w:pStyle w:val="BodyText"/>
            </w:pPr>
            <w:r w:rsidRPr="00200995">
              <w:t xml:space="preserve">Not required for this hazard based on the overall risk level of </w:t>
            </w:r>
            <w:r>
              <w:t>medium.</w:t>
            </w:r>
          </w:p>
        </w:tc>
      </w:tr>
      <w:tr w:rsidR="005F2101" w:rsidRPr="00867DAA" w14:paraId="10DDBACC" w14:textId="77777777" w:rsidTr="0045799B">
        <w:tc>
          <w:tcPr>
            <w:tcW w:w="0" w:type="dxa"/>
          </w:tcPr>
          <w:p w14:paraId="127B906A" w14:textId="1F9216E4" w:rsidR="005F2101" w:rsidRPr="00867DAA" w:rsidRDefault="006A1215" w:rsidP="0097320D">
            <w:pPr>
              <w:pStyle w:val="BodyText"/>
            </w:pPr>
            <w:r>
              <w:t>Potential m</w:t>
            </w:r>
            <w:r w:rsidR="005F2101" w:rsidRPr="00867DAA">
              <w:t>anagement actions</w:t>
            </w:r>
          </w:p>
        </w:tc>
        <w:tc>
          <w:tcPr>
            <w:tcW w:w="0" w:type="dxa"/>
          </w:tcPr>
          <w:p w14:paraId="61C146CA" w14:textId="0567F020" w:rsidR="005F2101" w:rsidRPr="00C23B38" w:rsidRDefault="005F2101" w:rsidP="006670D2">
            <w:pPr>
              <w:pStyle w:val="PullOutBoxBullet"/>
              <w:rPr>
                <w:rFonts w:ascii="Arial" w:hAnsi="Arial"/>
                <w:color w:val="363534"/>
              </w:rPr>
            </w:pPr>
            <w:r>
              <w:t xml:space="preserve">Conduct post harvesting monitoring to determine any impact on the </w:t>
            </w:r>
            <w:r w:rsidR="001D3902">
              <w:t>species</w:t>
            </w:r>
            <w:r>
              <w:t>; and</w:t>
            </w:r>
          </w:p>
          <w:p w14:paraId="4EC5AF2A" w14:textId="57C7F6A6" w:rsidR="005F2101" w:rsidRPr="007935D4" w:rsidRDefault="005F2101" w:rsidP="006670D2">
            <w:pPr>
              <w:pStyle w:val="PullOutBoxBullet"/>
              <w:rPr>
                <w:rFonts w:ascii="Arial" w:hAnsi="Arial"/>
                <w:color w:val="363534"/>
              </w:rPr>
            </w:pPr>
            <w:r>
              <w:t xml:space="preserve">Apply extra care where Myrtle Beech occurs next to the upslope side of any riparian buffer (on land subject to forestry operations) </w:t>
            </w:r>
            <w:r w:rsidR="004A0B09">
              <w:t>considering</w:t>
            </w:r>
            <w:r>
              <w:t xml:space="preserve"> potential to transmit disease to the downslope rainforest patches</w:t>
            </w:r>
            <w:r w:rsidR="00D70FD8">
              <w:t>.</w:t>
            </w:r>
          </w:p>
        </w:tc>
      </w:tr>
    </w:tbl>
    <w:p w14:paraId="1771261D" w14:textId="77777777" w:rsidR="006947F6" w:rsidRDefault="006947F6" w:rsidP="00FD57DB">
      <w:pPr>
        <w:pStyle w:val="BodyText"/>
      </w:pPr>
      <w:bookmarkStart w:id="700" w:name="_Toc95129481"/>
    </w:p>
    <w:p w14:paraId="44F0DF7C" w14:textId="77777777" w:rsidR="006947F6" w:rsidRDefault="006947F6">
      <w:pPr>
        <w:rPr>
          <w:rFonts w:ascii="Arial" w:hAnsi="Arial"/>
          <w:b/>
          <w:bCs/>
          <w:color w:val="00B2A9" w:themeColor="accent1"/>
          <w:kern w:val="20"/>
          <w:sz w:val="24"/>
          <w:szCs w:val="28"/>
        </w:rPr>
      </w:pPr>
      <w:r>
        <w:br w:type="page"/>
      </w:r>
    </w:p>
    <w:p w14:paraId="1E627192" w14:textId="6ACFE77F" w:rsidR="005F2101" w:rsidRPr="00457D00" w:rsidRDefault="005F2101" w:rsidP="00FB5A2B">
      <w:pPr>
        <w:pStyle w:val="Heading2"/>
        <w:ind w:left="0"/>
        <w:rPr>
          <w:i/>
          <w:iCs/>
        </w:rPr>
      </w:pPr>
      <w:bookmarkStart w:id="701" w:name="_Toc113271058"/>
      <w:r w:rsidRPr="00457D00">
        <w:t xml:space="preserve">Pale Hickory-wattle </w:t>
      </w:r>
      <w:r w:rsidRPr="005F7D8C">
        <w:rPr>
          <w:i/>
          <w:iCs/>
        </w:rPr>
        <w:t>(Acacia sporadica)</w:t>
      </w:r>
      <w:bookmarkEnd w:id="700"/>
      <w:bookmarkEnd w:id="701"/>
    </w:p>
    <w:p w14:paraId="41ABA363" w14:textId="13567287" w:rsidR="005F2101" w:rsidRDefault="005F2101" w:rsidP="005F2101">
      <w:pPr>
        <w:pStyle w:val="BodyText"/>
      </w:pPr>
      <w:r>
        <w:t xml:space="preserve">The Pale Hickory-wattle was listed as Critically Endangered in Australia under the FFG Act in May 2021. The </w:t>
      </w:r>
      <w:r w:rsidR="001D3902">
        <w:t>species</w:t>
      </w:r>
      <w:r>
        <w:t xml:space="preserve"> has modelled habitat in the North East (80% modelled habitat), Central Highlands (12% modelled habitat) and Gippsland (1% modelled habitat) RFA regions, with 5% of modelled habitat in non-RFA regions.</w:t>
      </w:r>
      <w:r w:rsidRPr="00495A05">
        <w:rPr>
          <w:rStyle w:val="BodyTextChar"/>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70A7F364" w14:textId="77777777" w:rsidR="005F2101" w:rsidRDefault="005F2101" w:rsidP="007E5EBF">
      <w:pPr>
        <w:pStyle w:val="Heading3"/>
      </w:pPr>
      <w:r>
        <w:t>Risk Assessment</w:t>
      </w:r>
    </w:p>
    <w:p w14:paraId="763128C7" w14:textId="608717B7"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180</w:t>
      </w:r>
      <w:r w:rsidR="000B6788" w:rsidRPr="00291BDC">
        <w:rPr>
          <w:bCs/>
          <w:noProof/>
        </w:rPr>
        <w:fldChar w:fldCharType="end"/>
      </w:r>
      <w:r w:rsidRPr="00FF310C">
        <w:t>. Pale Hickory-wattle risk ratings in the North East RFA region:</w:t>
      </w:r>
    </w:p>
    <w:tbl>
      <w:tblPr>
        <w:tblStyle w:val="TableGrid"/>
        <w:tblW w:w="7598" w:type="dxa"/>
        <w:tblLayout w:type="fixed"/>
        <w:tblLook w:val="04A0" w:firstRow="1" w:lastRow="0" w:firstColumn="1" w:lastColumn="0" w:noHBand="0" w:noVBand="1"/>
      </w:tblPr>
      <w:tblGrid>
        <w:gridCol w:w="1899"/>
        <w:gridCol w:w="1899"/>
        <w:gridCol w:w="1900"/>
        <w:gridCol w:w="1900"/>
      </w:tblGrid>
      <w:tr w:rsidR="005F2101" w14:paraId="26A96671" w14:textId="77777777" w:rsidTr="00915D8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tcBorders>
              <w:top w:val="single" w:sz="8" w:space="0" w:color="CDDC29" w:themeColor="text2"/>
              <w:left w:val="nil"/>
              <w:bottom w:val="single" w:sz="8" w:space="0" w:color="CDDC29" w:themeColor="text2"/>
              <w:right w:val="nil"/>
            </w:tcBorders>
            <w:vAlign w:val="center"/>
          </w:tcPr>
          <w:p w14:paraId="56F65865" w14:textId="77777777" w:rsidR="005F2101" w:rsidRDefault="005F2101" w:rsidP="006670D2">
            <w:pPr>
              <w:pStyle w:val="CaptionImageorFigure"/>
            </w:pPr>
          </w:p>
        </w:tc>
        <w:tc>
          <w:tcPr>
            <w:tcW w:w="0" w:type="dxa"/>
            <w:tcBorders>
              <w:top w:val="single" w:sz="8" w:space="0" w:color="CDDC29" w:themeColor="text2"/>
              <w:left w:val="nil"/>
              <w:bottom w:val="single" w:sz="8" w:space="0" w:color="CDDC29" w:themeColor="text2"/>
              <w:right w:val="nil"/>
            </w:tcBorders>
            <w:vAlign w:val="center"/>
            <w:hideMark/>
          </w:tcPr>
          <w:p w14:paraId="6E21A885"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c>
          <w:tcPr>
            <w:tcW w:w="0" w:type="dxa"/>
            <w:tcBorders>
              <w:top w:val="single" w:sz="8" w:space="0" w:color="CDDC29" w:themeColor="text2"/>
              <w:left w:val="nil"/>
              <w:bottom w:val="single" w:sz="8" w:space="0" w:color="CDDC29" w:themeColor="text2"/>
              <w:right w:val="nil"/>
            </w:tcBorders>
            <w:vAlign w:val="center"/>
            <w:hideMark/>
          </w:tcPr>
          <w:p w14:paraId="1C4ADC4C"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Physical or chemical damage</w:t>
            </w:r>
          </w:p>
        </w:tc>
        <w:tc>
          <w:tcPr>
            <w:tcW w:w="0" w:type="dxa"/>
            <w:tcBorders>
              <w:top w:val="single" w:sz="8" w:space="0" w:color="CDDC29" w:themeColor="text2"/>
              <w:left w:val="nil"/>
              <w:bottom w:val="single" w:sz="8" w:space="0" w:color="CDDC29" w:themeColor="text2"/>
              <w:right w:val="nil"/>
            </w:tcBorders>
            <w:vAlign w:val="center"/>
          </w:tcPr>
          <w:p w14:paraId="7EF20B53"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5F2101" w14:paraId="447A85C0" w14:textId="77777777" w:rsidTr="00915D82">
        <w:tc>
          <w:tcPr>
            <w:tcW w:w="0" w:type="dxa"/>
            <w:tcBorders>
              <w:top w:val="single" w:sz="8" w:space="0" w:color="CDDC29" w:themeColor="text2"/>
              <w:left w:val="nil"/>
              <w:bottom w:val="single" w:sz="8" w:space="0" w:color="CDDC29" w:themeColor="text2"/>
              <w:right w:val="nil"/>
            </w:tcBorders>
            <w:vAlign w:val="center"/>
            <w:hideMark/>
          </w:tcPr>
          <w:p w14:paraId="4BCBB71F" w14:textId="77777777" w:rsidR="005F2101" w:rsidRDefault="005F2101" w:rsidP="009F77A4">
            <w:pPr>
              <w:pStyle w:val="BodyText"/>
              <w:jc w:val="center"/>
            </w:pPr>
            <w:r>
              <w:t>Consequence</w:t>
            </w:r>
          </w:p>
        </w:tc>
        <w:tc>
          <w:tcPr>
            <w:tcW w:w="0" w:type="dxa"/>
            <w:tcBorders>
              <w:top w:val="single" w:sz="8" w:space="0" w:color="CDDC29" w:themeColor="text2"/>
              <w:left w:val="nil"/>
              <w:bottom w:val="single" w:sz="8" w:space="0" w:color="CDDC29" w:themeColor="text2"/>
              <w:right w:val="nil"/>
            </w:tcBorders>
            <w:vAlign w:val="center"/>
            <w:hideMark/>
          </w:tcPr>
          <w:p w14:paraId="7A03383F" w14:textId="77777777" w:rsidR="005F2101" w:rsidRDefault="005F2101" w:rsidP="009F77A4">
            <w:pPr>
              <w:pStyle w:val="BodyText"/>
              <w:jc w:val="center"/>
            </w:pPr>
            <w:r>
              <w:t>Moderate</w:t>
            </w:r>
          </w:p>
        </w:tc>
        <w:tc>
          <w:tcPr>
            <w:tcW w:w="0" w:type="dxa"/>
            <w:tcBorders>
              <w:top w:val="single" w:sz="8" w:space="0" w:color="CDDC29" w:themeColor="text2"/>
              <w:left w:val="nil"/>
              <w:bottom w:val="single" w:sz="8" w:space="0" w:color="CDDC29" w:themeColor="text2"/>
              <w:right w:val="nil"/>
            </w:tcBorders>
            <w:vAlign w:val="center"/>
            <w:hideMark/>
          </w:tcPr>
          <w:p w14:paraId="6891B814" w14:textId="77777777" w:rsidR="005F2101" w:rsidRDefault="005F2101" w:rsidP="009F77A4">
            <w:pPr>
              <w:pStyle w:val="BodyText"/>
              <w:jc w:val="center"/>
            </w:pPr>
            <w:r>
              <w:t>Moderate</w:t>
            </w:r>
          </w:p>
        </w:tc>
        <w:tc>
          <w:tcPr>
            <w:tcW w:w="0" w:type="dxa"/>
            <w:tcBorders>
              <w:top w:val="single" w:sz="8" w:space="0" w:color="CDDC29" w:themeColor="text2"/>
              <w:left w:val="nil"/>
              <w:bottom w:val="single" w:sz="8" w:space="0" w:color="CDDC29" w:themeColor="text2"/>
              <w:right w:val="nil"/>
            </w:tcBorders>
            <w:vAlign w:val="center"/>
          </w:tcPr>
          <w:p w14:paraId="394FC663" w14:textId="77777777" w:rsidR="005F2101" w:rsidRDefault="005F2101" w:rsidP="009F77A4">
            <w:pPr>
              <w:pStyle w:val="BodyText"/>
              <w:jc w:val="center"/>
            </w:pPr>
            <w:r>
              <w:t>Moderate</w:t>
            </w:r>
          </w:p>
        </w:tc>
      </w:tr>
      <w:tr w:rsidR="005F2101" w14:paraId="4B04DFDB" w14:textId="77777777" w:rsidTr="00915D82">
        <w:tc>
          <w:tcPr>
            <w:tcW w:w="0" w:type="dxa"/>
            <w:tcBorders>
              <w:top w:val="single" w:sz="8" w:space="0" w:color="CDDC29" w:themeColor="text2"/>
              <w:left w:val="nil"/>
              <w:bottom w:val="single" w:sz="8" w:space="0" w:color="CDDC29" w:themeColor="text2"/>
              <w:right w:val="nil"/>
            </w:tcBorders>
            <w:vAlign w:val="center"/>
            <w:hideMark/>
          </w:tcPr>
          <w:p w14:paraId="2B6A0306" w14:textId="77777777" w:rsidR="005F2101" w:rsidRDefault="005F2101" w:rsidP="009F77A4">
            <w:pPr>
              <w:pStyle w:val="BodyText"/>
              <w:jc w:val="center"/>
            </w:pPr>
            <w:r>
              <w:t>Likelihood</w:t>
            </w:r>
          </w:p>
        </w:tc>
        <w:tc>
          <w:tcPr>
            <w:tcW w:w="0" w:type="dxa"/>
            <w:tcBorders>
              <w:top w:val="single" w:sz="8" w:space="0" w:color="CDDC29" w:themeColor="text2"/>
              <w:left w:val="nil"/>
              <w:bottom w:val="single" w:sz="8" w:space="0" w:color="CDDC29" w:themeColor="text2"/>
              <w:right w:val="nil"/>
            </w:tcBorders>
            <w:vAlign w:val="center"/>
            <w:hideMark/>
          </w:tcPr>
          <w:p w14:paraId="0DF4AF8A" w14:textId="77777777" w:rsidR="005F2101" w:rsidRDefault="005F2101" w:rsidP="009F77A4">
            <w:pPr>
              <w:pStyle w:val="BodyText"/>
              <w:jc w:val="center"/>
            </w:pPr>
            <w:r>
              <w:t>Likely</w:t>
            </w:r>
          </w:p>
        </w:tc>
        <w:tc>
          <w:tcPr>
            <w:tcW w:w="0" w:type="dxa"/>
            <w:tcBorders>
              <w:top w:val="single" w:sz="8" w:space="0" w:color="CDDC29" w:themeColor="text2"/>
              <w:left w:val="nil"/>
              <w:bottom w:val="single" w:sz="8" w:space="0" w:color="CDDC29" w:themeColor="text2"/>
              <w:right w:val="nil"/>
            </w:tcBorders>
            <w:vAlign w:val="center"/>
            <w:hideMark/>
          </w:tcPr>
          <w:p w14:paraId="7EFEF86D" w14:textId="77777777" w:rsidR="005F2101" w:rsidRDefault="005F2101" w:rsidP="009F77A4">
            <w:pPr>
              <w:pStyle w:val="BodyText"/>
              <w:jc w:val="center"/>
            </w:pPr>
            <w:r>
              <w:t>Likely</w:t>
            </w:r>
          </w:p>
        </w:tc>
        <w:tc>
          <w:tcPr>
            <w:tcW w:w="0" w:type="dxa"/>
            <w:tcBorders>
              <w:top w:val="single" w:sz="8" w:space="0" w:color="CDDC29" w:themeColor="text2"/>
              <w:left w:val="nil"/>
              <w:bottom w:val="single" w:sz="8" w:space="0" w:color="CDDC29" w:themeColor="text2"/>
              <w:right w:val="nil"/>
            </w:tcBorders>
            <w:vAlign w:val="center"/>
          </w:tcPr>
          <w:p w14:paraId="168D6FC0" w14:textId="77777777" w:rsidR="005F2101" w:rsidRDefault="005F2101" w:rsidP="009F77A4">
            <w:pPr>
              <w:pStyle w:val="BodyText"/>
              <w:jc w:val="center"/>
            </w:pPr>
            <w:r>
              <w:t>Likely</w:t>
            </w:r>
          </w:p>
        </w:tc>
      </w:tr>
      <w:tr w:rsidR="005F2101" w14:paraId="2E9BA240" w14:textId="77777777" w:rsidTr="00915D82">
        <w:tc>
          <w:tcPr>
            <w:tcW w:w="0" w:type="dxa"/>
            <w:tcBorders>
              <w:top w:val="single" w:sz="8" w:space="0" w:color="CDDC29" w:themeColor="text2"/>
              <w:left w:val="nil"/>
              <w:bottom w:val="single" w:sz="8" w:space="0" w:color="CDDC29" w:themeColor="text2"/>
              <w:right w:val="nil"/>
            </w:tcBorders>
            <w:vAlign w:val="center"/>
            <w:hideMark/>
          </w:tcPr>
          <w:p w14:paraId="150CBCDD" w14:textId="77777777" w:rsidR="005F2101" w:rsidRDefault="005F2101" w:rsidP="009F77A4">
            <w:pPr>
              <w:pStyle w:val="BodyText"/>
              <w:jc w:val="center"/>
            </w:pPr>
            <w:r>
              <w:t>Overall risk rating</w:t>
            </w:r>
          </w:p>
        </w:tc>
        <w:tc>
          <w:tcPr>
            <w:tcW w:w="0" w:type="dxa"/>
            <w:tcBorders>
              <w:top w:val="single" w:sz="8" w:space="0" w:color="CDDC29" w:themeColor="text2"/>
              <w:left w:val="nil"/>
              <w:bottom w:val="single" w:sz="8" w:space="0" w:color="CDDC29" w:themeColor="text2"/>
              <w:right w:val="nil"/>
            </w:tcBorders>
            <w:shd w:val="clear" w:color="auto" w:fill="FFC000"/>
            <w:vAlign w:val="center"/>
            <w:hideMark/>
          </w:tcPr>
          <w:p w14:paraId="78BA9DDB" w14:textId="77777777" w:rsidR="005F2101" w:rsidRDefault="005F2101" w:rsidP="009F77A4">
            <w:pPr>
              <w:pStyle w:val="BodyText"/>
              <w:jc w:val="center"/>
            </w:pPr>
            <w:r>
              <w:t>Significant</w:t>
            </w:r>
          </w:p>
        </w:tc>
        <w:tc>
          <w:tcPr>
            <w:tcW w:w="0" w:type="dxa"/>
            <w:tcBorders>
              <w:top w:val="single" w:sz="8" w:space="0" w:color="CDDC29" w:themeColor="text2"/>
              <w:left w:val="nil"/>
              <w:bottom w:val="single" w:sz="8" w:space="0" w:color="CDDC29" w:themeColor="text2"/>
              <w:right w:val="nil"/>
            </w:tcBorders>
            <w:shd w:val="clear" w:color="auto" w:fill="FFC000"/>
            <w:vAlign w:val="center"/>
            <w:hideMark/>
          </w:tcPr>
          <w:p w14:paraId="2A46CABA" w14:textId="77777777" w:rsidR="005F2101" w:rsidRDefault="005F2101" w:rsidP="009F77A4">
            <w:pPr>
              <w:pStyle w:val="BodyText"/>
              <w:jc w:val="center"/>
            </w:pPr>
            <w:r>
              <w:t>Significant</w:t>
            </w:r>
          </w:p>
        </w:tc>
        <w:tc>
          <w:tcPr>
            <w:tcW w:w="0" w:type="dxa"/>
            <w:tcBorders>
              <w:top w:val="single" w:sz="8" w:space="0" w:color="CDDC29" w:themeColor="text2"/>
              <w:left w:val="nil"/>
              <w:bottom w:val="single" w:sz="8" w:space="0" w:color="CDDC29" w:themeColor="text2"/>
              <w:right w:val="nil"/>
            </w:tcBorders>
            <w:shd w:val="clear" w:color="auto" w:fill="FFC000"/>
            <w:vAlign w:val="center"/>
          </w:tcPr>
          <w:p w14:paraId="78DC1842" w14:textId="77777777" w:rsidR="005F2101" w:rsidRDefault="005F2101" w:rsidP="009F77A4">
            <w:pPr>
              <w:pStyle w:val="BodyText"/>
              <w:jc w:val="center"/>
            </w:pPr>
            <w:r>
              <w:t>Significant</w:t>
            </w:r>
          </w:p>
        </w:tc>
      </w:tr>
    </w:tbl>
    <w:p w14:paraId="23AC37E9" w14:textId="77777777" w:rsidR="005F2101" w:rsidRDefault="005F2101" w:rsidP="007E5EBF">
      <w:pPr>
        <w:pStyle w:val="Heading3"/>
        <w:jc w:val="both"/>
      </w:pPr>
      <w:r>
        <w:t>Forestry operations</w:t>
      </w:r>
    </w:p>
    <w:p w14:paraId="20E9A423" w14:textId="2690DF86" w:rsidR="005F2101" w:rsidRDefault="0072104D" w:rsidP="007E5EBF">
      <w:pPr>
        <w:pStyle w:val="Heading5"/>
      </w:pPr>
      <w:r>
        <w:t>P</w:t>
      </w:r>
      <w:r w:rsidR="005F2101">
        <w:t>lantations</w:t>
      </w:r>
    </w:p>
    <w:p w14:paraId="3E4A98EC" w14:textId="71E1EB71" w:rsidR="005F2101" w:rsidRDefault="005F2101" w:rsidP="005F2101">
      <w:pPr>
        <w:pStyle w:val="BodyText"/>
      </w:pPr>
      <w:r>
        <w:t>Th</w:t>
      </w:r>
      <w:r w:rsidR="00C6660A">
        <w:t>is</w:t>
      </w:r>
      <w:r>
        <w:t xml:space="preserve"> hazard </w:t>
      </w:r>
      <w:r w:rsidR="004A0B09">
        <w:t>applies</w:t>
      </w:r>
      <w:r>
        <w:t xml:space="preserve"> to approximately 20% of the </w:t>
      </w:r>
      <w:r w:rsidR="001D3902">
        <w:t>species’</w:t>
      </w:r>
      <w:r>
        <w:t xml:space="preserve"> distribution and may result in direct mortality and habitat degradation. Occurrences of the </w:t>
      </w:r>
      <w:r w:rsidR="001D3902">
        <w:t>species</w:t>
      </w:r>
      <w:r>
        <w:t xml:space="preserve"> in plantation areas are not subject to harvesting or new log landings, nor are occurrences of the </w:t>
      </w:r>
      <w:r w:rsidR="001D3902">
        <w:t>species</w:t>
      </w:r>
      <w:r>
        <w:t xml:space="preserve"> in adjacent </w:t>
      </w:r>
      <w:r w:rsidR="00AE11C2">
        <w:t>State Forest</w:t>
      </w:r>
      <w:r>
        <w:t xml:space="preserve"> subject to harvesting. Impacts of forestry operations on the </w:t>
      </w:r>
      <w:r w:rsidR="001D3902">
        <w:t>species</w:t>
      </w:r>
      <w:r>
        <w:t xml:space="preserve"> largely occur through inadvertent destruction of subpopulations</w:t>
      </w:r>
      <w:r w:rsidR="003576A0">
        <w:t xml:space="preserve"> and l</w:t>
      </w:r>
      <w:r>
        <w:t>onger-term invasion and competition with pine wildlings</w:t>
      </w:r>
      <w:r w:rsidR="003576A0">
        <w:t>.</w:t>
      </w:r>
      <w:r w:rsidR="003576A0" w:rsidRPr="00915D82">
        <w:t xml:space="preserve"> Current forestry operations and management practices may also increase the risks and exacerbate the effects of bushfires (e.g</w:t>
      </w:r>
      <w:r w:rsidR="004A0B09" w:rsidRPr="00915D82">
        <w:t>.,</w:t>
      </w:r>
      <w:r w:rsidR="003576A0" w:rsidRPr="00915D82">
        <w:t xml:space="preserve"> Furlaud et al. 2021). However, the strength of this relationship is contested within the scientific community (e.g</w:t>
      </w:r>
      <w:r w:rsidR="004A0B09" w:rsidRPr="00915D82">
        <w:t>.,</w:t>
      </w:r>
      <w:r w:rsidR="003576A0" w:rsidRPr="00915D82">
        <w:t xml:space="preserve"> </w:t>
      </w:r>
      <w:r w:rsidR="00CA1389">
        <w:t>Keenan</w:t>
      </w:r>
      <w:r w:rsidR="003576A0" w:rsidRPr="00915D82">
        <w:t xml:space="preserve"> et al</w:t>
      </w:r>
      <w:r w:rsidR="003576A0">
        <w:t>.</w:t>
      </w:r>
      <w:r w:rsidR="003576A0" w:rsidRPr="00915D82">
        <w:t xml:space="preserve"> 2021), and the extent of this effect may be less significant in the face of mega fires driven primarily by extreme heat and drought caused by human-induced climate-change (e.g</w:t>
      </w:r>
      <w:r w:rsidR="004A0B09" w:rsidRPr="00915D82">
        <w:t>.,</w:t>
      </w:r>
      <w:r w:rsidR="003576A0" w:rsidRPr="00915D82">
        <w:t xml:space="preserve"> Bowman et al. 2021).</w:t>
      </w:r>
    </w:p>
    <w:p w14:paraId="07BC7F04" w14:textId="77777777" w:rsidR="005F2101" w:rsidRDefault="005F2101" w:rsidP="005F2101">
      <w:pPr>
        <w:pStyle w:val="BodyText"/>
      </w:pPr>
      <w:r>
        <w:t>Current controls for this hazard include:</w:t>
      </w:r>
    </w:p>
    <w:p w14:paraId="66DBE5F3" w14:textId="69A6EFD9" w:rsidR="005F2101" w:rsidRPr="00AA7CD4" w:rsidRDefault="005F2101"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poor</w:t>
      </w:r>
      <w:r w:rsidRPr="4F453272">
        <w:t xml:space="preserve"> as </w:t>
      </w:r>
      <w:r>
        <w:t>44</w:t>
      </w:r>
      <w:r w:rsidRPr="4F453272">
        <w:t xml:space="preserve">% of the </w:t>
      </w:r>
      <w:r w:rsidR="001D3902">
        <w:t>species’</w:t>
      </w:r>
      <w:r w:rsidRPr="4F453272">
        <w:t xml:space="preserve"> modelled distribution and</w:t>
      </w:r>
      <w:r>
        <w:t xml:space="preserve"> 52</w:t>
      </w:r>
      <w:r w:rsidRPr="4F453272">
        <w:t>% of important populations are within the reserve system.</w:t>
      </w:r>
    </w:p>
    <w:p w14:paraId="1D1182FB" w14:textId="1B73DFAE"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181</w:t>
      </w:r>
      <w:r w:rsidR="000B6788" w:rsidRPr="00291BDC">
        <w:rPr>
          <w:bCs/>
          <w:noProof/>
        </w:rPr>
        <w:fldChar w:fldCharType="end"/>
      </w:r>
      <w:r w:rsidRPr="00FF310C">
        <w:t>. Pale Hickory-wattle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5F2101" w:rsidRPr="00867DAA" w14:paraId="5CE3EAB2"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43DA99A5" w14:textId="77777777" w:rsidR="005F2101" w:rsidRPr="00704719" w:rsidRDefault="005F2101" w:rsidP="00296E0F">
            <w:pPr>
              <w:pStyle w:val="BodyText"/>
            </w:pPr>
            <w:r w:rsidRPr="00704719">
              <w:t>Requirement</w:t>
            </w:r>
          </w:p>
        </w:tc>
        <w:tc>
          <w:tcPr>
            <w:tcW w:w="7371" w:type="dxa"/>
            <w:vAlign w:val="center"/>
          </w:tcPr>
          <w:p w14:paraId="34452D34"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6444B4BF" w14:textId="77777777" w:rsidTr="0097320D">
        <w:tc>
          <w:tcPr>
            <w:tcW w:w="2268" w:type="dxa"/>
          </w:tcPr>
          <w:p w14:paraId="2EAFA175" w14:textId="2EFEB71B" w:rsidR="005F2101" w:rsidRPr="003566BD" w:rsidRDefault="005F2101" w:rsidP="0097320D">
            <w:pPr>
              <w:pStyle w:val="BodyText"/>
            </w:pPr>
            <w:r w:rsidRPr="003566BD">
              <w:t>Interim protections</w:t>
            </w:r>
            <w:r w:rsidR="006A1215">
              <w:t xml:space="preserve"> </w:t>
            </w:r>
          </w:p>
        </w:tc>
        <w:tc>
          <w:tcPr>
            <w:tcW w:w="7371" w:type="dxa"/>
          </w:tcPr>
          <w:p w14:paraId="22D1C379" w14:textId="77777777" w:rsidR="005F2101" w:rsidRPr="003566BD" w:rsidRDefault="005F2101" w:rsidP="0097320D">
            <w:pPr>
              <w:pStyle w:val="BodyText"/>
            </w:pPr>
            <w:r w:rsidRPr="00200995">
              <w:t>Not required for this hazard</w:t>
            </w:r>
            <w:r>
              <w:t>.</w:t>
            </w:r>
          </w:p>
        </w:tc>
      </w:tr>
      <w:tr w:rsidR="0064681B" w:rsidRPr="00867DAA" w14:paraId="4EC51F68" w14:textId="77777777" w:rsidTr="0097320D">
        <w:tc>
          <w:tcPr>
            <w:tcW w:w="2268" w:type="dxa"/>
          </w:tcPr>
          <w:p w14:paraId="7A706CE9" w14:textId="7B52ADBF" w:rsidR="0064681B" w:rsidRPr="003566BD" w:rsidRDefault="0064681B" w:rsidP="0097320D">
            <w:pPr>
              <w:pStyle w:val="BodyText"/>
            </w:pPr>
            <w:r>
              <w:t>Priority management actions</w:t>
            </w:r>
          </w:p>
        </w:tc>
        <w:tc>
          <w:tcPr>
            <w:tcW w:w="7371" w:type="dxa"/>
            <w:shd w:val="clear" w:color="auto" w:fill="auto"/>
          </w:tcPr>
          <w:p w14:paraId="460F29D8" w14:textId="7482EACC" w:rsidR="0064681B" w:rsidRPr="003566BD" w:rsidRDefault="00032608" w:rsidP="006670D2">
            <w:pPr>
              <w:pStyle w:val="PullOutBoxBullet"/>
            </w:pPr>
            <w:r w:rsidRPr="00032608">
              <w:t>Work with plantation managers to identify important populations.</w:t>
            </w:r>
          </w:p>
        </w:tc>
      </w:tr>
      <w:tr w:rsidR="005F2101" w:rsidRPr="00867DAA" w14:paraId="33CF1847" w14:textId="77777777" w:rsidTr="0097320D">
        <w:tc>
          <w:tcPr>
            <w:tcW w:w="2268" w:type="dxa"/>
          </w:tcPr>
          <w:p w14:paraId="3AD701A4" w14:textId="77777777" w:rsidR="005F2101" w:rsidRPr="003566BD" w:rsidRDefault="005F2101" w:rsidP="0097320D">
            <w:pPr>
              <w:pStyle w:val="BodyText"/>
            </w:pPr>
            <w:r w:rsidRPr="003566BD">
              <w:t>Permanent protections</w:t>
            </w:r>
          </w:p>
        </w:tc>
        <w:tc>
          <w:tcPr>
            <w:tcW w:w="7371" w:type="dxa"/>
            <w:shd w:val="clear" w:color="auto" w:fill="auto"/>
          </w:tcPr>
          <w:p w14:paraId="6566CCE3" w14:textId="77777777" w:rsidR="005F2101" w:rsidRPr="003566BD" w:rsidRDefault="005F2101" w:rsidP="0097320D">
            <w:pPr>
              <w:pStyle w:val="BodyText"/>
            </w:pPr>
            <w:r w:rsidRPr="003566BD">
              <w:t>Additional permanent protections may be required in the longer-term</w:t>
            </w:r>
            <w:r>
              <w:t>.</w:t>
            </w:r>
          </w:p>
        </w:tc>
      </w:tr>
      <w:tr w:rsidR="005F2101" w:rsidRPr="00867DAA" w14:paraId="2A4C603B" w14:textId="77777777" w:rsidTr="0097320D">
        <w:tc>
          <w:tcPr>
            <w:tcW w:w="2268" w:type="dxa"/>
          </w:tcPr>
          <w:p w14:paraId="2AE32047" w14:textId="5D76779D" w:rsidR="005F2101" w:rsidRPr="00867DAA" w:rsidRDefault="00751F9C" w:rsidP="0097320D">
            <w:pPr>
              <w:pStyle w:val="BodyText"/>
            </w:pPr>
            <w:r>
              <w:t>Potential m</w:t>
            </w:r>
            <w:r w:rsidR="005F2101" w:rsidRPr="00867DAA">
              <w:t>anagement actions</w:t>
            </w:r>
          </w:p>
        </w:tc>
        <w:tc>
          <w:tcPr>
            <w:tcW w:w="7371" w:type="dxa"/>
          </w:tcPr>
          <w:p w14:paraId="665A1E61" w14:textId="6D710677" w:rsidR="005F2101" w:rsidRPr="007935D4" w:rsidRDefault="009F77A4" w:rsidP="006670D2">
            <w:pPr>
              <w:pStyle w:val="PullOutBoxBullet"/>
              <w:rPr>
                <w:b/>
                <w:bCs/>
              </w:rPr>
            </w:pPr>
            <w:r>
              <w:t>L</w:t>
            </w:r>
            <w:r w:rsidR="005F2101">
              <w:t xml:space="preserve">iaise with </w:t>
            </w:r>
            <w:r w:rsidR="00837146">
              <w:t>plantation managers</w:t>
            </w:r>
            <w:r w:rsidR="005F2101">
              <w:t xml:space="preserve"> to maintain appropriate protection measures for this </w:t>
            </w:r>
            <w:r w:rsidR="001D3902">
              <w:t>species</w:t>
            </w:r>
            <w:r w:rsidR="005F2101">
              <w:t>.</w:t>
            </w:r>
          </w:p>
        </w:tc>
      </w:tr>
    </w:tbl>
    <w:p w14:paraId="26FD905D" w14:textId="4B785F4A" w:rsidR="0003519D" w:rsidRDefault="0003519D" w:rsidP="007E5EBF">
      <w:pPr>
        <w:pStyle w:val="Heading3"/>
        <w:ind w:left="720" w:hanging="720"/>
        <w:jc w:val="both"/>
      </w:pPr>
      <w:r>
        <w:t>Habitat loss, degradation</w:t>
      </w:r>
      <w:r w:rsidR="004A0B09">
        <w:t>,</w:t>
      </w:r>
      <w:r>
        <w:t xml:space="preserve"> and fragmentation</w:t>
      </w:r>
    </w:p>
    <w:p w14:paraId="629781CA" w14:textId="77777777" w:rsidR="005F2101" w:rsidRDefault="005F2101" w:rsidP="007E5EBF">
      <w:pPr>
        <w:pStyle w:val="Heading5"/>
      </w:pPr>
      <w:r>
        <w:t>Physical or chemical damage</w:t>
      </w:r>
    </w:p>
    <w:p w14:paraId="695B17A5" w14:textId="6034D7EE" w:rsidR="005F2101" w:rsidRDefault="005F2101" w:rsidP="005F2101">
      <w:pPr>
        <w:pStyle w:val="BodyText"/>
      </w:pPr>
      <w:r>
        <w:t xml:space="preserve">If stands of the </w:t>
      </w:r>
      <w:r w:rsidR="001D3902">
        <w:t>species</w:t>
      </w:r>
      <w:r>
        <w:t xml:space="preserve"> under power transmission lines are managed for fire prevention, either via mechanical means or herbicides, it is likely to be lethal to individual clones other than those for which there is seed production, with slashing less likely to be lethal. This hazard applies to 30% of the </w:t>
      </w:r>
      <w:r w:rsidR="001D3902">
        <w:t>species’</w:t>
      </w:r>
      <w:r>
        <w:t xml:space="preserve"> populations and arises from either vegetation management under power transmission lines (applies to Carboor population), or deer (applies to all populations). </w:t>
      </w:r>
    </w:p>
    <w:p w14:paraId="66A6F90B" w14:textId="250978D4" w:rsidR="005F2101" w:rsidRPr="009773B1" w:rsidRDefault="005F2101" w:rsidP="005F2101">
      <w:pPr>
        <w:pStyle w:val="BodyText"/>
      </w:pPr>
      <w:r w:rsidRPr="009773B1">
        <w:t xml:space="preserve">Current control measures for this hazard are not effective in managing the risk to this </w:t>
      </w:r>
      <w:r w:rsidR="001D3902">
        <w:t>species</w:t>
      </w:r>
      <w:r w:rsidRPr="009773B1">
        <w:t xml:space="preserve"> at the scale relevant to its conservation</w:t>
      </w:r>
      <w:r>
        <w:t>.</w:t>
      </w:r>
    </w:p>
    <w:p w14:paraId="2EAD0E9D" w14:textId="2AD56CE3"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182</w:t>
      </w:r>
      <w:r w:rsidR="000B6788" w:rsidRPr="00291BDC">
        <w:rPr>
          <w:bCs/>
          <w:noProof/>
        </w:rPr>
        <w:fldChar w:fldCharType="end"/>
      </w:r>
      <w:r w:rsidRPr="00FF310C">
        <w:t>. Pale Hickory-wattle protection requirements and recommendations for physical or chemical damage</w:t>
      </w:r>
    </w:p>
    <w:tbl>
      <w:tblPr>
        <w:tblStyle w:val="TableGrid"/>
        <w:tblW w:w="0" w:type="auto"/>
        <w:tblLook w:val="04A0" w:firstRow="1" w:lastRow="0" w:firstColumn="1" w:lastColumn="0" w:noHBand="0" w:noVBand="1"/>
      </w:tblPr>
      <w:tblGrid>
        <w:gridCol w:w="2268"/>
        <w:gridCol w:w="7371"/>
      </w:tblGrid>
      <w:tr w:rsidR="005F2101" w:rsidRPr="00867DAA" w14:paraId="21C2F989"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40165AED" w14:textId="77777777" w:rsidR="005F2101" w:rsidRPr="00704719" w:rsidRDefault="005F2101" w:rsidP="00296E0F">
            <w:pPr>
              <w:pStyle w:val="BodyText"/>
            </w:pPr>
            <w:r w:rsidRPr="00704719">
              <w:t>Requirement</w:t>
            </w:r>
          </w:p>
        </w:tc>
        <w:tc>
          <w:tcPr>
            <w:tcW w:w="7371" w:type="dxa"/>
            <w:vAlign w:val="center"/>
          </w:tcPr>
          <w:p w14:paraId="34AB1149"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60B50647" w14:textId="77777777" w:rsidTr="0097320D">
        <w:tc>
          <w:tcPr>
            <w:tcW w:w="2268" w:type="dxa"/>
          </w:tcPr>
          <w:p w14:paraId="4FEBB258" w14:textId="7FC5A38F" w:rsidR="005F2101" w:rsidRPr="003566BD" w:rsidRDefault="00751F9C" w:rsidP="0097320D">
            <w:pPr>
              <w:pStyle w:val="BodyText"/>
            </w:pPr>
            <w:r>
              <w:t>Priority management actions</w:t>
            </w:r>
          </w:p>
        </w:tc>
        <w:tc>
          <w:tcPr>
            <w:tcW w:w="7371" w:type="dxa"/>
          </w:tcPr>
          <w:p w14:paraId="2025AEF1" w14:textId="77777777" w:rsidR="005F2101" w:rsidRPr="003566BD" w:rsidRDefault="005F2101" w:rsidP="0097320D">
            <w:pPr>
              <w:pStyle w:val="BodyText"/>
            </w:pPr>
            <w:r w:rsidRPr="00200995">
              <w:t>Not required for this hazard</w:t>
            </w:r>
            <w:r>
              <w:t>.</w:t>
            </w:r>
          </w:p>
        </w:tc>
      </w:tr>
      <w:tr w:rsidR="005F2101" w:rsidRPr="00867DAA" w14:paraId="2E727427" w14:textId="77777777" w:rsidTr="0097320D">
        <w:tc>
          <w:tcPr>
            <w:tcW w:w="2268" w:type="dxa"/>
          </w:tcPr>
          <w:p w14:paraId="340A72E0" w14:textId="47139890" w:rsidR="005F2101" w:rsidRPr="00867DAA" w:rsidRDefault="00751F9C" w:rsidP="0097320D">
            <w:pPr>
              <w:pStyle w:val="BodyText"/>
            </w:pPr>
            <w:r>
              <w:t>Potential m</w:t>
            </w:r>
            <w:r w:rsidR="005F2101" w:rsidRPr="00867DAA">
              <w:t>anagement actions</w:t>
            </w:r>
          </w:p>
        </w:tc>
        <w:tc>
          <w:tcPr>
            <w:tcW w:w="7371" w:type="dxa"/>
          </w:tcPr>
          <w:p w14:paraId="0FE5BD2A" w14:textId="2F01993B" w:rsidR="005F2101" w:rsidRPr="00C23B38" w:rsidRDefault="005F2101" w:rsidP="006670D2">
            <w:pPr>
              <w:pStyle w:val="PullOutBoxBullet"/>
              <w:rPr>
                <w:b/>
                <w:bCs/>
              </w:rPr>
            </w:pPr>
            <w:r>
              <w:t xml:space="preserve">Exclude aerial or ground-based use of broad-leaf or non-selective herbicides where the </w:t>
            </w:r>
            <w:r w:rsidR="001D3902">
              <w:t>species</w:t>
            </w:r>
            <w:r>
              <w:t xml:space="preserve"> occurs;</w:t>
            </w:r>
          </w:p>
          <w:p w14:paraId="7B96BA2A" w14:textId="77777777" w:rsidR="005F2101" w:rsidRPr="00C23B38" w:rsidRDefault="005F2101" w:rsidP="006670D2">
            <w:pPr>
              <w:pStyle w:val="PullOutBoxBullet"/>
              <w:rPr>
                <w:b/>
                <w:bCs/>
              </w:rPr>
            </w:pPr>
            <w:r>
              <w:t>Woody taxa perceived as problems (e.g., Silver Wattle (</w:t>
            </w:r>
            <w:r w:rsidRPr="004307B8">
              <w:rPr>
                <w:i/>
                <w:iCs/>
              </w:rPr>
              <w:t>Acacia dealbata</w:t>
            </w:r>
            <w:r>
              <w:t>)</w:t>
            </w:r>
            <w:r w:rsidRPr="004307B8">
              <w:rPr>
                <w:i/>
                <w:iCs/>
              </w:rPr>
              <w:t>, Eucalyptus</w:t>
            </w:r>
            <w:r>
              <w:t xml:space="preserve"> spp.) should be controlled though hand cut and paste of herbicide;</w:t>
            </w:r>
          </w:p>
          <w:p w14:paraId="6070C927" w14:textId="77777777" w:rsidR="005F2101" w:rsidRPr="00C23B38" w:rsidRDefault="005F2101" w:rsidP="006670D2">
            <w:pPr>
              <w:pStyle w:val="PullOutBoxBullet"/>
              <w:rPr>
                <w:b/>
                <w:bCs/>
              </w:rPr>
            </w:pPr>
            <w:r>
              <w:t xml:space="preserve">Install appropriate signage so staff and contractors understand the need for these actions; and </w:t>
            </w:r>
          </w:p>
          <w:p w14:paraId="61E1CC96" w14:textId="408E7753" w:rsidR="005F2101" w:rsidRPr="007935D4" w:rsidRDefault="005F2101" w:rsidP="006670D2">
            <w:pPr>
              <w:pStyle w:val="PullOutBoxBullet"/>
              <w:rPr>
                <w:b/>
                <w:bCs/>
              </w:rPr>
            </w:pPr>
            <w:r>
              <w:t xml:space="preserve">Ensure that broad genetic representation exists in </w:t>
            </w:r>
            <w:r w:rsidRPr="007935D4">
              <w:rPr>
                <w:i/>
                <w:iCs/>
              </w:rPr>
              <w:t>ex-situ</w:t>
            </w:r>
            <w:r>
              <w:t xml:space="preserve"> conservation collections (VCS, live plants at the RBGV and Euroa Arboretum).</w:t>
            </w:r>
          </w:p>
        </w:tc>
      </w:tr>
    </w:tbl>
    <w:p w14:paraId="77DED7F4" w14:textId="77777777" w:rsidR="005F2101" w:rsidRDefault="005F2101" w:rsidP="007E5EBF">
      <w:pPr>
        <w:pStyle w:val="Heading3"/>
      </w:pPr>
      <w:r>
        <w:t>Invasive species</w:t>
      </w:r>
    </w:p>
    <w:p w14:paraId="3B0F9909" w14:textId="77777777" w:rsidR="005F2101" w:rsidRDefault="005F2101" w:rsidP="007E5EBF">
      <w:pPr>
        <w:pStyle w:val="Heading5"/>
      </w:pPr>
      <w:r>
        <w:t>Invasive vertebrate (deer)</w:t>
      </w:r>
    </w:p>
    <w:p w14:paraId="606ECF9A" w14:textId="4F5484A4" w:rsidR="005F2101" w:rsidRDefault="005F2101" w:rsidP="005F2101">
      <w:pPr>
        <w:pStyle w:val="BodyText"/>
      </w:pPr>
      <w:r>
        <w:t xml:space="preserve">Deer have the potential to cause considerable damage or death to above-ground parts through browsing or rubbing. Drying of vegetation in general and increased burning may render resprouting taxa more attractive to deer as their rapid post-fire regrowth occurs in an environment where little other vegetation else may be available. This hazard applies to 10% of the </w:t>
      </w:r>
      <w:r w:rsidR="001D3902">
        <w:t>species’</w:t>
      </w:r>
      <w:r>
        <w:t xml:space="preserve"> habitat.</w:t>
      </w:r>
    </w:p>
    <w:p w14:paraId="161F1EEA" w14:textId="77777777" w:rsidR="005F2101" w:rsidRDefault="005F2101" w:rsidP="005F2101">
      <w:pPr>
        <w:pStyle w:val="BodyText"/>
      </w:pPr>
      <w:r>
        <w:t>Current controls include:</w:t>
      </w:r>
    </w:p>
    <w:p w14:paraId="44D856B0" w14:textId="00A576BD" w:rsidR="009F77A4" w:rsidRPr="00751F9C" w:rsidRDefault="005F2101" w:rsidP="006670D2">
      <w:pPr>
        <w:pStyle w:val="PullOutBoxBullet"/>
      </w:pPr>
      <w:r>
        <w:t xml:space="preserve">Victorian Deer Control Strategy. </w:t>
      </w:r>
      <w:r w:rsidRPr="00CB51DA">
        <w:rPr>
          <w:rStyle w:val="normaltextrun"/>
        </w:rPr>
        <w:t>The effectiveness of this control for this species has been evaluated as poor</w:t>
      </w:r>
      <w:r>
        <w:rPr>
          <w:rStyle w:val="normaltextrun"/>
        </w:rPr>
        <w:t xml:space="preserve"> </w:t>
      </w:r>
      <w:r>
        <w:t>because there have been increased observations of damage to vegetation by uncontained deer numbers.</w:t>
      </w:r>
    </w:p>
    <w:p w14:paraId="4D90586C" w14:textId="22617663"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183</w:t>
      </w:r>
      <w:r w:rsidR="000B6788" w:rsidRPr="00291BDC">
        <w:rPr>
          <w:bCs/>
          <w:noProof/>
        </w:rPr>
        <w:fldChar w:fldCharType="end"/>
      </w:r>
      <w:r w:rsidRPr="00FF310C">
        <w:t>. Pale Hickory-wattle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5F2101" w:rsidRPr="00867DAA" w14:paraId="73E2626C"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359D1275" w14:textId="77777777" w:rsidR="005F2101" w:rsidRPr="00704719" w:rsidRDefault="005F2101" w:rsidP="00296E0F">
            <w:pPr>
              <w:pStyle w:val="BodyText"/>
            </w:pPr>
            <w:r w:rsidRPr="00704719">
              <w:t>Requirement</w:t>
            </w:r>
          </w:p>
        </w:tc>
        <w:tc>
          <w:tcPr>
            <w:tcW w:w="7371" w:type="dxa"/>
            <w:vAlign w:val="center"/>
          </w:tcPr>
          <w:p w14:paraId="65D9E992"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771689E3" w14:textId="77777777" w:rsidTr="0097320D">
        <w:tc>
          <w:tcPr>
            <w:tcW w:w="2268" w:type="dxa"/>
          </w:tcPr>
          <w:p w14:paraId="4EE6C803" w14:textId="66C8F2AC" w:rsidR="005F2101" w:rsidRPr="003566BD" w:rsidRDefault="00751F9C" w:rsidP="0097320D">
            <w:pPr>
              <w:pStyle w:val="BodyText"/>
            </w:pPr>
            <w:r>
              <w:t>Priority management actions</w:t>
            </w:r>
          </w:p>
        </w:tc>
        <w:tc>
          <w:tcPr>
            <w:tcW w:w="7371" w:type="dxa"/>
          </w:tcPr>
          <w:p w14:paraId="069401D2" w14:textId="77777777" w:rsidR="005F2101" w:rsidRPr="003566BD" w:rsidRDefault="005F2101" w:rsidP="0097320D">
            <w:pPr>
              <w:pStyle w:val="BodyText"/>
            </w:pPr>
            <w:r w:rsidRPr="00200995">
              <w:t>Not required for this hazard</w:t>
            </w:r>
            <w:r>
              <w:t xml:space="preserve"> as it is a longer-term threat.</w:t>
            </w:r>
          </w:p>
        </w:tc>
      </w:tr>
      <w:tr w:rsidR="005F2101" w:rsidRPr="00867DAA" w14:paraId="074F463E" w14:textId="77777777" w:rsidTr="0097320D">
        <w:tc>
          <w:tcPr>
            <w:tcW w:w="2268" w:type="dxa"/>
          </w:tcPr>
          <w:p w14:paraId="16F3DB24" w14:textId="76DD8CD3" w:rsidR="005F2101" w:rsidRPr="00867DAA" w:rsidRDefault="00751F9C" w:rsidP="0097320D">
            <w:pPr>
              <w:pStyle w:val="BodyText"/>
            </w:pPr>
            <w:r>
              <w:t>Potential m</w:t>
            </w:r>
            <w:r w:rsidR="005F2101" w:rsidRPr="00867DAA">
              <w:t>anagement actions</w:t>
            </w:r>
          </w:p>
        </w:tc>
        <w:tc>
          <w:tcPr>
            <w:tcW w:w="7371" w:type="dxa"/>
          </w:tcPr>
          <w:p w14:paraId="242ABE42" w14:textId="77777777" w:rsidR="005F2101" w:rsidRPr="00C23B38" w:rsidRDefault="005F2101" w:rsidP="006670D2">
            <w:pPr>
              <w:pStyle w:val="PullOutBoxBullet"/>
              <w:rPr>
                <w:b/>
                <w:bCs/>
              </w:rPr>
            </w:pPr>
            <w:r>
              <w:t xml:space="preserve">Continue the monitoring of all stands to assess what level of threat deer pose. If considered significant, establish targeted, intensive deer management in those areas; and </w:t>
            </w:r>
          </w:p>
          <w:p w14:paraId="16D1BD13" w14:textId="77777777" w:rsidR="005F2101" w:rsidRPr="00001691" w:rsidRDefault="005F2101" w:rsidP="006670D2">
            <w:pPr>
              <w:pStyle w:val="PullOutBoxBullet"/>
              <w:rPr>
                <w:b/>
                <w:bCs/>
              </w:rPr>
            </w:pPr>
            <w:r>
              <w:t xml:space="preserve">Ensure that broad genetic representation exists in </w:t>
            </w:r>
            <w:r w:rsidRPr="007935D4">
              <w:rPr>
                <w:i/>
                <w:iCs/>
              </w:rPr>
              <w:t>ex-situ</w:t>
            </w:r>
            <w:r>
              <w:t xml:space="preserve"> conservation collections (VCS, RBGV, Euroa Arboretum).</w:t>
            </w:r>
          </w:p>
        </w:tc>
      </w:tr>
    </w:tbl>
    <w:p w14:paraId="31B0246F" w14:textId="77777777" w:rsidR="005F2101" w:rsidRDefault="005F2101" w:rsidP="005F2101">
      <w:pPr>
        <w:rPr>
          <w:b/>
          <w:bCs/>
          <w:iCs/>
          <w:color w:val="00B2A9" w:themeColor="accent1"/>
          <w:kern w:val="20"/>
          <w:sz w:val="24"/>
          <w:szCs w:val="28"/>
        </w:rPr>
      </w:pPr>
      <w:r>
        <w:br w:type="page"/>
      </w:r>
    </w:p>
    <w:p w14:paraId="4D728C1E" w14:textId="77777777" w:rsidR="005F2101" w:rsidRPr="003E253F" w:rsidRDefault="005F2101" w:rsidP="00FB5A2B">
      <w:pPr>
        <w:pStyle w:val="Heading2"/>
        <w:ind w:left="0"/>
        <w:rPr>
          <w:i/>
          <w:iCs/>
        </w:rPr>
      </w:pPr>
      <w:bookmarkStart w:id="702" w:name="_Toc95129482"/>
      <w:bookmarkStart w:id="703" w:name="_Toc113271059"/>
      <w:r w:rsidRPr="003E253F">
        <w:t xml:space="preserve">Purple Coopernookia </w:t>
      </w:r>
      <w:r w:rsidRPr="005F7D8C">
        <w:rPr>
          <w:i/>
          <w:iCs/>
        </w:rPr>
        <w:t>(Coopernookia barbata)</w:t>
      </w:r>
      <w:bookmarkEnd w:id="702"/>
      <w:bookmarkEnd w:id="703"/>
    </w:p>
    <w:p w14:paraId="3E7633EA" w14:textId="649A9DF3" w:rsidR="005F2101" w:rsidRDefault="005F2101" w:rsidP="005F2101">
      <w:pPr>
        <w:pStyle w:val="BodyText"/>
      </w:pPr>
      <w:r>
        <w:t xml:space="preserve">The Purple Coopernookia was listed as Vulnerable in Victoria under the FFG Act in May 2021. The </w:t>
      </w:r>
      <w:r w:rsidR="001D3902">
        <w:t>species</w:t>
      </w:r>
      <w:r>
        <w:t xml:space="preserve"> has modelled habitat in the East Gippsland (100% of modelled habitat) RFA region.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57B269C1" w14:textId="77777777" w:rsidR="005F2101" w:rsidRDefault="005F2101" w:rsidP="007E5EBF">
      <w:pPr>
        <w:pStyle w:val="Heading3"/>
      </w:pPr>
      <w:r>
        <w:t>Risk Assessment</w:t>
      </w:r>
    </w:p>
    <w:p w14:paraId="728FF178" w14:textId="7A42FF2F"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184</w:t>
      </w:r>
      <w:r w:rsidR="000B6788" w:rsidRPr="00291BDC">
        <w:rPr>
          <w:bCs/>
          <w:noProof/>
        </w:rPr>
        <w:fldChar w:fldCharType="end"/>
      </w:r>
      <w:r w:rsidRPr="00FF310C">
        <w:t>. Purple Coopernookia risk ratings in the East Gippsland RFA region:</w:t>
      </w:r>
    </w:p>
    <w:tbl>
      <w:tblPr>
        <w:tblStyle w:val="TableGrid"/>
        <w:tblW w:w="9846" w:type="dxa"/>
        <w:tblLook w:val="04A0" w:firstRow="1" w:lastRow="0" w:firstColumn="1" w:lastColumn="0" w:noHBand="0" w:noVBand="1"/>
      </w:tblPr>
      <w:tblGrid>
        <w:gridCol w:w="1969"/>
        <w:gridCol w:w="1969"/>
        <w:gridCol w:w="1969"/>
        <w:gridCol w:w="1969"/>
        <w:gridCol w:w="1970"/>
      </w:tblGrid>
      <w:tr w:rsidR="005F2101" w14:paraId="26395F08"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69" w:type="dxa"/>
            <w:tcBorders>
              <w:top w:val="single" w:sz="8" w:space="0" w:color="CDDC29" w:themeColor="text2"/>
              <w:left w:val="nil"/>
              <w:bottom w:val="single" w:sz="8" w:space="0" w:color="CDDC29" w:themeColor="text2"/>
              <w:right w:val="nil"/>
            </w:tcBorders>
            <w:vAlign w:val="center"/>
          </w:tcPr>
          <w:p w14:paraId="172F7910" w14:textId="77777777" w:rsidR="005F2101" w:rsidRDefault="005F2101" w:rsidP="006670D2">
            <w:pPr>
              <w:pStyle w:val="CaptionImageorFigure"/>
            </w:pPr>
          </w:p>
        </w:tc>
        <w:tc>
          <w:tcPr>
            <w:tcW w:w="1969" w:type="dxa"/>
            <w:tcBorders>
              <w:top w:val="single" w:sz="8" w:space="0" w:color="CDDC29" w:themeColor="text2"/>
              <w:left w:val="nil"/>
              <w:bottom w:val="single" w:sz="8" w:space="0" w:color="CDDC29" w:themeColor="text2"/>
              <w:right w:val="nil"/>
            </w:tcBorders>
            <w:vAlign w:val="center"/>
          </w:tcPr>
          <w:p w14:paraId="13442705" w14:textId="77777777" w:rsidR="005F2101" w:rsidDel="00500DDA"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w:t>
            </w:r>
          </w:p>
        </w:tc>
        <w:tc>
          <w:tcPr>
            <w:tcW w:w="1969" w:type="dxa"/>
            <w:tcBorders>
              <w:top w:val="single" w:sz="8" w:space="0" w:color="CDDC29" w:themeColor="text2"/>
              <w:left w:val="nil"/>
              <w:bottom w:val="single" w:sz="8" w:space="0" w:color="CDDC29" w:themeColor="text2"/>
              <w:right w:val="nil"/>
            </w:tcBorders>
            <w:vAlign w:val="center"/>
          </w:tcPr>
          <w:p w14:paraId="389993E1" w14:textId="77777777" w:rsidR="005F2101" w:rsidDel="00500DDA"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Bushfire</w:t>
            </w:r>
          </w:p>
        </w:tc>
        <w:tc>
          <w:tcPr>
            <w:tcW w:w="1969" w:type="dxa"/>
            <w:tcBorders>
              <w:top w:val="single" w:sz="8" w:space="0" w:color="CDDC29" w:themeColor="text2"/>
              <w:left w:val="nil"/>
              <w:bottom w:val="single" w:sz="8" w:space="0" w:color="CDDC29" w:themeColor="text2"/>
              <w:right w:val="nil"/>
            </w:tcBorders>
            <w:vAlign w:val="center"/>
          </w:tcPr>
          <w:p w14:paraId="76CAE6E4" w14:textId="77777777" w:rsidR="005F2101" w:rsidDel="00500DDA"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1970" w:type="dxa"/>
            <w:tcBorders>
              <w:top w:val="single" w:sz="8" w:space="0" w:color="CDDC29" w:themeColor="text2"/>
              <w:left w:val="nil"/>
              <w:bottom w:val="single" w:sz="8" w:space="0" w:color="CDDC29" w:themeColor="text2"/>
              <w:right w:val="nil"/>
            </w:tcBorders>
            <w:vAlign w:val="center"/>
            <w:hideMark/>
          </w:tcPr>
          <w:p w14:paraId="6108B5F5"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5F2101" w14:paraId="7BD89DF4" w14:textId="77777777" w:rsidTr="00296E0F">
        <w:tc>
          <w:tcPr>
            <w:tcW w:w="1969" w:type="dxa"/>
            <w:tcBorders>
              <w:top w:val="single" w:sz="8" w:space="0" w:color="CDDC29" w:themeColor="text2"/>
              <w:left w:val="nil"/>
              <w:bottom w:val="single" w:sz="8" w:space="0" w:color="CDDC29" w:themeColor="text2"/>
              <w:right w:val="nil"/>
            </w:tcBorders>
            <w:vAlign w:val="center"/>
            <w:hideMark/>
          </w:tcPr>
          <w:p w14:paraId="01FF8662" w14:textId="77777777" w:rsidR="005F2101" w:rsidRDefault="005F2101" w:rsidP="009F77A4">
            <w:pPr>
              <w:pStyle w:val="BodyText"/>
              <w:jc w:val="center"/>
            </w:pPr>
            <w:r>
              <w:t>Consequence</w:t>
            </w:r>
          </w:p>
        </w:tc>
        <w:tc>
          <w:tcPr>
            <w:tcW w:w="1969" w:type="dxa"/>
            <w:tcBorders>
              <w:top w:val="single" w:sz="8" w:space="0" w:color="CDDC29" w:themeColor="text2"/>
              <w:left w:val="nil"/>
              <w:bottom w:val="single" w:sz="8" w:space="0" w:color="CDDC29" w:themeColor="text2"/>
              <w:right w:val="nil"/>
            </w:tcBorders>
            <w:vAlign w:val="center"/>
          </w:tcPr>
          <w:p w14:paraId="42D31439" w14:textId="77777777" w:rsidR="005F2101" w:rsidRDefault="005F2101" w:rsidP="009F77A4">
            <w:pPr>
              <w:pStyle w:val="BodyText"/>
              <w:jc w:val="center"/>
            </w:pPr>
            <w:r>
              <w:t>Major</w:t>
            </w:r>
          </w:p>
        </w:tc>
        <w:tc>
          <w:tcPr>
            <w:tcW w:w="1969" w:type="dxa"/>
            <w:tcBorders>
              <w:top w:val="single" w:sz="8" w:space="0" w:color="CDDC29" w:themeColor="text2"/>
              <w:left w:val="nil"/>
              <w:bottom w:val="single" w:sz="8" w:space="0" w:color="CDDC29" w:themeColor="text2"/>
              <w:right w:val="nil"/>
            </w:tcBorders>
            <w:vAlign w:val="center"/>
          </w:tcPr>
          <w:p w14:paraId="36BBB882" w14:textId="77777777" w:rsidR="005F2101" w:rsidRDefault="005F2101" w:rsidP="009F77A4">
            <w:pPr>
              <w:pStyle w:val="BodyText"/>
              <w:jc w:val="center"/>
            </w:pPr>
            <w:r>
              <w:t>Major</w:t>
            </w:r>
          </w:p>
        </w:tc>
        <w:tc>
          <w:tcPr>
            <w:tcW w:w="1969" w:type="dxa"/>
            <w:tcBorders>
              <w:top w:val="single" w:sz="8" w:space="0" w:color="CDDC29" w:themeColor="text2"/>
              <w:left w:val="nil"/>
              <w:bottom w:val="single" w:sz="8" w:space="0" w:color="CDDC29" w:themeColor="text2"/>
              <w:right w:val="nil"/>
            </w:tcBorders>
            <w:vAlign w:val="center"/>
          </w:tcPr>
          <w:p w14:paraId="5AA22FFD" w14:textId="77777777" w:rsidR="005F2101" w:rsidRDefault="005F2101" w:rsidP="009F77A4">
            <w:pPr>
              <w:pStyle w:val="BodyText"/>
              <w:jc w:val="center"/>
            </w:pPr>
            <w:r>
              <w:t>Minor</w:t>
            </w:r>
          </w:p>
        </w:tc>
        <w:tc>
          <w:tcPr>
            <w:tcW w:w="1970" w:type="dxa"/>
            <w:tcBorders>
              <w:top w:val="single" w:sz="8" w:space="0" w:color="CDDC29" w:themeColor="text2"/>
              <w:left w:val="nil"/>
              <w:bottom w:val="single" w:sz="8" w:space="0" w:color="CDDC29" w:themeColor="text2"/>
              <w:right w:val="nil"/>
            </w:tcBorders>
            <w:vAlign w:val="center"/>
            <w:hideMark/>
          </w:tcPr>
          <w:p w14:paraId="1B17D1CE" w14:textId="77777777" w:rsidR="005F2101" w:rsidRDefault="005F2101" w:rsidP="009F77A4">
            <w:pPr>
              <w:pStyle w:val="BodyText"/>
              <w:jc w:val="center"/>
            </w:pPr>
            <w:r>
              <w:t>Major</w:t>
            </w:r>
          </w:p>
        </w:tc>
      </w:tr>
      <w:tr w:rsidR="005F2101" w14:paraId="3AC04D9A" w14:textId="77777777" w:rsidTr="00296E0F">
        <w:tc>
          <w:tcPr>
            <w:tcW w:w="1969" w:type="dxa"/>
            <w:tcBorders>
              <w:top w:val="single" w:sz="8" w:space="0" w:color="CDDC29" w:themeColor="text2"/>
              <w:left w:val="nil"/>
              <w:bottom w:val="single" w:sz="8" w:space="0" w:color="CDDC29" w:themeColor="text2"/>
              <w:right w:val="nil"/>
            </w:tcBorders>
            <w:vAlign w:val="center"/>
            <w:hideMark/>
          </w:tcPr>
          <w:p w14:paraId="40309CD7" w14:textId="77777777" w:rsidR="005F2101" w:rsidRDefault="005F2101" w:rsidP="009F77A4">
            <w:pPr>
              <w:pStyle w:val="BodyText"/>
              <w:jc w:val="center"/>
            </w:pPr>
            <w:r>
              <w:t>Likelihood</w:t>
            </w:r>
          </w:p>
        </w:tc>
        <w:tc>
          <w:tcPr>
            <w:tcW w:w="1969" w:type="dxa"/>
            <w:tcBorders>
              <w:top w:val="single" w:sz="8" w:space="0" w:color="CDDC29" w:themeColor="text2"/>
              <w:left w:val="nil"/>
              <w:bottom w:val="single" w:sz="8" w:space="0" w:color="CDDC29" w:themeColor="text2"/>
              <w:right w:val="nil"/>
            </w:tcBorders>
            <w:vAlign w:val="center"/>
          </w:tcPr>
          <w:p w14:paraId="23FDC00B" w14:textId="77777777" w:rsidR="005F2101" w:rsidRDefault="005F2101" w:rsidP="009F77A4">
            <w:pPr>
              <w:pStyle w:val="BodyText"/>
              <w:jc w:val="center"/>
            </w:pPr>
            <w:r>
              <w:t>Likely</w:t>
            </w:r>
          </w:p>
        </w:tc>
        <w:tc>
          <w:tcPr>
            <w:tcW w:w="1969" w:type="dxa"/>
            <w:tcBorders>
              <w:top w:val="single" w:sz="8" w:space="0" w:color="CDDC29" w:themeColor="text2"/>
              <w:left w:val="nil"/>
              <w:bottom w:val="single" w:sz="8" w:space="0" w:color="CDDC29" w:themeColor="text2"/>
              <w:right w:val="nil"/>
            </w:tcBorders>
            <w:vAlign w:val="center"/>
          </w:tcPr>
          <w:p w14:paraId="58BD3AF7" w14:textId="77777777" w:rsidR="005F2101" w:rsidRDefault="005F2101" w:rsidP="009F77A4">
            <w:pPr>
              <w:pStyle w:val="BodyText"/>
              <w:jc w:val="center"/>
            </w:pPr>
            <w:r>
              <w:t>Possible</w:t>
            </w:r>
          </w:p>
        </w:tc>
        <w:tc>
          <w:tcPr>
            <w:tcW w:w="1969" w:type="dxa"/>
            <w:tcBorders>
              <w:top w:val="single" w:sz="8" w:space="0" w:color="CDDC29" w:themeColor="text2"/>
              <w:left w:val="nil"/>
              <w:bottom w:val="single" w:sz="8" w:space="0" w:color="CDDC29" w:themeColor="text2"/>
              <w:right w:val="nil"/>
            </w:tcBorders>
            <w:vAlign w:val="center"/>
          </w:tcPr>
          <w:p w14:paraId="6E8BEED1" w14:textId="77777777" w:rsidR="005F2101" w:rsidRDefault="005F2101" w:rsidP="009F77A4">
            <w:pPr>
              <w:pStyle w:val="BodyText"/>
              <w:jc w:val="center"/>
            </w:pPr>
            <w:r>
              <w:t>Rare</w:t>
            </w:r>
          </w:p>
        </w:tc>
        <w:tc>
          <w:tcPr>
            <w:tcW w:w="1970" w:type="dxa"/>
            <w:tcBorders>
              <w:top w:val="single" w:sz="8" w:space="0" w:color="CDDC29" w:themeColor="text2"/>
              <w:left w:val="nil"/>
              <w:bottom w:val="single" w:sz="8" w:space="0" w:color="CDDC29" w:themeColor="text2"/>
              <w:right w:val="nil"/>
            </w:tcBorders>
            <w:vAlign w:val="center"/>
            <w:hideMark/>
          </w:tcPr>
          <w:p w14:paraId="0955C702" w14:textId="77777777" w:rsidR="005F2101" w:rsidRDefault="005F2101" w:rsidP="009F77A4">
            <w:pPr>
              <w:pStyle w:val="BodyText"/>
              <w:jc w:val="center"/>
            </w:pPr>
            <w:r>
              <w:t>Possible</w:t>
            </w:r>
          </w:p>
        </w:tc>
      </w:tr>
      <w:tr w:rsidR="005F2101" w14:paraId="0D9CF579" w14:textId="77777777" w:rsidTr="00296E0F">
        <w:tc>
          <w:tcPr>
            <w:tcW w:w="1969" w:type="dxa"/>
            <w:tcBorders>
              <w:top w:val="single" w:sz="8" w:space="0" w:color="CDDC29" w:themeColor="text2"/>
              <w:left w:val="nil"/>
              <w:bottom w:val="single" w:sz="8" w:space="0" w:color="CDDC29" w:themeColor="text2"/>
              <w:right w:val="nil"/>
            </w:tcBorders>
            <w:vAlign w:val="center"/>
            <w:hideMark/>
          </w:tcPr>
          <w:p w14:paraId="7E6DD76C" w14:textId="77777777" w:rsidR="005F2101" w:rsidRDefault="005F2101" w:rsidP="009F77A4">
            <w:pPr>
              <w:pStyle w:val="BodyText"/>
              <w:jc w:val="center"/>
            </w:pPr>
            <w:r>
              <w:t>Overall risk rating</w:t>
            </w:r>
          </w:p>
        </w:tc>
        <w:tc>
          <w:tcPr>
            <w:tcW w:w="1969" w:type="dxa"/>
            <w:tcBorders>
              <w:top w:val="single" w:sz="8" w:space="0" w:color="CDDC29" w:themeColor="text2"/>
              <w:left w:val="nil"/>
              <w:bottom w:val="single" w:sz="8" w:space="0" w:color="CDDC29" w:themeColor="text2"/>
              <w:right w:val="nil"/>
            </w:tcBorders>
            <w:shd w:val="clear" w:color="auto" w:fill="FF0000"/>
            <w:vAlign w:val="center"/>
          </w:tcPr>
          <w:p w14:paraId="56EE3934" w14:textId="77777777" w:rsidR="005F2101" w:rsidRDefault="005F2101" w:rsidP="009F77A4">
            <w:pPr>
              <w:pStyle w:val="BodyText"/>
              <w:jc w:val="center"/>
            </w:pPr>
            <w:r>
              <w:t>High</w:t>
            </w:r>
          </w:p>
        </w:tc>
        <w:tc>
          <w:tcPr>
            <w:tcW w:w="1969" w:type="dxa"/>
            <w:tcBorders>
              <w:top w:val="single" w:sz="8" w:space="0" w:color="CDDC29" w:themeColor="text2"/>
              <w:left w:val="nil"/>
              <w:bottom w:val="single" w:sz="8" w:space="0" w:color="CDDC29" w:themeColor="text2"/>
              <w:right w:val="nil"/>
            </w:tcBorders>
            <w:shd w:val="clear" w:color="auto" w:fill="FFC000"/>
            <w:vAlign w:val="center"/>
          </w:tcPr>
          <w:p w14:paraId="0C155A2F" w14:textId="77777777" w:rsidR="005F2101" w:rsidRDefault="005F2101" w:rsidP="009F77A4">
            <w:pPr>
              <w:pStyle w:val="BodyText"/>
              <w:jc w:val="center"/>
            </w:pPr>
            <w:r>
              <w:t>Significant</w:t>
            </w:r>
          </w:p>
        </w:tc>
        <w:tc>
          <w:tcPr>
            <w:tcW w:w="1969" w:type="dxa"/>
            <w:tcBorders>
              <w:top w:val="single" w:sz="8" w:space="0" w:color="CDDC29" w:themeColor="text2"/>
              <w:left w:val="nil"/>
              <w:bottom w:val="single" w:sz="8" w:space="0" w:color="CDDC29" w:themeColor="text2"/>
              <w:right w:val="nil"/>
            </w:tcBorders>
            <w:shd w:val="clear" w:color="auto" w:fill="92D050"/>
            <w:vAlign w:val="center"/>
          </w:tcPr>
          <w:p w14:paraId="2A316BD5" w14:textId="77777777" w:rsidR="005F2101" w:rsidRDefault="005F2101" w:rsidP="009F77A4">
            <w:pPr>
              <w:pStyle w:val="BodyText"/>
              <w:jc w:val="center"/>
            </w:pPr>
            <w:r>
              <w:t>Low</w:t>
            </w:r>
          </w:p>
        </w:tc>
        <w:tc>
          <w:tcPr>
            <w:tcW w:w="1970" w:type="dxa"/>
            <w:tcBorders>
              <w:top w:val="single" w:sz="8" w:space="0" w:color="CDDC29" w:themeColor="text2"/>
              <w:left w:val="nil"/>
              <w:bottom w:val="single" w:sz="8" w:space="0" w:color="CDDC29" w:themeColor="text2"/>
              <w:right w:val="nil"/>
            </w:tcBorders>
            <w:shd w:val="clear" w:color="auto" w:fill="FFC000"/>
            <w:vAlign w:val="center"/>
            <w:hideMark/>
          </w:tcPr>
          <w:p w14:paraId="45028B0B" w14:textId="77777777" w:rsidR="005F2101" w:rsidRDefault="005F2101" w:rsidP="009F77A4">
            <w:pPr>
              <w:pStyle w:val="BodyText"/>
              <w:jc w:val="center"/>
            </w:pPr>
            <w:r>
              <w:t>Significant</w:t>
            </w:r>
          </w:p>
        </w:tc>
      </w:tr>
    </w:tbl>
    <w:p w14:paraId="5981D994" w14:textId="77777777" w:rsidR="005F2101" w:rsidRDefault="005F2101" w:rsidP="007E5EBF">
      <w:pPr>
        <w:pStyle w:val="Heading3"/>
        <w:jc w:val="both"/>
      </w:pPr>
      <w:r>
        <w:t>Climate change</w:t>
      </w:r>
    </w:p>
    <w:p w14:paraId="6584EC90" w14:textId="77777777" w:rsidR="005F2101" w:rsidRDefault="005F2101" w:rsidP="007E5EBF">
      <w:pPr>
        <w:pStyle w:val="Heading5"/>
      </w:pPr>
      <w:r>
        <w:t>Drying climate</w:t>
      </w:r>
    </w:p>
    <w:p w14:paraId="37743C6F" w14:textId="13EFB778" w:rsidR="005F2101" w:rsidRDefault="005F2101" w:rsidP="005F2101">
      <w:pPr>
        <w:pStyle w:val="BodyText"/>
      </w:pPr>
      <w:r>
        <w:t xml:space="preserve">The </w:t>
      </w:r>
      <w:r w:rsidR="001D3902">
        <w:t>species</w:t>
      </w:r>
      <w:r>
        <w:t xml:space="preserve"> is threatened across its distribution in the long-term by climatic drying and warming, risking elevated mortality and changes in vegetation structure. Any impacts are likely to be exacerbated by altered fire regimes, increasing the risk of repeat fire and recruitment failure. Drought, hot weather and repeat fires have the potential to damage or destroy recovering plants and/or seedlings. A drying climate is likely to interact with all other hazards, with potential negative effects on existing plants due to mortality caused by extreme weather (e.g., prolonged drought killing existing plants and other hazards reducing likely recruitment) or recruitment (e.g., timber harvesting, grazing, or fire followed by extreme weather impacting recruitment by seedlings</w:t>
      </w:r>
      <w:r w:rsidR="00E34829">
        <w:t>)</w:t>
      </w:r>
      <w:r>
        <w:t>.</w:t>
      </w:r>
    </w:p>
    <w:p w14:paraId="013F4C4A" w14:textId="2D360993" w:rsidR="005F2101" w:rsidRPr="009773B1" w:rsidRDefault="005F2101" w:rsidP="005F2101">
      <w:pPr>
        <w:pStyle w:val="BodyText"/>
      </w:pPr>
      <w:r w:rsidRPr="009773B1">
        <w:t xml:space="preserve">Current control measures for this hazard are not effective in managing the risk to this </w:t>
      </w:r>
      <w:r w:rsidR="001D3902">
        <w:t>species</w:t>
      </w:r>
      <w:r w:rsidRPr="009773B1">
        <w:t xml:space="preserve"> at the scale relevant to its conservation</w:t>
      </w:r>
      <w:r>
        <w:t>.</w:t>
      </w:r>
    </w:p>
    <w:p w14:paraId="745E5DD0" w14:textId="1B5693AE"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185</w:t>
      </w:r>
      <w:r w:rsidR="000B6788" w:rsidRPr="00291BDC">
        <w:rPr>
          <w:bCs/>
          <w:noProof/>
        </w:rPr>
        <w:fldChar w:fldCharType="end"/>
      </w:r>
      <w:r w:rsidRPr="00FF310C">
        <w:t>. Purple Coopernookia protection requirements and recommendations for drying climate</w:t>
      </w:r>
    </w:p>
    <w:tbl>
      <w:tblPr>
        <w:tblStyle w:val="TableGrid"/>
        <w:tblW w:w="0" w:type="auto"/>
        <w:tblLook w:val="04A0" w:firstRow="1" w:lastRow="0" w:firstColumn="1" w:lastColumn="0" w:noHBand="0" w:noVBand="1"/>
      </w:tblPr>
      <w:tblGrid>
        <w:gridCol w:w="2268"/>
        <w:gridCol w:w="7371"/>
      </w:tblGrid>
      <w:tr w:rsidR="005F2101" w:rsidRPr="00867DAA" w14:paraId="1390105E"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6341F7D6" w14:textId="77777777" w:rsidR="005F2101" w:rsidRPr="00704719" w:rsidRDefault="005F2101" w:rsidP="00296E0F">
            <w:pPr>
              <w:pStyle w:val="BodyText"/>
            </w:pPr>
            <w:r w:rsidRPr="00704719">
              <w:t>Requirement</w:t>
            </w:r>
          </w:p>
        </w:tc>
        <w:tc>
          <w:tcPr>
            <w:tcW w:w="7371" w:type="dxa"/>
            <w:vAlign w:val="center"/>
          </w:tcPr>
          <w:p w14:paraId="74CDBB1C"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6785C472" w14:textId="77777777" w:rsidTr="0097320D">
        <w:tc>
          <w:tcPr>
            <w:tcW w:w="2268" w:type="dxa"/>
          </w:tcPr>
          <w:p w14:paraId="18D0AEE8" w14:textId="04996645" w:rsidR="005F2101" w:rsidRPr="003566BD" w:rsidRDefault="00751F9C" w:rsidP="0097320D">
            <w:pPr>
              <w:pStyle w:val="BodyText"/>
            </w:pPr>
            <w:r>
              <w:t>Priority management actions</w:t>
            </w:r>
          </w:p>
        </w:tc>
        <w:tc>
          <w:tcPr>
            <w:tcW w:w="7371" w:type="dxa"/>
          </w:tcPr>
          <w:p w14:paraId="18D2BC12" w14:textId="77777777" w:rsidR="005F2101" w:rsidRPr="003566BD" w:rsidRDefault="005F2101" w:rsidP="0097320D">
            <w:pPr>
              <w:pStyle w:val="BodyText"/>
            </w:pPr>
            <w:r w:rsidRPr="00200995">
              <w:t>Not required for this hazard</w:t>
            </w:r>
            <w:r>
              <w:t xml:space="preserve"> as it is a longer-term threat.</w:t>
            </w:r>
          </w:p>
        </w:tc>
      </w:tr>
      <w:tr w:rsidR="005F2101" w:rsidRPr="00867DAA" w14:paraId="5A8950A2" w14:textId="77777777" w:rsidTr="0097320D">
        <w:tc>
          <w:tcPr>
            <w:tcW w:w="2268" w:type="dxa"/>
          </w:tcPr>
          <w:p w14:paraId="702934BC" w14:textId="2F5A402A" w:rsidR="005F2101" w:rsidRPr="00867DAA" w:rsidRDefault="00751F9C" w:rsidP="0097320D">
            <w:pPr>
              <w:pStyle w:val="BodyText"/>
            </w:pPr>
            <w:r>
              <w:t>Potential m</w:t>
            </w:r>
            <w:r w:rsidR="005F2101" w:rsidRPr="00867DAA">
              <w:t>anagement actions</w:t>
            </w:r>
          </w:p>
        </w:tc>
        <w:tc>
          <w:tcPr>
            <w:tcW w:w="7371" w:type="dxa"/>
          </w:tcPr>
          <w:p w14:paraId="77D8FDB0" w14:textId="77777777" w:rsidR="005F2101" w:rsidRPr="00001691" w:rsidRDefault="005F2101" w:rsidP="006670D2">
            <w:pPr>
              <w:pStyle w:val="PullOutBoxBullet"/>
              <w:rPr>
                <w:b/>
                <w:bCs/>
              </w:rPr>
            </w:pPr>
            <w:r>
              <w:t xml:space="preserve">Undertake additional </w:t>
            </w:r>
            <w:r w:rsidRPr="00A1737C">
              <w:rPr>
                <w:i/>
                <w:iCs/>
              </w:rPr>
              <w:t xml:space="preserve">ex-situ </w:t>
            </w:r>
            <w:r>
              <w:t>conservation collections (e.g., seed storage of populations not yet stored in the VCS).</w:t>
            </w:r>
          </w:p>
        </w:tc>
      </w:tr>
    </w:tbl>
    <w:p w14:paraId="60E72EE4" w14:textId="77777777" w:rsidR="005F2101" w:rsidRDefault="005F2101" w:rsidP="007E5EBF">
      <w:pPr>
        <w:pStyle w:val="Heading3"/>
        <w:jc w:val="both"/>
      </w:pPr>
      <w:r>
        <w:t>Fire</w:t>
      </w:r>
    </w:p>
    <w:p w14:paraId="1FFECB14" w14:textId="77777777" w:rsidR="005F2101" w:rsidRDefault="005F2101" w:rsidP="007E5EBF">
      <w:pPr>
        <w:pStyle w:val="Heading5"/>
      </w:pPr>
      <w:r>
        <w:t>Bushfire</w:t>
      </w:r>
    </w:p>
    <w:p w14:paraId="2A063C70" w14:textId="620FAEDB" w:rsidR="00107E67" w:rsidRDefault="005F2101" w:rsidP="005F2101">
      <w:pPr>
        <w:pStyle w:val="BodyText"/>
      </w:pPr>
      <w:r>
        <w:t>The bushfires of 2</w:t>
      </w:r>
      <w:r w:rsidR="00DF57CB">
        <w:t>019-2</w:t>
      </w:r>
      <w:r>
        <w:t xml:space="preserve">0 are believed to have impacted around 76% of the </w:t>
      </w:r>
      <w:r w:rsidR="001D3902">
        <w:t>species’</w:t>
      </w:r>
      <w:r>
        <w:t xml:space="preserve"> modelled habitat, with some 96% of the habitat affected by fire since 2000. The overall impacts of the fire are yet to be determined. Drought, hot weather and repeat fires have the potential to damage or destroy recovering plants and/or seedlings, and the </w:t>
      </w:r>
      <w:r w:rsidR="001D3902">
        <w:t>species’</w:t>
      </w:r>
      <w:r>
        <w:t xml:space="preserve"> recovery depends on the effective control of the impacts of herbivores, notably Sambar, and by preventing soil disturbance following fire recovery.</w:t>
      </w:r>
      <w:r w:rsidRPr="001D17AD">
        <w:t xml:space="preserve"> </w:t>
      </w:r>
    </w:p>
    <w:p w14:paraId="0CC18779" w14:textId="0147541B" w:rsidR="005F2101" w:rsidRDefault="005F2101" w:rsidP="005F2101">
      <w:pPr>
        <w:pStyle w:val="BodyText"/>
      </w:pPr>
      <w:r>
        <w:t xml:space="preserve">The </w:t>
      </w:r>
      <w:r w:rsidR="001D3902">
        <w:t>species</w:t>
      </w:r>
      <w:r>
        <w:t xml:space="preserve"> is likely to respond well to fire through post-fire recruitment as it has a reasonable short time to becoming reproductive, possibly only 2 or 3 years</w:t>
      </w:r>
      <w:r w:rsidR="00107E67">
        <w:t>, therefore s</w:t>
      </w:r>
      <w:r>
        <w:t>ome level of recruitment might be expected provided fire frequency is &gt; 5 years</w:t>
      </w:r>
      <w:r w:rsidR="00107E67">
        <w:t>. H</w:t>
      </w:r>
      <w:r>
        <w:t>owever</w:t>
      </w:r>
      <w:r w:rsidR="00107E67">
        <w:t>,</w:t>
      </w:r>
      <w:r>
        <w:t xml:space="preserve"> cumulative impacts with other threats make this a significant risk. It seems unlikely that populations will burn again before 2023, however, if this were to happen it would </w:t>
      </w:r>
      <w:r w:rsidR="00DF6065">
        <w:t xml:space="preserve">be likely to </w:t>
      </w:r>
      <w:r>
        <w:t xml:space="preserve">have very negative outcomes for this </w:t>
      </w:r>
      <w:r w:rsidR="001D3902">
        <w:t>species</w:t>
      </w:r>
      <w:r>
        <w:t>. Fires followed by extreme weather or grazing</w:t>
      </w:r>
      <w:r w:rsidR="0098674E">
        <w:t>,</w:t>
      </w:r>
      <w:r>
        <w:t xml:space="preserve"> and timber harvesting followed by repeat fires</w:t>
      </w:r>
      <w:r w:rsidR="0098674E">
        <w:t>,</w:t>
      </w:r>
      <w:r>
        <w:t xml:space="preserve"> may lead to recruitment failure.</w:t>
      </w:r>
    </w:p>
    <w:p w14:paraId="7776F230" w14:textId="77777777" w:rsidR="005F2101" w:rsidRDefault="005F2101" w:rsidP="005F2101">
      <w:pPr>
        <w:pStyle w:val="BodyText"/>
      </w:pPr>
      <w:r>
        <w:t>Current controls for this hazard include:</w:t>
      </w:r>
    </w:p>
    <w:p w14:paraId="29361559" w14:textId="4DD27F96" w:rsidR="005F2101" w:rsidRDefault="005F2101" w:rsidP="006670D2">
      <w:pPr>
        <w:pStyle w:val="PullOutBoxBullet"/>
      </w:pPr>
      <w:r>
        <w:t>Bushfire management phases of planning, prevention, preparedness, fuel management, response, recovery</w:t>
      </w:r>
      <w:r w:rsidR="00FF17FA">
        <w:t>,</w:t>
      </w:r>
      <w:r>
        <w:t xml:space="preserve"> and monitoring. </w:t>
      </w:r>
      <w:r w:rsidRPr="00160F2E">
        <w:t xml:space="preserve">The effectiveness of this control </w:t>
      </w:r>
      <w:r w:rsidR="00346B24">
        <w:t xml:space="preserve">in managing risk to </w:t>
      </w:r>
      <w:r w:rsidRPr="00160F2E" w:rsidDel="00346B24">
        <w:t>this</w:t>
      </w:r>
      <w:r w:rsidRPr="00160F2E">
        <w:t xml:space="preserve"> species has been evaluated as</w:t>
      </w:r>
      <w:r>
        <w:t xml:space="preserve"> poor, because despite these controls</w:t>
      </w:r>
      <w:r w:rsidR="00346B24">
        <w:t>, the impacts of</w:t>
      </w:r>
      <w:r>
        <w:t xml:space="preserve"> bushfire </w:t>
      </w:r>
      <w:r w:rsidR="00346B24">
        <w:t>on this species</w:t>
      </w:r>
      <w:r>
        <w:t xml:space="preserve"> have increased over the past 20 years. </w:t>
      </w:r>
    </w:p>
    <w:p w14:paraId="1ADDBF31" w14:textId="2583EDE7"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186</w:t>
      </w:r>
      <w:r w:rsidR="000B6788" w:rsidRPr="00291BDC">
        <w:rPr>
          <w:bCs/>
          <w:noProof/>
        </w:rPr>
        <w:fldChar w:fldCharType="end"/>
      </w:r>
      <w:r w:rsidRPr="00FF310C">
        <w:t>. Purple Coopernookia protection requirements and recommendations for bushfire</w:t>
      </w:r>
    </w:p>
    <w:tbl>
      <w:tblPr>
        <w:tblStyle w:val="TableGrid"/>
        <w:tblW w:w="0" w:type="auto"/>
        <w:tblLook w:val="04A0" w:firstRow="1" w:lastRow="0" w:firstColumn="1" w:lastColumn="0" w:noHBand="0" w:noVBand="1"/>
      </w:tblPr>
      <w:tblGrid>
        <w:gridCol w:w="2268"/>
        <w:gridCol w:w="7371"/>
      </w:tblGrid>
      <w:tr w:rsidR="005F2101" w:rsidRPr="00867DAA" w14:paraId="07A580CD"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47FC75B2" w14:textId="77777777" w:rsidR="005F2101" w:rsidRPr="00704719" w:rsidRDefault="005F2101" w:rsidP="00296E0F">
            <w:pPr>
              <w:pStyle w:val="BodyText"/>
            </w:pPr>
            <w:r w:rsidRPr="00704719">
              <w:t>Requirement</w:t>
            </w:r>
          </w:p>
        </w:tc>
        <w:tc>
          <w:tcPr>
            <w:tcW w:w="7371" w:type="dxa"/>
            <w:vAlign w:val="center"/>
          </w:tcPr>
          <w:p w14:paraId="3B3BFEAA"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5DD8109F" w14:textId="77777777" w:rsidTr="0097320D">
        <w:tc>
          <w:tcPr>
            <w:tcW w:w="2268" w:type="dxa"/>
          </w:tcPr>
          <w:p w14:paraId="734ADF0F" w14:textId="345C6493" w:rsidR="005F2101" w:rsidRPr="003566BD" w:rsidRDefault="00AE2AB9" w:rsidP="0097320D">
            <w:pPr>
              <w:pStyle w:val="BodyText"/>
            </w:pPr>
            <w:r>
              <w:t>Priority management actions</w:t>
            </w:r>
          </w:p>
        </w:tc>
        <w:tc>
          <w:tcPr>
            <w:tcW w:w="7371" w:type="dxa"/>
          </w:tcPr>
          <w:p w14:paraId="1A5C3132" w14:textId="77777777" w:rsidR="005F2101" w:rsidRPr="00E6308E" w:rsidRDefault="005F2101" w:rsidP="0097320D">
            <w:pPr>
              <w:pStyle w:val="BodyText"/>
              <w:rPr>
                <w:highlight w:val="yellow"/>
              </w:rPr>
            </w:pPr>
            <w:r w:rsidRPr="00C23B38">
              <w:t>Not required for this hazard.</w:t>
            </w:r>
          </w:p>
        </w:tc>
      </w:tr>
      <w:tr w:rsidR="005F2101" w:rsidRPr="00867DAA" w14:paraId="33784B55" w14:textId="77777777" w:rsidTr="0097320D">
        <w:tc>
          <w:tcPr>
            <w:tcW w:w="2268" w:type="dxa"/>
          </w:tcPr>
          <w:p w14:paraId="62691725" w14:textId="28C974FF" w:rsidR="005F2101" w:rsidRPr="00867DAA" w:rsidRDefault="00AE2AB9" w:rsidP="0097320D">
            <w:pPr>
              <w:pStyle w:val="BodyText"/>
            </w:pPr>
            <w:r>
              <w:t>Potential m</w:t>
            </w:r>
            <w:r w:rsidR="005F2101" w:rsidRPr="00867DAA">
              <w:t>anagement actions</w:t>
            </w:r>
          </w:p>
        </w:tc>
        <w:tc>
          <w:tcPr>
            <w:tcW w:w="7371" w:type="dxa"/>
          </w:tcPr>
          <w:p w14:paraId="74A9DC60" w14:textId="77777777" w:rsidR="005F2101" w:rsidRPr="00001691" w:rsidRDefault="005F2101" w:rsidP="006670D2">
            <w:pPr>
              <w:pStyle w:val="PullOutBoxBullet"/>
              <w:rPr>
                <w:b/>
                <w:bCs/>
              </w:rPr>
            </w:pPr>
            <w:r>
              <w:t xml:space="preserve">Undertake additional </w:t>
            </w:r>
            <w:r w:rsidRPr="00A1737C">
              <w:rPr>
                <w:i/>
                <w:iCs/>
              </w:rPr>
              <w:t xml:space="preserve">ex-situ </w:t>
            </w:r>
            <w:r>
              <w:t>conservation collections (e.g., seed storage of populations not yet stored in the VCS).</w:t>
            </w:r>
          </w:p>
        </w:tc>
      </w:tr>
    </w:tbl>
    <w:p w14:paraId="28EECA7B" w14:textId="77777777" w:rsidR="005F2101" w:rsidRDefault="005F2101" w:rsidP="007E5EBF">
      <w:pPr>
        <w:pStyle w:val="Heading3"/>
        <w:jc w:val="both"/>
      </w:pPr>
      <w:r>
        <w:t>Forestry operations</w:t>
      </w:r>
    </w:p>
    <w:p w14:paraId="6BDA98EA" w14:textId="77777777" w:rsidR="005F2101" w:rsidRDefault="005F2101" w:rsidP="007E5EBF">
      <w:pPr>
        <w:pStyle w:val="Heading5"/>
      </w:pPr>
      <w:r>
        <w:t>Forestry operations</w:t>
      </w:r>
    </w:p>
    <w:p w14:paraId="3C2926BE" w14:textId="420D9EE2" w:rsidR="005F2101" w:rsidRDefault="005F2101" w:rsidP="005F2101">
      <w:pPr>
        <w:pStyle w:val="BodyText"/>
      </w:pPr>
      <w:r>
        <w:t xml:space="preserve">The </w:t>
      </w:r>
      <w:r w:rsidR="001D3902">
        <w:t>species</w:t>
      </w:r>
      <w:r>
        <w:t xml:space="preserve"> occurs in relatively intact habitat, although it is likely that some areas have been subject to historic forestry operations. Forestry operations are likely to interact with all other hazards, with potential negative effects on recruitment</w:t>
      </w:r>
      <w:r w:rsidR="00025A96">
        <w:t xml:space="preserve"> and habitat loss</w:t>
      </w:r>
      <w:r>
        <w:t xml:space="preserve"> from timber harvesting </w:t>
      </w:r>
      <w:r w:rsidR="006B7FC2">
        <w:t xml:space="preserve">being </w:t>
      </w:r>
      <w:r>
        <w:t>followed by other hazards such as grazing by feral animals, extreme weather or bushfire removing seedlings.</w:t>
      </w:r>
      <w:r w:rsidR="00E1549F">
        <w:t xml:space="preserve"> </w:t>
      </w:r>
      <w:r w:rsidR="00E1549F" w:rsidRPr="00FD57DB">
        <w:t xml:space="preserve">Based on the 2015 net harvest area layer 20% of the </w:t>
      </w:r>
      <w:r w:rsidR="001D3902">
        <w:t>species’</w:t>
      </w:r>
      <w:r w:rsidR="00E1549F" w:rsidRPr="00FD57DB">
        <w:t xml:space="preserve"> modelled habitat is in merchantable areas. Using the revised operable area layer, this is reduced to 6%.</w:t>
      </w:r>
    </w:p>
    <w:p w14:paraId="11C029DB" w14:textId="77777777" w:rsidR="005F2101" w:rsidRDefault="005F2101" w:rsidP="005F2101">
      <w:pPr>
        <w:pStyle w:val="BodyText"/>
      </w:pPr>
      <w:r>
        <w:t>Current controls for this hazard include:</w:t>
      </w:r>
    </w:p>
    <w:p w14:paraId="14128071" w14:textId="7CFDA7C5" w:rsidR="005F2101" w:rsidRDefault="005F2101" w:rsidP="006670D2">
      <w:pPr>
        <w:pStyle w:val="PullOutBoxBullet"/>
      </w:pPr>
      <w:r w:rsidRPr="003566BD">
        <w:t xml:space="preserve">The </w:t>
      </w:r>
      <w:r w:rsidRPr="003566BD">
        <w:rPr>
          <w:i/>
          <w:iCs/>
        </w:rPr>
        <w:t>Code of Practice for Timber Production 2014</w:t>
      </w:r>
      <w:r>
        <w:rPr>
          <w:i/>
          <w:iCs/>
        </w:rPr>
        <w:t>.</w:t>
      </w:r>
      <w:r>
        <w:t xml:space="preserve"> Th</w:t>
      </w:r>
      <w:r w:rsidRPr="003566BD">
        <w:t xml:space="preserve">ere </w:t>
      </w:r>
      <w:r>
        <w:t>is</w:t>
      </w:r>
      <w:r w:rsidRPr="003566BD">
        <w:t xml:space="preserve"> no species-specific prescription for this </w:t>
      </w:r>
      <w:r w:rsidR="001D3902">
        <w:t>species</w:t>
      </w:r>
      <w:r>
        <w:t xml:space="preserve"> in the Code. </w:t>
      </w:r>
      <w:r w:rsidRPr="003566BD">
        <w:t xml:space="preserve">The lack of a specific prescription leads to the effectiveness of the Code being assessed as poor for this </w:t>
      </w:r>
      <w:r w:rsidR="001D3902">
        <w:t>species</w:t>
      </w:r>
      <w:r>
        <w:t>, although the level of risk is low.</w:t>
      </w:r>
    </w:p>
    <w:p w14:paraId="24D62646" w14:textId="55295C53" w:rsidR="005F2101" w:rsidRPr="00D95A46" w:rsidRDefault="005F2101"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poor to satisfactory</w:t>
      </w:r>
      <w:r w:rsidRPr="4F453272">
        <w:t xml:space="preserve"> as </w:t>
      </w:r>
      <w:r>
        <w:t>62</w:t>
      </w:r>
      <w:r w:rsidRPr="4F453272">
        <w:t xml:space="preserve">% of the </w:t>
      </w:r>
      <w:r w:rsidR="001D3902">
        <w:t>species’</w:t>
      </w:r>
      <w:r w:rsidRPr="4F453272">
        <w:t xml:space="preserve"> modelled distribution and</w:t>
      </w:r>
      <w:r>
        <w:t xml:space="preserve"> 48</w:t>
      </w:r>
      <w:r w:rsidRPr="4F453272">
        <w:t>% of important populations are within the reserve system.</w:t>
      </w:r>
    </w:p>
    <w:p w14:paraId="46872040" w14:textId="036C9F52"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187</w:t>
      </w:r>
      <w:r w:rsidR="000B6788" w:rsidRPr="00291BDC">
        <w:rPr>
          <w:bCs/>
          <w:noProof/>
        </w:rPr>
        <w:fldChar w:fldCharType="end"/>
      </w:r>
      <w:r w:rsidRPr="00FF310C">
        <w:t xml:space="preserve">. Purple Coopernookia protection requirements and recommendations for </w:t>
      </w:r>
      <w:r w:rsidR="00AE2AB9" w:rsidRPr="00FF310C">
        <w:t>f</w:t>
      </w:r>
      <w:r w:rsidRPr="00FF310C">
        <w:t>orestry operations</w:t>
      </w:r>
    </w:p>
    <w:tbl>
      <w:tblPr>
        <w:tblStyle w:val="TableGrid"/>
        <w:tblW w:w="0" w:type="auto"/>
        <w:tblLook w:val="04A0" w:firstRow="1" w:lastRow="0" w:firstColumn="1" w:lastColumn="0" w:noHBand="0" w:noVBand="1"/>
      </w:tblPr>
      <w:tblGrid>
        <w:gridCol w:w="2268"/>
        <w:gridCol w:w="7371"/>
      </w:tblGrid>
      <w:tr w:rsidR="005F2101" w:rsidRPr="00867DAA" w14:paraId="62D4E05C"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48ED0267" w14:textId="77777777" w:rsidR="005F2101" w:rsidRPr="00704719" w:rsidRDefault="005F2101" w:rsidP="00296E0F">
            <w:pPr>
              <w:pStyle w:val="BodyText"/>
            </w:pPr>
            <w:r w:rsidRPr="00704719">
              <w:t>Requirement</w:t>
            </w:r>
          </w:p>
        </w:tc>
        <w:tc>
          <w:tcPr>
            <w:tcW w:w="7371" w:type="dxa"/>
            <w:vAlign w:val="center"/>
          </w:tcPr>
          <w:p w14:paraId="47820A60"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7FB871A2" w14:textId="77777777" w:rsidTr="00C77CDF">
        <w:tc>
          <w:tcPr>
            <w:tcW w:w="2268" w:type="dxa"/>
          </w:tcPr>
          <w:p w14:paraId="1BB0214F" w14:textId="11515000" w:rsidR="005F2101" w:rsidRPr="003566BD" w:rsidRDefault="00AE2AB9" w:rsidP="00C77CDF">
            <w:pPr>
              <w:pStyle w:val="BodyText"/>
            </w:pPr>
            <w:r>
              <w:t xml:space="preserve">Interim protections </w:t>
            </w:r>
          </w:p>
        </w:tc>
        <w:tc>
          <w:tcPr>
            <w:tcW w:w="7371" w:type="dxa"/>
          </w:tcPr>
          <w:p w14:paraId="4EFA9F27" w14:textId="77777777" w:rsidR="005F2101" w:rsidRPr="00E6308E" w:rsidRDefault="005F2101" w:rsidP="00C77CDF">
            <w:pPr>
              <w:pStyle w:val="BodyText"/>
              <w:rPr>
                <w:highlight w:val="yellow"/>
              </w:rPr>
            </w:pPr>
            <w:r w:rsidRPr="00200995">
              <w:t xml:space="preserve">Not required for this hazard based on the overall risk level of </w:t>
            </w:r>
            <w:r>
              <w:t>low.</w:t>
            </w:r>
          </w:p>
        </w:tc>
      </w:tr>
      <w:tr w:rsidR="00715D94" w:rsidRPr="00867DAA" w14:paraId="1CECA7B7" w14:textId="77777777" w:rsidTr="00C77CDF">
        <w:tc>
          <w:tcPr>
            <w:tcW w:w="2268" w:type="dxa"/>
          </w:tcPr>
          <w:p w14:paraId="7F07AEB3" w14:textId="3DEAE99A" w:rsidR="00715D94" w:rsidRPr="003566BD" w:rsidRDefault="00715D94" w:rsidP="00C77CDF">
            <w:pPr>
              <w:pStyle w:val="BodyText"/>
            </w:pPr>
            <w:r>
              <w:t>Priority management actions</w:t>
            </w:r>
          </w:p>
        </w:tc>
        <w:tc>
          <w:tcPr>
            <w:tcW w:w="7371" w:type="dxa"/>
            <w:shd w:val="clear" w:color="auto" w:fill="auto"/>
          </w:tcPr>
          <w:p w14:paraId="64C60CF9" w14:textId="032DBD78" w:rsidR="00715D94" w:rsidRPr="00200995" w:rsidRDefault="00715D94" w:rsidP="00C77CDF">
            <w:pPr>
              <w:pStyle w:val="BodyText"/>
            </w:pPr>
            <w:r w:rsidRPr="00200995">
              <w:t xml:space="preserve">Not required for this hazard based on the overall risk level of </w:t>
            </w:r>
            <w:r>
              <w:t>low.</w:t>
            </w:r>
          </w:p>
        </w:tc>
      </w:tr>
      <w:tr w:rsidR="005F2101" w:rsidRPr="00867DAA" w14:paraId="646FDB62" w14:textId="77777777" w:rsidTr="00C77CDF">
        <w:tc>
          <w:tcPr>
            <w:tcW w:w="2268" w:type="dxa"/>
          </w:tcPr>
          <w:p w14:paraId="61EC4537" w14:textId="77777777" w:rsidR="005F2101" w:rsidRPr="003566BD" w:rsidRDefault="005F2101" w:rsidP="00C77CDF">
            <w:pPr>
              <w:pStyle w:val="BodyText"/>
            </w:pPr>
            <w:r w:rsidRPr="003566BD">
              <w:t>Permanent protections</w:t>
            </w:r>
          </w:p>
        </w:tc>
        <w:tc>
          <w:tcPr>
            <w:tcW w:w="7371" w:type="dxa"/>
            <w:shd w:val="clear" w:color="auto" w:fill="auto"/>
          </w:tcPr>
          <w:p w14:paraId="40284871" w14:textId="2518AFC2" w:rsidR="005F2101" w:rsidRPr="003566BD" w:rsidRDefault="00BB2DED" w:rsidP="00C77CDF">
            <w:pPr>
              <w:pStyle w:val="BodyText"/>
            </w:pPr>
            <w:r w:rsidRPr="00200995">
              <w:t xml:space="preserve">Not required for this hazard based on the overall risk level of </w:t>
            </w:r>
            <w:r>
              <w:t>low.</w:t>
            </w:r>
          </w:p>
        </w:tc>
      </w:tr>
      <w:tr w:rsidR="005F2101" w:rsidRPr="00867DAA" w14:paraId="49ED25DC" w14:textId="77777777" w:rsidTr="00C77CDF">
        <w:tc>
          <w:tcPr>
            <w:tcW w:w="2268" w:type="dxa"/>
          </w:tcPr>
          <w:p w14:paraId="3240319E" w14:textId="3F1B67A3" w:rsidR="005F2101" w:rsidRPr="00867DAA" w:rsidRDefault="00BB2DED" w:rsidP="00C77CDF">
            <w:pPr>
              <w:pStyle w:val="BodyText"/>
            </w:pPr>
            <w:r>
              <w:t>Potential m</w:t>
            </w:r>
            <w:r w:rsidR="005F2101" w:rsidRPr="00867DAA">
              <w:t>anagement actions</w:t>
            </w:r>
          </w:p>
        </w:tc>
        <w:tc>
          <w:tcPr>
            <w:tcW w:w="7371" w:type="dxa"/>
          </w:tcPr>
          <w:p w14:paraId="63BC4D44" w14:textId="706C1658" w:rsidR="005F2101" w:rsidRPr="00DA3226" w:rsidRDefault="005F2101" w:rsidP="00C77CDF">
            <w:pPr>
              <w:pStyle w:val="BodyText"/>
            </w:pPr>
            <w:r>
              <w:t xml:space="preserve">No </w:t>
            </w:r>
            <w:r w:rsidR="00BB2DED">
              <w:t>management actions have been recommended</w:t>
            </w:r>
            <w:r w:rsidR="00B9705D">
              <w:t xml:space="preserve"> for this hazard.</w:t>
            </w:r>
            <w:r w:rsidRPr="00200995">
              <w:t xml:space="preserve"> </w:t>
            </w:r>
          </w:p>
        </w:tc>
      </w:tr>
    </w:tbl>
    <w:p w14:paraId="29D241F0" w14:textId="77777777" w:rsidR="005F2101" w:rsidRDefault="005F2101" w:rsidP="007E5EBF">
      <w:pPr>
        <w:pStyle w:val="Heading3"/>
      </w:pPr>
      <w:r>
        <w:t>Invasive species</w:t>
      </w:r>
    </w:p>
    <w:p w14:paraId="023865F0" w14:textId="77777777" w:rsidR="005F2101" w:rsidRDefault="005F2101" w:rsidP="007E5EBF">
      <w:pPr>
        <w:pStyle w:val="Heading5"/>
      </w:pPr>
      <w:r>
        <w:t>Invasive vertebrate (deer)</w:t>
      </w:r>
    </w:p>
    <w:p w14:paraId="48AB622F" w14:textId="4988CA6B" w:rsidR="005F2101" w:rsidRDefault="005F2101" w:rsidP="005F2101">
      <w:pPr>
        <w:pStyle w:val="BodyText"/>
      </w:pPr>
      <w:r>
        <w:t xml:space="preserve">The </w:t>
      </w:r>
      <w:r w:rsidR="001D3902">
        <w:t>species</w:t>
      </w:r>
      <w:r>
        <w:t xml:space="preserve"> is likely to be threatened by feral herbivores, notably Sambar. Browsing by deer is likely to reduce seed set due to flowers and fruits along with foliage being eaten. Drought, hot weather and repeat fires have the potential to damage or destroy recovering plants and/or seedlings, and the </w:t>
      </w:r>
      <w:r w:rsidR="001D3902">
        <w:t>species’</w:t>
      </w:r>
      <w:r>
        <w:t xml:space="preserve"> recovery depends on the effective control of the impacts of herbivores and by preventing soil disturbance following fire recovery.  </w:t>
      </w:r>
      <w:r w:rsidR="00F739A0">
        <w:t>Following the 2009 bushfires there was a very large expansion of deer numbers, and as t</w:t>
      </w:r>
      <w:r>
        <w:t>he bushfires of 2019</w:t>
      </w:r>
      <w:r w:rsidR="00DF57CB">
        <w:t>-</w:t>
      </w:r>
      <w:r>
        <w:t xml:space="preserve">20 are believed to have impacted around 76% of the </w:t>
      </w:r>
      <w:r w:rsidR="001D3902">
        <w:t>species’</w:t>
      </w:r>
      <w:r>
        <w:t xml:space="preserve"> modelled habitat</w:t>
      </w:r>
      <w:r w:rsidR="003F5F7F">
        <w:t>,</w:t>
      </w:r>
      <w:r>
        <w:t xml:space="preserve"> </w:t>
      </w:r>
      <w:r w:rsidR="00F739A0">
        <w:t>deer</w:t>
      </w:r>
      <w:r>
        <w:t xml:space="preserve"> populations are likely to increase/re-establish in areas of East Gippsland. This hazard extends across all the </w:t>
      </w:r>
      <w:r w:rsidR="001D3902">
        <w:t>species’</w:t>
      </w:r>
      <w:r>
        <w:t xml:space="preserve"> distribution.</w:t>
      </w:r>
    </w:p>
    <w:p w14:paraId="71E26F2E" w14:textId="77777777" w:rsidR="005F2101" w:rsidRDefault="005F2101" w:rsidP="005F2101">
      <w:pPr>
        <w:pStyle w:val="BodyText"/>
      </w:pPr>
      <w:r>
        <w:t>Current controls for this hazard include:</w:t>
      </w:r>
    </w:p>
    <w:p w14:paraId="16D01AD8" w14:textId="1170F58D" w:rsidR="005F2101" w:rsidRDefault="005F2101" w:rsidP="006670D2">
      <w:pPr>
        <w:pStyle w:val="PullOutBoxBullet"/>
      </w:pPr>
      <w:r>
        <w:t xml:space="preserve">Victorian deer control strategy. </w:t>
      </w:r>
      <w:r w:rsidRPr="00160F2E">
        <w:t>The effectiveness of this control for this species has been evaluated as</w:t>
      </w:r>
      <w:r>
        <w:t xml:space="preserve"> poor, because while this strategy is a good start to controlling this </w:t>
      </w:r>
      <w:r w:rsidR="000B26CC">
        <w:t>hazard</w:t>
      </w:r>
      <w:r>
        <w:t>, deer remain abundant throughout the state and occur in often very remote areas. They also are very quick at re-establishing in areas following control.</w:t>
      </w:r>
    </w:p>
    <w:p w14:paraId="48A28FEF" w14:textId="77777777" w:rsidR="005F2101" w:rsidRDefault="005F2101" w:rsidP="006670D2">
      <w:pPr>
        <w:pStyle w:val="PullOutBoxBullet"/>
      </w:pPr>
      <w:r>
        <w:t xml:space="preserve">Biodiversity Response Planning. </w:t>
      </w:r>
      <w:r w:rsidRPr="00160F2E">
        <w:t>The effectiveness of this control for this species has been evaluated as</w:t>
      </w:r>
      <w:r>
        <w:t xml:space="preserve"> poor because part of this control includes deer control, and while this is likely to have a short-term impact on deer numbers in a localised area, they are likely to re-establish at the completion of these projects.</w:t>
      </w:r>
    </w:p>
    <w:p w14:paraId="1F7897E5" w14:textId="77777777" w:rsidR="005F2101" w:rsidRDefault="005F2101" w:rsidP="006670D2">
      <w:pPr>
        <w:pStyle w:val="PullOutBoxBullet"/>
      </w:pPr>
      <w:r>
        <w:t xml:space="preserve">The Bushfire Biodiversity Response and Recovery program. </w:t>
      </w:r>
      <w:r w:rsidRPr="00160F2E">
        <w:t>The effectiveness of this control for this species has been evaluated as</w:t>
      </w:r>
      <w:r>
        <w:t xml:space="preserve"> poor because although the program has seen reduction in deer numbers in areas effected by bushfire, it is restricted to these areas, and deer populations in adjacent forest are still large.</w:t>
      </w:r>
    </w:p>
    <w:p w14:paraId="7067FE63" w14:textId="5366375C"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188</w:t>
      </w:r>
      <w:r w:rsidR="000B6788" w:rsidRPr="00291BDC">
        <w:rPr>
          <w:bCs/>
          <w:noProof/>
        </w:rPr>
        <w:fldChar w:fldCharType="end"/>
      </w:r>
      <w:r w:rsidRPr="00FF310C">
        <w:t>. Purple Coopernookia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5F2101" w:rsidRPr="00867DAA" w14:paraId="551BA513"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6096FFC5" w14:textId="77777777" w:rsidR="005F2101" w:rsidRPr="006F4E2A" w:rsidRDefault="005F2101" w:rsidP="00296E0F">
            <w:pPr>
              <w:pStyle w:val="BodyText"/>
            </w:pPr>
            <w:r w:rsidRPr="006F4E2A">
              <w:t>Requirement</w:t>
            </w:r>
          </w:p>
        </w:tc>
        <w:tc>
          <w:tcPr>
            <w:tcW w:w="7371" w:type="dxa"/>
            <w:vAlign w:val="center"/>
          </w:tcPr>
          <w:p w14:paraId="1BDF004F" w14:textId="77777777" w:rsidR="005F2101" w:rsidRPr="006F4E2A"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6F4E2A">
              <w:t>Recommendation</w:t>
            </w:r>
          </w:p>
        </w:tc>
      </w:tr>
      <w:tr w:rsidR="005F2101" w:rsidRPr="00867DAA" w14:paraId="22C58F46" w14:textId="77777777" w:rsidTr="00C77CDF">
        <w:tc>
          <w:tcPr>
            <w:tcW w:w="2268" w:type="dxa"/>
          </w:tcPr>
          <w:p w14:paraId="2098A398" w14:textId="7DA22A59" w:rsidR="005F2101" w:rsidRPr="006F4E2A" w:rsidRDefault="00B9705D" w:rsidP="00C77CDF">
            <w:pPr>
              <w:pStyle w:val="BodyText"/>
            </w:pPr>
            <w:r>
              <w:t>Priority management actions</w:t>
            </w:r>
          </w:p>
        </w:tc>
        <w:tc>
          <w:tcPr>
            <w:tcW w:w="7371" w:type="dxa"/>
          </w:tcPr>
          <w:p w14:paraId="1AC8C1F5" w14:textId="6E2FAD3C" w:rsidR="005F2101" w:rsidRPr="006F4E2A" w:rsidRDefault="005F2101" w:rsidP="00C77CDF">
            <w:pPr>
              <w:pStyle w:val="BodyText"/>
            </w:pPr>
            <w:r w:rsidRPr="006F4E2A">
              <w:t>Continuation and expansion of current deer controls is required to reduce deer populations</w:t>
            </w:r>
            <w:r w:rsidR="00807D78">
              <w:t>.</w:t>
            </w:r>
          </w:p>
        </w:tc>
      </w:tr>
      <w:tr w:rsidR="005F2101" w:rsidRPr="00867DAA" w14:paraId="17D17F80" w14:textId="77777777" w:rsidTr="00C77CDF">
        <w:tc>
          <w:tcPr>
            <w:tcW w:w="2268" w:type="dxa"/>
          </w:tcPr>
          <w:p w14:paraId="6351E57D" w14:textId="190AC4BD" w:rsidR="005F2101" w:rsidRPr="006F4E2A" w:rsidRDefault="005413EA" w:rsidP="00C77CDF">
            <w:pPr>
              <w:pStyle w:val="BodyText"/>
            </w:pPr>
            <w:r>
              <w:t>Potential m</w:t>
            </w:r>
            <w:r w:rsidR="005F2101" w:rsidRPr="006F4E2A">
              <w:t>anagement actions</w:t>
            </w:r>
          </w:p>
        </w:tc>
        <w:tc>
          <w:tcPr>
            <w:tcW w:w="7371" w:type="dxa"/>
          </w:tcPr>
          <w:p w14:paraId="57DDE425" w14:textId="77777777" w:rsidR="005F2101" w:rsidRPr="006F4E2A" w:rsidRDefault="005F2101" w:rsidP="006670D2">
            <w:pPr>
              <w:pStyle w:val="PullOutBoxBullet"/>
            </w:pPr>
            <w:r w:rsidRPr="006F4E2A">
              <w:t xml:space="preserve">Assess the feasibility of fencing of significant populations; and </w:t>
            </w:r>
          </w:p>
          <w:p w14:paraId="76864351" w14:textId="77777777" w:rsidR="005F2101" w:rsidRPr="006F4E2A" w:rsidRDefault="005F2101" w:rsidP="006670D2">
            <w:pPr>
              <w:pStyle w:val="PullOutBoxBullet"/>
            </w:pPr>
            <w:r w:rsidRPr="006F4E2A">
              <w:rPr>
                <w:rFonts w:cs="Arial"/>
              </w:rPr>
              <w:t>Undertake</w:t>
            </w:r>
            <w:r w:rsidRPr="006F4E2A">
              <w:rPr>
                <w:i/>
                <w:iCs/>
              </w:rPr>
              <w:t xml:space="preserve"> ex-situ</w:t>
            </w:r>
            <w:r w:rsidRPr="006F4E2A">
              <w:rPr>
                <w:i/>
                <w:iCs/>
              </w:rPr>
              <w:softHyphen/>
            </w:r>
            <w:r w:rsidRPr="006F4E2A">
              <w:t xml:space="preserve"> conservation storage of populations not yet in seed banks.</w:t>
            </w:r>
          </w:p>
        </w:tc>
      </w:tr>
    </w:tbl>
    <w:p w14:paraId="2D7D7D4F" w14:textId="77777777" w:rsidR="00E73630" w:rsidRDefault="00E73630">
      <w:pPr>
        <w:rPr>
          <w:rFonts w:ascii="Arial" w:hAnsi="Arial"/>
          <w:b/>
          <w:bCs/>
          <w:i/>
          <w:iCs/>
          <w:color w:val="00B2A9" w:themeColor="accent1"/>
          <w:kern w:val="20"/>
          <w:sz w:val="24"/>
          <w:szCs w:val="28"/>
          <w:highlight w:val="lightGray"/>
        </w:rPr>
      </w:pPr>
      <w:bookmarkStart w:id="704" w:name="_Toc95129483"/>
      <w:r>
        <w:rPr>
          <w:highlight w:val="lightGray"/>
        </w:rPr>
        <w:br w:type="page"/>
      </w:r>
    </w:p>
    <w:p w14:paraId="5B151BC1" w14:textId="4E870952" w:rsidR="005F2101" w:rsidRPr="00E73630" w:rsidRDefault="005F2101" w:rsidP="00171F18">
      <w:pPr>
        <w:pStyle w:val="Heading2"/>
        <w:ind w:left="0"/>
        <w:rPr>
          <w:i/>
          <w:iCs/>
        </w:rPr>
      </w:pPr>
      <w:bookmarkStart w:id="705" w:name="_Toc113271060"/>
      <w:r w:rsidRPr="00E73630">
        <w:t xml:space="preserve">Rough-barked Apple </w:t>
      </w:r>
      <w:r w:rsidRPr="005F7D8C">
        <w:rPr>
          <w:i/>
          <w:iCs/>
        </w:rPr>
        <w:t>(Angophora floribunda)</w:t>
      </w:r>
      <w:bookmarkEnd w:id="704"/>
      <w:bookmarkEnd w:id="705"/>
    </w:p>
    <w:p w14:paraId="53D6952D" w14:textId="7B5C58FF" w:rsidR="005F2101" w:rsidRDefault="005F2101" w:rsidP="005F2101">
      <w:pPr>
        <w:pStyle w:val="BodyText"/>
      </w:pPr>
      <w:r>
        <w:t xml:space="preserve">The Rough-barked Apple was listed as Endangered in Victoria under the FFG Act in May 2021. The </w:t>
      </w:r>
      <w:r w:rsidR="001D3902">
        <w:t>species</w:t>
      </w:r>
      <w:r>
        <w:t xml:space="preserve"> has modelled habitat in the East Gippsland (100% of modelled habitat) RFA region.</w:t>
      </w:r>
      <w:r w:rsidR="00164B11" w:rsidRPr="00164B11">
        <w:t xml:space="preserve"> </w:t>
      </w:r>
      <w:r w:rsidR="00164B11" w:rsidRPr="00C02DCA">
        <w:t xml:space="preserve">While </w:t>
      </w:r>
      <w:r w:rsidR="00164B11">
        <w:t>it is</w:t>
      </w:r>
      <w:r w:rsidR="00164B11" w:rsidRPr="00C02DCA">
        <w:t xml:space="preserve"> </w:t>
      </w:r>
      <w:r w:rsidR="00164B11">
        <w:t xml:space="preserve">acknowledged that other hazards impact on this </w:t>
      </w:r>
      <w:r w:rsidR="001D3902">
        <w:t>species</w:t>
      </w:r>
      <w:r w:rsidR="00C241FF">
        <w:t xml:space="preserve"> </w:t>
      </w:r>
      <w:r w:rsidR="00164B11">
        <w:t>as per the CAM assessment, the</w:t>
      </w:r>
      <w:r w:rsidR="00164B11" w:rsidRPr="00C02DCA">
        <w:t xml:space="preserve"> expert</w:t>
      </w:r>
      <w:r w:rsidR="00164B11">
        <w:t>/s</w:t>
      </w:r>
      <w:r w:rsidR="00164B11" w:rsidRPr="00C02DCA">
        <w:t xml:space="preserve"> </w:t>
      </w:r>
      <w:r w:rsidR="00164B11">
        <w:t xml:space="preserve">only assessed forestry operations as part of </w:t>
      </w:r>
      <w:r w:rsidR="00164B11" w:rsidRPr="00C02DCA">
        <w:t>this risk assessment.</w:t>
      </w:r>
      <w:r>
        <w:t xml:space="preserve"> </w:t>
      </w:r>
    </w:p>
    <w:p w14:paraId="6A25C5EC" w14:textId="77777777" w:rsidR="005F2101" w:rsidRDefault="005F2101" w:rsidP="007E5EBF">
      <w:pPr>
        <w:pStyle w:val="Heading3"/>
      </w:pPr>
      <w:r>
        <w:t>Risk Assessment</w:t>
      </w:r>
    </w:p>
    <w:p w14:paraId="4626E220" w14:textId="01252AF3"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189</w:t>
      </w:r>
      <w:r w:rsidR="000B6788" w:rsidRPr="00291BDC">
        <w:rPr>
          <w:bCs/>
          <w:noProof/>
        </w:rPr>
        <w:fldChar w:fldCharType="end"/>
      </w:r>
      <w:r w:rsidRPr="00FF310C">
        <w:t>. Rough-barked Apple risk ratings in the East Gippsland RFA region:</w:t>
      </w:r>
    </w:p>
    <w:tbl>
      <w:tblPr>
        <w:tblStyle w:val="TableGrid"/>
        <w:tblW w:w="5245" w:type="dxa"/>
        <w:tblLook w:val="04A0" w:firstRow="1" w:lastRow="0" w:firstColumn="1" w:lastColumn="0" w:noHBand="0" w:noVBand="1"/>
      </w:tblPr>
      <w:tblGrid>
        <w:gridCol w:w="2622"/>
        <w:gridCol w:w="2623"/>
      </w:tblGrid>
      <w:tr w:rsidR="005F2101" w14:paraId="1B71D39E"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22" w:type="dxa"/>
            <w:tcBorders>
              <w:top w:val="single" w:sz="8" w:space="0" w:color="CDDC29" w:themeColor="text2"/>
              <w:left w:val="nil"/>
              <w:bottom w:val="single" w:sz="8" w:space="0" w:color="CDDC29" w:themeColor="text2"/>
              <w:right w:val="nil"/>
            </w:tcBorders>
            <w:vAlign w:val="center"/>
          </w:tcPr>
          <w:p w14:paraId="5CBDB4F9" w14:textId="77777777" w:rsidR="005F2101" w:rsidRDefault="005F2101" w:rsidP="006670D2">
            <w:pPr>
              <w:pStyle w:val="CaptionImageorFigure"/>
            </w:pPr>
          </w:p>
        </w:tc>
        <w:tc>
          <w:tcPr>
            <w:tcW w:w="2623" w:type="dxa"/>
            <w:tcBorders>
              <w:top w:val="single" w:sz="8" w:space="0" w:color="CDDC29" w:themeColor="text2"/>
              <w:left w:val="nil"/>
              <w:bottom w:val="single" w:sz="8" w:space="0" w:color="CDDC29" w:themeColor="text2"/>
              <w:right w:val="nil"/>
            </w:tcBorders>
            <w:hideMark/>
          </w:tcPr>
          <w:p w14:paraId="74D49C01"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r>
      <w:tr w:rsidR="005F2101" w14:paraId="41DD6D29" w14:textId="77777777" w:rsidTr="00296E0F">
        <w:tc>
          <w:tcPr>
            <w:tcW w:w="2622" w:type="dxa"/>
            <w:tcBorders>
              <w:top w:val="single" w:sz="8" w:space="0" w:color="CDDC29" w:themeColor="text2"/>
              <w:left w:val="nil"/>
              <w:bottom w:val="single" w:sz="8" w:space="0" w:color="CDDC29" w:themeColor="text2"/>
              <w:right w:val="nil"/>
            </w:tcBorders>
            <w:vAlign w:val="center"/>
            <w:hideMark/>
          </w:tcPr>
          <w:p w14:paraId="78D0149C" w14:textId="77777777" w:rsidR="005F2101" w:rsidRDefault="005F2101" w:rsidP="003E0597">
            <w:pPr>
              <w:pStyle w:val="BodyText"/>
              <w:jc w:val="center"/>
            </w:pPr>
            <w:r>
              <w:t>Consequence</w:t>
            </w:r>
          </w:p>
        </w:tc>
        <w:tc>
          <w:tcPr>
            <w:tcW w:w="2623" w:type="dxa"/>
            <w:tcBorders>
              <w:top w:val="single" w:sz="8" w:space="0" w:color="CDDC29" w:themeColor="text2"/>
              <w:left w:val="nil"/>
              <w:bottom w:val="single" w:sz="8" w:space="0" w:color="CDDC29" w:themeColor="text2"/>
              <w:right w:val="nil"/>
            </w:tcBorders>
            <w:hideMark/>
          </w:tcPr>
          <w:p w14:paraId="61B3980F" w14:textId="7CF5B89D" w:rsidR="005F2101" w:rsidRDefault="00FE2765" w:rsidP="003E0597">
            <w:pPr>
              <w:pStyle w:val="BodyText"/>
              <w:jc w:val="center"/>
            </w:pPr>
            <w:r>
              <w:t>Minor</w:t>
            </w:r>
          </w:p>
        </w:tc>
      </w:tr>
      <w:tr w:rsidR="005F2101" w14:paraId="49E42D79" w14:textId="77777777" w:rsidTr="00296E0F">
        <w:tc>
          <w:tcPr>
            <w:tcW w:w="2622" w:type="dxa"/>
            <w:tcBorders>
              <w:top w:val="single" w:sz="8" w:space="0" w:color="CDDC29" w:themeColor="text2"/>
              <w:left w:val="nil"/>
              <w:bottom w:val="single" w:sz="8" w:space="0" w:color="CDDC29" w:themeColor="text2"/>
              <w:right w:val="nil"/>
            </w:tcBorders>
            <w:vAlign w:val="center"/>
            <w:hideMark/>
          </w:tcPr>
          <w:p w14:paraId="66B1A572" w14:textId="77777777" w:rsidR="005F2101" w:rsidRDefault="005F2101" w:rsidP="003E0597">
            <w:pPr>
              <w:pStyle w:val="BodyText"/>
              <w:jc w:val="center"/>
            </w:pPr>
            <w:r>
              <w:t>Likelihood</w:t>
            </w:r>
          </w:p>
        </w:tc>
        <w:tc>
          <w:tcPr>
            <w:tcW w:w="2623" w:type="dxa"/>
            <w:tcBorders>
              <w:top w:val="single" w:sz="8" w:space="0" w:color="CDDC29" w:themeColor="text2"/>
              <w:left w:val="nil"/>
              <w:bottom w:val="single" w:sz="8" w:space="0" w:color="CDDC29" w:themeColor="text2"/>
              <w:right w:val="nil"/>
            </w:tcBorders>
            <w:hideMark/>
          </w:tcPr>
          <w:p w14:paraId="4824E14D" w14:textId="79B85EB6" w:rsidR="005F2101" w:rsidRDefault="00FE2765" w:rsidP="003E0597">
            <w:pPr>
              <w:pStyle w:val="BodyText"/>
              <w:jc w:val="center"/>
            </w:pPr>
            <w:r>
              <w:t>Unlikely</w:t>
            </w:r>
          </w:p>
        </w:tc>
      </w:tr>
      <w:tr w:rsidR="005F2101" w14:paraId="7A1551ED" w14:textId="77777777" w:rsidTr="0045799B">
        <w:tc>
          <w:tcPr>
            <w:tcW w:w="0" w:type="dxa"/>
            <w:tcBorders>
              <w:top w:val="single" w:sz="8" w:space="0" w:color="CDDC29" w:themeColor="text2"/>
              <w:left w:val="nil"/>
              <w:bottom w:val="single" w:sz="8" w:space="0" w:color="CDDC29" w:themeColor="text2"/>
              <w:right w:val="nil"/>
            </w:tcBorders>
            <w:vAlign w:val="center"/>
            <w:hideMark/>
          </w:tcPr>
          <w:p w14:paraId="51B16761" w14:textId="77777777" w:rsidR="005F2101" w:rsidRDefault="005F2101" w:rsidP="003E0597">
            <w:pPr>
              <w:pStyle w:val="BodyText"/>
              <w:jc w:val="center"/>
            </w:pPr>
            <w:r>
              <w:t>Overall risk rating</w:t>
            </w:r>
          </w:p>
        </w:tc>
        <w:tc>
          <w:tcPr>
            <w:tcW w:w="0" w:type="dxa"/>
            <w:tcBorders>
              <w:top w:val="single" w:sz="8" w:space="0" w:color="CDDC29" w:themeColor="text2"/>
              <w:left w:val="nil"/>
              <w:bottom w:val="single" w:sz="8" w:space="0" w:color="CDDC29" w:themeColor="text2"/>
              <w:right w:val="nil"/>
            </w:tcBorders>
            <w:shd w:val="clear" w:color="auto" w:fill="92D050"/>
            <w:hideMark/>
          </w:tcPr>
          <w:p w14:paraId="1DD7C7B6" w14:textId="311659BD" w:rsidR="005F2101" w:rsidRPr="00FE2765" w:rsidRDefault="00FE2765" w:rsidP="003E0597">
            <w:pPr>
              <w:pStyle w:val="BodyText"/>
              <w:jc w:val="center"/>
            </w:pPr>
            <w:r>
              <w:t>Low</w:t>
            </w:r>
          </w:p>
        </w:tc>
      </w:tr>
    </w:tbl>
    <w:p w14:paraId="1EF4F5DF" w14:textId="77777777" w:rsidR="005F2101" w:rsidRDefault="005F2101" w:rsidP="007E5EBF">
      <w:pPr>
        <w:pStyle w:val="Heading3"/>
        <w:jc w:val="both"/>
      </w:pPr>
      <w:r>
        <w:t>Forestry operations</w:t>
      </w:r>
    </w:p>
    <w:p w14:paraId="368940C2" w14:textId="77777777" w:rsidR="005F2101" w:rsidRDefault="005F2101" w:rsidP="007E5EBF">
      <w:pPr>
        <w:pStyle w:val="Heading5"/>
      </w:pPr>
      <w:r>
        <w:t>Forestry operations</w:t>
      </w:r>
    </w:p>
    <w:p w14:paraId="4A8616A9" w14:textId="3D58CB5E" w:rsidR="005F2101" w:rsidRDefault="005F2101" w:rsidP="005F2101">
      <w:pPr>
        <w:pStyle w:val="BodyText"/>
      </w:pPr>
      <w:r>
        <w:t xml:space="preserve">The overlap between merchantable forest and the </w:t>
      </w:r>
      <w:r w:rsidR="001D3902">
        <w:t>species’</w:t>
      </w:r>
      <w:r>
        <w:t xml:space="preserve"> distribution is small (2-3%) and on the margin of its distribution. Where forestry operations do impact the </w:t>
      </w:r>
      <w:r w:rsidR="001D3902">
        <w:t>species</w:t>
      </w:r>
      <w:r>
        <w:t xml:space="preserve">, selective harvesting rather than clearfell harvesting occurs. The </w:t>
      </w:r>
      <w:r w:rsidR="001D3902">
        <w:t>species</w:t>
      </w:r>
      <w:r>
        <w:t xml:space="preserve"> is not very merchantable and where it dominates the forest it is unlikely to be harvested. Mature trees would be retained in a coupe and so would be at a competitive advantage to other taxa that regrow from seedlings. However, the </w:t>
      </w:r>
      <w:r w:rsidR="001D3902">
        <w:t>species</w:t>
      </w:r>
      <w:r>
        <w:t xml:space="preserve"> has been </w:t>
      </w:r>
      <w:r w:rsidRPr="00596750">
        <w:t>recorded</w:t>
      </w:r>
      <w:r>
        <w:t xml:space="preserve"> from coupes included in recent Timber Release Plans, which border Croajingolong National Park north of Mallacoota, east of the Princes H</w:t>
      </w:r>
      <w:r w:rsidR="009765A9">
        <w:t>igh</w:t>
      </w:r>
      <w:r>
        <w:t>w</w:t>
      </w:r>
      <w:r w:rsidR="009765A9">
        <w:t>a</w:t>
      </w:r>
      <w:r>
        <w:t xml:space="preserve">y near the state border. At these sites the </w:t>
      </w:r>
      <w:r w:rsidR="001D3902">
        <w:t>species</w:t>
      </w:r>
      <w:r>
        <w:t xml:space="preserve"> is common in mixed forest and includes numerous large old canopy trees along riparian areas and on lower to mid slopes, but also in some cases much further upslope closer to likely harvest zones. It is possible that the </w:t>
      </w:r>
      <w:r w:rsidR="001D3902">
        <w:t>species</w:t>
      </w:r>
      <w:r>
        <w:t xml:space="preserve"> would gain protection based on the forestry controls in place for Black Sheoak (</w:t>
      </w:r>
      <w:r>
        <w:rPr>
          <w:i/>
          <w:iCs/>
        </w:rPr>
        <w:t>Allocasuarina littoralis</w:t>
      </w:r>
      <w:r>
        <w:t>)</w:t>
      </w:r>
      <w:r w:rsidR="00F32C0C">
        <w:t xml:space="preserve"> which</w:t>
      </w:r>
      <w:r>
        <w:t xml:space="preserve"> is key habitat for Glossy Black Cockatoos (</w:t>
      </w:r>
      <w:r>
        <w:rPr>
          <w:i/>
          <w:iCs/>
        </w:rPr>
        <w:t>Calyptorhynchus</w:t>
      </w:r>
      <w:r w:rsidRPr="008A51F7">
        <w:rPr>
          <w:i/>
          <w:iCs/>
        </w:rPr>
        <w:t xml:space="preserve"> </w:t>
      </w:r>
      <w:r w:rsidRPr="00001691">
        <w:rPr>
          <w:i/>
          <w:iCs/>
        </w:rPr>
        <w:t>lathami</w:t>
      </w:r>
      <w:r>
        <w:t xml:space="preserve">), however most of this species was burnt in the 2019-20 bushfires. Direct impacts of harvesting at these sites include direct mortality and reduced recruitment as it may be outcompeted when regenerating from seedlings. Future decline may occur due to the impacts of future fire regimes, competitive interactions with other taxa, and the localised impacts of forest and fire management operations.  </w:t>
      </w:r>
    </w:p>
    <w:p w14:paraId="1520367A" w14:textId="77777777" w:rsidR="005F2101" w:rsidRDefault="005F2101" w:rsidP="005F2101">
      <w:pPr>
        <w:pStyle w:val="BodyText"/>
      </w:pPr>
      <w:r>
        <w:t>Current controls for this hazard include:</w:t>
      </w:r>
    </w:p>
    <w:p w14:paraId="0FD69B13" w14:textId="1C5B6C7F" w:rsidR="005F2101" w:rsidRDefault="005F2101" w:rsidP="006670D2">
      <w:pPr>
        <w:pStyle w:val="PullOutBoxBullet"/>
      </w:pPr>
      <w:r w:rsidRPr="003566BD">
        <w:t xml:space="preserve">The </w:t>
      </w:r>
      <w:r w:rsidRPr="003566BD">
        <w:rPr>
          <w:i/>
          <w:iCs/>
        </w:rPr>
        <w:t>Code of Practice for Timber Production 2014</w:t>
      </w:r>
      <w:r>
        <w:rPr>
          <w:i/>
          <w:iCs/>
        </w:rPr>
        <w:t xml:space="preserve">. </w:t>
      </w:r>
      <w:r>
        <w:t>Th</w:t>
      </w:r>
      <w:r w:rsidRPr="003566BD">
        <w:t xml:space="preserve">ere </w:t>
      </w:r>
      <w:r>
        <w:t>is</w:t>
      </w:r>
      <w:r w:rsidRPr="003566BD">
        <w:t xml:space="preserve"> no species-specific prescription for this </w:t>
      </w:r>
      <w:r w:rsidR="001D3902">
        <w:t>species</w:t>
      </w:r>
      <w:r>
        <w:t xml:space="preserve"> in the Code, however </w:t>
      </w:r>
      <w:r w:rsidRPr="003566BD">
        <w:t>the Code includes general protections for rainforest</w:t>
      </w:r>
      <w:r>
        <w:t xml:space="preserve"> and other protections (e.g., Glossy Black Cockatoo </w:t>
      </w:r>
      <w:r w:rsidRPr="008A51F7">
        <w:t>habitat</w:t>
      </w:r>
      <w:r>
        <w:t xml:space="preserve">) </w:t>
      </w:r>
      <w:r w:rsidRPr="003566BD">
        <w:t xml:space="preserve">including a prohibition on harvesting, the application of buffers and </w:t>
      </w:r>
      <w:r w:rsidR="000D065A" w:rsidRPr="00C02DCA">
        <w:t>design standards for roads, crossings</w:t>
      </w:r>
      <w:r w:rsidR="00FF17FA" w:rsidRPr="00C02DCA">
        <w:t>,</w:t>
      </w:r>
      <w:r w:rsidR="000D065A" w:rsidRPr="00C02DCA">
        <w:t xml:space="preserve"> and coupe infrastructure</w:t>
      </w:r>
      <w:r w:rsidR="000D065A" w:rsidRPr="4F453272">
        <w:t xml:space="preserve">. </w:t>
      </w:r>
      <w:r w:rsidRPr="003566BD">
        <w:t xml:space="preserve">The lack of a specific prescription leads to the effectiveness of the Code being assessed as poor for this </w:t>
      </w:r>
      <w:r w:rsidR="001D3902">
        <w:t>species</w:t>
      </w:r>
      <w:r w:rsidRPr="003566BD">
        <w:t xml:space="preserve">. </w:t>
      </w:r>
    </w:p>
    <w:p w14:paraId="3707D695" w14:textId="37B3A8D9" w:rsidR="005F2101" w:rsidRPr="00C4228E" w:rsidRDefault="005F2101"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satisfactory</w:t>
      </w:r>
      <w:r w:rsidRPr="4F453272">
        <w:t xml:space="preserve"> as </w:t>
      </w:r>
      <w:r>
        <w:t>63</w:t>
      </w:r>
      <w:r w:rsidRPr="4F453272">
        <w:t xml:space="preserve">% of the </w:t>
      </w:r>
      <w:r w:rsidR="001D3902">
        <w:t>species’</w:t>
      </w:r>
      <w:r w:rsidRPr="4F453272">
        <w:t xml:space="preserve"> modelled distribution and</w:t>
      </w:r>
      <w:r>
        <w:t xml:space="preserve"> 67</w:t>
      </w:r>
      <w:r w:rsidRPr="4F453272">
        <w:t>% of important populations are within the reserve system.</w:t>
      </w:r>
    </w:p>
    <w:p w14:paraId="42BFF230" w14:textId="4E17CC03"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190</w:t>
      </w:r>
      <w:r w:rsidR="000B6788" w:rsidRPr="00291BDC">
        <w:rPr>
          <w:bCs/>
          <w:noProof/>
        </w:rPr>
        <w:fldChar w:fldCharType="end"/>
      </w:r>
      <w:r w:rsidRPr="00FF310C">
        <w:t>. Rough-barked Apple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5F2101" w:rsidRPr="00867DAA" w14:paraId="436C9846"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58BAF008" w14:textId="77777777" w:rsidR="005F2101" w:rsidRPr="00704719" w:rsidRDefault="005F2101" w:rsidP="00296E0F">
            <w:pPr>
              <w:pStyle w:val="BodyText"/>
            </w:pPr>
            <w:r w:rsidRPr="00704719">
              <w:t>Requirement</w:t>
            </w:r>
          </w:p>
        </w:tc>
        <w:tc>
          <w:tcPr>
            <w:tcW w:w="7371" w:type="dxa"/>
            <w:vAlign w:val="center"/>
          </w:tcPr>
          <w:p w14:paraId="16973F85"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3FDCE049" w14:textId="77777777" w:rsidTr="00C77CDF">
        <w:tc>
          <w:tcPr>
            <w:tcW w:w="2268" w:type="dxa"/>
          </w:tcPr>
          <w:p w14:paraId="381A8FCB" w14:textId="08B89161" w:rsidR="005F2101" w:rsidRPr="003566BD" w:rsidRDefault="005F2101" w:rsidP="00C77CDF">
            <w:pPr>
              <w:pStyle w:val="BodyText"/>
            </w:pPr>
            <w:r w:rsidRPr="003566BD">
              <w:t>Interim protections</w:t>
            </w:r>
            <w:r w:rsidR="005413EA">
              <w:t xml:space="preserve"> </w:t>
            </w:r>
          </w:p>
        </w:tc>
        <w:tc>
          <w:tcPr>
            <w:tcW w:w="7371" w:type="dxa"/>
          </w:tcPr>
          <w:p w14:paraId="6E0B3AD5" w14:textId="59EC58DA" w:rsidR="005F2101" w:rsidRPr="007935D4" w:rsidRDefault="005F2101" w:rsidP="00C77CDF">
            <w:pPr>
              <w:pStyle w:val="BodyText"/>
            </w:pPr>
            <w:r w:rsidRPr="00200995">
              <w:t xml:space="preserve">Not required for this hazard based on the overall risk level of </w:t>
            </w:r>
            <w:r w:rsidR="00FE2765">
              <w:t>low.</w:t>
            </w:r>
          </w:p>
        </w:tc>
      </w:tr>
      <w:tr w:rsidR="00715D94" w:rsidRPr="00867DAA" w14:paraId="7DA47E1F" w14:textId="77777777" w:rsidTr="00C77CDF">
        <w:tc>
          <w:tcPr>
            <w:tcW w:w="2268" w:type="dxa"/>
          </w:tcPr>
          <w:p w14:paraId="5585B7D3" w14:textId="2A8756DC" w:rsidR="00715D94" w:rsidRPr="003566BD" w:rsidRDefault="00715D94" w:rsidP="00C77CDF">
            <w:pPr>
              <w:pStyle w:val="BodyText"/>
            </w:pPr>
            <w:r>
              <w:t>Priority management actions</w:t>
            </w:r>
          </w:p>
        </w:tc>
        <w:tc>
          <w:tcPr>
            <w:tcW w:w="7371" w:type="dxa"/>
            <w:shd w:val="clear" w:color="auto" w:fill="auto"/>
          </w:tcPr>
          <w:p w14:paraId="05EA03E8" w14:textId="21DC5819" w:rsidR="00715D94" w:rsidRPr="003566BD" w:rsidRDefault="00FE2765" w:rsidP="00C77CDF">
            <w:pPr>
              <w:pStyle w:val="BodyText"/>
            </w:pPr>
            <w:r w:rsidRPr="00200995">
              <w:t xml:space="preserve">Not required for this hazard based on the overall risk level of </w:t>
            </w:r>
            <w:r>
              <w:t>low.</w:t>
            </w:r>
          </w:p>
        </w:tc>
      </w:tr>
      <w:tr w:rsidR="005F2101" w:rsidRPr="00867DAA" w14:paraId="2FDB183B" w14:textId="77777777" w:rsidTr="00C77CDF">
        <w:tc>
          <w:tcPr>
            <w:tcW w:w="2268" w:type="dxa"/>
          </w:tcPr>
          <w:p w14:paraId="1795215F" w14:textId="77777777" w:rsidR="005F2101" w:rsidRPr="003566BD" w:rsidRDefault="005F2101" w:rsidP="00C77CDF">
            <w:pPr>
              <w:pStyle w:val="BodyText"/>
            </w:pPr>
            <w:r w:rsidRPr="003566BD">
              <w:t>Permanent protections</w:t>
            </w:r>
          </w:p>
        </w:tc>
        <w:tc>
          <w:tcPr>
            <w:tcW w:w="7371" w:type="dxa"/>
            <w:shd w:val="clear" w:color="auto" w:fill="auto"/>
          </w:tcPr>
          <w:p w14:paraId="4F2DEC9D" w14:textId="001D230F" w:rsidR="005F2101" w:rsidRPr="003566BD" w:rsidRDefault="00FE2765" w:rsidP="00C77CDF">
            <w:pPr>
              <w:pStyle w:val="BodyText"/>
            </w:pPr>
            <w:r w:rsidRPr="00200995">
              <w:t xml:space="preserve">Not required for this hazard based on the overall risk level of </w:t>
            </w:r>
            <w:r>
              <w:t>low.</w:t>
            </w:r>
          </w:p>
        </w:tc>
      </w:tr>
      <w:tr w:rsidR="005F2101" w:rsidRPr="00867DAA" w14:paraId="74285F67" w14:textId="77777777" w:rsidTr="00C77CDF">
        <w:tc>
          <w:tcPr>
            <w:tcW w:w="2268" w:type="dxa"/>
          </w:tcPr>
          <w:p w14:paraId="033D5712" w14:textId="78D6B89C" w:rsidR="005F2101" w:rsidRPr="00867DAA" w:rsidRDefault="005413EA" w:rsidP="00C77CDF">
            <w:pPr>
              <w:pStyle w:val="BodyText"/>
            </w:pPr>
            <w:r>
              <w:t>Potential m</w:t>
            </w:r>
            <w:r w:rsidR="005F2101" w:rsidRPr="00867DAA">
              <w:t>anagement actions</w:t>
            </w:r>
          </w:p>
        </w:tc>
        <w:tc>
          <w:tcPr>
            <w:tcW w:w="7371" w:type="dxa"/>
          </w:tcPr>
          <w:p w14:paraId="6341F387" w14:textId="77777777" w:rsidR="005F2101" w:rsidRPr="00001691" w:rsidRDefault="005F2101" w:rsidP="006670D2">
            <w:pPr>
              <w:pStyle w:val="PullOutBoxBullet"/>
            </w:pPr>
            <w:r w:rsidRPr="00A31083">
              <w:t>Species-specific code prescriptions should be considered in any future Code amendments</w:t>
            </w:r>
            <w:r>
              <w:t>.</w:t>
            </w:r>
          </w:p>
        </w:tc>
      </w:tr>
    </w:tbl>
    <w:p w14:paraId="0F58747B" w14:textId="396929DF" w:rsidR="005F2101" w:rsidRPr="00C21950" w:rsidRDefault="005F2101" w:rsidP="00171F18">
      <w:pPr>
        <w:pStyle w:val="Heading2"/>
        <w:ind w:left="0"/>
        <w:rPr>
          <w:i/>
          <w:iCs/>
        </w:rPr>
      </w:pPr>
      <w:bookmarkStart w:id="706" w:name="_Toc88566991"/>
      <w:bookmarkStart w:id="707" w:name="_Toc88725969"/>
      <w:bookmarkStart w:id="708" w:name="_Toc95129484"/>
      <w:bookmarkStart w:id="709" w:name="_Toc113271061"/>
      <w:bookmarkStart w:id="710" w:name="_Toc88724707"/>
      <w:r w:rsidRPr="00C21950">
        <w:t>Sandfly Zieria (</w:t>
      </w:r>
      <w:r w:rsidRPr="00E6787B">
        <w:rPr>
          <w:i/>
          <w:iCs/>
        </w:rPr>
        <w:t>Zieria smithii</w:t>
      </w:r>
      <w:r w:rsidRPr="00C21950">
        <w:t>)</w:t>
      </w:r>
      <w:bookmarkEnd w:id="706"/>
      <w:bookmarkEnd w:id="707"/>
      <w:bookmarkEnd w:id="708"/>
      <w:bookmarkEnd w:id="709"/>
      <w:r w:rsidRPr="00C21950">
        <w:t> </w:t>
      </w:r>
    </w:p>
    <w:p w14:paraId="4F794CFA" w14:textId="068E7E8F" w:rsidR="005F2101" w:rsidRPr="003E1225" w:rsidRDefault="005F2101" w:rsidP="005F2101">
      <w:pPr>
        <w:pStyle w:val="BodyText"/>
      </w:pPr>
      <w:r w:rsidRPr="00521CB4">
        <w:t xml:space="preserve">The </w:t>
      </w:r>
      <w:r>
        <w:t>Sandfly Zieria</w:t>
      </w:r>
      <w:r w:rsidRPr="00521CB4">
        <w:t xml:space="preserve"> was listed</w:t>
      </w:r>
      <w:r>
        <w:t xml:space="preserve"> as Endangered in Victoria under the FFG Act in May 2021. The </w:t>
      </w:r>
      <w:r w:rsidR="001D3902">
        <w:t>species</w:t>
      </w:r>
      <w:r>
        <w:t xml:space="preserve"> has VBA points in the East Gippsland (53% of VBA points) and Gippsland (46% of VBA points) RFA regions, with 1% in non-RFA regions.</w:t>
      </w:r>
      <w:r w:rsidRPr="008131B2">
        <w:rPr>
          <w:rStyle w:val="BodyTextChar"/>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7B8AF8CB" w14:textId="77777777" w:rsidR="005F2101" w:rsidRDefault="005F2101" w:rsidP="007E5EBF">
      <w:pPr>
        <w:pStyle w:val="Heading3"/>
      </w:pPr>
      <w:bookmarkStart w:id="711" w:name="_Toc88725970"/>
      <w:r>
        <w:t>Risk Assessment</w:t>
      </w:r>
      <w:bookmarkEnd w:id="711"/>
    </w:p>
    <w:p w14:paraId="1D778C1E" w14:textId="01C2A45B" w:rsidR="005F2101" w:rsidRPr="00FF310C" w:rsidRDefault="005F2101" w:rsidP="006670D2">
      <w:pPr>
        <w:pStyle w:val="Caption"/>
      </w:pPr>
      <w:r w:rsidRPr="00FF310C">
        <w:t xml:space="preserve">Table </w:t>
      </w:r>
      <w:r w:rsidRPr="00291BDC">
        <w:rPr>
          <w:bCs/>
        </w:rPr>
        <w:fldChar w:fldCharType="begin"/>
      </w:r>
      <w:r w:rsidRPr="00FF310C">
        <w:instrText>SEQ Table \* ARABIC</w:instrText>
      </w:r>
      <w:r w:rsidRPr="00291BDC">
        <w:rPr>
          <w:bCs/>
        </w:rPr>
        <w:fldChar w:fldCharType="separate"/>
      </w:r>
      <w:r w:rsidR="00692F0D">
        <w:rPr>
          <w:noProof/>
        </w:rPr>
        <w:t>191</w:t>
      </w:r>
      <w:r w:rsidRPr="00291BDC">
        <w:rPr>
          <w:bCs/>
        </w:rPr>
        <w:fldChar w:fldCharType="end"/>
      </w:r>
      <w:r w:rsidRPr="00FF310C">
        <w:t xml:space="preserve">. Sandfly Zieria risk ratings in the East Gippsland RFA </w:t>
      </w:r>
      <w:r w:rsidR="00E450B7">
        <w:t>r</w:t>
      </w:r>
      <w:r w:rsidRPr="00FF310C">
        <w:t>egion:</w:t>
      </w:r>
    </w:p>
    <w:tbl>
      <w:tblPr>
        <w:tblStyle w:val="TableGrid"/>
        <w:tblW w:w="0" w:type="auto"/>
        <w:tblLook w:val="04A0" w:firstRow="1" w:lastRow="0" w:firstColumn="1" w:lastColumn="0" w:noHBand="0" w:noVBand="1"/>
      </w:tblPr>
      <w:tblGrid>
        <w:gridCol w:w="2504"/>
        <w:gridCol w:w="2504"/>
        <w:gridCol w:w="2505"/>
      </w:tblGrid>
      <w:tr w:rsidR="005F2101" w14:paraId="5759804E" w14:textId="77777777" w:rsidTr="003E059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504" w:type="dxa"/>
            <w:vAlign w:val="center"/>
          </w:tcPr>
          <w:p w14:paraId="0E4724DB" w14:textId="77777777" w:rsidR="005F2101" w:rsidRPr="00643008" w:rsidRDefault="005F2101" w:rsidP="006670D2">
            <w:pPr>
              <w:pStyle w:val="CaptionImageorFigure"/>
            </w:pPr>
          </w:p>
        </w:tc>
        <w:tc>
          <w:tcPr>
            <w:tcW w:w="2504" w:type="dxa"/>
            <w:vAlign w:val="center"/>
          </w:tcPr>
          <w:p w14:paraId="5A5DA3BF"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2505" w:type="dxa"/>
            <w:vAlign w:val="center"/>
          </w:tcPr>
          <w:p w14:paraId="555FCD72" w14:textId="77777777" w:rsidR="005F2101" w:rsidRPr="00643008"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r>
      <w:tr w:rsidR="005F2101" w14:paraId="7992A035" w14:textId="77777777" w:rsidTr="003E0597">
        <w:tc>
          <w:tcPr>
            <w:tcW w:w="2504" w:type="dxa"/>
            <w:vAlign w:val="center"/>
          </w:tcPr>
          <w:p w14:paraId="1F9C0DC6" w14:textId="77777777" w:rsidR="005F2101" w:rsidRPr="00D65476" w:rsidRDefault="005F2101" w:rsidP="003E0597">
            <w:pPr>
              <w:pStyle w:val="BodyText"/>
              <w:jc w:val="center"/>
            </w:pPr>
            <w:r w:rsidRPr="00D65476">
              <w:t>Consequence</w:t>
            </w:r>
          </w:p>
        </w:tc>
        <w:tc>
          <w:tcPr>
            <w:tcW w:w="2504" w:type="dxa"/>
            <w:vAlign w:val="center"/>
          </w:tcPr>
          <w:p w14:paraId="40C92BD0" w14:textId="77777777" w:rsidR="005F2101" w:rsidRPr="00D65476" w:rsidRDefault="005F2101" w:rsidP="003E0597">
            <w:pPr>
              <w:pStyle w:val="BodyText"/>
              <w:jc w:val="center"/>
            </w:pPr>
            <w:r w:rsidRPr="00D65476">
              <w:t>Extreme</w:t>
            </w:r>
          </w:p>
        </w:tc>
        <w:tc>
          <w:tcPr>
            <w:tcW w:w="2505" w:type="dxa"/>
            <w:vAlign w:val="center"/>
          </w:tcPr>
          <w:p w14:paraId="00A29DF6" w14:textId="77777777" w:rsidR="005F2101" w:rsidRPr="00D65476" w:rsidRDefault="005F2101" w:rsidP="003E0597">
            <w:pPr>
              <w:pStyle w:val="BodyText"/>
              <w:jc w:val="center"/>
            </w:pPr>
            <w:r w:rsidRPr="0091326E">
              <w:t>Moderate</w:t>
            </w:r>
          </w:p>
        </w:tc>
      </w:tr>
      <w:tr w:rsidR="005F2101" w14:paraId="3BF36F76" w14:textId="77777777" w:rsidTr="003E0597">
        <w:tc>
          <w:tcPr>
            <w:tcW w:w="2504" w:type="dxa"/>
            <w:vAlign w:val="center"/>
          </w:tcPr>
          <w:p w14:paraId="09191A27" w14:textId="77777777" w:rsidR="005F2101" w:rsidRPr="00D65476" w:rsidRDefault="005F2101" w:rsidP="003E0597">
            <w:pPr>
              <w:pStyle w:val="BodyText"/>
              <w:jc w:val="center"/>
            </w:pPr>
            <w:r w:rsidRPr="00D65476">
              <w:t>Likelihood</w:t>
            </w:r>
          </w:p>
        </w:tc>
        <w:tc>
          <w:tcPr>
            <w:tcW w:w="2504" w:type="dxa"/>
            <w:vAlign w:val="center"/>
          </w:tcPr>
          <w:p w14:paraId="230D03CA" w14:textId="77777777" w:rsidR="005F2101" w:rsidRPr="00D65476" w:rsidRDefault="005F2101" w:rsidP="003E0597">
            <w:pPr>
              <w:pStyle w:val="BodyText"/>
              <w:jc w:val="center"/>
            </w:pPr>
            <w:r w:rsidRPr="00D65476">
              <w:t>Rare</w:t>
            </w:r>
          </w:p>
        </w:tc>
        <w:tc>
          <w:tcPr>
            <w:tcW w:w="2505" w:type="dxa"/>
            <w:vAlign w:val="center"/>
          </w:tcPr>
          <w:p w14:paraId="45572A02" w14:textId="77777777" w:rsidR="005F2101" w:rsidRPr="00D65476" w:rsidRDefault="005F2101" w:rsidP="003E0597">
            <w:pPr>
              <w:pStyle w:val="BodyText"/>
              <w:jc w:val="center"/>
            </w:pPr>
            <w:r w:rsidRPr="0091326E">
              <w:t>Likely</w:t>
            </w:r>
          </w:p>
        </w:tc>
      </w:tr>
      <w:tr w:rsidR="005F2101" w14:paraId="558C6A06" w14:textId="77777777" w:rsidTr="003E0597">
        <w:tc>
          <w:tcPr>
            <w:tcW w:w="2504" w:type="dxa"/>
            <w:vAlign w:val="center"/>
          </w:tcPr>
          <w:p w14:paraId="0507C874" w14:textId="77777777" w:rsidR="005F2101" w:rsidRPr="00D65476" w:rsidRDefault="005F2101" w:rsidP="003E0597">
            <w:pPr>
              <w:pStyle w:val="BodyText"/>
              <w:jc w:val="center"/>
            </w:pPr>
            <w:r w:rsidRPr="00D65476">
              <w:t>Overall risk rating</w:t>
            </w:r>
          </w:p>
        </w:tc>
        <w:tc>
          <w:tcPr>
            <w:tcW w:w="2504" w:type="dxa"/>
            <w:shd w:val="clear" w:color="auto" w:fill="FFC000"/>
            <w:vAlign w:val="center"/>
          </w:tcPr>
          <w:p w14:paraId="16A1C1AA" w14:textId="77777777" w:rsidR="005F2101" w:rsidRPr="00D65476" w:rsidRDefault="005F2101" w:rsidP="003E0597">
            <w:pPr>
              <w:pStyle w:val="BodyText"/>
              <w:jc w:val="center"/>
            </w:pPr>
            <w:r w:rsidRPr="00D65476">
              <w:t>Significant</w:t>
            </w:r>
          </w:p>
        </w:tc>
        <w:tc>
          <w:tcPr>
            <w:tcW w:w="2505" w:type="dxa"/>
            <w:shd w:val="clear" w:color="auto" w:fill="FFC000"/>
            <w:vAlign w:val="center"/>
          </w:tcPr>
          <w:p w14:paraId="568F6116" w14:textId="77777777" w:rsidR="005F2101" w:rsidRPr="00D65476" w:rsidRDefault="005F2101" w:rsidP="003E0597">
            <w:pPr>
              <w:pStyle w:val="BodyText"/>
              <w:jc w:val="center"/>
            </w:pPr>
            <w:r w:rsidRPr="0091326E">
              <w:t>Significant</w:t>
            </w:r>
          </w:p>
        </w:tc>
      </w:tr>
    </w:tbl>
    <w:p w14:paraId="06CC4AA4" w14:textId="7AED7EEE" w:rsidR="005F2101" w:rsidRPr="00FF310C" w:rsidRDefault="005F2101" w:rsidP="006670D2">
      <w:pPr>
        <w:pStyle w:val="Caption"/>
      </w:pPr>
      <w:r w:rsidRPr="00FF310C">
        <w:t xml:space="preserve">Table </w:t>
      </w:r>
      <w:r w:rsidRPr="00291BDC">
        <w:rPr>
          <w:bCs/>
        </w:rPr>
        <w:fldChar w:fldCharType="begin"/>
      </w:r>
      <w:r w:rsidRPr="00FF310C">
        <w:instrText>SEQ Table \* ARABIC</w:instrText>
      </w:r>
      <w:r w:rsidRPr="00291BDC">
        <w:rPr>
          <w:bCs/>
        </w:rPr>
        <w:fldChar w:fldCharType="separate"/>
      </w:r>
      <w:r w:rsidR="00692F0D">
        <w:rPr>
          <w:noProof/>
        </w:rPr>
        <w:t>192</w:t>
      </w:r>
      <w:r w:rsidRPr="00291BDC">
        <w:rPr>
          <w:bCs/>
        </w:rPr>
        <w:fldChar w:fldCharType="end"/>
      </w:r>
      <w:r w:rsidRPr="00FF310C">
        <w:t xml:space="preserve">. Sandfly Zieria risk ratings in the Gippsland RFA </w:t>
      </w:r>
      <w:r w:rsidR="00E450B7">
        <w:t>r</w:t>
      </w:r>
      <w:r w:rsidRPr="00FF310C">
        <w:t>egion:</w:t>
      </w:r>
    </w:p>
    <w:tbl>
      <w:tblPr>
        <w:tblStyle w:val="TableGrid"/>
        <w:tblW w:w="0" w:type="auto"/>
        <w:tblLook w:val="04A0" w:firstRow="1" w:lastRow="0" w:firstColumn="1" w:lastColumn="0" w:noHBand="0" w:noVBand="1"/>
      </w:tblPr>
      <w:tblGrid>
        <w:gridCol w:w="2504"/>
        <w:gridCol w:w="2504"/>
        <w:gridCol w:w="2505"/>
      </w:tblGrid>
      <w:tr w:rsidR="005F2101" w14:paraId="1106F738" w14:textId="77777777" w:rsidTr="003E059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504" w:type="dxa"/>
            <w:vAlign w:val="center"/>
          </w:tcPr>
          <w:p w14:paraId="66581C9D" w14:textId="77777777" w:rsidR="005F2101" w:rsidRPr="00643008" w:rsidRDefault="005F2101" w:rsidP="006670D2">
            <w:pPr>
              <w:pStyle w:val="CaptionImageorFigure"/>
            </w:pPr>
          </w:p>
        </w:tc>
        <w:tc>
          <w:tcPr>
            <w:tcW w:w="2504" w:type="dxa"/>
            <w:vAlign w:val="center"/>
          </w:tcPr>
          <w:p w14:paraId="5D4EA539"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2505" w:type="dxa"/>
            <w:vAlign w:val="center"/>
          </w:tcPr>
          <w:p w14:paraId="2D257504"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r>
      <w:tr w:rsidR="005F2101" w14:paraId="0CACBC53" w14:textId="77777777" w:rsidTr="003E0597">
        <w:tc>
          <w:tcPr>
            <w:tcW w:w="2504" w:type="dxa"/>
            <w:vAlign w:val="center"/>
          </w:tcPr>
          <w:p w14:paraId="5346CDE0" w14:textId="77777777" w:rsidR="005F2101" w:rsidRPr="00D65476" w:rsidRDefault="005F2101" w:rsidP="003E0597">
            <w:pPr>
              <w:pStyle w:val="BodyText"/>
              <w:jc w:val="center"/>
            </w:pPr>
            <w:r w:rsidRPr="00D65476">
              <w:t>Consequence</w:t>
            </w:r>
          </w:p>
        </w:tc>
        <w:tc>
          <w:tcPr>
            <w:tcW w:w="2504" w:type="dxa"/>
            <w:vAlign w:val="center"/>
          </w:tcPr>
          <w:p w14:paraId="5E54DC7F" w14:textId="77777777" w:rsidR="005F2101" w:rsidRPr="00D65476" w:rsidRDefault="005F2101" w:rsidP="003E0597">
            <w:pPr>
              <w:pStyle w:val="BodyText"/>
              <w:jc w:val="center"/>
            </w:pPr>
            <w:r w:rsidRPr="00D65476">
              <w:t>Extreme</w:t>
            </w:r>
          </w:p>
        </w:tc>
        <w:tc>
          <w:tcPr>
            <w:tcW w:w="2505" w:type="dxa"/>
            <w:vAlign w:val="center"/>
          </w:tcPr>
          <w:p w14:paraId="789BD0F8" w14:textId="77777777" w:rsidR="005F2101" w:rsidRPr="00D65476" w:rsidRDefault="005F2101" w:rsidP="003E0597">
            <w:pPr>
              <w:pStyle w:val="BodyText"/>
              <w:jc w:val="center"/>
            </w:pPr>
            <w:r w:rsidRPr="00D65476">
              <w:t>Moderate</w:t>
            </w:r>
          </w:p>
        </w:tc>
      </w:tr>
      <w:tr w:rsidR="005F2101" w14:paraId="415C5230" w14:textId="77777777" w:rsidTr="003E0597">
        <w:tc>
          <w:tcPr>
            <w:tcW w:w="2504" w:type="dxa"/>
            <w:vAlign w:val="center"/>
          </w:tcPr>
          <w:p w14:paraId="59C163F0" w14:textId="77777777" w:rsidR="005F2101" w:rsidRPr="00D65476" w:rsidRDefault="005F2101" w:rsidP="003E0597">
            <w:pPr>
              <w:pStyle w:val="BodyText"/>
              <w:jc w:val="center"/>
            </w:pPr>
            <w:r w:rsidRPr="00D65476">
              <w:t>Likelihood</w:t>
            </w:r>
          </w:p>
        </w:tc>
        <w:tc>
          <w:tcPr>
            <w:tcW w:w="2504" w:type="dxa"/>
            <w:vAlign w:val="center"/>
          </w:tcPr>
          <w:p w14:paraId="6B23D955" w14:textId="77777777" w:rsidR="005F2101" w:rsidRPr="00D65476" w:rsidRDefault="005F2101" w:rsidP="003E0597">
            <w:pPr>
              <w:pStyle w:val="BodyText"/>
              <w:jc w:val="center"/>
            </w:pPr>
            <w:r w:rsidRPr="00D65476">
              <w:t>Rare</w:t>
            </w:r>
          </w:p>
        </w:tc>
        <w:tc>
          <w:tcPr>
            <w:tcW w:w="2505" w:type="dxa"/>
            <w:vAlign w:val="center"/>
          </w:tcPr>
          <w:p w14:paraId="59558857" w14:textId="77777777" w:rsidR="005F2101" w:rsidRPr="00D65476" w:rsidRDefault="005F2101" w:rsidP="003E0597">
            <w:pPr>
              <w:pStyle w:val="BodyText"/>
              <w:jc w:val="center"/>
            </w:pPr>
            <w:r>
              <w:t>Possible</w:t>
            </w:r>
          </w:p>
        </w:tc>
      </w:tr>
      <w:tr w:rsidR="005F2101" w14:paraId="4AD47BFA" w14:textId="77777777" w:rsidTr="003E0597">
        <w:tc>
          <w:tcPr>
            <w:tcW w:w="2504" w:type="dxa"/>
            <w:vAlign w:val="center"/>
          </w:tcPr>
          <w:p w14:paraId="0DC9DA73" w14:textId="77777777" w:rsidR="005F2101" w:rsidRPr="00D65476" w:rsidRDefault="005F2101" w:rsidP="003E0597">
            <w:pPr>
              <w:pStyle w:val="BodyText"/>
              <w:jc w:val="center"/>
            </w:pPr>
            <w:r w:rsidRPr="00D65476">
              <w:t>Overall risk rating</w:t>
            </w:r>
          </w:p>
        </w:tc>
        <w:tc>
          <w:tcPr>
            <w:tcW w:w="2504" w:type="dxa"/>
            <w:shd w:val="clear" w:color="auto" w:fill="FFC000"/>
            <w:vAlign w:val="center"/>
          </w:tcPr>
          <w:p w14:paraId="13CE2D8B" w14:textId="77777777" w:rsidR="005F2101" w:rsidRPr="00D65476" w:rsidRDefault="005F2101" w:rsidP="003E0597">
            <w:pPr>
              <w:pStyle w:val="BodyText"/>
              <w:jc w:val="center"/>
            </w:pPr>
            <w:r w:rsidRPr="00D65476">
              <w:t>Significant</w:t>
            </w:r>
          </w:p>
        </w:tc>
        <w:tc>
          <w:tcPr>
            <w:tcW w:w="2505" w:type="dxa"/>
            <w:shd w:val="clear" w:color="auto" w:fill="FFFF00"/>
            <w:vAlign w:val="center"/>
          </w:tcPr>
          <w:p w14:paraId="67B5F713" w14:textId="77777777" w:rsidR="005F2101" w:rsidRPr="00D65476" w:rsidRDefault="005F2101" w:rsidP="003E0597">
            <w:pPr>
              <w:pStyle w:val="BodyText"/>
              <w:jc w:val="center"/>
            </w:pPr>
            <w:r>
              <w:t>Medium</w:t>
            </w:r>
          </w:p>
        </w:tc>
      </w:tr>
    </w:tbl>
    <w:p w14:paraId="54A50B1F" w14:textId="77777777" w:rsidR="005F2101" w:rsidRDefault="005F2101" w:rsidP="007E5EBF">
      <w:pPr>
        <w:pStyle w:val="Heading3"/>
      </w:pPr>
      <w:bookmarkStart w:id="712" w:name="_Toc88725971"/>
      <w:bookmarkStart w:id="713" w:name="_Toc88725972"/>
      <w:bookmarkStart w:id="714" w:name="_Toc88725973"/>
      <w:bookmarkStart w:id="715" w:name="_Toc88725974"/>
      <w:bookmarkStart w:id="716" w:name="_Toc88725975"/>
      <w:bookmarkStart w:id="717" w:name="_Toc88725976"/>
      <w:bookmarkStart w:id="718" w:name="_Toc88725977"/>
      <w:bookmarkStart w:id="719" w:name="_Toc88725978"/>
      <w:bookmarkStart w:id="720" w:name="_Toc88725979"/>
      <w:bookmarkStart w:id="721" w:name="_Toc88725981"/>
      <w:bookmarkStart w:id="722" w:name="_Toc88725980"/>
      <w:bookmarkEnd w:id="712"/>
      <w:bookmarkEnd w:id="713"/>
      <w:bookmarkEnd w:id="714"/>
      <w:bookmarkEnd w:id="715"/>
      <w:bookmarkEnd w:id="716"/>
      <w:bookmarkEnd w:id="717"/>
      <w:bookmarkEnd w:id="718"/>
      <w:bookmarkEnd w:id="719"/>
      <w:bookmarkEnd w:id="720"/>
      <w:r w:rsidRPr="00D55628">
        <w:rPr>
          <w:rFonts w:cs="Times New Roman"/>
          <w:noProof/>
          <w:lang w:eastAsia="en-US"/>
        </w:rPr>
        <mc:AlternateContent>
          <mc:Choice Requires="wps">
            <w:drawing>
              <wp:anchor distT="0" distB="0" distL="114300" distR="114300" simplePos="1" relativeHeight="251658360" behindDoc="1" locked="1" layoutInCell="1" allowOverlap="1" wp14:anchorId="4CA847E5" wp14:editId="6EDAFE1F">
                <wp:simplePos x="359410" y="9071610"/>
                <wp:positionH relativeFrom="page">
                  <wp:posOffset>359410</wp:posOffset>
                </wp:positionH>
                <wp:positionV relativeFrom="page">
                  <wp:posOffset>9071610</wp:posOffset>
                </wp:positionV>
                <wp:extent cx="6840001" cy="432000"/>
                <wp:effectExtent l="0" t="0" r="0" b="0"/>
                <wp:wrapNone/>
                <wp:docPr id="161"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FA06B"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847E5" id="_x0000_s1105" type="#_x0000_t202" alt="Title: Decorative Cover Shape" style="position:absolute;left:0;text-align:left;margin-left:28.3pt;margin-top:714.3pt;width:538.6pt;height:34pt;z-index:-251658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" fillcolor="#201547" stroked="f" strokeweight=".5pt">
                <v:textbox inset="10mm,0,10mm,0">
                  <w:txbxContent>
                    <w:p w14:paraId="4AEFA06B"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359" behindDoc="0" locked="1" layoutInCell="1" allowOverlap="1" wp14:anchorId="6253D49C" wp14:editId="45104D7F">
                <wp:simplePos x="0" y="0"/>
                <wp:positionH relativeFrom="page">
                  <wp:posOffset>360045</wp:posOffset>
                </wp:positionH>
                <wp:positionV relativeFrom="page">
                  <wp:posOffset>360045</wp:posOffset>
                </wp:positionV>
                <wp:extent cx="1864800" cy="1976400"/>
                <wp:effectExtent l="0" t="0" r="0" b="0"/>
                <wp:wrapNone/>
                <wp:docPr id="162"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CCDC62B" id="TriangleTopACIMono" o:spid="_x0000_s1026" style="position:absolute;margin-left:28.35pt;margin-top:28.35pt;width:146.85pt;height:155.6pt;z-index:2516583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358" behindDoc="0" locked="1" layoutInCell="1" allowOverlap="1" wp14:anchorId="1D79DF66" wp14:editId="677C12DC">
                <wp:simplePos x="0" y="0"/>
                <wp:positionH relativeFrom="page">
                  <wp:posOffset>359410</wp:posOffset>
                </wp:positionH>
                <wp:positionV relativeFrom="page">
                  <wp:posOffset>359410</wp:posOffset>
                </wp:positionV>
                <wp:extent cx="1864800" cy="1976400"/>
                <wp:effectExtent l="0" t="0" r="0" b="0"/>
                <wp:wrapNone/>
                <wp:docPr id="163"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8FE036C" id="TriangleTop" o:spid="_x0000_s1026" style="position:absolute;margin-left:28.3pt;margin-top:28.3pt;width:146.85pt;height:155.6pt;z-index:2516583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357" behindDoc="0" locked="1" layoutInCell="1" allowOverlap="1" wp14:anchorId="1DEC74B7" wp14:editId="13464E73">
                <wp:simplePos x="0" y="0"/>
                <wp:positionH relativeFrom="page">
                  <wp:posOffset>0</wp:posOffset>
                </wp:positionH>
                <wp:positionV relativeFrom="page">
                  <wp:align>bottom</wp:align>
                </wp:positionV>
                <wp:extent cx="3848400" cy="720000"/>
                <wp:effectExtent l="0" t="0" r="0" b="0"/>
                <wp:wrapNone/>
                <wp:docPr id="164"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FA750" w14:textId="77777777" w:rsidR="005F2101" w:rsidRPr="009F69FA" w:rsidRDefault="005F2101" w:rsidP="005F2101">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74B7" id="_x0000_s1106" type="#_x0000_t202" style="position:absolute;left:0;text-align:left;margin-left:0;margin-top:0;width:303pt;height:56.7pt;z-index:25165835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" filled="f" stroked="f" strokeweight=".5pt">
                <v:textbox inset="20mm">
                  <w:txbxContent>
                    <w:p w14:paraId="5E5FA750" w14:textId="77777777" w:rsidR="005F2101" w:rsidRPr="009F69FA" w:rsidRDefault="005F2101" w:rsidP="005F2101">
                      <w:pPr>
                        <w:pStyle w:val="xWebCoverPage"/>
                      </w:pPr>
                      <w:r w:rsidRPr="009F69FA">
                        <w:t>de</w:t>
                      </w:r>
                      <w:r>
                        <w:t>lw</w:t>
                      </w:r>
                      <w:r w:rsidRPr="009F69FA">
                        <w:t>p.vic.gov.au</w:t>
                      </w:r>
                    </w:p>
                  </w:txbxContent>
                </v:textbox>
                <w10:wrap anchorx="page" anchory="page"/>
                <w10:anchorlock/>
              </v:shape>
            </w:pict>
          </mc:Fallback>
        </mc:AlternateContent>
      </w:r>
      <w:bookmarkStart w:id="723" w:name="_Toc88725982"/>
      <w:bookmarkStart w:id="724" w:name="_Toc88725983"/>
      <w:bookmarkStart w:id="725" w:name="_Toc88725984"/>
      <w:bookmarkStart w:id="726" w:name="_Toc88725985"/>
      <w:bookmarkStart w:id="727" w:name="_Toc88725986"/>
      <w:bookmarkStart w:id="728" w:name="_Toc88725987"/>
      <w:bookmarkStart w:id="729" w:name="_Toc88725988"/>
      <w:bookmarkStart w:id="730" w:name="_Toc88725989"/>
      <w:bookmarkStart w:id="731" w:name="_Toc88725990"/>
      <w:bookmarkStart w:id="732" w:name="_Toc88725991"/>
      <w:bookmarkStart w:id="733" w:name="_Toc88725992"/>
      <w:bookmarkStart w:id="734" w:name="_Toc88725993"/>
      <w:bookmarkStart w:id="735" w:name="_Toc88725995"/>
      <w:bookmarkStart w:id="736" w:name="_Toc88725996"/>
      <w:bookmarkStart w:id="737" w:name="_Toc88725998"/>
      <w:bookmarkStart w:id="738" w:name="_Toc88725999"/>
      <w:bookmarkStart w:id="739" w:name="_Toc88726001"/>
      <w:bookmarkStart w:id="740" w:name="_Toc88726002"/>
      <w:bookmarkStart w:id="741" w:name="_Toc88726004"/>
      <w:bookmarkStart w:id="742" w:name="_Toc88726005"/>
      <w:bookmarkStart w:id="743" w:name="_Toc88726007"/>
      <w:bookmarkStart w:id="744" w:name="_Toc88726008"/>
      <w:bookmarkStart w:id="745" w:name="_Toc88726009"/>
      <w:bookmarkStart w:id="746" w:name="_Toc88726010"/>
      <w:bookmarkStart w:id="747" w:name="_Toc88726011"/>
      <w:bookmarkStart w:id="748" w:name="_Toc88726012"/>
      <w:bookmarkStart w:id="749" w:name="_Toc88726013"/>
      <w:bookmarkStart w:id="750" w:name="_Toc88726014"/>
      <w:bookmarkStart w:id="751" w:name="_Toc88726015"/>
      <w:bookmarkStart w:id="752" w:name="_Toc88726016"/>
      <w:bookmarkStart w:id="753" w:name="_Toc88726017"/>
      <w:bookmarkStart w:id="754" w:name="_Toc88726018"/>
      <w:bookmarkStart w:id="755" w:name="_Toc88726019"/>
      <w:bookmarkStart w:id="756" w:name="_Toc88726020"/>
      <w:bookmarkStart w:id="757" w:name="_Toc88726021"/>
      <w:bookmarkStart w:id="758" w:name="_Toc88726022"/>
      <w:bookmarkStart w:id="759" w:name="_Toc88726023"/>
      <w:bookmarkStart w:id="760" w:name="_Toc88726024"/>
      <w:bookmarkStart w:id="761" w:name="_Toc88726025"/>
      <w:bookmarkStart w:id="762" w:name="_Toc88726026"/>
      <w:bookmarkStart w:id="763" w:name="_Toc88726027"/>
      <w:bookmarkStart w:id="764" w:name="_Toc88726028"/>
      <w:bookmarkStart w:id="765" w:name="_Toc88726029"/>
      <w:bookmarkStart w:id="766" w:name="_Toc88726030"/>
      <w:bookmarkStart w:id="767" w:name="_Toc88726031"/>
      <w:bookmarkStart w:id="768" w:name="_Toc88726032"/>
      <w:bookmarkStart w:id="769" w:name="_Toc88726033"/>
      <w:bookmarkStart w:id="770" w:name="_Toc88726034"/>
      <w:bookmarkStart w:id="771" w:name="_Toc88726035"/>
      <w:bookmarkStart w:id="772" w:name="_Toc88726036"/>
      <w:bookmarkStart w:id="773" w:name="_Toc88726037"/>
      <w:bookmarkEnd w:id="721"/>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sidRPr="00D55628">
        <w:rPr>
          <w:rFonts w:cs="Times New Roman"/>
          <w:noProof/>
          <w:lang w:eastAsia="en-US"/>
        </w:rPr>
        <mc:AlternateContent>
          <mc:Choice Requires="wps">
            <w:drawing>
              <wp:anchor distT="0" distB="0" distL="114300" distR="114300" simplePos="1" relativeHeight="251658368" behindDoc="1" locked="1" layoutInCell="1" allowOverlap="1" wp14:anchorId="0B3C4D93" wp14:editId="2378B1EF">
                <wp:simplePos x="359410" y="9071610"/>
                <wp:positionH relativeFrom="page">
                  <wp:posOffset>359410</wp:posOffset>
                </wp:positionH>
                <wp:positionV relativeFrom="page">
                  <wp:posOffset>9071610</wp:posOffset>
                </wp:positionV>
                <wp:extent cx="6840001" cy="432000"/>
                <wp:effectExtent l="0" t="0" r="0" b="0"/>
                <wp:wrapNone/>
                <wp:docPr id="166"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4D993"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C4D93" id="_x0000_s1107" type="#_x0000_t202" alt="Title: Decorative Cover Shape" style="position:absolute;left:0;text-align:left;margin-left:28.3pt;margin-top:714.3pt;width:538.6pt;height:34pt;z-index:-251658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" fillcolor="#201547" stroked="f" strokeweight=".5pt">
                <v:textbox inset="10mm,0,10mm,0">
                  <w:txbxContent>
                    <w:p w14:paraId="7504D993"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364" behindDoc="0" locked="1" layoutInCell="1" allowOverlap="1" wp14:anchorId="684ED3C5" wp14:editId="331F2461">
                <wp:simplePos x="0" y="0"/>
                <wp:positionH relativeFrom="page">
                  <wp:posOffset>360045</wp:posOffset>
                </wp:positionH>
                <wp:positionV relativeFrom="page">
                  <wp:posOffset>360045</wp:posOffset>
                </wp:positionV>
                <wp:extent cx="1864800" cy="1976400"/>
                <wp:effectExtent l="0" t="0" r="0" b="0"/>
                <wp:wrapNone/>
                <wp:docPr id="167"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2ED2B50" id="TriangleTopACIMono" o:spid="_x0000_s1026" style="position:absolute;margin-left:28.35pt;margin-top:28.35pt;width:146.85pt;height:155.6pt;z-index:2516583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362" behindDoc="0" locked="1" layoutInCell="1" allowOverlap="1" wp14:anchorId="4CC361B9" wp14:editId="7E88D0CB">
                <wp:simplePos x="0" y="0"/>
                <wp:positionH relativeFrom="page">
                  <wp:posOffset>359410</wp:posOffset>
                </wp:positionH>
                <wp:positionV relativeFrom="page">
                  <wp:posOffset>359410</wp:posOffset>
                </wp:positionV>
                <wp:extent cx="1864800" cy="1976400"/>
                <wp:effectExtent l="0" t="0" r="0" b="0"/>
                <wp:wrapNone/>
                <wp:docPr id="168"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AB8417A" id="TriangleTop" o:spid="_x0000_s1026" style="position:absolute;margin-left:28.3pt;margin-top:28.3pt;width:146.85pt;height:155.6pt;z-index:25165836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361" behindDoc="0" locked="1" layoutInCell="1" allowOverlap="1" wp14:anchorId="61BEECBC" wp14:editId="748CE533">
                <wp:simplePos x="0" y="0"/>
                <wp:positionH relativeFrom="page">
                  <wp:posOffset>0</wp:posOffset>
                </wp:positionH>
                <wp:positionV relativeFrom="page">
                  <wp:align>bottom</wp:align>
                </wp:positionV>
                <wp:extent cx="3848400" cy="720000"/>
                <wp:effectExtent l="0" t="0" r="0" b="0"/>
                <wp:wrapNone/>
                <wp:docPr id="169"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D4AEC" w14:textId="77777777" w:rsidR="005F2101" w:rsidRPr="009F69FA" w:rsidRDefault="005F2101" w:rsidP="005F2101">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EECBC" id="_x0000_s1108" type="#_x0000_t202" style="position:absolute;left:0;text-align:left;margin-left:0;margin-top:0;width:303pt;height:56.7pt;z-index:25165836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A5pY4jbgIAAEYFAAAOAAAAAAAAAAAAAAAAAC4C&#10;AABkcnMvZTJvRG9jLnhtbFBLAQItABQABgAIAAAAIQD0ys+o2gAAAAUBAAAPAAAAAAAAAAAAAAAA&#10;AMgEAABkcnMvZG93bnJldi54bWxQSwUGAAAAAAQABADzAAAAzwUAAAAA&#10;" filled="f" stroked="f" strokeweight=".5pt">
                <v:textbox inset="20mm">
                  <w:txbxContent>
                    <w:p w14:paraId="070D4AEC" w14:textId="77777777" w:rsidR="005F2101" w:rsidRPr="009F69FA" w:rsidRDefault="005F2101" w:rsidP="005F2101">
                      <w:pPr>
                        <w:pStyle w:val="xWebCoverPage"/>
                      </w:pPr>
                      <w:r w:rsidRPr="009F69FA">
                        <w:t>de</w:t>
                      </w:r>
                      <w:r>
                        <w:t>lw</w:t>
                      </w:r>
                      <w:r w:rsidRPr="009F69FA">
                        <w:t>p.vic.gov.au</w:t>
                      </w:r>
                    </w:p>
                  </w:txbxContent>
                </v:textbox>
                <w10:wrap anchorx="page" anchory="page"/>
                <w10:anchorlock/>
              </v:shape>
            </w:pict>
          </mc:Fallback>
        </mc:AlternateContent>
      </w:r>
      <w:bookmarkStart w:id="774" w:name="_Toc88726038"/>
      <w:bookmarkStart w:id="775" w:name="_Toc88726039"/>
      <w:bookmarkStart w:id="776" w:name="_Toc88726040"/>
      <w:bookmarkStart w:id="777" w:name="_Toc88726041"/>
      <w:bookmarkStart w:id="778" w:name="_Toc88726042"/>
      <w:bookmarkStart w:id="779" w:name="_Toc88726043"/>
      <w:bookmarkStart w:id="780" w:name="_Toc88726044"/>
      <w:bookmarkStart w:id="781" w:name="_Toc88726045"/>
      <w:bookmarkStart w:id="782" w:name="_Toc88726046"/>
      <w:bookmarkStart w:id="783" w:name="_Toc88726047"/>
      <w:bookmarkStart w:id="784" w:name="_Toc88726048"/>
      <w:bookmarkStart w:id="785" w:name="_Toc88726050"/>
      <w:bookmarkStart w:id="786" w:name="_Toc88726052"/>
      <w:bookmarkStart w:id="787" w:name="_Toc88726054"/>
      <w:bookmarkStart w:id="788" w:name="_Toc88726056"/>
      <w:bookmarkStart w:id="789" w:name="_Toc88726057"/>
      <w:bookmarkStart w:id="790" w:name="_Toc88726058"/>
      <w:bookmarkStart w:id="791" w:name="_Toc88726059"/>
      <w:bookmarkStart w:id="792" w:name="_Toc88726060"/>
      <w:bookmarkStart w:id="793" w:name="_Toc88726061"/>
      <w:bookmarkStart w:id="794" w:name="_Toc88726062"/>
      <w:bookmarkStart w:id="795" w:name="_Toc88726063"/>
      <w:bookmarkStart w:id="796" w:name="_Toc88726064"/>
      <w:bookmarkStart w:id="797" w:name="_Toc88726065"/>
      <w:bookmarkStart w:id="798" w:name="_Toc88726066"/>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t>Fire</w:t>
      </w:r>
      <w:bookmarkEnd w:id="798"/>
    </w:p>
    <w:p w14:paraId="5AA89447" w14:textId="77777777" w:rsidR="005F2101" w:rsidRPr="001C0DE0" w:rsidRDefault="005F2101" w:rsidP="007E5EBF">
      <w:pPr>
        <w:pStyle w:val="Heading5"/>
      </w:pPr>
      <w:r>
        <w:t>Increased fire frequency and intensity</w:t>
      </w:r>
    </w:p>
    <w:p w14:paraId="104D56D7" w14:textId="211FD297" w:rsidR="005F2101" w:rsidRPr="006153E6" w:rsidRDefault="005F2101" w:rsidP="005F2101">
      <w:pPr>
        <w:pStyle w:val="BodyText"/>
      </w:pPr>
      <w:r w:rsidRPr="00392815">
        <w:t xml:space="preserve">The </w:t>
      </w:r>
      <w:r w:rsidR="001D3902">
        <w:t>species</w:t>
      </w:r>
      <w:r w:rsidRPr="00392815">
        <w:t xml:space="preserve"> is threatened in all </w:t>
      </w:r>
      <w:r w:rsidR="002B6B41">
        <w:t>regions</w:t>
      </w:r>
      <w:r w:rsidRPr="00392815">
        <w:t xml:space="preserve"> by</w:t>
      </w:r>
      <w:r>
        <w:t xml:space="preserve"> an</w:t>
      </w:r>
      <w:r w:rsidRPr="00392815">
        <w:t xml:space="preserve"> increased fire frequency, intensity</w:t>
      </w:r>
      <w:r w:rsidR="007A5251" w:rsidRPr="00392815">
        <w:t>,</w:t>
      </w:r>
      <w:r w:rsidRPr="00392815">
        <w:t xml:space="preserve"> and landscape scale, combined with climatic warming and drying which synergistically increase the risk of recruitment failure due to </w:t>
      </w:r>
      <w:r w:rsidR="001B270E">
        <w:t xml:space="preserve">extreme drought stress and </w:t>
      </w:r>
      <w:r w:rsidRPr="00392815">
        <w:t>repeat fires at inte</w:t>
      </w:r>
      <w:r w:rsidRPr="005B7431">
        <w:t xml:space="preserve">rvals below or approaching the tolerable fire interval for the </w:t>
      </w:r>
      <w:r w:rsidR="001D3902">
        <w:t>species</w:t>
      </w:r>
      <w:r w:rsidRPr="005B7431">
        <w:t xml:space="preserve">. The </w:t>
      </w:r>
      <w:r w:rsidR="001D3902">
        <w:t>species</w:t>
      </w:r>
      <w:r w:rsidRPr="005B7431">
        <w:t xml:space="preserve"> is likely to be at particular risk of adult mortality and recruitment </w:t>
      </w:r>
      <w:r>
        <w:t>failure,</w:t>
      </w:r>
      <w:r w:rsidRPr="005B7431">
        <w:t xml:space="preserve"> noting that it oft</w:t>
      </w:r>
      <w:r w:rsidRPr="00024967">
        <w:t>en occupies shallow to skeletal soils on dry rocky ground or on open rocky outcrops</w:t>
      </w:r>
      <w:r>
        <w:t xml:space="preserve"> (</w:t>
      </w:r>
      <w:r w:rsidRPr="002F2E45">
        <w:t>VicFlora 2020</w:t>
      </w:r>
      <w:r>
        <w:t>). This hazard i</w:t>
      </w:r>
      <w:r w:rsidRPr="006153E6">
        <w:t>ntera</w:t>
      </w:r>
      <w:r w:rsidRPr="00392815">
        <w:t xml:space="preserve">cts </w:t>
      </w:r>
      <w:r w:rsidR="003A506B">
        <w:t xml:space="preserve">with </w:t>
      </w:r>
      <w:r>
        <w:t xml:space="preserve">targeted browsing and trampling by </w:t>
      </w:r>
      <w:r w:rsidRPr="00704719">
        <w:t xml:space="preserve">deer through </w:t>
      </w:r>
      <w:r>
        <w:t xml:space="preserve">the </w:t>
      </w:r>
      <w:r w:rsidRPr="00704719">
        <w:t>exposure of seedlings to mortality and habitat degradation</w:t>
      </w:r>
      <w:r w:rsidR="00A600A3">
        <w:rPr>
          <w:color w:val="7030A0"/>
        </w:rPr>
        <w:t xml:space="preserve">. </w:t>
      </w:r>
      <w:r w:rsidR="00A600A3" w:rsidRPr="00915D82">
        <w:t>It also interacts with forestry where current forestry operations and management practices may also increase the risks and exacerbate the effects of bushfires (e.g</w:t>
      </w:r>
      <w:r w:rsidR="007A5251" w:rsidRPr="00915D82">
        <w:t>.,</w:t>
      </w:r>
      <w:r w:rsidR="00A600A3" w:rsidRPr="00915D82">
        <w:t xml:space="preserve"> Furlaud et al. 2021). However, the strength of this relationship is contested within the scientific community (e.g</w:t>
      </w:r>
      <w:r w:rsidR="007A5251" w:rsidRPr="00915D82">
        <w:t>.,</w:t>
      </w:r>
      <w:r w:rsidR="00A600A3" w:rsidRPr="00915D82">
        <w:t xml:space="preserve"> </w:t>
      </w:r>
      <w:r w:rsidR="002642A6">
        <w:t>Keenan</w:t>
      </w:r>
      <w:r w:rsidR="00A600A3" w:rsidRPr="00915D82">
        <w:t xml:space="preserve"> et al</w:t>
      </w:r>
      <w:r w:rsidR="00A600A3">
        <w:t>.</w:t>
      </w:r>
      <w:r w:rsidR="00A600A3" w:rsidRPr="00915D82">
        <w:t xml:space="preserve"> 2021), and the extent of this effect may be less significant in the face of mega fires driven primarily by extreme heat and drought caused by human-induced climate-change (e.g. Bowman et al. 2021).</w:t>
      </w:r>
      <w:r w:rsidR="00A600A3">
        <w:rPr>
          <w:color w:val="7030A0"/>
        </w:rPr>
        <w:t xml:space="preserve"> </w:t>
      </w:r>
      <w:r>
        <w:t xml:space="preserve">The </w:t>
      </w:r>
      <w:r w:rsidRPr="00704719">
        <w:t xml:space="preserve">2019-20 </w:t>
      </w:r>
      <w:r>
        <w:t>bushfir</w:t>
      </w:r>
      <w:r w:rsidRPr="00704719">
        <w:t>es give a clear indication of the potential for a significant event to occur that would have extreme consequences (at least in terms of severity and duration)</w:t>
      </w:r>
      <w:r>
        <w:t>,</w:t>
      </w:r>
      <w:r w:rsidRPr="00704719">
        <w:t xml:space="preserve"> given that 70% of important populations</w:t>
      </w:r>
      <w:r>
        <w:t xml:space="preserve"> across both the East Gippsland and Gippsland RFA regions</w:t>
      </w:r>
      <w:r w:rsidRPr="00704719">
        <w:t xml:space="preserve"> have been burnt by </w:t>
      </w:r>
      <w:r>
        <w:t>bush</w:t>
      </w:r>
      <w:r w:rsidRPr="00704719">
        <w:t>fire since 2000</w:t>
      </w:r>
      <w:r>
        <w:t xml:space="preserve">. This hazard has the potential to impact all the </w:t>
      </w:r>
      <w:r w:rsidR="001D3902">
        <w:t>species’</w:t>
      </w:r>
      <w:r>
        <w:t xml:space="preserve"> populations in Victoria.</w:t>
      </w:r>
    </w:p>
    <w:p w14:paraId="020930EE" w14:textId="77777777" w:rsidR="005F2101" w:rsidRDefault="005F2101" w:rsidP="005F2101">
      <w:pPr>
        <w:pStyle w:val="BodyText"/>
      </w:pPr>
      <w:r>
        <w:t xml:space="preserve">Current controls </w:t>
      </w:r>
      <w:r w:rsidRPr="00660ABA">
        <w:t>for this hazard includ</w:t>
      </w:r>
      <w:r>
        <w:t>e:</w:t>
      </w:r>
    </w:p>
    <w:p w14:paraId="35A6BE21" w14:textId="47100015" w:rsidR="005F2101" w:rsidRDefault="005F2101" w:rsidP="006670D2">
      <w:pPr>
        <w:pStyle w:val="PullOutBoxBullet"/>
      </w:pPr>
      <w:r>
        <w:t>Planned burning. This control may be partially effective depending on the location of planned burns and the time elapsed since the operation. Strategic fuel</w:t>
      </w:r>
      <w:r w:rsidR="00DF761D">
        <w:t xml:space="preserve"> </w:t>
      </w:r>
      <w:r>
        <w:t>breaks and associated backburning may</w:t>
      </w:r>
      <w:r w:rsidR="00780CEA">
        <w:t>,</w:t>
      </w:r>
      <w:r>
        <w:t xml:space="preserve"> however</w:t>
      </w:r>
      <w:r w:rsidR="00780CEA">
        <w:t>,</w:t>
      </w:r>
      <w:r>
        <w:t xml:space="preserve"> provide valuable protection for this species and its habitat from severe bushfires</w:t>
      </w:r>
      <w:r w:rsidR="008912C8">
        <w:t xml:space="preserve"> in some cases.</w:t>
      </w:r>
    </w:p>
    <w:p w14:paraId="58D8BD26" w14:textId="38750B38" w:rsidR="005F2101" w:rsidRDefault="00A01C91" w:rsidP="006670D2">
      <w:pPr>
        <w:pStyle w:val="PullOutBoxBullet"/>
      </w:pPr>
      <w:r w:rsidRPr="00F26BEE">
        <w:t xml:space="preserve">Values checking and strategic bushfire management planning. </w:t>
      </w:r>
      <w:r w:rsidRPr="00BB09D4">
        <w:t xml:space="preserve">The effectiveness of these measures has been evaluated as poor at mitigating risk to this species. Values checking relies on existing site records and modelled distribution, and for some </w:t>
      </w:r>
      <w:r w:rsidR="009430A5">
        <w:t>taxa</w:t>
      </w:r>
      <w:r w:rsidRPr="00BB09D4">
        <w:t xml:space="preserve"> site records are not comprehensive. Habitat modelling may also exaggerate actual distributions, particularly for poorly-know</w:t>
      </w:r>
      <w:r w:rsidR="000E687D">
        <w:t>n</w:t>
      </w:r>
      <w:r w:rsidRPr="00BB09D4">
        <w:t xml:space="preserve"> </w:t>
      </w:r>
      <w:r w:rsidR="009430A5">
        <w:t>taxa</w:t>
      </w:r>
      <w:r w:rsidR="005F2101" w:rsidRPr="00DB7B28">
        <w:t>.</w:t>
      </w:r>
      <w:r w:rsidR="005F2101">
        <w:t xml:space="preserve">   </w:t>
      </w:r>
    </w:p>
    <w:p w14:paraId="0DDD3E63" w14:textId="4CF91C99" w:rsidR="005F2101" w:rsidRDefault="005F2101" w:rsidP="006670D2">
      <w:pPr>
        <w:pStyle w:val="PullOutBoxBullet"/>
      </w:pPr>
      <w:r w:rsidRPr="000F6BBE">
        <w:t>Bushfire suppression</w:t>
      </w:r>
      <w:r>
        <w:t>.</w:t>
      </w:r>
      <w:r w:rsidRPr="000F6BBE">
        <w:t xml:space="preserve"> Th</w:t>
      </w:r>
      <w:r w:rsidR="008845CE">
        <w:t xml:space="preserve">e risk to this species </w:t>
      </w:r>
      <w:r w:rsidRPr="000F6BBE" w:rsidDel="008845CE">
        <w:t xml:space="preserve">is </w:t>
      </w:r>
      <w:r w:rsidRPr="000F6BBE">
        <w:t xml:space="preserve">not effectively controlled; the scale and intensity of recent bushfires means that, despite the frameworks and available resources, emergency response does not always </w:t>
      </w:r>
      <w:r w:rsidR="002817ED">
        <w:t>mitigate</w:t>
      </w:r>
      <w:r w:rsidRPr="000F6BBE">
        <w:t xml:space="preserve"> impacts on </w:t>
      </w:r>
      <w:r w:rsidR="002B62F2">
        <w:t>this species.</w:t>
      </w:r>
    </w:p>
    <w:p w14:paraId="7BAF1ECC" w14:textId="3D2A5B06" w:rsidR="005F2101" w:rsidRPr="00FF310C" w:rsidRDefault="005F2101" w:rsidP="006670D2">
      <w:pPr>
        <w:pStyle w:val="Caption"/>
      </w:pPr>
      <w:r w:rsidRPr="00FF310C">
        <w:t xml:space="preserve">Table </w:t>
      </w:r>
      <w:r w:rsidR="000B6788" w:rsidRPr="00291BDC">
        <w:rPr>
          <w:bCs/>
        </w:rPr>
        <w:fldChar w:fldCharType="begin"/>
      </w:r>
      <w:r w:rsidR="000B6788" w:rsidRPr="00FF310C">
        <w:instrText xml:space="preserve"> SEQ Table \* ARABIC </w:instrText>
      </w:r>
      <w:r w:rsidR="000B6788" w:rsidRPr="00291BDC">
        <w:rPr>
          <w:bCs/>
        </w:rPr>
        <w:fldChar w:fldCharType="separate"/>
      </w:r>
      <w:r w:rsidR="00692F0D">
        <w:rPr>
          <w:noProof/>
        </w:rPr>
        <w:t>193</w:t>
      </w:r>
      <w:r w:rsidR="000B6788" w:rsidRPr="00291BDC">
        <w:rPr>
          <w:bCs/>
          <w:noProof/>
        </w:rPr>
        <w:fldChar w:fldCharType="end"/>
      </w:r>
      <w:r w:rsidRPr="00FF310C">
        <w:t>. Sandfly Zieria protection requirements and recommendations for increased fire frequency and intensity</w:t>
      </w:r>
    </w:p>
    <w:tbl>
      <w:tblPr>
        <w:tblStyle w:val="TableGrid"/>
        <w:tblW w:w="0" w:type="auto"/>
        <w:tblLook w:val="04A0" w:firstRow="1" w:lastRow="0" w:firstColumn="1" w:lastColumn="0" w:noHBand="0" w:noVBand="1"/>
      </w:tblPr>
      <w:tblGrid>
        <w:gridCol w:w="2268"/>
        <w:gridCol w:w="7371"/>
      </w:tblGrid>
      <w:tr w:rsidR="005F2101" w:rsidRPr="00867DAA" w14:paraId="2EEAEA3F" w14:textId="77777777" w:rsidTr="60664A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083D7937" w14:textId="77777777" w:rsidR="005F2101" w:rsidRPr="00704719" w:rsidRDefault="005F2101" w:rsidP="00296E0F">
            <w:pPr>
              <w:pStyle w:val="BodyText"/>
            </w:pPr>
            <w:r w:rsidRPr="00704719">
              <w:t>Requirement</w:t>
            </w:r>
          </w:p>
        </w:tc>
        <w:tc>
          <w:tcPr>
            <w:tcW w:w="7371" w:type="dxa"/>
            <w:vAlign w:val="center"/>
          </w:tcPr>
          <w:p w14:paraId="395FE542"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246B1151" w14:textId="77777777" w:rsidTr="60664A41">
        <w:tc>
          <w:tcPr>
            <w:tcW w:w="2268" w:type="dxa"/>
          </w:tcPr>
          <w:p w14:paraId="0529417E" w14:textId="747EB201" w:rsidR="005F2101" w:rsidRPr="003566BD" w:rsidRDefault="005413EA" w:rsidP="00C77CDF">
            <w:pPr>
              <w:pStyle w:val="BodyText"/>
            </w:pPr>
            <w:r>
              <w:t>Priority management actions</w:t>
            </w:r>
          </w:p>
        </w:tc>
        <w:tc>
          <w:tcPr>
            <w:tcW w:w="7371" w:type="dxa"/>
          </w:tcPr>
          <w:p w14:paraId="5F86BA96" w14:textId="77777777" w:rsidR="00F40584" w:rsidRPr="00E31362" w:rsidRDefault="00F40584" w:rsidP="006670D2">
            <w:pPr>
              <w:pStyle w:val="PullOutBoxBullet"/>
            </w:pPr>
            <w:r w:rsidRPr="00E31362">
              <w:t>Comprehensively search likely habitat and map important populations; and</w:t>
            </w:r>
          </w:p>
          <w:p w14:paraId="1AC220A5" w14:textId="13615B77" w:rsidR="005F2101" w:rsidRPr="00D65476" w:rsidRDefault="00F40584" w:rsidP="006670D2">
            <w:pPr>
              <w:pStyle w:val="PullOutBoxBullet"/>
            </w:pPr>
            <w:r w:rsidRPr="00E31362">
              <w:t>Establish monitoring sites and collect baseline data.</w:t>
            </w:r>
          </w:p>
        </w:tc>
      </w:tr>
      <w:tr w:rsidR="005F2101" w:rsidRPr="00867DAA" w14:paraId="3E0E7A7C" w14:textId="77777777" w:rsidTr="60664A41">
        <w:tc>
          <w:tcPr>
            <w:tcW w:w="2268" w:type="dxa"/>
          </w:tcPr>
          <w:p w14:paraId="31AC0F3E" w14:textId="03685D62" w:rsidR="005F2101" w:rsidRPr="00867DAA" w:rsidRDefault="00112380" w:rsidP="00C77CDF">
            <w:pPr>
              <w:pStyle w:val="BodyText"/>
            </w:pPr>
            <w:r>
              <w:t>Potential m</w:t>
            </w:r>
            <w:r w:rsidR="005F2101" w:rsidRPr="00867DAA">
              <w:t>anagement actions</w:t>
            </w:r>
          </w:p>
        </w:tc>
        <w:tc>
          <w:tcPr>
            <w:tcW w:w="7371" w:type="dxa"/>
          </w:tcPr>
          <w:p w14:paraId="30D18C46" w14:textId="485DBDB2" w:rsidR="005F2101" w:rsidRDefault="005F2101" w:rsidP="006670D2">
            <w:pPr>
              <w:pStyle w:val="PullOutBoxBullet"/>
            </w:pPr>
            <w:r>
              <w:t xml:space="preserve">Collect seed for the VCS from across the </w:t>
            </w:r>
            <w:r w:rsidR="001D3902">
              <w:t>species’</w:t>
            </w:r>
            <w:r>
              <w:t xml:space="preserve"> range; </w:t>
            </w:r>
          </w:p>
          <w:p w14:paraId="71FF2F98" w14:textId="1FA38BF3" w:rsidR="005F2101" w:rsidRDefault="005F2101" w:rsidP="006670D2">
            <w:pPr>
              <w:pStyle w:val="PullOutBoxBullet"/>
            </w:pPr>
            <w:r>
              <w:t>Establish a dedicated Seed Production Area set up to be climate proof and include location/s where the bushfire threat can be mitigated (e.g</w:t>
            </w:r>
            <w:r w:rsidR="007A5251">
              <w:t>.,</w:t>
            </w:r>
            <w:r>
              <w:t xml:space="preserve"> outside the major areas of forested land susceptible to major bushfires), possibly on private land; and </w:t>
            </w:r>
          </w:p>
          <w:p w14:paraId="65D1D613" w14:textId="77777777" w:rsidR="005F2101" w:rsidRPr="00001691" w:rsidRDefault="005F2101" w:rsidP="006670D2">
            <w:pPr>
              <w:pStyle w:val="PullOutBoxBullet"/>
            </w:pPr>
            <w:r>
              <w:t>Nominate Sandfly Zieria as an at-risk species within Victoria’s Climate Change Adaptation Action Plan for the Natural Environment System.</w:t>
            </w:r>
          </w:p>
        </w:tc>
      </w:tr>
    </w:tbl>
    <w:p w14:paraId="4C7DA9E2" w14:textId="77777777" w:rsidR="005F2101" w:rsidRDefault="005F2101" w:rsidP="007E5EBF">
      <w:pPr>
        <w:pStyle w:val="Heading3"/>
      </w:pPr>
      <w:r>
        <w:t>Forestry operations</w:t>
      </w:r>
      <w:bookmarkEnd w:id="722"/>
    </w:p>
    <w:p w14:paraId="0BEB1DD8" w14:textId="3FE8279B" w:rsidR="005F2101" w:rsidRPr="001C0DE0" w:rsidRDefault="005F2101" w:rsidP="007E5EBF">
      <w:pPr>
        <w:pStyle w:val="Heading5"/>
      </w:pPr>
      <w:r>
        <w:t>Forestry operations</w:t>
      </w:r>
    </w:p>
    <w:p w14:paraId="55E499AB" w14:textId="3DB48DEA" w:rsidR="005F2101" w:rsidRPr="005C53A0" w:rsidRDefault="005F2101" w:rsidP="005F2101">
      <w:pPr>
        <w:pStyle w:val="BodyText"/>
      </w:pPr>
      <w:r w:rsidRPr="005C48FF">
        <w:rPr>
          <w:rStyle w:val="normaltextrun"/>
          <w:rFonts w:ascii="Arial" w:hAnsi="Arial"/>
          <w:bdr w:val="none" w:sz="0" w:space="0" w:color="auto" w:frame="1"/>
        </w:rPr>
        <w:t xml:space="preserve">Forestry </w:t>
      </w:r>
      <w:r>
        <w:rPr>
          <w:rStyle w:val="normaltextrun"/>
          <w:rFonts w:ascii="Arial" w:hAnsi="Arial"/>
          <w:bdr w:val="none" w:sz="0" w:space="0" w:color="auto" w:frame="1"/>
        </w:rPr>
        <w:t>o</w:t>
      </w:r>
      <w:r w:rsidRPr="005C48FF">
        <w:rPr>
          <w:rStyle w:val="normaltextrun"/>
          <w:rFonts w:ascii="Arial" w:hAnsi="Arial"/>
          <w:bdr w:val="none" w:sz="0" w:space="0" w:color="auto" w:frame="1"/>
        </w:rPr>
        <w:t>perations</w:t>
      </w:r>
      <w:r w:rsidR="00D231F0">
        <w:rPr>
          <w:rStyle w:val="normaltextrun"/>
          <w:rFonts w:ascii="Arial" w:hAnsi="Arial"/>
          <w:bdr w:val="none" w:sz="0" w:space="0" w:color="auto" w:frame="1"/>
        </w:rPr>
        <w:t xml:space="preserve"> can</w:t>
      </w:r>
      <w:r w:rsidRPr="005C48FF">
        <w:rPr>
          <w:rStyle w:val="normaltextrun"/>
          <w:rFonts w:ascii="Arial" w:hAnsi="Arial"/>
          <w:bdr w:val="none" w:sz="0" w:space="0" w:color="auto" w:frame="1"/>
        </w:rPr>
        <w:t xml:space="preserve"> impact</w:t>
      </w:r>
      <w:r>
        <w:rPr>
          <w:rStyle w:val="normaltextrun"/>
          <w:rFonts w:ascii="Arial" w:hAnsi="Arial"/>
          <w:bdr w:val="none" w:sz="0" w:space="0" w:color="auto" w:frame="1"/>
        </w:rPr>
        <w:t xml:space="preserve"> </w:t>
      </w:r>
      <w:r w:rsidRPr="005C48FF">
        <w:rPr>
          <w:rStyle w:val="normaltextrun"/>
          <w:rFonts w:ascii="Arial" w:hAnsi="Arial"/>
          <w:bdr w:val="none" w:sz="0" w:space="0" w:color="auto" w:frame="1"/>
        </w:rPr>
        <w:t>th</w:t>
      </w:r>
      <w:r>
        <w:rPr>
          <w:rStyle w:val="normaltextrun"/>
          <w:rFonts w:ascii="Arial" w:hAnsi="Arial"/>
          <w:bdr w:val="none" w:sz="0" w:space="0" w:color="auto" w:frame="1"/>
        </w:rPr>
        <w:t xml:space="preserve">is </w:t>
      </w:r>
      <w:r w:rsidR="001D3902">
        <w:rPr>
          <w:rStyle w:val="normaltextrun"/>
          <w:rFonts w:ascii="Arial" w:hAnsi="Arial"/>
          <w:bdr w:val="none" w:sz="0" w:space="0" w:color="auto" w:frame="1"/>
        </w:rPr>
        <w:t>species</w:t>
      </w:r>
      <w:r>
        <w:rPr>
          <w:rStyle w:val="normaltextrun"/>
          <w:rFonts w:ascii="Arial" w:hAnsi="Arial"/>
          <w:bdr w:val="none" w:sz="0" w:space="0" w:color="auto" w:frame="1"/>
        </w:rPr>
        <w:t xml:space="preserve"> through</w:t>
      </w:r>
      <w:r w:rsidRPr="005C53A0">
        <w:rPr>
          <w:rStyle w:val="normaltextrun"/>
          <w:rFonts w:ascii="Arial" w:hAnsi="Arial"/>
          <w:bdr w:val="none" w:sz="0" w:space="0" w:color="auto" w:frame="1"/>
        </w:rPr>
        <w:t xml:space="preserve"> disturbance by machinery during </w:t>
      </w:r>
      <w:r>
        <w:rPr>
          <w:rStyle w:val="normaltextrun"/>
          <w:rFonts w:ascii="Arial" w:hAnsi="Arial"/>
          <w:bdr w:val="none" w:sz="0" w:space="0" w:color="auto" w:frame="1"/>
        </w:rPr>
        <w:t>harvesting</w:t>
      </w:r>
      <w:r w:rsidRPr="005C53A0">
        <w:rPr>
          <w:rStyle w:val="normaltextrun"/>
          <w:rFonts w:ascii="Arial" w:hAnsi="Arial"/>
          <w:bdr w:val="none" w:sz="0" w:space="0" w:color="auto" w:frame="1"/>
        </w:rPr>
        <w:t xml:space="preserve"> followed by </w:t>
      </w:r>
      <w:r>
        <w:rPr>
          <w:rStyle w:val="normaltextrun"/>
          <w:rFonts w:ascii="Arial" w:hAnsi="Arial"/>
          <w:bdr w:val="none" w:sz="0" w:space="0" w:color="auto" w:frame="1"/>
        </w:rPr>
        <w:t xml:space="preserve">regeneration </w:t>
      </w:r>
      <w:r w:rsidRPr="005C53A0">
        <w:rPr>
          <w:rStyle w:val="normaltextrun"/>
          <w:rFonts w:ascii="Arial" w:hAnsi="Arial"/>
          <w:bdr w:val="none" w:sz="0" w:space="0" w:color="auto" w:frame="1"/>
        </w:rPr>
        <w:t>burning</w:t>
      </w:r>
      <w:r w:rsidRPr="005C48FF">
        <w:rPr>
          <w:rStyle w:val="normaltextrun"/>
          <w:rFonts w:ascii="Arial" w:hAnsi="Arial"/>
          <w:bdr w:val="none" w:sz="0" w:space="0" w:color="auto" w:frame="1"/>
        </w:rPr>
        <w:t>.</w:t>
      </w:r>
      <w:r>
        <w:rPr>
          <w:rStyle w:val="normaltextrun"/>
          <w:rFonts w:ascii="Arial" w:hAnsi="Arial"/>
          <w:bdr w:val="none" w:sz="0" w:space="0" w:color="auto" w:frame="1"/>
        </w:rPr>
        <w:t xml:space="preserve"> </w:t>
      </w:r>
      <w:r w:rsidRPr="005C53A0">
        <w:rPr>
          <w:rStyle w:val="normaltextrun"/>
          <w:rFonts w:ascii="Arial" w:hAnsi="Arial"/>
          <w:bdr w:val="none" w:sz="0" w:space="0" w:color="auto" w:frame="1"/>
        </w:rPr>
        <w:t xml:space="preserve">Salvage </w:t>
      </w:r>
      <w:r>
        <w:rPr>
          <w:rStyle w:val="normaltextrun"/>
          <w:rFonts w:ascii="Arial" w:hAnsi="Arial"/>
          <w:bdr w:val="none" w:sz="0" w:space="0" w:color="auto" w:frame="1"/>
        </w:rPr>
        <w:t xml:space="preserve">harvesting </w:t>
      </w:r>
      <w:r w:rsidRPr="005C53A0">
        <w:rPr>
          <w:rStyle w:val="normaltextrun"/>
          <w:rFonts w:ascii="Arial" w:hAnsi="Arial"/>
          <w:bdr w:val="none" w:sz="0" w:space="0" w:color="auto" w:frame="1"/>
        </w:rPr>
        <w:t xml:space="preserve">will have a disproportionate impact on populations </w:t>
      </w:r>
      <w:r>
        <w:rPr>
          <w:rStyle w:val="normaltextrun"/>
          <w:rFonts w:ascii="Arial" w:hAnsi="Arial"/>
          <w:bdr w:val="none" w:sz="0" w:space="0" w:color="auto" w:frame="1"/>
        </w:rPr>
        <w:t>due to the</w:t>
      </w:r>
      <w:r w:rsidRPr="005C53A0">
        <w:rPr>
          <w:rStyle w:val="normaltextrun"/>
          <w:rFonts w:ascii="Arial" w:hAnsi="Arial"/>
          <w:bdr w:val="none" w:sz="0" w:space="0" w:color="auto" w:frame="1"/>
        </w:rPr>
        <w:t xml:space="preserve"> risk of local extinction if the propagule bank is exhausted</w:t>
      </w:r>
      <w:r w:rsidR="007011C2">
        <w:rPr>
          <w:rStyle w:val="normaltextrun"/>
          <w:rFonts w:ascii="Arial" w:hAnsi="Arial"/>
          <w:bdr w:val="none" w:sz="0" w:space="0" w:color="auto" w:frame="1"/>
        </w:rPr>
        <w:t>. F</w:t>
      </w:r>
      <w:r w:rsidRPr="005C53A0">
        <w:rPr>
          <w:rStyle w:val="normaltextrun"/>
          <w:rFonts w:ascii="Arial" w:hAnsi="Arial"/>
          <w:bdr w:val="none" w:sz="0" w:space="0" w:color="auto" w:frame="1"/>
        </w:rPr>
        <w:t>orestry operation impacts are exacerbated by any stochastic disturbance events that disrupt recruitment processes</w:t>
      </w:r>
      <w:r>
        <w:rPr>
          <w:rStyle w:val="normaltextrun"/>
          <w:rFonts w:ascii="Arial" w:hAnsi="Arial"/>
          <w:bdr w:val="none" w:sz="0" w:space="0" w:color="auto" w:frame="1"/>
        </w:rPr>
        <w:t xml:space="preserve">. The </w:t>
      </w:r>
      <w:r w:rsidR="001D3902">
        <w:rPr>
          <w:rStyle w:val="normaltextrun"/>
          <w:rFonts w:ascii="Arial" w:hAnsi="Arial"/>
          <w:bdr w:val="none" w:sz="0" w:space="0" w:color="auto" w:frame="1"/>
        </w:rPr>
        <w:t>species’</w:t>
      </w:r>
      <w:r>
        <w:rPr>
          <w:rStyle w:val="normaltextrun"/>
          <w:rFonts w:ascii="Arial" w:hAnsi="Arial"/>
          <w:bdr w:val="none" w:sz="0" w:space="0" w:color="auto" w:frame="1"/>
        </w:rPr>
        <w:t xml:space="preserve"> </w:t>
      </w:r>
      <w:r w:rsidRPr="005C53A0">
        <w:rPr>
          <w:rStyle w:val="normaltextrun"/>
          <w:rFonts w:ascii="Arial" w:hAnsi="Arial"/>
          <w:bdr w:val="none" w:sz="0" w:space="0" w:color="auto" w:frame="1"/>
        </w:rPr>
        <w:t xml:space="preserve">patchy occurrence and lack of a prescription put it at greater overall risk since </w:t>
      </w:r>
      <w:r>
        <w:rPr>
          <w:rStyle w:val="normaltextrun"/>
          <w:rFonts w:ascii="Arial" w:hAnsi="Arial"/>
          <w:bdr w:val="none" w:sz="0" w:space="0" w:color="auto" w:frame="1"/>
        </w:rPr>
        <w:t xml:space="preserve">the </w:t>
      </w:r>
      <w:r w:rsidRPr="005C53A0">
        <w:rPr>
          <w:rStyle w:val="normaltextrun"/>
          <w:rFonts w:ascii="Arial" w:hAnsi="Arial"/>
          <w:bdr w:val="none" w:sz="0" w:space="0" w:color="auto" w:frame="1"/>
        </w:rPr>
        <w:t>2019-20</w:t>
      </w:r>
      <w:r>
        <w:rPr>
          <w:rStyle w:val="normaltextrun"/>
          <w:rFonts w:ascii="Arial" w:hAnsi="Arial"/>
          <w:bdr w:val="none" w:sz="0" w:space="0" w:color="auto" w:frame="1"/>
        </w:rPr>
        <w:t xml:space="preserve"> bush</w:t>
      </w:r>
      <w:r w:rsidRPr="005C53A0">
        <w:rPr>
          <w:rStyle w:val="normaltextrun"/>
          <w:rFonts w:ascii="Arial" w:hAnsi="Arial"/>
          <w:bdr w:val="none" w:sz="0" w:space="0" w:color="auto" w:frame="1"/>
        </w:rPr>
        <w:t xml:space="preserve">fires. The extent of </w:t>
      </w:r>
      <w:r>
        <w:rPr>
          <w:rStyle w:val="normaltextrun"/>
          <w:rFonts w:ascii="Arial" w:hAnsi="Arial"/>
          <w:bdr w:val="none" w:sz="0" w:space="0" w:color="auto" w:frame="1"/>
        </w:rPr>
        <w:t xml:space="preserve">forestry operations </w:t>
      </w:r>
      <w:r w:rsidRPr="005C53A0">
        <w:rPr>
          <w:rStyle w:val="normaltextrun"/>
          <w:rFonts w:ascii="Arial" w:hAnsi="Arial"/>
          <w:bdr w:val="none" w:sz="0" w:space="0" w:color="auto" w:frame="1"/>
        </w:rPr>
        <w:t xml:space="preserve">impacts </w:t>
      </w:r>
      <w:r w:rsidR="00B461DF" w:rsidRPr="005C53A0">
        <w:rPr>
          <w:rStyle w:val="normaltextrun"/>
          <w:rFonts w:ascii="Arial" w:hAnsi="Arial"/>
          <w:bdr w:val="none" w:sz="0" w:space="0" w:color="auto" w:frame="1"/>
        </w:rPr>
        <w:t>is</w:t>
      </w:r>
      <w:r w:rsidRPr="005C53A0">
        <w:rPr>
          <w:rStyle w:val="normaltextrun"/>
          <w:rFonts w:ascii="Arial" w:hAnsi="Arial"/>
          <w:bdr w:val="none" w:sz="0" w:space="0" w:color="auto" w:frame="1"/>
        </w:rPr>
        <w:t xml:space="preserve"> no</w:t>
      </w:r>
      <w:r>
        <w:rPr>
          <w:rStyle w:val="normaltextrun"/>
          <w:rFonts w:ascii="Arial" w:hAnsi="Arial"/>
          <w:bdr w:val="none" w:sz="0" w:space="0" w:color="auto" w:frame="1"/>
        </w:rPr>
        <w:t>t</w:t>
      </w:r>
      <w:r w:rsidRPr="005C53A0">
        <w:rPr>
          <w:rStyle w:val="normaltextrun"/>
          <w:rFonts w:ascii="Arial" w:hAnsi="Arial"/>
          <w:bdr w:val="none" w:sz="0" w:space="0" w:color="auto" w:frame="1"/>
        </w:rPr>
        <w:t xml:space="preserve"> likely to be widespread</w:t>
      </w:r>
      <w:r>
        <w:rPr>
          <w:rStyle w:val="normaltextrun"/>
          <w:rFonts w:ascii="Arial" w:hAnsi="Arial"/>
          <w:bdr w:val="none" w:sz="0" w:space="0" w:color="auto" w:frame="1"/>
        </w:rPr>
        <w:t xml:space="preserve"> (i.e., not all habitat exposed to harvesting)</w:t>
      </w:r>
      <w:r w:rsidRPr="005C53A0">
        <w:rPr>
          <w:rStyle w:val="normaltextrun"/>
          <w:rFonts w:ascii="Arial" w:hAnsi="Arial"/>
          <w:bdr w:val="none" w:sz="0" w:space="0" w:color="auto" w:frame="1"/>
        </w:rPr>
        <w:t>, but the severity and duration of forestry impacts would be significant unless protections are in place</w:t>
      </w:r>
      <w:r>
        <w:rPr>
          <w:rStyle w:val="normaltextrun"/>
          <w:rFonts w:ascii="Arial" w:hAnsi="Arial"/>
          <w:bdr w:val="none" w:sz="0" w:space="0" w:color="auto" w:frame="1"/>
        </w:rPr>
        <w:t>.</w:t>
      </w:r>
      <w:r w:rsidRPr="005C53A0">
        <w:rPr>
          <w:rStyle w:val="normaltextrun"/>
          <w:rFonts w:ascii="Arial" w:hAnsi="Arial"/>
          <w:bdr w:val="none" w:sz="0" w:space="0" w:color="auto" w:frame="1"/>
        </w:rPr>
        <w:t xml:space="preserve"> </w:t>
      </w:r>
      <w:r>
        <w:rPr>
          <w:rStyle w:val="normaltextrun"/>
          <w:rFonts w:ascii="Arial" w:hAnsi="Arial"/>
          <w:bdr w:val="none" w:sz="0" w:space="0" w:color="auto" w:frame="1"/>
        </w:rPr>
        <w:t>L</w:t>
      </w:r>
      <w:r w:rsidRPr="005C53A0">
        <w:rPr>
          <w:rStyle w:val="normaltextrun"/>
          <w:rFonts w:ascii="Arial" w:hAnsi="Arial"/>
          <w:bdr w:val="none" w:sz="0" w:space="0" w:color="auto" w:frame="1"/>
        </w:rPr>
        <w:t>arge sub-population</w:t>
      </w:r>
      <w:r>
        <w:rPr>
          <w:rStyle w:val="normaltextrun"/>
          <w:rFonts w:ascii="Arial" w:hAnsi="Arial"/>
          <w:bdr w:val="none" w:sz="0" w:space="0" w:color="auto" w:frame="1"/>
        </w:rPr>
        <w:t>s have been detected</w:t>
      </w:r>
      <w:r w:rsidRPr="005C53A0">
        <w:rPr>
          <w:rStyle w:val="normaltextrun"/>
          <w:rFonts w:ascii="Arial" w:hAnsi="Arial"/>
          <w:bdr w:val="none" w:sz="0" w:space="0" w:color="auto" w:frame="1"/>
        </w:rPr>
        <w:t xml:space="preserve"> during </w:t>
      </w:r>
      <w:r>
        <w:rPr>
          <w:rStyle w:val="normaltextrun"/>
          <w:rFonts w:ascii="Arial" w:hAnsi="Arial"/>
          <w:bdr w:val="none" w:sz="0" w:space="0" w:color="auto" w:frame="1"/>
        </w:rPr>
        <w:t>FPSP</w:t>
      </w:r>
      <w:r w:rsidRPr="005C53A0">
        <w:rPr>
          <w:rStyle w:val="normaltextrun"/>
          <w:rFonts w:ascii="Arial" w:hAnsi="Arial"/>
          <w:bdr w:val="none" w:sz="0" w:space="0" w:color="auto" w:frame="1"/>
        </w:rPr>
        <w:t xml:space="preserve"> surveys at two sites in unburnt mixed forest at Stockdale State Forest in the Gippsland RFA</w:t>
      </w:r>
      <w:r w:rsidR="003D5D67">
        <w:rPr>
          <w:rStyle w:val="normaltextrun"/>
          <w:rFonts w:ascii="Arial" w:hAnsi="Arial"/>
          <w:bdr w:val="none" w:sz="0" w:space="0" w:color="auto" w:frame="1"/>
        </w:rPr>
        <w:t xml:space="preserve"> region</w:t>
      </w:r>
      <w:r w:rsidRPr="005C53A0">
        <w:rPr>
          <w:rStyle w:val="normaltextrun"/>
          <w:rFonts w:ascii="Arial" w:hAnsi="Arial"/>
          <w:bdr w:val="none" w:sz="0" w:space="0" w:color="auto" w:frame="1"/>
        </w:rPr>
        <w:t xml:space="preserve">. These plants are protected but demonstrate that more populations </w:t>
      </w:r>
      <w:r>
        <w:rPr>
          <w:rStyle w:val="normaltextrun"/>
          <w:rFonts w:ascii="Arial" w:hAnsi="Arial"/>
          <w:bdr w:val="none" w:sz="0" w:space="0" w:color="auto" w:frame="1"/>
        </w:rPr>
        <w:t>occur in areas available for harvesting</w:t>
      </w:r>
      <w:r w:rsidRPr="005C53A0">
        <w:rPr>
          <w:rStyle w:val="normaltextrun"/>
          <w:rFonts w:ascii="Arial" w:hAnsi="Arial"/>
          <w:bdr w:val="none" w:sz="0" w:space="0" w:color="auto" w:frame="1"/>
        </w:rPr>
        <w:t xml:space="preserve"> and </w:t>
      </w:r>
      <w:r>
        <w:rPr>
          <w:rStyle w:val="normaltextrun"/>
          <w:rFonts w:ascii="Arial" w:hAnsi="Arial"/>
          <w:bdr w:val="none" w:sz="0" w:space="0" w:color="auto" w:frame="1"/>
        </w:rPr>
        <w:t>c</w:t>
      </w:r>
      <w:r w:rsidRPr="005C48FF">
        <w:rPr>
          <w:rStyle w:val="normaltextrun"/>
          <w:rFonts w:ascii="Arial" w:hAnsi="Arial"/>
          <w:bdr w:val="none" w:sz="0" w:space="0" w:color="auto" w:frame="1"/>
        </w:rPr>
        <w:t>ould</w:t>
      </w:r>
      <w:r w:rsidRPr="005C53A0">
        <w:rPr>
          <w:rStyle w:val="normaltextrun"/>
          <w:rFonts w:ascii="Arial" w:hAnsi="Arial"/>
          <w:bdr w:val="none" w:sz="0" w:space="0" w:color="auto" w:frame="1"/>
        </w:rPr>
        <w:t xml:space="preserve"> be lost if </w:t>
      </w:r>
      <w:r>
        <w:rPr>
          <w:rStyle w:val="normaltextrun"/>
          <w:rFonts w:ascii="Arial" w:hAnsi="Arial"/>
          <w:bdr w:val="none" w:sz="0" w:space="0" w:color="auto" w:frame="1"/>
        </w:rPr>
        <w:t>unprotected</w:t>
      </w:r>
      <w:r w:rsidRPr="005C48FF">
        <w:rPr>
          <w:rStyle w:val="normaltextrun"/>
          <w:rFonts w:ascii="Arial" w:hAnsi="Arial"/>
          <w:bdr w:val="none" w:sz="0" w:space="0" w:color="auto" w:frame="1"/>
        </w:rPr>
        <w:t>.</w:t>
      </w:r>
      <w:r w:rsidRPr="005C53A0">
        <w:t xml:space="preserve"> </w:t>
      </w:r>
      <w:r w:rsidRPr="005C53A0">
        <w:rPr>
          <w:rStyle w:val="normaltextrun"/>
          <w:rFonts w:ascii="Arial" w:hAnsi="Arial"/>
          <w:bdr w:val="none" w:sz="0" w:space="0" w:color="auto" w:frame="1"/>
        </w:rPr>
        <w:t>Despite the patchiness of sub-populations in the landscape, these are at risk of population decline from forestry operations in the East Gippsland RFA</w:t>
      </w:r>
      <w:r w:rsidR="003D5D67">
        <w:rPr>
          <w:rStyle w:val="normaltextrun"/>
          <w:rFonts w:ascii="Arial" w:hAnsi="Arial"/>
          <w:bdr w:val="none" w:sz="0" w:space="0" w:color="auto" w:frame="1"/>
        </w:rPr>
        <w:t xml:space="preserve"> region</w:t>
      </w:r>
      <w:r w:rsidRPr="005C53A0">
        <w:rPr>
          <w:rStyle w:val="normaltextrun"/>
          <w:rFonts w:ascii="Arial" w:hAnsi="Arial"/>
          <w:bdr w:val="none" w:sz="0" w:space="0" w:color="auto" w:frame="1"/>
        </w:rPr>
        <w:t xml:space="preserve"> because there are currently no prescriptions that apply if the </w:t>
      </w:r>
      <w:r w:rsidR="001D3902">
        <w:rPr>
          <w:rStyle w:val="normaltextrun"/>
          <w:rFonts w:ascii="Arial" w:hAnsi="Arial"/>
          <w:bdr w:val="none" w:sz="0" w:space="0" w:color="auto" w:frame="1"/>
        </w:rPr>
        <w:t>species</w:t>
      </w:r>
      <w:r>
        <w:rPr>
          <w:rStyle w:val="normaltextrun"/>
          <w:rFonts w:ascii="Arial" w:hAnsi="Arial"/>
          <w:bdr w:val="none" w:sz="0" w:space="0" w:color="auto" w:frame="1"/>
        </w:rPr>
        <w:t xml:space="preserve"> </w:t>
      </w:r>
      <w:r w:rsidRPr="005C53A0">
        <w:rPr>
          <w:rStyle w:val="normaltextrun"/>
          <w:rFonts w:ascii="Arial" w:hAnsi="Arial"/>
          <w:bdr w:val="none" w:sz="0" w:space="0" w:color="auto" w:frame="1"/>
        </w:rPr>
        <w:t xml:space="preserve">is observed/recorded within a coupe proposed for </w:t>
      </w:r>
      <w:r w:rsidR="003B3D54">
        <w:rPr>
          <w:rStyle w:val="normaltextrun"/>
          <w:rFonts w:ascii="Arial" w:hAnsi="Arial"/>
          <w:bdr w:val="none" w:sz="0" w:space="0" w:color="auto" w:frame="1"/>
        </w:rPr>
        <w:t>timber harvesting</w:t>
      </w:r>
      <w:r w:rsidRPr="005C53A0">
        <w:rPr>
          <w:rStyle w:val="normaltextrun"/>
          <w:rFonts w:ascii="Arial" w:hAnsi="Arial"/>
          <w:bdr w:val="none" w:sz="0" w:space="0" w:color="auto" w:frame="1"/>
        </w:rPr>
        <w:t xml:space="preserve">. It is also therefore not a target for FPSP searches, and the detection probabilities for this species may not be considered when selecting coupes for survey. </w:t>
      </w:r>
    </w:p>
    <w:p w14:paraId="3DE829C9" w14:textId="026F601C" w:rsidR="005F2101" w:rsidRPr="00B6162A" w:rsidRDefault="00AB3682" w:rsidP="005F2101">
      <w:pPr>
        <w:pStyle w:val="BodyText"/>
      </w:pPr>
      <w:r w:rsidRPr="00FD57DB">
        <w:t xml:space="preserve">Based on the 2015 net harvest area layer 15% of the </w:t>
      </w:r>
      <w:r w:rsidR="001D3902">
        <w:t>species’</w:t>
      </w:r>
      <w:r w:rsidRPr="00FD57DB">
        <w:t xml:space="preserve"> important </w:t>
      </w:r>
      <w:r w:rsidR="007B5387" w:rsidRPr="00FD57DB">
        <w:t>populations</w:t>
      </w:r>
      <w:r w:rsidRPr="00FD57DB">
        <w:t xml:space="preserve"> and </w:t>
      </w:r>
      <w:r w:rsidR="007B5387" w:rsidRPr="00FD57DB">
        <w:t>13% of its VBA points in the East Gippsland RFA</w:t>
      </w:r>
      <w:r w:rsidR="003D5D67">
        <w:t xml:space="preserve"> region</w:t>
      </w:r>
      <w:r w:rsidR="007B5387" w:rsidRPr="00FD57DB">
        <w:t xml:space="preserve"> and 3% of important populations and 17% of VBA points in the Gippsland RFA</w:t>
      </w:r>
      <w:r w:rsidR="003D5D67">
        <w:t xml:space="preserve"> region</w:t>
      </w:r>
      <w:r w:rsidR="007B5387" w:rsidRPr="00FD57DB">
        <w:t xml:space="preserve"> are</w:t>
      </w:r>
      <w:r w:rsidRPr="00FD57DB">
        <w:t xml:space="preserve"> in merchantable areas. Using the revised operable area layer</w:t>
      </w:r>
      <w:r w:rsidR="007C5C52" w:rsidRPr="00FD57DB">
        <w:t xml:space="preserve"> </w:t>
      </w:r>
      <w:r w:rsidR="008870D5" w:rsidRPr="00FD57DB">
        <w:t>this reduces to</w:t>
      </w:r>
      <w:r w:rsidR="00AB1CE3" w:rsidRPr="00FD57DB">
        <w:t xml:space="preserve"> 7% of important populations</w:t>
      </w:r>
      <w:r w:rsidR="00C96FDC" w:rsidRPr="00FD57DB">
        <w:t xml:space="preserve"> and 9% of VBA points</w:t>
      </w:r>
      <w:r w:rsidR="00AB1CE3" w:rsidRPr="00FD57DB">
        <w:t xml:space="preserve"> in </w:t>
      </w:r>
      <w:r w:rsidR="005766B6" w:rsidRPr="00FD57DB">
        <w:t xml:space="preserve">the </w:t>
      </w:r>
      <w:r w:rsidR="00AB1CE3" w:rsidRPr="00FD57DB">
        <w:t>East Gippsland RFA</w:t>
      </w:r>
      <w:r w:rsidR="003D5D67">
        <w:t xml:space="preserve"> region</w:t>
      </w:r>
      <w:r w:rsidR="00AB1CE3" w:rsidRPr="00FD57DB">
        <w:t xml:space="preserve"> and 2% of important populations and 15% of VBA points in the Gippsland RFA</w:t>
      </w:r>
      <w:r w:rsidR="003D5D67">
        <w:t xml:space="preserve"> region</w:t>
      </w:r>
      <w:r w:rsidR="00AB1CE3" w:rsidRPr="00FD57DB">
        <w:t xml:space="preserve">. </w:t>
      </w:r>
    </w:p>
    <w:p w14:paraId="0E97D6BE" w14:textId="77777777" w:rsidR="005F2101" w:rsidRDefault="005F2101" w:rsidP="005F2101">
      <w:pPr>
        <w:pStyle w:val="BodyText"/>
      </w:pPr>
      <w:r>
        <w:t xml:space="preserve">Current controls </w:t>
      </w:r>
      <w:r w:rsidRPr="00660ABA">
        <w:t>for this hazard includ</w:t>
      </w:r>
      <w:r>
        <w:t>e:</w:t>
      </w:r>
    </w:p>
    <w:p w14:paraId="7215FEE0" w14:textId="5658505C" w:rsidR="005F2101" w:rsidRDefault="005F2101" w:rsidP="006670D2">
      <w:pPr>
        <w:pStyle w:val="PullOutBoxBullet"/>
      </w:pPr>
      <w:r>
        <w:t xml:space="preserve">The </w:t>
      </w:r>
      <w:r w:rsidRPr="007935D4">
        <w:rPr>
          <w:i/>
          <w:iCs/>
        </w:rPr>
        <w:t>Code of Practice for Timber Production 2014</w:t>
      </w:r>
      <w:r>
        <w:t xml:space="preserve">. </w:t>
      </w:r>
      <w:r w:rsidRPr="00160F2E">
        <w:t>The effectiveness of this control for this species has been evaluated as</w:t>
      </w:r>
      <w:r>
        <w:t xml:space="preserve"> satisfactory in the Gippsland RFA region where it has species-specific code prescriptions, and poor in the East Gippsland RFA</w:t>
      </w:r>
      <w:r w:rsidR="003D5D67">
        <w:t xml:space="preserve"> region</w:t>
      </w:r>
      <w:r>
        <w:t xml:space="preserve"> where those prescriptions do not extend. It </w:t>
      </w:r>
      <w:r w:rsidRPr="002E749D">
        <w:t>ma</w:t>
      </w:r>
      <w:r>
        <w:t xml:space="preserve">y, however, </w:t>
      </w:r>
      <w:r w:rsidRPr="002E749D">
        <w:t>receive some protection from other general Code prescriptions</w:t>
      </w:r>
      <w:r>
        <w:t>.</w:t>
      </w:r>
    </w:p>
    <w:p w14:paraId="50DFDEFF" w14:textId="36233CC6" w:rsidR="005F2101" w:rsidRPr="00C4228E" w:rsidRDefault="005F2101" w:rsidP="006670D2">
      <w:pPr>
        <w:pStyle w:val="PullOutBoxBullet"/>
        <w:rPr>
          <w:rFonts w:eastAsiaTheme="minorEastAsia" w:cstheme="minorBidi"/>
          <w:sz w:val="22"/>
          <w:szCs w:val="22"/>
        </w:rPr>
      </w:pPr>
      <w:r w:rsidRPr="4F453272">
        <w:t xml:space="preserve">The CAR reserve system. </w:t>
      </w:r>
      <w:r w:rsidRPr="00160F2E">
        <w:t>The effectiveness of this control for this species has been evaluated as</w:t>
      </w:r>
      <w:r>
        <w:t xml:space="preserve"> poor</w:t>
      </w:r>
      <w:r w:rsidRPr="4F453272">
        <w:t xml:space="preserve"> as </w:t>
      </w:r>
      <w:r>
        <w:t>54</w:t>
      </w:r>
      <w:r w:rsidRPr="4F453272">
        <w:t xml:space="preserve">% of the </w:t>
      </w:r>
      <w:r w:rsidR="001D3902">
        <w:t>species’</w:t>
      </w:r>
      <w:r w:rsidRPr="4F453272">
        <w:t xml:space="preserve"> </w:t>
      </w:r>
      <w:r>
        <w:t>important populations</w:t>
      </w:r>
      <w:r w:rsidRPr="4F453272">
        <w:t xml:space="preserve"> and</w:t>
      </w:r>
      <w:r>
        <w:t xml:space="preserve"> 51</w:t>
      </w:r>
      <w:r w:rsidRPr="4F453272">
        <w:t xml:space="preserve">% of </w:t>
      </w:r>
      <w:r>
        <w:t>post-1970 VBA points</w:t>
      </w:r>
      <w:r w:rsidRPr="4F453272">
        <w:t xml:space="preserve"> are within the reserve system.</w:t>
      </w:r>
    </w:p>
    <w:p w14:paraId="377AADC9" w14:textId="77777777" w:rsidR="005F2101" w:rsidRDefault="005F2101" w:rsidP="005F2101">
      <w:pPr>
        <w:rPr>
          <w:b/>
          <w:bCs/>
          <w:sz w:val="16"/>
        </w:rPr>
      </w:pPr>
      <w:r>
        <w:br w:type="page"/>
      </w:r>
    </w:p>
    <w:p w14:paraId="7869C6FE" w14:textId="332FB2BC"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194</w:t>
      </w:r>
      <w:r w:rsidR="000B6788" w:rsidRPr="00B6162A">
        <w:rPr>
          <w:bCs/>
          <w:noProof/>
        </w:rPr>
        <w:fldChar w:fldCharType="end"/>
      </w:r>
      <w:r w:rsidRPr="00FF310C">
        <w:t>. Sandfly Zieria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5F2101" w:rsidRPr="00F3777A" w14:paraId="464FA75E" w14:textId="77777777" w:rsidTr="60664A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0D03E959" w14:textId="77777777" w:rsidR="005F2101" w:rsidRPr="007935D4" w:rsidRDefault="005F2101" w:rsidP="00296E0F">
            <w:pPr>
              <w:pStyle w:val="BodyText"/>
            </w:pPr>
            <w:r w:rsidRPr="007935D4">
              <w:t>Requirement</w:t>
            </w:r>
          </w:p>
        </w:tc>
        <w:tc>
          <w:tcPr>
            <w:tcW w:w="7371" w:type="dxa"/>
            <w:vAlign w:val="center"/>
          </w:tcPr>
          <w:p w14:paraId="6A1BC489" w14:textId="77777777" w:rsidR="005F2101" w:rsidRPr="007935D4"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935D4">
              <w:t>Recommendation</w:t>
            </w:r>
          </w:p>
        </w:tc>
      </w:tr>
      <w:tr w:rsidR="005F2101" w:rsidRPr="00F3777A" w14:paraId="50EC5940" w14:textId="77777777" w:rsidTr="60664A41">
        <w:tc>
          <w:tcPr>
            <w:tcW w:w="2268" w:type="dxa"/>
          </w:tcPr>
          <w:p w14:paraId="78D494B1" w14:textId="77777777" w:rsidR="005F2101" w:rsidRPr="00F3777A" w:rsidRDefault="005F2101" w:rsidP="00C77CDF">
            <w:pPr>
              <w:pStyle w:val="BodyText"/>
            </w:pPr>
            <w:r w:rsidRPr="00F3777A">
              <w:t>Interim protections</w:t>
            </w:r>
          </w:p>
        </w:tc>
        <w:tc>
          <w:tcPr>
            <w:tcW w:w="7371" w:type="dxa"/>
          </w:tcPr>
          <w:p w14:paraId="0E593873" w14:textId="47F8A7D1" w:rsidR="005F2101" w:rsidRPr="002249AB" w:rsidRDefault="005F2101" w:rsidP="00C77CDF">
            <w:pPr>
              <w:pStyle w:val="BodyText"/>
              <w:rPr>
                <w:rFonts w:eastAsia="Calibri"/>
              </w:rPr>
            </w:pPr>
            <w:r w:rsidRPr="002249AB">
              <w:rPr>
                <w:rFonts w:eastAsia="Calibri"/>
              </w:rPr>
              <w:t>Within the East Gippsland RFA</w:t>
            </w:r>
            <w:r w:rsidR="003D5D67">
              <w:rPr>
                <w:rFonts w:eastAsia="Calibri"/>
              </w:rPr>
              <w:t xml:space="preserve"> region</w:t>
            </w:r>
            <w:r w:rsidRPr="002249AB">
              <w:rPr>
                <w:rFonts w:eastAsia="Calibri"/>
              </w:rPr>
              <w:t>, the Secretary will establish Special Management Zone(s) over individual or collections of post-1970 VBA records (</w:t>
            </w:r>
            <w:r w:rsidR="0058098D">
              <w:rPr>
                <w:rFonts w:eastAsia="Calibri"/>
              </w:rPr>
              <w:t>records with an accuracy of 100 m or better</w:t>
            </w:r>
            <w:r w:rsidRPr="002249AB">
              <w:rPr>
                <w:rFonts w:eastAsia="Calibri"/>
              </w:rPr>
              <w:t>) with the following conditions:</w:t>
            </w:r>
          </w:p>
          <w:p w14:paraId="0FD747DB" w14:textId="7A667891" w:rsidR="005F2101" w:rsidRPr="007935D4" w:rsidRDefault="005F2101" w:rsidP="006670D2">
            <w:pPr>
              <w:pStyle w:val="PullOutBoxBullet"/>
            </w:pPr>
            <w:r w:rsidRPr="002249AB">
              <w:t>The managing authority is required to apply a management area of 200 m radius over individual or collections of post-1970 VBA records (</w:t>
            </w:r>
            <w:r w:rsidR="0058098D">
              <w:t>records with an accuracy of 100 m or better</w:t>
            </w:r>
            <w:r w:rsidRPr="002249AB">
              <w:t>). Conduct a site inspection and detailed planning in consultation with the Department to ensure the species is adequately protected during timber harvesting operations</w:t>
            </w:r>
            <w:r w:rsidR="005C56E8">
              <w:t xml:space="preserve"> (See Map</w:t>
            </w:r>
            <w:r w:rsidR="001B205C">
              <w:t xml:space="preserve"> 6a).</w:t>
            </w:r>
          </w:p>
        </w:tc>
      </w:tr>
      <w:tr w:rsidR="00A11483" w:rsidRPr="00F3777A" w14:paraId="12DA8CE0" w14:textId="77777777" w:rsidTr="60664A41">
        <w:tc>
          <w:tcPr>
            <w:tcW w:w="2268" w:type="dxa"/>
          </w:tcPr>
          <w:p w14:paraId="2880D84A" w14:textId="655B372D" w:rsidR="00A11483" w:rsidRPr="00F3777A" w:rsidRDefault="00A11483" w:rsidP="00C77CDF">
            <w:pPr>
              <w:pStyle w:val="BodyText"/>
            </w:pPr>
            <w:r>
              <w:t>Priority management actions</w:t>
            </w:r>
          </w:p>
        </w:tc>
        <w:tc>
          <w:tcPr>
            <w:tcW w:w="7371" w:type="dxa"/>
            <w:shd w:val="clear" w:color="auto" w:fill="auto"/>
          </w:tcPr>
          <w:p w14:paraId="38A4B8E6" w14:textId="77777777" w:rsidR="005672B6" w:rsidRPr="00E31362" w:rsidRDefault="005672B6" w:rsidP="006670D2">
            <w:pPr>
              <w:pStyle w:val="PullOutBoxBullet"/>
            </w:pPr>
            <w:r w:rsidRPr="00E31362">
              <w:t>Comprehensively search likely habitat and map important populations; and</w:t>
            </w:r>
          </w:p>
          <w:p w14:paraId="71F659A9" w14:textId="4A940C6A" w:rsidR="00A11483" w:rsidRPr="00F3777A" w:rsidRDefault="005672B6" w:rsidP="006670D2">
            <w:pPr>
              <w:pStyle w:val="PullOutBoxBullet"/>
            </w:pPr>
            <w:r w:rsidRPr="00E31362">
              <w:t>Establish monitoring sites and collect baseline data.</w:t>
            </w:r>
          </w:p>
        </w:tc>
      </w:tr>
      <w:tr w:rsidR="005F2101" w:rsidRPr="00F3777A" w14:paraId="02675CB8" w14:textId="77777777" w:rsidTr="60664A41">
        <w:tc>
          <w:tcPr>
            <w:tcW w:w="2268" w:type="dxa"/>
          </w:tcPr>
          <w:p w14:paraId="1628CB0A" w14:textId="77777777" w:rsidR="005F2101" w:rsidRPr="00F3777A" w:rsidRDefault="005F2101" w:rsidP="00C77CDF">
            <w:pPr>
              <w:pStyle w:val="BodyText"/>
            </w:pPr>
            <w:r w:rsidRPr="00F3777A">
              <w:t>Permanent protections</w:t>
            </w:r>
          </w:p>
        </w:tc>
        <w:tc>
          <w:tcPr>
            <w:tcW w:w="7371" w:type="dxa"/>
            <w:shd w:val="clear" w:color="auto" w:fill="auto"/>
          </w:tcPr>
          <w:p w14:paraId="3601E97E" w14:textId="77777777" w:rsidR="005F2101" w:rsidRPr="00F3777A" w:rsidRDefault="005F2101" w:rsidP="00C77CDF">
            <w:pPr>
              <w:pStyle w:val="BodyText"/>
            </w:pPr>
            <w:r w:rsidRPr="00F3777A">
              <w:t>Additional permanent protections may be required in the longer-term.</w:t>
            </w:r>
          </w:p>
        </w:tc>
      </w:tr>
      <w:tr w:rsidR="005F2101" w:rsidRPr="00F3777A" w14:paraId="36C57A5C" w14:textId="77777777" w:rsidTr="60664A41">
        <w:tc>
          <w:tcPr>
            <w:tcW w:w="2268" w:type="dxa"/>
          </w:tcPr>
          <w:p w14:paraId="525CBF6E" w14:textId="0AA74316" w:rsidR="005F2101" w:rsidRPr="00F3777A" w:rsidRDefault="00112380" w:rsidP="00C77CDF">
            <w:pPr>
              <w:pStyle w:val="BodyText"/>
            </w:pPr>
            <w:r>
              <w:t>Potential m</w:t>
            </w:r>
            <w:r w:rsidR="005F2101" w:rsidRPr="00F3777A">
              <w:t>anagement actions</w:t>
            </w:r>
          </w:p>
        </w:tc>
        <w:tc>
          <w:tcPr>
            <w:tcW w:w="7371" w:type="dxa"/>
          </w:tcPr>
          <w:p w14:paraId="4B28CED5" w14:textId="4DC547C8" w:rsidR="005F2101" w:rsidRDefault="005F2101" w:rsidP="006670D2">
            <w:pPr>
              <w:pStyle w:val="PullOutBoxBullet"/>
            </w:pPr>
            <w:r>
              <w:t xml:space="preserve">Document any observations of Sandfly Zieria at recently </w:t>
            </w:r>
            <w:r w:rsidR="0021400A">
              <w:t>harvested</w:t>
            </w:r>
            <w:r>
              <w:t xml:space="preserve"> sites given post-harvest threatened species monitoring; </w:t>
            </w:r>
          </w:p>
          <w:p w14:paraId="7793931F" w14:textId="043AF687" w:rsidR="005F2101" w:rsidRDefault="0054188A" w:rsidP="006670D2">
            <w:pPr>
              <w:pStyle w:val="PullOutBoxBullet"/>
            </w:pPr>
            <w:r>
              <w:t>Monitor to e</w:t>
            </w:r>
            <w:r w:rsidR="005F2101" w:rsidRPr="00F3777A">
              <w:t>nsure plants successfully re-establish</w:t>
            </w:r>
            <w:r>
              <w:t>,</w:t>
            </w:r>
            <w:r w:rsidR="005F2101" w:rsidRPr="00F3777A">
              <w:t xml:space="preserve"> and </w:t>
            </w:r>
            <w:r>
              <w:t>for</w:t>
            </w:r>
            <w:r w:rsidR="005F2101" w:rsidRPr="00F3777A">
              <w:t xml:space="preserve"> other potential threats (e.g., deer browsing); </w:t>
            </w:r>
          </w:p>
          <w:p w14:paraId="55906AA7" w14:textId="3E87CAB1" w:rsidR="00F21DA3" w:rsidRDefault="00F21DA3" w:rsidP="006670D2">
            <w:pPr>
              <w:pStyle w:val="PullOutBoxBullet"/>
            </w:pPr>
            <w:r w:rsidRPr="00915D82">
              <w:t>Consider including appropriate prescriptions for this species in the East Gippsland RFA</w:t>
            </w:r>
            <w:r w:rsidR="003D5D67">
              <w:t xml:space="preserve"> region</w:t>
            </w:r>
            <w:r w:rsidRPr="00915D82">
              <w:t xml:space="preserve"> as part of future Code amendments;</w:t>
            </w:r>
          </w:p>
          <w:p w14:paraId="284EED9D" w14:textId="5EE0CEC0" w:rsidR="005F2101" w:rsidRPr="00F21DA3" w:rsidRDefault="005F2101" w:rsidP="006670D2">
            <w:pPr>
              <w:pStyle w:val="PullOutBoxBullet"/>
            </w:pPr>
            <w:r w:rsidRPr="00F21DA3">
              <w:t>Use detection probabilities to identify suitable FPSP survey sites in East Gippsland RFA</w:t>
            </w:r>
            <w:r w:rsidR="003D5D67">
              <w:t xml:space="preserve"> region</w:t>
            </w:r>
            <w:r w:rsidRPr="00F21DA3">
              <w:t xml:space="preserve">; </w:t>
            </w:r>
          </w:p>
          <w:p w14:paraId="76FE6737" w14:textId="0F0BEDDD" w:rsidR="005F2101" w:rsidRDefault="005F2101" w:rsidP="006670D2">
            <w:pPr>
              <w:pStyle w:val="PullOutBoxBullet"/>
            </w:pPr>
            <w:r>
              <w:t>D</w:t>
            </w:r>
            <w:r w:rsidRPr="00F3777A">
              <w:t xml:space="preserve">evelop the </w:t>
            </w:r>
            <w:r w:rsidR="001D3902">
              <w:t>species’</w:t>
            </w:r>
            <w:r w:rsidRPr="00F3777A">
              <w:t xml:space="preserve"> HDM to gain a better understanding of potential occurrence on forest available land; </w:t>
            </w:r>
          </w:p>
          <w:p w14:paraId="18CA9840" w14:textId="77777777" w:rsidR="005F2101" w:rsidRDefault="005F2101" w:rsidP="006670D2">
            <w:pPr>
              <w:pStyle w:val="PullOutBoxBullet"/>
            </w:pPr>
            <w:r>
              <w:t>C</w:t>
            </w:r>
            <w:r w:rsidRPr="00F3777A">
              <w:t xml:space="preserve">ollect seed from plants recorded from unburnt forests in State Forest to safeguard in the VCS; and </w:t>
            </w:r>
          </w:p>
          <w:p w14:paraId="2F3F9F0D" w14:textId="1DB93CDA" w:rsidR="005F2101" w:rsidRPr="00D55906" w:rsidRDefault="005F2101" w:rsidP="006670D2">
            <w:pPr>
              <w:pStyle w:val="PullOutBoxBullet"/>
            </w:pPr>
            <w:r>
              <w:t>P</w:t>
            </w:r>
            <w:r w:rsidRPr="00F3777A">
              <w:t xml:space="preserve">rovide post-harvest monitoring protocols to assess the recruitment of plants in </w:t>
            </w:r>
            <w:r w:rsidR="003B3D54">
              <w:t>timber harvesting</w:t>
            </w:r>
            <w:r w:rsidRPr="00F3777A">
              <w:t xml:space="preserve"> coupes and provide threat abatement to other disturbances where required e.g., deer management.</w:t>
            </w:r>
          </w:p>
        </w:tc>
      </w:tr>
    </w:tbl>
    <w:p w14:paraId="2603AB66" w14:textId="77777777" w:rsidR="00D24DA3" w:rsidRDefault="00D24DA3">
      <w:pPr>
        <w:rPr>
          <w:rFonts w:ascii="Arial" w:hAnsi="Arial"/>
          <w:b/>
          <w:bCs/>
          <w:i/>
          <w:iCs/>
          <w:color w:val="00B2A9" w:themeColor="accent1"/>
          <w:kern w:val="20"/>
          <w:sz w:val="24"/>
          <w:szCs w:val="28"/>
        </w:rPr>
      </w:pPr>
      <w:bookmarkStart w:id="799" w:name="_Toc88566992"/>
      <w:bookmarkStart w:id="800" w:name="_Toc95129485"/>
      <w:r>
        <w:br w:type="page"/>
      </w:r>
    </w:p>
    <w:p w14:paraId="50F3DD95" w14:textId="174AA75F" w:rsidR="005F2101" w:rsidRPr="00D24DA3" w:rsidRDefault="005F2101" w:rsidP="00171F18">
      <w:pPr>
        <w:pStyle w:val="Heading2"/>
        <w:ind w:left="0"/>
        <w:rPr>
          <w:i/>
          <w:iCs/>
        </w:rPr>
      </w:pPr>
      <w:bookmarkStart w:id="801" w:name="_Toc113271062"/>
      <w:r w:rsidRPr="00D24DA3">
        <w:t>Satinwood </w:t>
      </w:r>
      <w:r w:rsidRPr="005F7D8C">
        <w:rPr>
          <w:i/>
          <w:iCs/>
        </w:rPr>
        <w:t>(Nematolepsis squamea</w:t>
      </w:r>
      <w:r w:rsidRPr="00D24DA3">
        <w:t xml:space="preserve"> subsp. </w:t>
      </w:r>
      <w:r w:rsidRPr="005F7D8C">
        <w:rPr>
          <w:i/>
          <w:iCs/>
        </w:rPr>
        <w:t>squamea)</w:t>
      </w:r>
      <w:bookmarkEnd w:id="799"/>
      <w:bookmarkEnd w:id="800"/>
      <w:bookmarkEnd w:id="801"/>
      <w:r w:rsidRPr="00D24DA3">
        <w:t> </w:t>
      </w:r>
    </w:p>
    <w:p w14:paraId="368885E1" w14:textId="07C32D56" w:rsidR="005F2101" w:rsidRPr="00CC7A45" w:rsidRDefault="005F2101" w:rsidP="005F2101">
      <w:pPr>
        <w:pStyle w:val="BodyText"/>
      </w:pPr>
      <w:r w:rsidRPr="00CC7A45">
        <w:t xml:space="preserve">The </w:t>
      </w:r>
      <w:r>
        <w:t>Satinwood</w:t>
      </w:r>
      <w:r w:rsidRPr="00CC7A45">
        <w:t xml:space="preserve"> was listed as </w:t>
      </w:r>
      <w:r>
        <w:t>Vulnerable in Victoria</w:t>
      </w:r>
      <w:r w:rsidRPr="00CC7A45">
        <w:t xml:space="preserve"> under the FFG Act in May 2021</w:t>
      </w:r>
      <w:r>
        <w:t xml:space="preserve">. </w:t>
      </w:r>
      <w:r w:rsidRPr="00CC7A45">
        <w:t xml:space="preserve">The </w:t>
      </w:r>
      <w:r w:rsidR="00B05B1A">
        <w:t>sub</w:t>
      </w:r>
      <w:r w:rsidR="001D3902">
        <w:t>species</w:t>
      </w:r>
      <w:r w:rsidRPr="00CC7A45">
        <w:t xml:space="preserve"> has modelled habitat in the </w:t>
      </w:r>
      <w:r>
        <w:t>West</w:t>
      </w:r>
      <w:r w:rsidRPr="00CC7A45">
        <w:t xml:space="preserve"> (</w:t>
      </w:r>
      <w:r>
        <w:t>100</w:t>
      </w:r>
      <w:r w:rsidRPr="00CC7A45">
        <w:t>% of modelled habitat) RFA region</w:t>
      </w:r>
      <w:r>
        <w:t>, however there are also some records in the East Gippsland RFA</w:t>
      </w:r>
      <w:r w:rsidR="003D5D67">
        <w:t xml:space="preserve"> region</w:t>
      </w:r>
      <w:r>
        <w:t xml:space="preserve"> which have not been accounted for in the model and have been included in this assessment.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2E84E008" w14:textId="77777777" w:rsidR="005F2101" w:rsidRDefault="005F2101" w:rsidP="007E5EBF">
      <w:pPr>
        <w:pStyle w:val="Heading3"/>
      </w:pPr>
      <w:r>
        <w:t>Risk Assessment</w:t>
      </w:r>
    </w:p>
    <w:p w14:paraId="3A935DD6" w14:textId="2DED298F" w:rsidR="005F2101" w:rsidRPr="00FF310C" w:rsidRDefault="005F2101" w:rsidP="006670D2">
      <w:pPr>
        <w:pStyle w:val="Caption"/>
      </w:pPr>
      <w:r w:rsidRPr="00FF310C">
        <w:t xml:space="preserve">Table </w:t>
      </w:r>
      <w:r w:rsidRPr="00B6162A">
        <w:rPr>
          <w:bCs/>
        </w:rPr>
        <w:fldChar w:fldCharType="begin"/>
      </w:r>
      <w:r w:rsidRPr="00FF310C">
        <w:instrText>SEQ Table \* ARABIC</w:instrText>
      </w:r>
      <w:r w:rsidRPr="00B6162A">
        <w:rPr>
          <w:bCs/>
        </w:rPr>
        <w:fldChar w:fldCharType="separate"/>
      </w:r>
      <w:r w:rsidR="00692F0D">
        <w:rPr>
          <w:noProof/>
        </w:rPr>
        <w:t>195</w:t>
      </w:r>
      <w:r w:rsidRPr="00B6162A">
        <w:rPr>
          <w:bCs/>
        </w:rPr>
        <w:fldChar w:fldCharType="end"/>
      </w:r>
      <w:r w:rsidRPr="00FF310C">
        <w:t>. Satinwood risk ratings in the West RFA region:</w:t>
      </w:r>
    </w:p>
    <w:tbl>
      <w:tblPr>
        <w:tblStyle w:val="TableGrid"/>
        <w:tblW w:w="9572" w:type="dxa"/>
        <w:tblLayout w:type="fixed"/>
        <w:tblLook w:val="04A0" w:firstRow="1" w:lastRow="0" w:firstColumn="1" w:lastColumn="0" w:noHBand="0" w:noVBand="1"/>
      </w:tblPr>
      <w:tblGrid>
        <w:gridCol w:w="1595"/>
        <w:gridCol w:w="1595"/>
        <w:gridCol w:w="1596"/>
        <w:gridCol w:w="1595"/>
        <w:gridCol w:w="1595"/>
        <w:gridCol w:w="1596"/>
      </w:tblGrid>
      <w:tr w:rsidR="005F2101" w14:paraId="43EA7E52"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95" w:type="dxa"/>
            <w:vAlign w:val="center"/>
          </w:tcPr>
          <w:p w14:paraId="4283A6CB" w14:textId="77777777" w:rsidR="005F2101" w:rsidRPr="00643008" w:rsidRDefault="005F2101" w:rsidP="006670D2">
            <w:pPr>
              <w:pStyle w:val="CaptionImageorFigure"/>
            </w:pPr>
          </w:p>
        </w:tc>
        <w:tc>
          <w:tcPr>
            <w:tcW w:w="1595" w:type="dxa"/>
            <w:vAlign w:val="center"/>
          </w:tcPr>
          <w:p w14:paraId="4FA2A199" w14:textId="36D22CCF" w:rsidR="005F2101" w:rsidRDefault="00794F78"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596" w:type="dxa"/>
            <w:vAlign w:val="center"/>
          </w:tcPr>
          <w:p w14:paraId="2D1E3AFB"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Fuel management roading</w:t>
            </w:r>
          </w:p>
        </w:tc>
        <w:tc>
          <w:tcPr>
            <w:tcW w:w="1595" w:type="dxa"/>
            <w:vAlign w:val="center"/>
          </w:tcPr>
          <w:p w14:paraId="7BC98533" w14:textId="77777777" w:rsidR="005F2101" w:rsidRPr="00643008"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1595" w:type="dxa"/>
            <w:vAlign w:val="center"/>
          </w:tcPr>
          <w:p w14:paraId="7D07E372"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c>
          <w:tcPr>
            <w:tcW w:w="1596" w:type="dxa"/>
            <w:vAlign w:val="center"/>
          </w:tcPr>
          <w:p w14:paraId="32AD783D"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5F2101" w14:paraId="17657199" w14:textId="77777777" w:rsidTr="00296E0F">
        <w:tc>
          <w:tcPr>
            <w:tcW w:w="1595" w:type="dxa"/>
            <w:vAlign w:val="center"/>
          </w:tcPr>
          <w:p w14:paraId="15FCF88B" w14:textId="77777777" w:rsidR="005F2101" w:rsidRPr="0053677B" w:rsidRDefault="005F2101" w:rsidP="003E0597">
            <w:pPr>
              <w:pStyle w:val="BodyText"/>
              <w:jc w:val="center"/>
            </w:pPr>
            <w:r w:rsidRPr="0053677B">
              <w:t>Consequence</w:t>
            </w:r>
          </w:p>
        </w:tc>
        <w:tc>
          <w:tcPr>
            <w:tcW w:w="1595" w:type="dxa"/>
            <w:vAlign w:val="center"/>
          </w:tcPr>
          <w:p w14:paraId="24D79D6D" w14:textId="77777777" w:rsidR="005F2101" w:rsidRDefault="005F2101" w:rsidP="003E0597">
            <w:pPr>
              <w:pStyle w:val="BodyText"/>
              <w:jc w:val="center"/>
            </w:pPr>
            <w:r>
              <w:t>Major</w:t>
            </w:r>
          </w:p>
        </w:tc>
        <w:tc>
          <w:tcPr>
            <w:tcW w:w="1596" w:type="dxa"/>
            <w:vAlign w:val="center"/>
          </w:tcPr>
          <w:p w14:paraId="7EBF2986" w14:textId="77777777" w:rsidR="005F2101" w:rsidRDefault="005F2101" w:rsidP="003E0597">
            <w:pPr>
              <w:pStyle w:val="BodyText"/>
              <w:jc w:val="center"/>
            </w:pPr>
            <w:r>
              <w:t>Minor</w:t>
            </w:r>
          </w:p>
        </w:tc>
        <w:tc>
          <w:tcPr>
            <w:tcW w:w="1595" w:type="dxa"/>
            <w:vAlign w:val="center"/>
          </w:tcPr>
          <w:p w14:paraId="06A8EC19" w14:textId="77777777" w:rsidR="005F2101" w:rsidRDefault="005F2101" w:rsidP="003E0597">
            <w:pPr>
              <w:pStyle w:val="BodyText"/>
              <w:jc w:val="center"/>
            </w:pPr>
            <w:r>
              <w:t>Minor</w:t>
            </w:r>
          </w:p>
        </w:tc>
        <w:tc>
          <w:tcPr>
            <w:tcW w:w="1595" w:type="dxa"/>
            <w:vAlign w:val="center"/>
          </w:tcPr>
          <w:p w14:paraId="19763CA6" w14:textId="77777777" w:rsidR="005F2101" w:rsidRDefault="005F2101" w:rsidP="003E0597">
            <w:pPr>
              <w:pStyle w:val="BodyText"/>
              <w:jc w:val="center"/>
            </w:pPr>
            <w:r>
              <w:t>Minor</w:t>
            </w:r>
          </w:p>
        </w:tc>
        <w:tc>
          <w:tcPr>
            <w:tcW w:w="1596" w:type="dxa"/>
            <w:vAlign w:val="center"/>
          </w:tcPr>
          <w:p w14:paraId="68015D4E" w14:textId="77777777" w:rsidR="005F2101" w:rsidRDefault="005F2101" w:rsidP="003E0597">
            <w:pPr>
              <w:pStyle w:val="BodyText"/>
              <w:jc w:val="center"/>
            </w:pPr>
            <w:r>
              <w:t>Major</w:t>
            </w:r>
          </w:p>
        </w:tc>
      </w:tr>
      <w:tr w:rsidR="005F2101" w14:paraId="604721E0" w14:textId="77777777" w:rsidTr="00296E0F">
        <w:tc>
          <w:tcPr>
            <w:tcW w:w="1595" w:type="dxa"/>
            <w:vAlign w:val="center"/>
          </w:tcPr>
          <w:p w14:paraId="29C3C284" w14:textId="77777777" w:rsidR="005F2101" w:rsidRPr="0053677B" w:rsidRDefault="005F2101" w:rsidP="003E0597">
            <w:pPr>
              <w:pStyle w:val="BodyText"/>
              <w:jc w:val="center"/>
            </w:pPr>
            <w:r w:rsidRPr="0053677B">
              <w:t>Likelihood</w:t>
            </w:r>
          </w:p>
        </w:tc>
        <w:tc>
          <w:tcPr>
            <w:tcW w:w="1595" w:type="dxa"/>
            <w:vAlign w:val="center"/>
          </w:tcPr>
          <w:p w14:paraId="560A03D0" w14:textId="77777777" w:rsidR="005F2101" w:rsidRDefault="005F2101" w:rsidP="003E0597">
            <w:pPr>
              <w:pStyle w:val="BodyText"/>
              <w:jc w:val="center"/>
            </w:pPr>
            <w:r>
              <w:t>Possible</w:t>
            </w:r>
          </w:p>
        </w:tc>
        <w:tc>
          <w:tcPr>
            <w:tcW w:w="1596" w:type="dxa"/>
            <w:vAlign w:val="center"/>
          </w:tcPr>
          <w:p w14:paraId="594135CD" w14:textId="77777777" w:rsidR="005F2101" w:rsidRDefault="005F2101" w:rsidP="003E0597">
            <w:pPr>
              <w:pStyle w:val="BodyText"/>
              <w:jc w:val="center"/>
            </w:pPr>
            <w:r>
              <w:t>Likely</w:t>
            </w:r>
          </w:p>
        </w:tc>
        <w:tc>
          <w:tcPr>
            <w:tcW w:w="1595" w:type="dxa"/>
            <w:vAlign w:val="center"/>
          </w:tcPr>
          <w:p w14:paraId="35B9E140" w14:textId="77777777" w:rsidR="005F2101" w:rsidRDefault="005F2101" w:rsidP="003E0597">
            <w:pPr>
              <w:pStyle w:val="BodyText"/>
              <w:jc w:val="center"/>
            </w:pPr>
            <w:r>
              <w:t>Unlikely</w:t>
            </w:r>
          </w:p>
        </w:tc>
        <w:tc>
          <w:tcPr>
            <w:tcW w:w="1595" w:type="dxa"/>
            <w:vAlign w:val="center"/>
          </w:tcPr>
          <w:p w14:paraId="37031DAE" w14:textId="77777777" w:rsidR="005F2101" w:rsidRDefault="005F2101" w:rsidP="003E0597">
            <w:pPr>
              <w:pStyle w:val="BodyText"/>
              <w:jc w:val="center"/>
            </w:pPr>
            <w:r>
              <w:t>Possible</w:t>
            </w:r>
          </w:p>
        </w:tc>
        <w:tc>
          <w:tcPr>
            <w:tcW w:w="1596" w:type="dxa"/>
            <w:vAlign w:val="center"/>
          </w:tcPr>
          <w:p w14:paraId="0D96765A" w14:textId="77777777" w:rsidR="005F2101" w:rsidRDefault="005F2101" w:rsidP="003E0597">
            <w:pPr>
              <w:pStyle w:val="BodyText"/>
              <w:jc w:val="center"/>
            </w:pPr>
            <w:r>
              <w:t>Possible</w:t>
            </w:r>
          </w:p>
        </w:tc>
      </w:tr>
      <w:tr w:rsidR="005F2101" w14:paraId="6C3E91CA" w14:textId="77777777" w:rsidTr="00296E0F">
        <w:tc>
          <w:tcPr>
            <w:tcW w:w="1595" w:type="dxa"/>
            <w:vAlign w:val="center"/>
          </w:tcPr>
          <w:p w14:paraId="23EB7DA5" w14:textId="77777777" w:rsidR="005F2101" w:rsidRPr="0053677B" w:rsidRDefault="005F2101" w:rsidP="003E0597">
            <w:pPr>
              <w:pStyle w:val="BodyText"/>
              <w:jc w:val="center"/>
            </w:pPr>
            <w:r w:rsidRPr="0053677B">
              <w:t>Overall risk rating</w:t>
            </w:r>
          </w:p>
        </w:tc>
        <w:tc>
          <w:tcPr>
            <w:tcW w:w="1595" w:type="dxa"/>
            <w:shd w:val="clear" w:color="auto" w:fill="FFC000"/>
            <w:vAlign w:val="center"/>
          </w:tcPr>
          <w:p w14:paraId="1C3FF2AB" w14:textId="77777777" w:rsidR="005F2101" w:rsidRDefault="005F2101" w:rsidP="003E0597">
            <w:pPr>
              <w:pStyle w:val="BodyText"/>
              <w:jc w:val="center"/>
            </w:pPr>
            <w:r>
              <w:t>Significant</w:t>
            </w:r>
          </w:p>
        </w:tc>
        <w:tc>
          <w:tcPr>
            <w:tcW w:w="1596" w:type="dxa"/>
            <w:shd w:val="clear" w:color="auto" w:fill="FFFF00"/>
            <w:vAlign w:val="center"/>
          </w:tcPr>
          <w:p w14:paraId="5C4D47C9" w14:textId="77777777" w:rsidR="005F2101" w:rsidRDefault="005F2101" w:rsidP="003E0597">
            <w:pPr>
              <w:pStyle w:val="BodyText"/>
              <w:jc w:val="center"/>
            </w:pPr>
            <w:r>
              <w:t>Medium</w:t>
            </w:r>
          </w:p>
        </w:tc>
        <w:tc>
          <w:tcPr>
            <w:tcW w:w="1595" w:type="dxa"/>
            <w:shd w:val="clear" w:color="auto" w:fill="92D050"/>
            <w:vAlign w:val="center"/>
          </w:tcPr>
          <w:p w14:paraId="1BC7D6AB" w14:textId="77777777" w:rsidR="005F2101" w:rsidRDefault="005F2101" w:rsidP="003E0597">
            <w:pPr>
              <w:pStyle w:val="BodyText"/>
              <w:jc w:val="center"/>
            </w:pPr>
            <w:r>
              <w:t>Low</w:t>
            </w:r>
          </w:p>
        </w:tc>
        <w:tc>
          <w:tcPr>
            <w:tcW w:w="1595" w:type="dxa"/>
            <w:shd w:val="clear" w:color="auto" w:fill="FFFF00"/>
            <w:vAlign w:val="center"/>
          </w:tcPr>
          <w:p w14:paraId="5C832022" w14:textId="77777777" w:rsidR="005F2101" w:rsidRDefault="005F2101" w:rsidP="003E0597">
            <w:pPr>
              <w:pStyle w:val="BodyText"/>
              <w:jc w:val="center"/>
            </w:pPr>
            <w:r>
              <w:t>Medium</w:t>
            </w:r>
          </w:p>
        </w:tc>
        <w:tc>
          <w:tcPr>
            <w:tcW w:w="1596" w:type="dxa"/>
            <w:shd w:val="clear" w:color="auto" w:fill="FFC000"/>
            <w:vAlign w:val="center"/>
          </w:tcPr>
          <w:p w14:paraId="2D74932B" w14:textId="77777777" w:rsidR="005F2101" w:rsidRDefault="005F2101" w:rsidP="003E0597">
            <w:pPr>
              <w:pStyle w:val="BodyText"/>
              <w:jc w:val="center"/>
            </w:pPr>
            <w:r>
              <w:t>Significant</w:t>
            </w:r>
          </w:p>
        </w:tc>
      </w:tr>
    </w:tbl>
    <w:p w14:paraId="376BE2ED" w14:textId="5A78FD47" w:rsidR="005F2101" w:rsidRPr="00FF310C" w:rsidRDefault="005F2101" w:rsidP="006670D2">
      <w:pPr>
        <w:pStyle w:val="Caption"/>
      </w:pPr>
      <w:r w:rsidRPr="00FF310C">
        <w:t xml:space="preserve">Table </w:t>
      </w:r>
      <w:r w:rsidRPr="00B6162A">
        <w:rPr>
          <w:bCs/>
        </w:rPr>
        <w:fldChar w:fldCharType="begin"/>
      </w:r>
      <w:r w:rsidRPr="00FF310C">
        <w:instrText>SEQ Table \* ARABIC</w:instrText>
      </w:r>
      <w:r w:rsidRPr="00B6162A">
        <w:rPr>
          <w:bCs/>
        </w:rPr>
        <w:fldChar w:fldCharType="separate"/>
      </w:r>
      <w:r w:rsidR="00692F0D">
        <w:rPr>
          <w:noProof/>
        </w:rPr>
        <w:t>196</w:t>
      </w:r>
      <w:r w:rsidRPr="00B6162A">
        <w:rPr>
          <w:bCs/>
        </w:rPr>
        <w:fldChar w:fldCharType="end"/>
      </w:r>
      <w:r w:rsidRPr="00FF310C">
        <w:t>.</w:t>
      </w:r>
      <w:r w:rsidRPr="00FF310C">
        <w:rPr>
          <w:color w:val="494847"/>
        </w:rPr>
        <w:t xml:space="preserve"> </w:t>
      </w:r>
      <w:r w:rsidRPr="00FF310C">
        <w:t>Satinwood risk ratings in the East Gippsland RFA region:</w:t>
      </w:r>
    </w:p>
    <w:tbl>
      <w:tblPr>
        <w:tblStyle w:val="TableGrid"/>
        <w:tblW w:w="9639" w:type="dxa"/>
        <w:tblLayout w:type="fixed"/>
        <w:tblLook w:val="04A0" w:firstRow="1" w:lastRow="0" w:firstColumn="1" w:lastColumn="0" w:noHBand="0" w:noVBand="1"/>
      </w:tblPr>
      <w:tblGrid>
        <w:gridCol w:w="2374"/>
        <w:gridCol w:w="2375"/>
        <w:gridCol w:w="2374"/>
        <w:gridCol w:w="2516"/>
      </w:tblGrid>
      <w:tr w:rsidR="005F2101" w14:paraId="5C2DA108"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vAlign w:val="center"/>
          </w:tcPr>
          <w:p w14:paraId="40ED7158" w14:textId="77777777" w:rsidR="005F2101" w:rsidRPr="00643008" w:rsidRDefault="005F2101" w:rsidP="006670D2">
            <w:pPr>
              <w:pStyle w:val="CaptionImageorFigure"/>
            </w:pPr>
          </w:p>
        </w:tc>
        <w:tc>
          <w:tcPr>
            <w:tcW w:w="0" w:type="dxa"/>
            <w:vAlign w:val="center"/>
          </w:tcPr>
          <w:p w14:paraId="70220F3D" w14:textId="089AF436" w:rsidR="005F2101" w:rsidRDefault="00794F78"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0" w:type="dxa"/>
            <w:vAlign w:val="center"/>
          </w:tcPr>
          <w:p w14:paraId="65AF81EE" w14:textId="77777777" w:rsidR="005F2101" w:rsidRPr="00643008"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2516" w:type="dxa"/>
            <w:vAlign w:val="center"/>
          </w:tcPr>
          <w:p w14:paraId="19188186"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5F2101" w14:paraId="141EDB2F" w14:textId="77777777" w:rsidTr="00296E0F">
        <w:tc>
          <w:tcPr>
            <w:tcW w:w="0" w:type="dxa"/>
            <w:vAlign w:val="center"/>
          </w:tcPr>
          <w:p w14:paraId="5D87A851" w14:textId="77777777" w:rsidR="005F2101" w:rsidRPr="0053677B" w:rsidRDefault="005F2101" w:rsidP="003E0597">
            <w:pPr>
              <w:pStyle w:val="BodyText"/>
              <w:jc w:val="center"/>
            </w:pPr>
            <w:r w:rsidRPr="0053677B">
              <w:t>Consequence</w:t>
            </w:r>
          </w:p>
        </w:tc>
        <w:tc>
          <w:tcPr>
            <w:tcW w:w="0" w:type="dxa"/>
            <w:vAlign w:val="center"/>
          </w:tcPr>
          <w:p w14:paraId="3851014B" w14:textId="77777777" w:rsidR="005F2101" w:rsidRDefault="005F2101" w:rsidP="003E0597">
            <w:pPr>
              <w:pStyle w:val="BodyText"/>
              <w:jc w:val="center"/>
            </w:pPr>
            <w:r>
              <w:t>Major</w:t>
            </w:r>
          </w:p>
        </w:tc>
        <w:tc>
          <w:tcPr>
            <w:tcW w:w="0" w:type="dxa"/>
            <w:vAlign w:val="center"/>
          </w:tcPr>
          <w:p w14:paraId="16AB7A3B" w14:textId="77777777" w:rsidR="005F2101" w:rsidRDefault="005F2101" w:rsidP="003E0597">
            <w:pPr>
              <w:pStyle w:val="BodyText"/>
              <w:jc w:val="center"/>
            </w:pPr>
            <w:r>
              <w:t>Moderate</w:t>
            </w:r>
          </w:p>
        </w:tc>
        <w:tc>
          <w:tcPr>
            <w:tcW w:w="2516" w:type="dxa"/>
            <w:vAlign w:val="center"/>
          </w:tcPr>
          <w:p w14:paraId="4B7CF70F" w14:textId="77777777" w:rsidR="005F2101" w:rsidRDefault="005F2101" w:rsidP="003E0597">
            <w:pPr>
              <w:pStyle w:val="BodyText"/>
              <w:jc w:val="center"/>
            </w:pPr>
            <w:r>
              <w:t>Major</w:t>
            </w:r>
          </w:p>
        </w:tc>
      </w:tr>
      <w:tr w:rsidR="005F2101" w14:paraId="291F4ACC" w14:textId="77777777" w:rsidTr="00296E0F">
        <w:tc>
          <w:tcPr>
            <w:tcW w:w="0" w:type="dxa"/>
            <w:vAlign w:val="center"/>
          </w:tcPr>
          <w:p w14:paraId="7ECB60A7" w14:textId="77777777" w:rsidR="005F2101" w:rsidRPr="0053677B" w:rsidRDefault="005F2101" w:rsidP="003E0597">
            <w:pPr>
              <w:pStyle w:val="BodyText"/>
              <w:jc w:val="center"/>
            </w:pPr>
            <w:r w:rsidRPr="0053677B">
              <w:t>Likelihood</w:t>
            </w:r>
          </w:p>
        </w:tc>
        <w:tc>
          <w:tcPr>
            <w:tcW w:w="0" w:type="dxa"/>
            <w:vAlign w:val="center"/>
          </w:tcPr>
          <w:p w14:paraId="5B47EAEA" w14:textId="77777777" w:rsidR="005F2101" w:rsidRDefault="005F2101" w:rsidP="003E0597">
            <w:pPr>
              <w:pStyle w:val="BodyText"/>
              <w:jc w:val="center"/>
            </w:pPr>
            <w:r>
              <w:t>Likely</w:t>
            </w:r>
          </w:p>
        </w:tc>
        <w:tc>
          <w:tcPr>
            <w:tcW w:w="0" w:type="dxa"/>
            <w:vAlign w:val="center"/>
          </w:tcPr>
          <w:p w14:paraId="710C03C6" w14:textId="77777777" w:rsidR="005F2101" w:rsidRDefault="005F2101" w:rsidP="003E0597">
            <w:pPr>
              <w:pStyle w:val="BodyText"/>
              <w:jc w:val="center"/>
            </w:pPr>
            <w:r>
              <w:t>Likely</w:t>
            </w:r>
          </w:p>
        </w:tc>
        <w:tc>
          <w:tcPr>
            <w:tcW w:w="2516" w:type="dxa"/>
            <w:vAlign w:val="center"/>
          </w:tcPr>
          <w:p w14:paraId="74F9AAED" w14:textId="77777777" w:rsidR="005F2101" w:rsidRDefault="005F2101" w:rsidP="003E0597">
            <w:pPr>
              <w:pStyle w:val="BodyText"/>
              <w:jc w:val="center"/>
            </w:pPr>
            <w:r>
              <w:t>Possible</w:t>
            </w:r>
          </w:p>
        </w:tc>
      </w:tr>
      <w:tr w:rsidR="005F2101" w14:paraId="3ADF330D" w14:textId="77777777" w:rsidTr="00296E0F">
        <w:tc>
          <w:tcPr>
            <w:tcW w:w="2374" w:type="dxa"/>
            <w:vAlign w:val="center"/>
          </w:tcPr>
          <w:p w14:paraId="308541F6" w14:textId="77777777" w:rsidR="005F2101" w:rsidRPr="0053677B" w:rsidRDefault="005F2101" w:rsidP="003E0597">
            <w:pPr>
              <w:pStyle w:val="BodyText"/>
              <w:jc w:val="center"/>
            </w:pPr>
            <w:r w:rsidRPr="0053677B">
              <w:t>Overall risk rating</w:t>
            </w:r>
          </w:p>
        </w:tc>
        <w:tc>
          <w:tcPr>
            <w:tcW w:w="2375" w:type="dxa"/>
            <w:shd w:val="clear" w:color="auto" w:fill="FF0000"/>
            <w:vAlign w:val="center"/>
          </w:tcPr>
          <w:p w14:paraId="034049A5" w14:textId="77777777" w:rsidR="005F2101" w:rsidRDefault="005F2101" w:rsidP="003E0597">
            <w:pPr>
              <w:pStyle w:val="BodyText"/>
              <w:jc w:val="center"/>
            </w:pPr>
            <w:r>
              <w:t>High</w:t>
            </w:r>
          </w:p>
        </w:tc>
        <w:tc>
          <w:tcPr>
            <w:tcW w:w="2374" w:type="dxa"/>
            <w:shd w:val="clear" w:color="auto" w:fill="FFC000"/>
            <w:vAlign w:val="center"/>
          </w:tcPr>
          <w:p w14:paraId="5455F929" w14:textId="77777777" w:rsidR="005F2101" w:rsidRDefault="005F2101" w:rsidP="003E0597">
            <w:pPr>
              <w:pStyle w:val="BodyText"/>
              <w:jc w:val="center"/>
            </w:pPr>
            <w:r>
              <w:t>Significant</w:t>
            </w:r>
          </w:p>
        </w:tc>
        <w:tc>
          <w:tcPr>
            <w:tcW w:w="2516" w:type="dxa"/>
            <w:shd w:val="clear" w:color="auto" w:fill="FFC000"/>
            <w:vAlign w:val="center"/>
          </w:tcPr>
          <w:p w14:paraId="014478E9" w14:textId="77777777" w:rsidR="005F2101" w:rsidRDefault="005F2101" w:rsidP="003E0597">
            <w:pPr>
              <w:pStyle w:val="BodyText"/>
              <w:jc w:val="center"/>
            </w:pPr>
            <w:r>
              <w:t>Significant</w:t>
            </w:r>
          </w:p>
        </w:tc>
      </w:tr>
    </w:tbl>
    <w:p w14:paraId="1FB63A3D" w14:textId="77777777" w:rsidR="005F2101" w:rsidRDefault="005F2101" w:rsidP="007E5EBF">
      <w:pPr>
        <w:pStyle w:val="Heading3"/>
      </w:pPr>
      <w:r w:rsidRPr="00D55628">
        <w:rPr>
          <w:noProof/>
        </w:rPr>
        <mc:AlternateContent>
          <mc:Choice Requires="wps">
            <w:drawing>
              <wp:anchor distT="0" distB="0" distL="114300" distR="114300" simplePos="1" relativeHeight="251658384" behindDoc="1" locked="1" layoutInCell="1" allowOverlap="1" wp14:anchorId="5C41CDDC" wp14:editId="63836655">
                <wp:simplePos x="359410" y="9071610"/>
                <wp:positionH relativeFrom="page">
                  <wp:posOffset>359410</wp:posOffset>
                </wp:positionH>
                <wp:positionV relativeFrom="page">
                  <wp:posOffset>9071610</wp:posOffset>
                </wp:positionV>
                <wp:extent cx="6840001" cy="432000"/>
                <wp:effectExtent l="0" t="0" r="0" b="0"/>
                <wp:wrapNone/>
                <wp:docPr id="1427"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E471C"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1CDDC" id="_x0000_s1109" type="#_x0000_t202" alt="Title: Decorative Cover Shape" style="position:absolute;left:0;text-align:left;margin-left:28.3pt;margin-top:714.3pt;width:538.6pt;height:34pt;z-index:-251658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GrTw01/AgAA&#10;agUAAA4AAAAAAAAAAAAAAAAALgIAAGRycy9lMm9Eb2MueG1sUEsBAi0AFAAGAAgAAAAhAJFrJtfd&#10;AAAADQEAAA8AAAAAAAAAAAAAAAAA2QQAAGRycy9kb3ducmV2LnhtbFBLBQYAAAAABAAEAPMAAADj&#10;BQAAAAA=&#10;" fillcolor="#201547" stroked="f" strokeweight=".5pt">
                <v:textbox inset="10mm,0,10mm,0">
                  <w:txbxContent>
                    <w:p w14:paraId="2DEE471C"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658383" behindDoc="0" locked="1" layoutInCell="1" allowOverlap="1" wp14:anchorId="42F9BCEB" wp14:editId="01D16EBF">
                <wp:simplePos x="0" y="0"/>
                <wp:positionH relativeFrom="page">
                  <wp:posOffset>360045</wp:posOffset>
                </wp:positionH>
                <wp:positionV relativeFrom="page">
                  <wp:posOffset>360045</wp:posOffset>
                </wp:positionV>
                <wp:extent cx="1864800" cy="1976400"/>
                <wp:effectExtent l="0" t="0" r="0" b="0"/>
                <wp:wrapNone/>
                <wp:docPr id="142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B003DD9" id="TriangleTopACIMono" o:spid="_x0000_s1026" style="position:absolute;margin-left:28.35pt;margin-top:28.35pt;width:146.85pt;height:155.6pt;z-index:25165838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noProof/>
        </w:rPr>
        <mc:AlternateContent>
          <mc:Choice Requires="wps">
            <w:drawing>
              <wp:anchor distT="0" distB="0" distL="114300" distR="114300" simplePos="0" relativeHeight="251658382" behindDoc="0" locked="1" layoutInCell="1" allowOverlap="1" wp14:anchorId="5A925407" wp14:editId="3AAE64B1">
                <wp:simplePos x="0" y="0"/>
                <wp:positionH relativeFrom="page">
                  <wp:posOffset>359410</wp:posOffset>
                </wp:positionH>
                <wp:positionV relativeFrom="page">
                  <wp:posOffset>359410</wp:posOffset>
                </wp:positionV>
                <wp:extent cx="1864800" cy="1976400"/>
                <wp:effectExtent l="0" t="0" r="0" b="0"/>
                <wp:wrapNone/>
                <wp:docPr id="1429"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108482F" id="TriangleTop" o:spid="_x0000_s1026" style="position:absolute;margin-left:28.3pt;margin-top:28.3pt;width:146.85pt;height:155.6pt;z-index:25165838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noProof/>
        </w:rPr>
        <mc:AlternateContent>
          <mc:Choice Requires="wps">
            <w:drawing>
              <wp:anchor distT="0" distB="0" distL="114300" distR="114300" simplePos="0" relativeHeight="251658381" behindDoc="0" locked="1" layoutInCell="1" allowOverlap="1" wp14:anchorId="4F59A41B" wp14:editId="3CF9766D">
                <wp:simplePos x="0" y="0"/>
                <wp:positionH relativeFrom="page">
                  <wp:posOffset>0</wp:posOffset>
                </wp:positionH>
                <wp:positionV relativeFrom="page">
                  <wp:align>bottom</wp:align>
                </wp:positionV>
                <wp:extent cx="3848400" cy="720000"/>
                <wp:effectExtent l="0" t="0" r="0" b="0"/>
                <wp:wrapNone/>
                <wp:docPr id="1430"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B6A0D" w14:textId="77777777" w:rsidR="005F2101" w:rsidRPr="009F69FA" w:rsidRDefault="005F2101" w:rsidP="005F2101">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9A41B" id="_x0000_s1110" type="#_x0000_t202" style="position:absolute;left:0;text-align:left;margin-left:0;margin-top:0;width:303pt;height:56.7pt;z-index:25165838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C4ZX/PbgIAAEYFAAAOAAAAAAAAAAAAAAAAAC4C&#10;AABkcnMvZTJvRG9jLnhtbFBLAQItABQABgAIAAAAIQD0ys+o2gAAAAUBAAAPAAAAAAAAAAAAAAAA&#10;AMgEAABkcnMvZG93bnJldi54bWxQSwUGAAAAAAQABADzAAAAzwUAAAAA&#10;" filled="f" stroked="f" strokeweight=".5pt">
                <v:textbox inset="20mm">
                  <w:txbxContent>
                    <w:p w14:paraId="67DB6A0D" w14:textId="77777777" w:rsidR="005F2101" w:rsidRPr="009F69FA" w:rsidRDefault="005F2101" w:rsidP="005F2101">
                      <w:pPr>
                        <w:pStyle w:val="xWebCoverPage"/>
                      </w:pPr>
                      <w:r w:rsidRPr="009F69FA">
                        <w:t>de</w:t>
                      </w:r>
                      <w:r>
                        <w:t>lw</w:t>
                      </w:r>
                      <w:r w:rsidRPr="009F69FA">
                        <w:t>p.vic.gov.au</w:t>
                      </w:r>
                    </w:p>
                  </w:txbxContent>
                </v:textbox>
                <w10:wrap anchorx="page" anchory="page"/>
                <w10:anchorlock/>
              </v:shape>
            </w:pict>
          </mc:Fallback>
        </mc:AlternateContent>
      </w:r>
      <w:r>
        <w:t>Fire</w:t>
      </w:r>
    </w:p>
    <w:p w14:paraId="0BCB4C76" w14:textId="77777777" w:rsidR="00794F78" w:rsidRPr="001C0DE0" w:rsidRDefault="00794F78" w:rsidP="00794F78">
      <w:pPr>
        <w:pStyle w:val="Heading5"/>
        <w:numPr>
          <w:ilvl w:val="0"/>
          <w:numId w:val="0"/>
        </w:numPr>
        <w:ind w:left="1008" w:hanging="1008"/>
      </w:pPr>
      <w:r>
        <w:t>Increased fire frequency and intensity</w:t>
      </w:r>
    </w:p>
    <w:p w14:paraId="68DD761A" w14:textId="6916CB96" w:rsidR="005F2101" w:rsidRPr="00C23B38" w:rsidRDefault="005F2101" w:rsidP="005F2101">
      <w:pPr>
        <w:pStyle w:val="BodyText"/>
      </w:pPr>
      <w:r w:rsidRPr="0009711E">
        <w:t xml:space="preserve">A long-term threat to the </w:t>
      </w:r>
      <w:r w:rsidR="00B05B1A">
        <w:t>sub</w:t>
      </w:r>
      <w:r w:rsidR="001D3902">
        <w:t>species</w:t>
      </w:r>
      <w:r w:rsidRPr="0009711E">
        <w:t xml:space="preserve"> is the potential impact of </w:t>
      </w:r>
      <w:r>
        <w:t>altered fire regimes</w:t>
      </w:r>
      <w:r w:rsidRPr="0009711E">
        <w:t xml:space="preserve">, repeat fire events at intervals close to the tolerable fire interval for the </w:t>
      </w:r>
      <w:r w:rsidR="00B05B1A">
        <w:t>sub</w:t>
      </w:r>
      <w:r w:rsidR="001D3902">
        <w:t>species</w:t>
      </w:r>
      <w:r w:rsidRPr="0009711E">
        <w:t xml:space="preserve"> and recruitment failure in response to climatic drying and warming. The </w:t>
      </w:r>
      <w:r w:rsidR="00B05B1A">
        <w:t>sub</w:t>
      </w:r>
      <w:r w:rsidR="001D3902">
        <w:t>species</w:t>
      </w:r>
      <w:r w:rsidRPr="0009711E">
        <w:t xml:space="preserve"> may also be subject to low levels of incremental loss to activities such as road widening and bushfire fuel management </w:t>
      </w:r>
      <w:r w:rsidR="00C803B7">
        <w:t>practise</w:t>
      </w:r>
      <w:r w:rsidRPr="0009711E">
        <w:t>s</w:t>
      </w:r>
      <w:r w:rsidRPr="00C23B38">
        <w:rPr>
          <w:rStyle w:val="CommentReference"/>
          <w:sz w:val="18"/>
          <w:szCs w:val="18"/>
        </w:rPr>
        <w:t>. Too</w:t>
      </w:r>
      <w:r w:rsidRPr="00C23B38">
        <w:t xml:space="preserve"> frequent and intense fire is likely to provide a competitive advantage for eucalypt and acacia taxa to replace or become canopy dominants in the </w:t>
      </w:r>
      <w:r w:rsidR="00B05B1A">
        <w:t>sub</w:t>
      </w:r>
      <w:r w:rsidR="001D3902">
        <w:t>species’</w:t>
      </w:r>
      <w:r w:rsidRPr="00C23B38">
        <w:t xml:space="preserve"> habitat, with a higher cover of eucalypts possibly leading to a more fire prone vegetation. This threat extends across 90% of the </w:t>
      </w:r>
      <w:r w:rsidR="00B05B1A">
        <w:t>sub</w:t>
      </w:r>
      <w:r w:rsidR="001D3902">
        <w:t>species’</w:t>
      </w:r>
      <w:r w:rsidRPr="00C23B38">
        <w:t xml:space="preserve"> distribution. </w:t>
      </w:r>
    </w:p>
    <w:p w14:paraId="1308C227" w14:textId="77777777" w:rsidR="005F2101" w:rsidRDefault="005F2101" w:rsidP="005F2101">
      <w:pPr>
        <w:pStyle w:val="BodyText"/>
      </w:pPr>
      <w:r>
        <w:t xml:space="preserve">Current controls </w:t>
      </w:r>
      <w:r w:rsidRPr="00660ABA">
        <w:t>for this hazard includ</w:t>
      </w:r>
      <w:r>
        <w:t>e:</w:t>
      </w:r>
    </w:p>
    <w:p w14:paraId="520D0B90" w14:textId="0ECAD8AF" w:rsidR="005F2101" w:rsidRDefault="005F2101" w:rsidP="006670D2">
      <w:pPr>
        <w:pStyle w:val="PullOutBoxBullet"/>
      </w:pPr>
      <w:r>
        <w:t>Values checking and strategic bushfire management planni</w:t>
      </w:r>
      <w:r w:rsidRPr="00DB7B28">
        <w:t xml:space="preserve">ng. The effectiveness of these measures in managing the risk to this </w:t>
      </w:r>
      <w:r w:rsidR="00B05B1A">
        <w:t>sub</w:t>
      </w:r>
      <w:r w:rsidRPr="00DB7B28">
        <w:t xml:space="preserve">species has been evaluated as </w:t>
      </w:r>
      <w:r>
        <w:t>satisfactory</w:t>
      </w:r>
      <w:r w:rsidRPr="00DB7B28">
        <w:t xml:space="preserve">. </w:t>
      </w:r>
    </w:p>
    <w:p w14:paraId="59817265" w14:textId="33CCAEF2" w:rsidR="005F2101" w:rsidRDefault="005F2101" w:rsidP="006670D2">
      <w:pPr>
        <w:pStyle w:val="PullOutBoxBullet"/>
      </w:pPr>
      <w:r w:rsidRPr="000F6BBE">
        <w:t>Bushfire suppression</w:t>
      </w:r>
      <w:r>
        <w:t>.</w:t>
      </w:r>
      <w:r w:rsidRPr="000F6BBE">
        <w:t xml:space="preserve"> Th</w:t>
      </w:r>
      <w:r w:rsidR="008845CE">
        <w:t>e</w:t>
      </w:r>
      <w:r w:rsidRPr="000F6BBE">
        <w:t xml:space="preserve"> risk</w:t>
      </w:r>
      <w:r w:rsidR="008845CE">
        <w:t xml:space="preserve"> to this </w:t>
      </w:r>
      <w:r w:rsidR="00B05B1A">
        <w:t>sub</w:t>
      </w:r>
      <w:r w:rsidR="008845CE">
        <w:t>species</w:t>
      </w:r>
      <w:r w:rsidRPr="000F6BBE">
        <w:t xml:space="preserve"> is not effectively controlled; the scale and intensity of recent bushfires means that, despite the frameworks and available resources, emergency response does not always </w:t>
      </w:r>
      <w:r w:rsidR="00424795">
        <w:t>mitigate</w:t>
      </w:r>
      <w:r w:rsidRPr="000F6BBE">
        <w:t xml:space="preserve"> impacts on </w:t>
      </w:r>
      <w:r w:rsidR="002B62F2">
        <w:t xml:space="preserve">this </w:t>
      </w:r>
      <w:r w:rsidR="00B05B1A">
        <w:t>sub</w:t>
      </w:r>
      <w:r w:rsidR="002B62F2">
        <w:t>species.</w:t>
      </w:r>
    </w:p>
    <w:p w14:paraId="3CD348A9" w14:textId="77777777" w:rsidR="00D24DA3" w:rsidRDefault="00D24DA3">
      <w:pPr>
        <w:rPr>
          <w:b/>
          <w:bCs/>
          <w:sz w:val="16"/>
        </w:rPr>
      </w:pPr>
      <w:r>
        <w:br w:type="page"/>
      </w:r>
    </w:p>
    <w:p w14:paraId="560E79C9" w14:textId="770373A8"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197</w:t>
      </w:r>
      <w:r w:rsidR="000B6788" w:rsidRPr="00B6162A">
        <w:rPr>
          <w:bCs/>
          <w:noProof/>
        </w:rPr>
        <w:fldChar w:fldCharType="end"/>
      </w:r>
      <w:r w:rsidRPr="00FF310C">
        <w:t xml:space="preserve">. Satinwood protection requirements and recommendations for </w:t>
      </w:r>
      <w:r w:rsidR="00794F78">
        <w:t>increased fire frequency and intensity</w:t>
      </w:r>
    </w:p>
    <w:tbl>
      <w:tblPr>
        <w:tblStyle w:val="TableGrid"/>
        <w:tblW w:w="0" w:type="auto"/>
        <w:tblLook w:val="04A0" w:firstRow="1" w:lastRow="0" w:firstColumn="1" w:lastColumn="0" w:noHBand="0" w:noVBand="1"/>
      </w:tblPr>
      <w:tblGrid>
        <w:gridCol w:w="2268"/>
        <w:gridCol w:w="7371"/>
      </w:tblGrid>
      <w:tr w:rsidR="005F2101" w:rsidRPr="00867DAA" w14:paraId="7644005D"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0462FFD8" w14:textId="77777777" w:rsidR="005F2101" w:rsidRPr="00704719" w:rsidRDefault="005F2101" w:rsidP="00296E0F">
            <w:pPr>
              <w:pStyle w:val="BodyText"/>
            </w:pPr>
            <w:r w:rsidRPr="00704719">
              <w:t>Requirement</w:t>
            </w:r>
          </w:p>
        </w:tc>
        <w:tc>
          <w:tcPr>
            <w:tcW w:w="7371" w:type="dxa"/>
            <w:vAlign w:val="center"/>
          </w:tcPr>
          <w:p w14:paraId="64FDC38E"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7B067338" w14:textId="77777777" w:rsidTr="00C77CDF">
        <w:tc>
          <w:tcPr>
            <w:tcW w:w="2268" w:type="dxa"/>
          </w:tcPr>
          <w:p w14:paraId="29CEF190" w14:textId="279C065B" w:rsidR="005F2101" w:rsidRPr="003566BD" w:rsidRDefault="0067299F" w:rsidP="00C77CDF">
            <w:pPr>
              <w:pStyle w:val="BodyText"/>
            </w:pPr>
            <w:r>
              <w:t>Priority management actions</w:t>
            </w:r>
          </w:p>
        </w:tc>
        <w:tc>
          <w:tcPr>
            <w:tcW w:w="7371" w:type="dxa"/>
          </w:tcPr>
          <w:p w14:paraId="0315EBDF" w14:textId="77777777" w:rsidR="005F2101" w:rsidRPr="00D65476" w:rsidRDefault="005F2101" w:rsidP="00C77CDF">
            <w:pPr>
              <w:pStyle w:val="BodyText"/>
            </w:pPr>
            <w:r>
              <w:t>Not required for this hazard.</w:t>
            </w:r>
          </w:p>
        </w:tc>
      </w:tr>
      <w:tr w:rsidR="005F2101" w:rsidRPr="00867DAA" w14:paraId="4516C4F9" w14:textId="77777777" w:rsidTr="00C77CDF">
        <w:tc>
          <w:tcPr>
            <w:tcW w:w="2268" w:type="dxa"/>
          </w:tcPr>
          <w:p w14:paraId="059BC7A2" w14:textId="6763809C" w:rsidR="005F2101" w:rsidRPr="00867DAA" w:rsidRDefault="0067299F" w:rsidP="00C77CDF">
            <w:pPr>
              <w:pStyle w:val="BodyText"/>
            </w:pPr>
            <w:r>
              <w:t>Potential m</w:t>
            </w:r>
            <w:r w:rsidR="005F2101" w:rsidRPr="00867DAA">
              <w:t>anagement actions</w:t>
            </w:r>
          </w:p>
        </w:tc>
        <w:tc>
          <w:tcPr>
            <w:tcW w:w="7371" w:type="dxa"/>
          </w:tcPr>
          <w:p w14:paraId="44464DCB" w14:textId="6F49CC44" w:rsidR="005F2101" w:rsidRDefault="005F2101" w:rsidP="006670D2">
            <w:pPr>
              <w:pStyle w:val="PullOutBoxBullet"/>
            </w:pPr>
            <w:r>
              <w:t>Plant a selection of areas within the Great Otway National Park with Satinwood</w:t>
            </w:r>
            <w:r w:rsidRPr="00704719">
              <w:rPr>
                <w:i/>
                <w:iCs/>
              </w:rPr>
              <w:t>,</w:t>
            </w:r>
            <w:r>
              <w:t xml:space="preserve"> where the landscape context is better suited to retaining non-eucalypt dominance. Mix planting with Blackwood (</w:t>
            </w:r>
            <w:r w:rsidRPr="00704719">
              <w:rPr>
                <w:i/>
                <w:iCs/>
              </w:rPr>
              <w:t>Acacia melanoxylon</w:t>
            </w:r>
            <w:r>
              <w:t>)</w:t>
            </w:r>
            <w:r w:rsidRPr="00704719">
              <w:rPr>
                <w:i/>
                <w:iCs/>
              </w:rPr>
              <w:t xml:space="preserve"> </w:t>
            </w:r>
            <w:r>
              <w:t xml:space="preserve">and understorey broad leaf shrubs. This measure may require lopping of some eucalypts to allow other taxa to establish; </w:t>
            </w:r>
          </w:p>
          <w:p w14:paraId="58234A93" w14:textId="2AA67CFF" w:rsidR="005F2101" w:rsidRDefault="005F2101" w:rsidP="006670D2">
            <w:pPr>
              <w:pStyle w:val="PullOutBoxBullet"/>
            </w:pPr>
            <w:r>
              <w:t xml:space="preserve">Offer incentive for farms adjoining Great Otway NP to plant Satinwood in gullies or windbreaks where suitable; </w:t>
            </w:r>
            <w:r w:rsidR="0005594E">
              <w:t>and</w:t>
            </w:r>
          </w:p>
          <w:p w14:paraId="1AA19D28" w14:textId="4C8DD946" w:rsidR="005F2101" w:rsidRPr="00001691" w:rsidRDefault="005F2101" w:rsidP="006670D2">
            <w:pPr>
              <w:pStyle w:val="PullOutBoxBullet"/>
            </w:pPr>
            <w:r>
              <w:t>Establish e</w:t>
            </w:r>
            <w:r w:rsidRPr="00D65476">
              <w:rPr>
                <w:i/>
                <w:iCs/>
              </w:rPr>
              <w:t xml:space="preserve">x-situ </w:t>
            </w:r>
            <w:r>
              <w:t>propagation</w:t>
            </w:r>
            <w:r w:rsidDel="0005594E">
              <w:t>.</w:t>
            </w:r>
          </w:p>
        </w:tc>
      </w:tr>
    </w:tbl>
    <w:p w14:paraId="158F5C33" w14:textId="77777777" w:rsidR="005F2101" w:rsidRPr="001C0DE0" w:rsidRDefault="005F2101" w:rsidP="007E5EBF">
      <w:pPr>
        <w:pStyle w:val="Heading5"/>
      </w:pPr>
      <w:r w:rsidRPr="00D55628">
        <w:rPr>
          <w:rFonts w:cs="Times New Roman"/>
          <w:noProof/>
          <w:lang w:eastAsia="en-US"/>
        </w:rPr>
        <mc:AlternateContent>
          <mc:Choice Requires="wps">
            <w:drawing>
              <wp:anchor distT="0" distB="0" distL="114300" distR="114300" simplePos="1" relativeHeight="251658406" behindDoc="1" locked="1" layoutInCell="1" allowOverlap="1" wp14:anchorId="49410C8A" wp14:editId="5F8AD4E9">
                <wp:simplePos x="359410" y="9071610"/>
                <wp:positionH relativeFrom="page">
                  <wp:posOffset>359410</wp:posOffset>
                </wp:positionH>
                <wp:positionV relativeFrom="page">
                  <wp:posOffset>9071610</wp:posOffset>
                </wp:positionV>
                <wp:extent cx="6840001" cy="432000"/>
                <wp:effectExtent l="0" t="0" r="0" b="0"/>
                <wp:wrapNone/>
                <wp:docPr id="1432"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C545B"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10C8A" id="_x0000_s1111" type="#_x0000_t202" alt="Title: Decorative Cover Shape" style="position:absolute;left:0;text-align:left;margin-left:28.3pt;margin-top:714.3pt;width:538.6pt;height:34pt;z-index:-25165807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" fillcolor="#201547" stroked="f" strokeweight=".5pt">
                <v:textbox inset="10mm,0,10mm,0">
                  <w:txbxContent>
                    <w:p w14:paraId="40FC545B"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405" behindDoc="0" locked="1" layoutInCell="1" allowOverlap="1" wp14:anchorId="6C16D31F" wp14:editId="42AE3C5B">
                <wp:simplePos x="0" y="0"/>
                <wp:positionH relativeFrom="page">
                  <wp:posOffset>360045</wp:posOffset>
                </wp:positionH>
                <wp:positionV relativeFrom="page">
                  <wp:posOffset>360045</wp:posOffset>
                </wp:positionV>
                <wp:extent cx="1864800" cy="1976400"/>
                <wp:effectExtent l="0" t="0" r="0" b="0"/>
                <wp:wrapNone/>
                <wp:docPr id="1433"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141702" id="TriangleTopACIMono" o:spid="_x0000_s1026" style="position:absolute;margin-left:28.35pt;margin-top:28.35pt;width:146.85pt;height:155.6pt;z-index:25165840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404" behindDoc="0" locked="1" layoutInCell="1" allowOverlap="1" wp14:anchorId="314E3EB5" wp14:editId="21C882D1">
                <wp:simplePos x="0" y="0"/>
                <wp:positionH relativeFrom="page">
                  <wp:posOffset>359410</wp:posOffset>
                </wp:positionH>
                <wp:positionV relativeFrom="page">
                  <wp:posOffset>359410</wp:posOffset>
                </wp:positionV>
                <wp:extent cx="1864800" cy="1976400"/>
                <wp:effectExtent l="0" t="0" r="0" b="0"/>
                <wp:wrapNone/>
                <wp:docPr id="1435"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7F0A0B2" id="TriangleTop" o:spid="_x0000_s1026" style="position:absolute;margin-left:28.3pt;margin-top:28.3pt;width:146.85pt;height:155.6pt;z-index:2516584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403" behindDoc="0" locked="1" layoutInCell="1" allowOverlap="1" wp14:anchorId="244F5655" wp14:editId="12AFBC85">
                <wp:simplePos x="0" y="0"/>
                <wp:positionH relativeFrom="page">
                  <wp:posOffset>0</wp:posOffset>
                </wp:positionH>
                <wp:positionV relativeFrom="page">
                  <wp:align>bottom</wp:align>
                </wp:positionV>
                <wp:extent cx="3848400" cy="720000"/>
                <wp:effectExtent l="0" t="0" r="0" b="0"/>
                <wp:wrapNone/>
                <wp:docPr id="1436"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5C060" w14:textId="77777777" w:rsidR="005F2101" w:rsidRPr="009F69FA" w:rsidRDefault="005F2101" w:rsidP="005F2101">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F5655" id="_x0000_s1112" type="#_x0000_t202" style="position:absolute;left:0;text-align:left;margin-left:0;margin-top:0;width:303pt;height:56.7pt;z-index:25165840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DHJdCUbgIAAEYFAAAOAAAAAAAAAAAAAAAAAC4C&#10;AABkcnMvZTJvRG9jLnhtbFBLAQItABQABgAIAAAAIQD0ys+o2gAAAAUBAAAPAAAAAAAAAAAAAAAA&#10;AMgEAABkcnMvZG93bnJldi54bWxQSwUGAAAAAAQABADzAAAAzwUAAAAA&#10;" filled="f" stroked="f" strokeweight=".5pt">
                <v:textbox inset="20mm">
                  <w:txbxContent>
                    <w:p w14:paraId="5C55C060" w14:textId="77777777" w:rsidR="005F2101" w:rsidRPr="009F69FA" w:rsidRDefault="005F2101" w:rsidP="005F2101">
                      <w:pPr>
                        <w:pStyle w:val="xWebCoverPage"/>
                      </w:pPr>
                      <w:r w:rsidRPr="009F69FA">
                        <w:t>de</w:t>
                      </w:r>
                      <w:r>
                        <w:t>lw</w:t>
                      </w:r>
                      <w:r w:rsidRPr="009F69FA">
                        <w:t>p.vic.gov.au</w:t>
                      </w:r>
                    </w:p>
                  </w:txbxContent>
                </v:textbox>
                <w10:wrap anchorx="page" anchory="page"/>
                <w10:anchorlock/>
              </v:shape>
            </w:pict>
          </mc:Fallback>
        </mc:AlternateContent>
      </w:r>
      <w:r>
        <w:t>Fuel management roading</w:t>
      </w:r>
    </w:p>
    <w:p w14:paraId="37D0DEE7" w14:textId="74FC0BF1" w:rsidR="005F2101" w:rsidRDefault="005F2101" w:rsidP="005F2101">
      <w:pPr>
        <w:pStyle w:val="BodyText"/>
      </w:pPr>
      <w:r>
        <w:t xml:space="preserve">The </w:t>
      </w:r>
      <w:r w:rsidR="00B05B1A">
        <w:t>sub</w:t>
      </w:r>
      <w:r w:rsidR="001D3902">
        <w:t>species</w:t>
      </w:r>
      <w:r>
        <w:t xml:space="preserve"> may be subject to low levels of incremental loss to activities such as road widening for bushfire fuel management, which has impacts to tree protection zone</w:t>
      </w:r>
      <w:r w:rsidR="00605B77">
        <w:t>s</w:t>
      </w:r>
      <w:r>
        <w:t xml:space="preserve"> as well as direct removal. This impacts approximately 10% of the </w:t>
      </w:r>
      <w:r w:rsidR="00B05B1A">
        <w:t>sub</w:t>
      </w:r>
      <w:r w:rsidR="001D3902">
        <w:t>species’</w:t>
      </w:r>
      <w:r>
        <w:t xml:space="preserve"> habitat. </w:t>
      </w:r>
    </w:p>
    <w:p w14:paraId="63041D9B" w14:textId="77777777" w:rsidR="005F2101" w:rsidRDefault="005F2101" w:rsidP="005F2101">
      <w:pPr>
        <w:pStyle w:val="BodyText"/>
      </w:pPr>
      <w:r>
        <w:t xml:space="preserve">Current controls </w:t>
      </w:r>
      <w:r w:rsidRPr="00660ABA">
        <w:t>for this hazard includ</w:t>
      </w:r>
      <w:r>
        <w:t>e:</w:t>
      </w:r>
    </w:p>
    <w:p w14:paraId="2FF0AD69" w14:textId="3B85E775" w:rsidR="005F2101" w:rsidRPr="00436099" w:rsidRDefault="005F2101" w:rsidP="006670D2">
      <w:pPr>
        <w:pStyle w:val="PullOutBoxBullet"/>
      </w:pPr>
      <w:r w:rsidRPr="00436099">
        <w:t>Risk controls across the bushfire management phases of planning, prevention, preparedness, fuel management, response, recovery</w:t>
      </w:r>
      <w:r w:rsidR="00B461DF" w:rsidRPr="00436099">
        <w:t>,</w:t>
      </w:r>
      <w:r w:rsidRPr="00436099">
        <w:t xml:space="preserve"> and monitoring. The effectiveness of this control for this </w:t>
      </w:r>
      <w:r w:rsidR="00B05B1A">
        <w:t>sub</w:t>
      </w:r>
      <w:r w:rsidRPr="00436099">
        <w:t xml:space="preserve">species has been evaluated as satisfactory as maintenance of roading for fire management may be as much as a mitigation measure as it is an impact to the </w:t>
      </w:r>
      <w:r w:rsidR="00B05B1A">
        <w:t>sub</w:t>
      </w:r>
      <w:r w:rsidR="001D3902">
        <w:t>species</w:t>
      </w:r>
      <w:r w:rsidRPr="00436099">
        <w:t>, given the generally low exposure.</w:t>
      </w:r>
    </w:p>
    <w:p w14:paraId="3F39506A" w14:textId="6C8CF7F8"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198</w:t>
      </w:r>
      <w:r w:rsidR="000B6788" w:rsidRPr="00B6162A">
        <w:rPr>
          <w:bCs/>
          <w:noProof/>
        </w:rPr>
        <w:fldChar w:fldCharType="end"/>
      </w:r>
      <w:r w:rsidRPr="00FF310C">
        <w:t>. Satinwood protection requirements and recommendations for fuel management roading</w:t>
      </w:r>
    </w:p>
    <w:tbl>
      <w:tblPr>
        <w:tblStyle w:val="TableGrid"/>
        <w:tblW w:w="0" w:type="auto"/>
        <w:tblLook w:val="04A0" w:firstRow="1" w:lastRow="0" w:firstColumn="1" w:lastColumn="0" w:noHBand="0" w:noVBand="1"/>
      </w:tblPr>
      <w:tblGrid>
        <w:gridCol w:w="2268"/>
        <w:gridCol w:w="7371"/>
      </w:tblGrid>
      <w:tr w:rsidR="005F2101" w:rsidRPr="00867DAA" w14:paraId="791573CA"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14CEBFFD" w14:textId="77777777" w:rsidR="005F2101" w:rsidRPr="00704719" w:rsidRDefault="005F2101" w:rsidP="00296E0F">
            <w:pPr>
              <w:pStyle w:val="BodyText"/>
            </w:pPr>
            <w:r w:rsidRPr="00704719">
              <w:t>Requirement</w:t>
            </w:r>
          </w:p>
        </w:tc>
        <w:tc>
          <w:tcPr>
            <w:tcW w:w="7371" w:type="dxa"/>
            <w:vAlign w:val="center"/>
          </w:tcPr>
          <w:p w14:paraId="5AA7F957"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52783FB5" w14:textId="77777777" w:rsidTr="00C77CDF">
        <w:tc>
          <w:tcPr>
            <w:tcW w:w="2268" w:type="dxa"/>
          </w:tcPr>
          <w:p w14:paraId="47080FE2" w14:textId="7D2E469C" w:rsidR="005F2101" w:rsidRPr="003566BD" w:rsidRDefault="00A625E1" w:rsidP="00C77CDF">
            <w:pPr>
              <w:pStyle w:val="BodyText"/>
            </w:pPr>
            <w:r>
              <w:t>Priority management actions</w:t>
            </w:r>
          </w:p>
        </w:tc>
        <w:tc>
          <w:tcPr>
            <w:tcW w:w="7371" w:type="dxa"/>
          </w:tcPr>
          <w:p w14:paraId="1B56228D" w14:textId="77777777" w:rsidR="005F2101" w:rsidRPr="00D65476" w:rsidRDefault="005F2101" w:rsidP="00C77CDF">
            <w:pPr>
              <w:pStyle w:val="BodyText"/>
            </w:pPr>
            <w:r w:rsidRPr="00200995">
              <w:t>Not required for this hazard based on the overall risk level of medium</w:t>
            </w:r>
            <w:r>
              <w:t>.</w:t>
            </w:r>
          </w:p>
        </w:tc>
      </w:tr>
      <w:tr w:rsidR="005F2101" w:rsidRPr="00867DAA" w14:paraId="3D42C67A" w14:textId="77777777" w:rsidTr="00C77CDF">
        <w:tc>
          <w:tcPr>
            <w:tcW w:w="2268" w:type="dxa"/>
          </w:tcPr>
          <w:p w14:paraId="27BB6CAC" w14:textId="2D6F3154" w:rsidR="005F2101" w:rsidRPr="00867DAA" w:rsidRDefault="00A625E1" w:rsidP="00C77CDF">
            <w:pPr>
              <w:pStyle w:val="BodyText"/>
            </w:pPr>
            <w:r>
              <w:t>Potential m</w:t>
            </w:r>
            <w:r w:rsidR="005F2101" w:rsidRPr="00867DAA">
              <w:t>anagement actions</w:t>
            </w:r>
          </w:p>
        </w:tc>
        <w:tc>
          <w:tcPr>
            <w:tcW w:w="7371" w:type="dxa"/>
          </w:tcPr>
          <w:p w14:paraId="5C44D85A" w14:textId="77777777" w:rsidR="005F2101" w:rsidRDefault="005F2101" w:rsidP="006670D2">
            <w:pPr>
              <w:pStyle w:val="PullOutBoxBullet"/>
            </w:pPr>
            <w:r>
              <w:t xml:space="preserve">Use counterbalancing measures in the crown land procedure, whether required to or not for actions needed for fuel reduction. This may include establishing equivalent number of plants lost elsewhere; </w:t>
            </w:r>
          </w:p>
          <w:p w14:paraId="582CD4AD" w14:textId="77777777" w:rsidR="005F2101" w:rsidRDefault="005F2101" w:rsidP="006670D2">
            <w:pPr>
              <w:pStyle w:val="PullOutBoxBullet"/>
            </w:pPr>
            <w:r>
              <w:t xml:space="preserve">Retain some individuals on roadsides within fuel management zones, where this can be done while achieving fuel load targets; and </w:t>
            </w:r>
          </w:p>
          <w:p w14:paraId="4AE7E4D6" w14:textId="77777777" w:rsidR="005F2101" w:rsidRPr="00001691" w:rsidRDefault="005F2101" w:rsidP="006670D2">
            <w:pPr>
              <w:pStyle w:val="PullOutBoxBullet"/>
            </w:pPr>
            <w:r>
              <w:t>Develop clear protocol for clearing for this purpose. Ensure non-compliance is followed up for contractors when clearing occurs outside of permitted clearing.</w:t>
            </w:r>
          </w:p>
        </w:tc>
      </w:tr>
    </w:tbl>
    <w:p w14:paraId="45C4FCE7" w14:textId="77777777" w:rsidR="005F2101" w:rsidRDefault="005F2101" w:rsidP="007E5EBF">
      <w:pPr>
        <w:pStyle w:val="Heading3"/>
      </w:pPr>
      <w:r>
        <w:t>Forestry operations</w:t>
      </w:r>
    </w:p>
    <w:p w14:paraId="312707CE" w14:textId="77777777" w:rsidR="005F2101" w:rsidRPr="00660ABA" w:rsidRDefault="005F2101" w:rsidP="007E5EBF">
      <w:pPr>
        <w:pStyle w:val="Heading5"/>
        <w:rPr>
          <w:rFonts w:ascii="Segoe UI" w:hAnsi="Segoe UI" w:cs="Segoe UI"/>
        </w:rPr>
      </w:pPr>
      <w:r>
        <w:t>Forestry operations</w:t>
      </w:r>
    </w:p>
    <w:p w14:paraId="4163342A" w14:textId="3ACB2E49" w:rsidR="005F2101" w:rsidRDefault="005F2101" w:rsidP="005F2101">
      <w:pPr>
        <w:pStyle w:val="BodyText"/>
      </w:pPr>
      <w:r w:rsidRPr="00E15DB4">
        <w:t xml:space="preserve">The </w:t>
      </w:r>
      <w:r w:rsidR="00B05B1A">
        <w:t>sub</w:t>
      </w:r>
      <w:r w:rsidR="001D3902">
        <w:t>species</w:t>
      </w:r>
      <w:r w:rsidRPr="00E15DB4">
        <w:t xml:space="preserve"> is thought to be a fire-sensitive obligate seed regenerator which recruits episodically post-fire at pre-settlement intervals of (45-) 80-120 (-500) years depending on local habitat conditions. If timber harvesting occurs in areas where there are records for this </w:t>
      </w:r>
      <w:r w:rsidR="00B05B1A">
        <w:t>sub</w:t>
      </w:r>
      <w:r w:rsidR="001D3902">
        <w:t>species</w:t>
      </w:r>
      <w:r w:rsidRPr="00E15DB4">
        <w:t xml:space="preserve">, it may be the case that post harvesting, the regeneration could be exposed to either slash burning and/or </w:t>
      </w:r>
      <w:r>
        <w:t>bush</w:t>
      </w:r>
      <w:r w:rsidRPr="00E15DB4">
        <w:t>fire prior to reaching reproductive maturity</w:t>
      </w:r>
      <w:r w:rsidR="000B491B">
        <w:t>.</w:t>
      </w:r>
      <w:r>
        <w:t xml:space="preserve"> The </w:t>
      </w:r>
      <w:r w:rsidR="00B05B1A">
        <w:t>sub</w:t>
      </w:r>
      <w:r w:rsidR="001D3902">
        <w:t>species</w:t>
      </w:r>
      <w:r>
        <w:t xml:space="preserve"> does not have a current Code prescription and occupies a restricted range in East Gippsland</w:t>
      </w:r>
      <w:r w:rsidR="00B461DF">
        <w:t>;</w:t>
      </w:r>
      <w:r>
        <w:t xml:space="preserve"> </w:t>
      </w:r>
      <w:r w:rsidR="00B461DF">
        <w:t>therefore,</w:t>
      </w:r>
      <w:r>
        <w:t xml:space="preserve"> it is likely to be</w:t>
      </w:r>
      <w:r w:rsidRPr="00D71758">
        <w:t xml:space="preserve"> affected by timber harvesting</w:t>
      </w:r>
      <w:r>
        <w:t xml:space="preserve"> in that region</w:t>
      </w:r>
      <w:r w:rsidRPr="00D71758">
        <w:t xml:space="preserve">. </w:t>
      </w:r>
      <w:r>
        <w:t xml:space="preserve">While there is some uncertainty about the </w:t>
      </w:r>
      <w:r w:rsidR="00B05B1A">
        <w:t>sub</w:t>
      </w:r>
      <w:r w:rsidR="001D3902">
        <w:t>species’</w:t>
      </w:r>
      <w:r>
        <w:t xml:space="preserve"> response to timber harvesting, a precautionary interim approach is required post bushfire. This hazard</w:t>
      </w:r>
      <w:r w:rsidR="006B480C">
        <w:t xml:space="preserve"> has the potential to</w:t>
      </w:r>
      <w:r>
        <w:t xml:space="preserve"> impact less than 5% of the </w:t>
      </w:r>
      <w:r w:rsidR="004E428D">
        <w:t>sub</w:t>
      </w:r>
      <w:r w:rsidR="001D3902">
        <w:t>species’</w:t>
      </w:r>
      <w:r>
        <w:t xml:space="preserve"> populations in the West RFA</w:t>
      </w:r>
      <w:r w:rsidR="003D5D67">
        <w:t xml:space="preserve"> region</w:t>
      </w:r>
      <w:r>
        <w:t xml:space="preserve">, however may impact where alterations are made to roads and tracks. It </w:t>
      </w:r>
      <w:r w:rsidR="006B480C">
        <w:t xml:space="preserve">has the potential to </w:t>
      </w:r>
      <w:r>
        <w:t xml:space="preserve">impact </w:t>
      </w:r>
      <w:r w:rsidR="00E349FD">
        <w:t xml:space="preserve">less than </w:t>
      </w:r>
      <w:r>
        <w:t>20% of the population in the East Gippsland RFA region.</w:t>
      </w:r>
      <w:r w:rsidR="00985ABF">
        <w:t xml:space="preserve"> </w:t>
      </w:r>
      <w:r>
        <w:t xml:space="preserve">  </w:t>
      </w:r>
    </w:p>
    <w:p w14:paraId="15D5104B" w14:textId="77777777" w:rsidR="005F2101" w:rsidRDefault="005F2101" w:rsidP="005F2101">
      <w:pPr>
        <w:pStyle w:val="BodyText"/>
      </w:pPr>
      <w:r>
        <w:t xml:space="preserve">Current controls </w:t>
      </w:r>
      <w:r w:rsidRPr="00660ABA">
        <w:t>for this hazard includ</w:t>
      </w:r>
      <w:r>
        <w:t>e:</w:t>
      </w:r>
    </w:p>
    <w:p w14:paraId="29DEC957" w14:textId="240651DE" w:rsidR="005F2101" w:rsidRDefault="005F2101" w:rsidP="006670D2">
      <w:pPr>
        <w:pStyle w:val="PullOutBoxBullet"/>
      </w:pPr>
      <w:r w:rsidRPr="003566BD">
        <w:t xml:space="preserve">The </w:t>
      </w:r>
      <w:r w:rsidRPr="003566BD">
        <w:rPr>
          <w:i/>
          <w:iCs/>
        </w:rPr>
        <w:t>Code of Practice for Timber Production 2014</w:t>
      </w:r>
      <w:r>
        <w:rPr>
          <w:i/>
          <w:iCs/>
        </w:rPr>
        <w:t xml:space="preserve">. </w:t>
      </w:r>
      <w:r>
        <w:t>Th</w:t>
      </w:r>
      <w:r w:rsidRPr="003566BD">
        <w:t xml:space="preserve">ere </w:t>
      </w:r>
      <w:r>
        <w:t>is</w:t>
      </w:r>
      <w:r w:rsidRPr="003566BD">
        <w:t xml:space="preserve"> no species-specific prescription for this </w:t>
      </w:r>
      <w:r w:rsidR="004E428D">
        <w:t>sub</w:t>
      </w:r>
      <w:r w:rsidR="001D3902">
        <w:t>species</w:t>
      </w:r>
      <w:r>
        <w:t xml:space="preserve"> in the Code, however </w:t>
      </w:r>
      <w:r w:rsidRPr="003566BD">
        <w:t xml:space="preserve">the Code includes general protections for </w:t>
      </w:r>
      <w:r>
        <w:t xml:space="preserve">waterways and </w:t>
      </w:r>
      <w:r w:rsidRPr="003566BD">
        <w:t>rainforest</w:t>
      </w:r>
      <w:r>
        <w:t xml:space="preserve"> </w:t>
      </w:r>
      <w:r w:rsidRPr="003566BD">
        <w:t xml:space="preserve">including a prohibition on harvesting, the application of buffers and </w:t>
      </w:r>
      <w:r w:rsidR="000D065A" w:rsidRPr="00C02DCA">
        <w:t>design standards for roads, crossings</w:t>
      </w:r>
      <w:r w:rsidR="00B461DF" w:rsidRPr="00C02DCA">
        <w:t>,</w:t>
      </w:r>
      <w:r w:rsidR="000D065A" w:rsidRPr="00C02DCA">
        <w:t xml:space="preserve"> and coupe infrastructure</w:t>
      </w:r>
      <w:r w:rsidRPr="003566BD">
        <w:t xml:space="preserve">. The lack of a specific prescription leads to the effectiveness of the Code being assessed as poor for this </w:t>
      </w:r>
      <w:r w:rsidR="004E428D">
        <w:t>sub</w:t>
      </w:r>
      <w:r w:rsidR="001D3902">
        <w:t>species</w:t>
      </w:r>
      <w:r w:rsidRPr="003566BD">
        <w:t xml:space="preserve">. </w:t>
      </w:r>
    </w:p>
    <w:p w14:paraId="62DEDC01" w14:textId="3C2B55D6" w:rsidR="005F2101" w:rsidRPr="00F87D51" w:rsidRDefault="005F2101" w:rsidP="006670D2">
      <w:pPr>
        <w:pStyle w:val="PullOutBoxBullet"/>
      </w:pPr>
      <w:r w:rsidRPr="4F453272">
        <w:t xml:space="preserve">The CAR reserve system. </w:t>
      </w:r>
      <w:r w:rsidRPr="00160F2E">
        <w:t xml:space="preserve">The effectiveness of this control for this </w:t>
      </w:r>
      <w:r w:rsidR="004E428D">
        <w:t>sub</w:t>
      </w:r>
      <w:r w:rsidRPr="00160F2E">
        <w:t>species has been evaluated as</w:t>
      </w:r>
      <w:r>
        <w:t xml:space="preserve"> poor </w:t>
      </w:r>
      <w:r w:rsidRPr="4F453272">
        <w:t xml:space="preserve">as </w:t>
      </w:r>
      <w:r>
        <w:t>51</w:t>
      </w:r>
      <w:r w:rsidRPr="4F453272">
        <w:t xml:space="preserve">% of the </w:t>
      </w:r>
      <w:r w:rsidR="004E428D">
        <w:t>sub</w:t>
      </w:r>
      <w:r w:rsidR="001D3902">
        <w:t>species’</w:t>
      </w:r>
      <w:r w:rsidRPr="4F453272">
        <w:t xml:space="preserve"> modelled distribution and</w:t>
      </w:r>
      <w:r>
        <w:t xml:space="preserve"> 60</w:t>
      </w:r>
      <w:r w:rsidRPr="4F453272">
        <w:t>% of important populations are within the reserve system.</w:t>
      </w:r>
    </w:p>
    <w:p w14:paraId="1AAB048E" w14:textId="5D904F5C"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199</w:t>
      </w:r>
      <w:r w:rsidR="000B6788" w:rsidRPr="00B6162A">
        <w:rPr>
          <w:bCs/>
          <w:noProof/>
        </w:rPr>
        <w:fldChar w:fldCharType="end"/>
      </w:r>
      <w:r w:rsidRPr="00FF310C">
        <w:t xml:space="preserve">. Satinwood protection requirements and recommendations for </w:t>
      </w:r>
      <w:r w:rsidR="000B3198" w:rsidRPr="00FF310C">
        <w:t>f</w:t>
      </w:r>
      <w:r w:rsidRPr="00FF310C">
        <w:t>orestry operations</w:t>
      </w:r>
    </w:p>
    <w:tbl>
      <w:tblPr>
        <w:tblStyle w:val="TableGrid"/>
        <w:tblW w:w="0" w:type="auto"/>
        <w:tblLook w:val="04A0" w:firstRow="1" w:lastRow="0" w:firstColumn="1" w:lastColumn="0" w:noHBand="0" w:noVBand="1"/>
      </w:tblPr>
      <w:tblGrid>
        <w:gridCol w:w="2268"/>
        <w:gridCol w:w="7371"/>
      </w:tblGrid>
      <w:tr w:rsidR="005F2101" w:rsidRPr="00D65476" w14:paraId="32CA4A84"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2DDA8E88" w14:textId="77777777" w:rsidR="005F2101" w:rsidRPr="00D65476" w:rsidRDefault="005F2101" w:rsidP="00296E0F">
            <w:pPr>
              <w:pStyle w:val="BodyText"/>
            </w:pPr>
            <w:r w:rsidRPr="00D65476">
              <w:t>Requirement</w:t>
            </w:r>
          </w:p>
        </w:tc>
        <w:tc>
          <w:tcPr>
            <w:tcW w:w="7371" w:type="dxa"/>
            <w:vAlign w:val="center"/>
          </w:tcPr>
          <w:p w14:paraId="349AD42B" w14:textId="77777777" w:rsidR="005F2101" w:rsidRPr="00D65476"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D65476">
              <w:t>Recommendation</w:t>
            </w:r>
          </w:p>
        </w:tc>
      </w:tr>
      <w:tr w:rsidR="005F2101" w:rsidRPr="00D65476" w14:paraId="42D8ED6C" w14:textId="77777777" w:rsidTr="00C77CDF">
        <w:tc>
          <w:tcPr>
            <w:tcW w:w="2268" w:type="dxa"/>
          </w:tcPr>
          <w:p w14:paraId="15997C14" w14:textId="77777777" w:rsidR="005F2101" w:rsidRPr="00D65476" w:rsidRDefault="005F2101" w:rsidP="00C77CDF">
            <w:pPr>
              <w:pStyle w:val="BodyText"/>
            </w:pPr>
            <w:r w:rsidRPr="00D65476">
              <w:t>Interim protections</w:t>
            </w:r>
          </w:p>
        </w:tc>
        <w:tc>
          <w:tcPr>
            <w:tcW w:w="7371" w:type="dxa"/>
          </w:tcPr>
          <w:p w14:paraId="3C39C1BD" w14:textId="373CAF6B" w:rsidR="005F2101" w:rsidRPr="00CD6DBA" w:rsidRDefault="005F2101" w:rsidP="00C77CDF">
            <w:pPr>
              <w:pStyle w:val="BodyText"/>
              <w:rPr>
                <w:rFonts w:eastAsia="Calibri"/>
              </w:rPr>
            </w:pPr>
            <w:r w:rsidRPr="00CD6DBA">
              <w:rPr>
                <w:rFonts w:eastAsia="Calibri"/>
              </w:rPr>
              <w:t>Within the East Gippsland RFA</w:t>
            </w:r>
            <w:r w:rsidR="003D5D67">
              <w:rPr>
                <w:rFonts w:eastAsia="Calibri"/>
              </w:rPr>
              <w:t xml:space="preserve"> region</w:t>
            </w:r>
            <w:r w:rsidRPr="00CD6DBA">
              <w:rPr>
                <w:rFonts w:eastAsia="Calibri"/>
              </w:rPr>
              <w:t>, the Secretary will establish Special Management Zone(s) over individual or collections of post-1970 VBA records (</w:t>
            </w:r>
            <w:r w:rsidR="0058098D">
              <w:rPr>
                <w:rFonts w:eastAsia="Calibri"/>
              </w:rPr>
              <w:t>records with an accuracy of 100 m or better</w:t>
            </w:r>
            <w:r w:rsidRPr="00CD6DBA">
              <w:rPr>
                <w:rFonts w:eastAsia="Calibri"/>
              </w:rPr>
              <w:t>) with the following conditions:</w:t>
            </w:r>
          </w:p>
          <w:p w14:paraId="0ECA4B87" w14:textId="3CC63DF9" w:rsidR="005F2101" w:rsidRPr="00CD6DBA" w:rsidRDefault="005F2101" w:rsidP="006670D2">
            <w:pPr>
              <w:pStyle w:val="PullOutBoxBullet"/>
            </w:pPr>
            <w:r w:rsidRPr="00CD6DBA">
              <w:t>The managing authority is required to apply a management area of 200 m radius over individual or collections of post-1970 VBA records (</w:t>
            </w:r>
            <w:r w:rsidR="0058098D">
              <w:t>records with an accuracy of 100 m or better</w:t>
            </w:r>
            <w:r w:rsidRPr="00CD6DBA">
              <w:t xml:space="preserve">). Conduct a site inspection and detailed planning in consultation with the Department to ensure the </w:t>
            </w:r>
            <w:r w:rsidR="004E428D">
              <w:t>sub</w:t>
            </w:r>
            <w:r w:rsidRPr="00CD6DBA">
              <w:t>species is adequately protected during timber harvesting operations</w:t>
            </w:r>
            <w:r w:rsidR="001B205C">
              <w:t xml:space="preserve"> (See Map 6a).</w:t>
            </w:r>
          </w:p>
          <w:p w14:paraId="01C021AF" w14:textId="3A8209A2" w:rsidR="005F2101" w:rsidRPr="00D65476" w:rsidRDefault="005F2101" w:rsidP="00C77CDF">
            <w:pPr>
              <w:pStyle w:val="BodyText"/>
            </w:pPr>
            <w:r>
              <w:t>Interim protections not required in the West RFA</w:t>
            </w:r>
            <w:r w:rsidR="003D5D67">
              <w:t xml:space="preserve"> region</w:t>
            </w:r>
            <w:r w:rsidRPr="00200995">
              <w:t xml:space="preserve"> based on the overall risk level of</w:t>
            </w:r>
            <w:r>
              <w:t xml:space="preserve"> low.</w:t>
            </w:r>
          </w:p>
        </w:tc>
      </w:tr>
      <w:tr w:rsidR="0067299F" w:rsidRPr="00D65476" w14:paraId="02D3DAAB" w14:textId="77777777" w:rsidTr="00C77CDF">
        <w:tc>
          <w:tcPr>
            <w:tcW w:w="2268" w:type="dxa"/>
          </w:tcPr>
          <w:p w14:paraId="259EBF56" w14:textId="14787D35" w:rsidR="0067299F" w:rsidRPr="00D65476" w:rsidRDefault="0067299F" w:rsidP="00C77CDF">
            <w:pPr>
              <w:pStyle w:val="BodyText"/>
            </w:pPr>
            <w:r>
              <w:t>Priority management actions</w:t>
            </w:r>
          </w:p>
        </w:tc>
        <w:tc>
          <w:tcPr>
            <w:tcW w:w="7371" w:type="dxa"/>
            <w:shd w:val="clear" w:color="auto" w:fill="auto"/>
          </w:tcPr>
          <w:p w14:paraId="69F42211" w14:textId="77777777" w:rsidR="005672B6" w:rsidRPr="00E31362" w:rsidRDefault="005672B6" w:rsidP="006670D2">
            <w:pPr>
              <w:pStyle w:val="PullOutBoxBullet"/>
            </w:pPr>
            <w:r w:rsidRPr="00E31362">
              <w:t>Comprehensively search likely habitat and map important populations; and</w:t>
            </w:r>
          </w:p>
          <w:p w14:paraId="561F1E22" w14:textId="2CAD1CB2" w:rsidR="0067299F" w:rsidRPr="00D65476" w:rsidRDefault="005672B6" w:rsidP="006670D2">
            <w:pPr>
              <w:pStyle w:val="PullOutBoxBullet"/>
            </w:pPr>
            <w:r w:rsidRPr="00E31362">
              <w:t>Establish monitoring sites and collect baseline data.</w:t>
            </w:r>
          </w:p>
        </w:tc>
      </w:tr>
      <w:tr w:rsidR="005F2101" w:rsidRPr="00D65476" w14:paraId="37D78747" w14:textId="77777777" w:rsidTr="00C77CDF">
        <w:tc>
          <w:tcPr>
            <w:tcW w:w="2268" w:type="dxa"/>
          </w:tcPr>
          <w:p w14:paraId="17192094" w14:textId="77777777" w:rsidR="005F2101" w:rsidRPr="00D65476" w:rsidRDefault="005F2101" w:rsidP="00C77CDF">
            <w:pPr>
              <w:pStyle w:val="BodyText"/>
            </w:pPr>
            <w:r w:rsidRPr="00D65476">
              <w:t>Permanent protections</w:t>
            </w:r>
          </w:p>
        </w:tc>
        <w:tc>
          <w:tcPr>
            <w:tcW w:w="7371" w:type="dxa"/>
            <w:shd w:val="clear" w:color="auto" w:fill="auto"/>
          </w:tcPr>
          <w:p w14:paraId="3A039E2A" w14:textId="411DC40F" w:rsidR="005F2101" w:rsidRPr="00D65476" w:rsidRDefault="005F2101" w:rsidP="00C77CDF">
            <w:pPr>
              <w:pStyle w:val="BodyText"/>
            </w:pPr>
            <w:r w:rsidRPr="00D65476">
              <w:t>Additional permanent protections may be required in the longer-term</w:t>
            </w:r>
            <w:r w:rsidR="00A625E1">
              <w:t xml:space="preserve"> </w:t>
            </w:r>
            <w:r w:rsidR="009330C6">
              <w:t>in the East Gippsland RFA</w:t>
            </w:r>
            <w:r w:rsidR="003D5D67">
              <w:t xml:space="preserve"> region</w:t>
            </w:r>
            <w:r w:rsidR="009330C6">
              <w:t>.</w:t>
            </w:r>
          </w:p>
        </w:tc>
      </w:tr>
      <w:tr w:rsidR="005F2101" w:rsidRPr="00D65476" w14:paraId="51ACC2EC" w14:textId="77777777" w:rsidTr="00C77CDF">
        <w:tc>
          <w:tcPr>
            <w:tcW w:w="2268" w:type="dxa"/>
          </w:tcPr>
          <w:p w14:paraId="626D7659" w14:textId="70DD8245" w:rsidR="005F2101" w:rsidRPr="00D65476" w:rsidRDefault="00A273D5" w:rsidP="00C77CDF">
            <w:pPr>
              <w:pStyle w:val="BodyText"/>
            </w:pPr>
            <w:r>
              <w:t>Potential m</w:t>
            </w:r>
            <w:r w:rsidR="005F2101" w:rsidRPr="00D65476">
              <w:t>anagement actions</w:t>
            </w:r>
          </w:p>
        </w:tc>
        <w:tc>
          <w:tcPr>
            <w:tcW w:w="7371" w:type="dxa"/>
          </w:tcPr>
          <w:p w14:paraId="1C622015" w14:textId="77777777" w:rsidR="005F2101" w:rsidRDefault="005F2101" w:rsidP="006670D2">
            <w:pPr>
              <w:pStyle w:val="PullOutBoxBullet"/>
            </w:pPr>
            <w:r w:rsidRPr="00A31083">
              <w:t>Species-specific code prescriptions should be considered in any future Code amendments</w:t>
            </w:r>
            <w:r>
              <w:t>;</w:t>
            </w:r>
          </w:p>
          <w:p w14:paraId="7B7580BE" w14:textId="7CDB917D" w:rsidR="005F2101" w:rsidRDefault="005F2101" w:rsidP="006670D2">
            <w:pPr>
              <w:pStyle w:val="PullOutBoxBullet"/>
            </w:pPr>
            <w:r>
              <w:t xml:space="preserve">Ensure alterations to roads and tracks are </w:t>
            </w:r>
            <w:r w:rsidR="00E43FEE">
              <w:t>only</w:t>
            </w:r>
            <w:r>
              <w:t xml:space="preserve"> made where absolutely necessary in the vicinity of known populations; and </w:t>
            </w:r>
          </w:p>
          <w:p w14:paraId="65D9054A" w14:textId="06AF3E0E" w:rsidR="005F2101" w:rsidRPr="00D65476" w:rsidRDefault="005F2101" w:rsidP="006670D2">
            <w:pPr>
              <w:pStyle w:val="PullOutBoxBullet"/>
            </w:pPr>
            <w:r>
              <w:t xml:space="preserve">Place a buffer zone over verified populations, or plan timber harvesting coupe as normal at one of the verified sites and assess the response of the </w:t>
            </w:r>
            <w:r w:rsidR="004E428D">
              <w:t>sub</w:t>
            </w:r>
            <w:r w:rsidR="001D3902">
              <w:t>species</w:t>
            </w:r>
            <w:r>
              <w:t>.</w:t>
            </w:r>
          </w:p>
        </w:tc>
      </w:tr>
    </w:tbl>
    <w:p w14:paraId="6BBEA5CF" w14:textId="77777777" w:rsidR="005F2101" w:rsidRPr="001C0DE0" w:rsidRDefault="005F2101" w:rsidP="007E5EBF">
      <w:pPr>
        <w:pStyle w:val="Heading5"/>
      </w:pPr>
      <w:r w:rsidRPr="00D55628">
        <w:rPr>
          <w:noProof/>
        </w:rPr>
        <mc:AlternateContent>
          <mc:Choice Requires="wps">
            <w:drawing>
              <wp:anchor distT="0" distB="0" distL="114300" distR="114300" simplePos="1" relativeHeight="251658372" behindDoc="1" locked="1" layoutInCell="1" allowOverlap="1" wp14:anchorId="7ADFF249" wp14:editId="7C5ECEA8">
                <wp:simplePos x="359410" y="9071610"/>
                <wp:positionH relativeFrom="page">
                  <wp:posOffset>359410</wp:posOffset>
                </wp:positionH>
                <wp:positionV relativeFrom="page">
                  <wp:posOffset>9071610</wp:posOffset>
                </wp:positionV>
                <wp:extent cx="6840001" cy="432000"/>
                <wp:effectExtent l="0" t="0" r="0" b="0"/>
                <wp:wrapNone/>
                <wp:docPr id="1437"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7DBCD"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FF249" id="_x0000_s1113" type="#_x0000_t202" alt="Title: Decorative Cover Shape" style="position:absolute;left:0;text-align:left;margin-left:28.3pt;margin-top:714.3pt;width:538.6pt;height:34pt;z-index:-2516581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" fillcolor="#201547" stroked="f" strokeweight=".5pt">
                <v:textbox inset="10mm,0,10mm,0">
                  <w:txbxContent>
                    <w:p w14:paraId="0E47DBCD"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658371" behindDoc="0" locked="1" layoutInCell="1" allowOverlap="1" wp14:anchorId="5C2AF1D9" wp14:editId="768D048B">
                <wp:simplePos x="0" y="0"/>
                <wp:positionH relativeFrom="page">
                  <wp:posOffset>360045</wp:posOffset>
                </wp:positionH>
                <wp:positionV relativeFrom="page">
                  <wp:posOffset>360045</wp:posOffset>
                </wp:positionV>
                <wp:extent cx="1864800" cy="1976400"/>
                <wp:effectExtent l="0" t="0" r="0" b="0"/>
                <wp:wrapNone/>
                <wp:docPr id="143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6A6048F" id="TriangleTopACIMono" o:spid="_x0000_s1026" style="position:absolute;margin-left:28.35pt;margin-top:28.35pt;width:146.85pt;height:155.6pt;z-index:25165837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noProof/>
        </w:rPr>
        <mc:AlternateContent>
          <mc:Choice Requires="wps">
            <w:drawing>
              <wp:anchor distT="0" distB="0" distL="114300" distR="114300" simplePos="0" relativeHeight="251658370" behindDoc="0" locked="1" layoutInCell="1" allowOverlap="1" wp14:anchorId="1AF44C39" wp14:editId="291CE6C6">
                <wp:simplePos x="0" y="0"/>
                <wp:positionH relativeFrom="page">
                  <wp:posOffset>359410</wp:posOffset>
                </wp:positionH>
                <wp:positionV relativeFrom="page">
                  <wp:posOffset>359410</wp:posOffset>
                </wp:positionV>
                <wp:extent cx="1864800" cy="1976400"/>
                <wp:effectExtent l="0" t="0" r="0" b="0"/>
                <wp:wrapNone/>
                <wp:docPr id="1439"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77169B1" id="TriangleTop" o:spid="_x0000_s1026" style="position:absolute;margin-left:28.3pt;margin-top:28.3pt;width:146.85pt;height:155.6pt;z-index:25165837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noProof/>
        </w:rPr>
        <mc:AlternateContent>
          <mc:Choice Requires="wps">
            <w:drawing>
              <wp:anchor distT="0" distB="0" distL="114300" distR="114300" simplePos="0" relativeHeight="251658369" behindDoc="0" locked="1" layoutInCell="1" allowOverlap="1" wp14:anchorId="54CDF905" wp14:editId="7CD70C67">
                <wp:simplePos x="0" y="0"/>
                <wp:positionH relativeFrom="page">
                  <wp:posOffset>0</wp:posOffset>
                </wp:positionH>
                <wp:positionV relativeFrom="page">
                  <wp:align>bottom</wp:align>
                </wp:positionV>
                <wp:extent cx="3848400" cy="720000"/>
                <wp:effectExtent l="0" t="0" r="0" b="0"/>
                <wp:wrapNone/>
                <wp:docPr id="1504"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1E9AF" w14:textId="77777777" w:rsidR="005F2101" w:rsidRPr="009F69FA" w:rsidRDefault="005F2101" w:rsidP="005F2101">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DF905" id="_x0000_s1114" type="#_x0000_t202" style="position:absolute;left:0;text-align:left;margin-left:0;margin-top:0;width:303pt;height:56.7pt;z-index:25165836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D74u3NbgIAAEYFAAAOAAAAAAAAAAAAAAAAAC4C&#10;AABkcnMvZTJvRG9jLnhtbFBLAQItABQABgAIAAAAIQD0ys+o2gAAAAUBAAAPAAAAAAAAAAAAAAAA&#10;AMgEAABkcnMvZG93bnJldi54bWxQSwUGAAAAAAQABADzAAAAzwUAAAAA&#10;" filled="f" stroked="f" strokeweight=".5pt">
                <v:textbox inset="20mm">
                  <w:txbxContent>
                    <w:p w14:paraId="1451E9AF" w14:textId="77777777" w:rsidR="005F2101" w:rsidRPr="009F69FA" w:rsidRDefault="005F2101" w:rsidP="005F2101">
                      <w:pPr>
                        <w:pStyle w:val="xWebCoverPage"/>
                      </w:pPr>
                      <w:r w:rsidRPr="009F69FA">
                        <w:t>de</w:t>
                      </w:r>
                      <w:r>
                        <w:t>lw</w:t>
                      </w:r>
                      <w:r w:rsidRPr="009F69FA">
                        <w:t>p.vic.gov.au</w:t>
                      </w:r>
                    </w:p>
                  </w:txbxContent>
                </v:textbox>
                <w10:wrap anchorx="page" anchory="page"/>
                <w10:anchorlock/>
              </v:shape>
            </w:pict>
          </mc:Fallback>
        </mc:AlternateContent>
      </w:r>
      <w:r>
        <w:t>Plantations</w:t>
      </w:r>
    </w:p>
    <w:p w14:paraId="0BEBDA62" w14:textId="3EC6E6E0" w:rsidR="005F2101" w:rsidRDefault="005F2101" w:rsidP="005F2101">
      <w:pPr>
        <w:pStyle w:val="BodyText"/>
      </w:pPr>
      <w:r w:rsidRPr="00F325EB">
        <w:t>While native forest timber harvesting on public land has been phased out in the Otway Ranges since 2008, harvesting on private land and in plantations continues in parts of its range</w:t>
      </w:r>
      <w:r w:rsidR="007C048D">
        <w:t xml:space="preserve">. </w:t>
      </w:r>
      <w:r w:rsidRPr="00F325EB">
        <w:t xml:space="preserve">Pine plantations </w:t>
      </w:r>
      <w:r w:rsidRPr="00C23B38">
        <w:t>could potentially</w:t>
      </w:r>
      <w:r w:rsidRPr="00F325EB">
        <w:t xml:space="preserve"> facilitate </w:t>
      </w:r>
      <w:r>
        <w:t xml:space="preserve">encroachment by invasive </w:t>
      </w:r>
      <w:r w:rsidR="004E428D">
        <w:t>sub</w:t>
      </w:r>
      <w:r>
        <w:t>species</w:t>
      </w:r>
      <w:r w:rsidRPr="00F325EB">
        <w:t xml:space="preserve">. This hazard has the potential to impact 28% of the </w:t>
      </w:r>
      <w:r w:rsidR="004E428D">
        <w:t>sub</w:t>
      </w:r>
      <w:r w:rsidR="001D3902">
        <w:t>species’</w:t>
      </w:r>
      <w:r w:rsidRPr="00F325EB">
        <w:t xml:space="preserve"> modelled habitat in the West RFA region.</w:t>
      </w:r>
    </w:p>
    <w:p w14:paraId="72258F88" w14:textId="77777777" w:rsidR="005F2101" w:rsidRDefault="005F2101" w:rsidP="005F2101">
      <w:pPr>
        <w:pStyle w:val="BodyText"/>
      </w:pPr>
      <w:r>
        <w:t xml:space="preserve">Current controls </w:t>
      </w:r>
      <w:r w:rsidRPr="00660ABA">
        <w:t>for this hazard includ</w:t>
      </w:r>
      <w:r>
        <w:t>e:</w:t>
      </w:r>
    </w:p>
    <w:p w14:paraId="26003B82" w14:textId="0DEDFE24" w:rsidR="005F2101" w:rsidRDefault="005F2101" w:rsidP="006670D2">
      <w:pPr>
        <w:pStyle w:val="PullOutBoxBullet"/>
      </w:pPr>
      <w:r>
        <w:t xml:space="preserve">The </w:t>
      </w:r>
      <w:r w:rsidRPr="007935D4">
        <w:rPr>
          <w:i/>
          <w:iCs/>
        </w:rPr>
        <w:t>Code of Practice for Timber Production 2014.</w:t>
      </w:r>
      <w:r>
        <w:t xml:space="preserve"> This has been evaluated as poor because, although there are general protections for waterways and rainforest, this </w:t>
      </w:r>
      <w:r w:rsidR="004E428D">
        <w:t>sub</w:t>
      </w:r>
      <w:r w:rsidR="001D3902">
        <w:t>species</w:t>
      </w:r>
      <w:r>
        <w:t xml:space="preserve"> does not occur in these habitats.</w:t>
      </w:r>
    </w:p>
    <w:p w14:paraId="71F7C1AA" w14:textId="6646D10F" w:rsidR="005F2101" w:rsidRDefault="005F2101" w:rsidP="006670D2">
      <w:pPr>
        <w:pStyle w:val="PullOutBoxBullet"/>
      </w:pPr>
      <w:r w:rsidRPr="4F453272">
        <w:t xml:space="preserve">The CAR reserve system. </w:t>
      </w:r>
      <w:r w:rsidRPr="00160F2E">
        <w:t xml:space="preserve">The effectiveness of this control for this </w:t>
      </w:r>
      <w:r w:rsidR="004E428D">
        <w:t>sub</w:t>
      </w:r>
      <w:r w:rsidRPr="00160F2E">
        <w:t>species has been evaluated as</w:t>
      </w:r>
      <w:r>
        <w:t xml:space="preserve"> poor </w:t>
      </w:r>
      <w:r w:rsidRPr="4F453272">
        <w:t xml:space="preserve">as </w:t>
      </w:r>
      <w:r>
        <w:t>51</w:t>
      </w:r>
      <w:r w:rsidRPr="4F453272">
        <w:t xml:space="preserve">% of the </w:t>
      </w:r>
      <w:r w:rsidR="004E428D">
        <w:t>sub</w:t>
      </w:r>
      <w:r w:rsidR="001D3902">
        <w:t>species’</w:t>
      </w:r>
      <w:r w:rsidRPr="4F453272">
        <w:t xml:space="preserve"> modelled distribution and</w:t>
      </w:r>
      <w:r>
        <w:t xml:space="preserve"> 60</w:t>
      </w:r>
      <w:r w:rsidRPr="4F453272">
        <w:t>% of important populations are within the reserve system</w:t>
      </w:r>
      <w:r>
        <w:t>.</w:t>
      </w:r>
    </w:p>
    <w:p w14:paraId="48CD95FC" w14:textId="44DA809E" w:rsidR="005F2101" w:rsidRDefault="005F2101" w:rsidP="006670D2">
      <w:pPr>
        <w:pStyle w:val="PullOutBoxBullet"/>
      </w:pPr>
      <w:r>
        <w:t xml:space="preserve">Vegetation Clearance Controls. </w:t>
      </w:r>
      <w:r w:rsidRPr="00160F2E">
        <w:t xml:space="preserve">The effectiveness of this control for this </w:t>
      </w:r>
      <w:r w:rsidR="004E428D">
        <w:t>sub</w:t>
      </w:r>
      <w:r w:rsidRPr="00160F2E">
        <w:t>species has been evaluated as</w:t>
      </w:r>
      <w:r w:rsidDel="002E53A6">
        <w:t xml:space="preserve"> </w:t>
      </w:r>
      <w:r>
        <w:t>satisfactory as controls are generally consistently applied, however the effectiveness has not been demonstrated.</w:t>
      </w:r>
    </w:p>
    <w:p w14:paraId="6ABE1D43" w14:textId="77777777" w:rsidR="00AA5D4F" w:rsidRDefault="00AA5D4F">
      <w:pPr>
        <w:rPr>
          <w:b/>
          <w:sz w:val="16"/>
          <w:szCs w:val="16"/>
        </w:rPr>
      </w:pPr>
      <w:r>
        <w:br w:type="page"/>
      </w:r>
    </w:p>
    <w:p w14:paraId="11FFCEE0" w14:textId="6172352D"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200</w:t>
      </w:r>
      <w:r w:rsidR="000B6788" w:rsidRPr="00B6162A">
        <w:rPr>
          <w:bCs/>
          <w:noProof/>
        </w:rPr>
        <w:fldChar w:fldCharType="end"/>
      </w:r>
      <w:r w:rsidRPr="00FF310C">
        <w:t>. Satinwood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5F2101" w:rsidRPr="00D65476" w14:paraId="62173824"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1DB01130" w14:textId="77777777" w:rsidR="005F2101" w:rsidRPr="00D65476" w:rsidRDefault="005F2101" w:rsidP="00296E0F">
            <w:pPr>
              <w:pStyle w:val="BodyText"/>
            </w:pPr>
            <w:r w:rsidRPr="00D65476">
              <w:t>Requirement</w:t>
            </w:r>
          </w:p>
        </w:tc>
        <w:tc>
          <w:tcPr>
            <w:tcW w:w="7371" w:type="dxa"/>
            <w:vAlign w:val="center"/>
          </w:tcPr>
          <w:p w14:paraId="06901F8E" w14:textId="77777777" w:rsidR="005F2101" w:rsidRPr="00D65476"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D65476">
              <w:t>Recommendation</w:t>
            </w:r>
          </w:p>
        </w:tc>
      </w:tr>
      <w:tr w:rsidR="005F2101" w:rsidRPr="00D65476" w14:paraId="4BC131E5" w14:textId="77777777" w:rsidTr="00C77CDF">
        <w:tc>
          <w:tcPr>
            <w:tcW w:w="2268" w:type="dxa"/>
          </w:tcPr>
          <w:p w14:paraId="2FD1A7B4" w14:textId="1C125DE0" w:rsidR="005F2101" w:rsidRPr="00D65476" w:rsidRDefault="005F2101" w:rsidP="00C77CDF">
            <w:pPr>
              <w:pStyle w:val="BodyText"/>
            </w:pPr>
            <w:r w:rsidRPr="00D65476">
              <w:t>Interim protections</w:t>
            </w:r>
            <w:r w:rsidR="00A273D5">
              <w:t xml:space="preserve"> </w:t>
            </w:r>
          </w:p>
        </w:tc>
        <w:tc>
          <w:tcPr>
            <w:tcW w:w="7371" w:type="dxa"/>
          </w:tcPr>
          <w:p w14:paraId="191B6A14" w14:textId="77777777" w:rsidR="005F2101" w:rsidRPr="00D65476" w:rsidRDefault="005F2101" w:rsidP="00C77CDF">
            <w:pPr>
              <w:pStyle w:val="BodyText"/>
            </w:pPr>
            <w:r>
              <w:t>Not required for this hazard ba</w:t>
            </w:r>
            <w:r w:rsidRPr="00200995">
              <w:t>sed on the overall risk level of</w:t>
            </w:r>
            <w:r>
              <w:t xml:space="preserve"> medium.</w:t>
            </w:r>
          </w:p>
        </w:tc>
      </w:tr>
      <w:tr w:rsidR="001F005D" w:rsidRPr="00D65476" w14:paraId="00503F4F" w14:textId="77777777" w:rsidTr="00C77CDF">
        <w:tc>
          <w:tcPr>
            <w:tcW w:w="2268" w:type="dxa"/>
          </w:tcPr>
          <w:p w14:paraId="7094648A" w14:textId="219956EC" w:rsidR="001F005D" w:rsidRPr="00D65476" w:rsidRDefault="001F005D" w:rsidP="00C77CDF">
            <w:pPr>
              <w:pStyle w:val="BodyText"/>
            </w:pPr>
            <w:r>
              <w:t>Priority management actions</w:t>
            </w:r>
          </w:p>
        </w:tc>
        <w:tc>
          <w:tcPr>
            <w:tcW w:w="7371" w:type="dxa"/>
            <w:shd w:val="clear" w:color="auto" w:fill="auto"/>
          </w:tcPr>
          <w:p w14:paraId="07E1E664" w14:textId="222D606E" w:rsidR="001F005D" w:rsidRPr="00D65476" w:rsidRDefault="001F005D" w:rsidP="00C77CDF">
            <w:pPr>
              <w:pStyle w:val="BodyText"/>
            </w:pPr>
            <w:r>
              <w:t>Not required for this hazard ba</w:t>
            </w:r>
            <w:r w:rsidRPr="00200995">
              <w:t>sed on the overall risk level of</w:t>
            </w:r>
            <w:r>
              <w:t xml:space="preserve"> medium.</w:t>
            </w:r>
          </w:p>
        </w:tc>
      </w:tr>
      <w:tr w:rsidR="005F2101" w:rsidRPr="00D65476" w14:paraId="256DCB9C" w14:textId="77777777" w:rsidTr="00C77CDF">
        <w:tc>
          <w:tcPr>
            <w:tcW w:w="2268" w:type="dxa"/>
          </w:tcPr>
          <w:p w14:paraId="4DA3F39C" w14:textId="77777777" w:rsidR="005F2101" w:rsidRPr="00D65476" w:rsidRDefault="005F2101" w:rsidP="00C77CDF">
            <w:pPr>
              <w:pStyle w:val="BodyText"/>
            </w:pPr>
            <w:r w:rsidRPr="00D65476">
              <w:t>Permanent protections</w:t>
            </w:r>
          </w:p>
        </w:tc>
        <w:tc>
          <w:tcPr>
            <w:tcW w:w="7371" w:type="dxa"/>
            <w:shd w:val="clear" w:color="auto" w:fill="auto"/>
          </w:tcPr>
          <w:p w14:paraId="25C58436" w14:textId="77777777" w:rsidR="005F2101" w:rsidRPr="00D65476" w:rsidRDefault="005F2101" w:rsidP="00C77CDF">
            <w:pPr>
              <w:pStyle w:val="BodyText"/>
            </w:pPr>
            <w:r w:rsidRPr="00D65476">
              <w:t>Additional permanent protections may be required in the longer-term.</w:t>
            </w:r>
          </w:p>
        </w:tc>
      </w:tr>
      <w:tr w:rsidR="005F2101" w:rsidRPr="00D65476" w14:paraId="53790AC4" w14:textId="77777777" w:rsidTr="00C77CDF">
        <w:tc>
          <w:tcPr>
            <w:tcW w:w="2268" w:type="dxa"/>
          </w:tcPr>
          <w:p w14:paraId="0028D7CC" w14:textId="32EA3B96" w:rsidR="005F2101" w:rsidRPr="00D65476" w:rsidRDefault="003C444F" w:rsidP="00C77CDF">
            <w:pPr>
              <w:pStyle w:val="BodyText"/>
            </w:pPr>
            <w:r>
              <w:t>Potential m</w:t>
            </w:r>
            <w:r w:rsidR="005F2101" w:rsidRPr="00D65476">
              <w:t>anagement actions</w:t>
            </w:r>
          </w:p>
        </w:tc>
        <w:tc>
          <w:tcPr>
            <w:tcW w:w="7371" w:type="dxa"/>
          </w:tcPr>
          <w:p w14:paraId="39EB6276" w14:textId="77777777" w:rsidR="005F2101" w:rsidRDefault="005F2101" w:rsidP="006670D2">
            <w:pPr>
              <w:pStyle w:val="PullOutBoxBullet"/>
            </w:pPr>
            <w:r>
              <w:t xml:space="preserve">Increase weed control; </w:t>
            </w:r>
          </w:p>
          <w:p w14:paraId="162D08EF" w14:textId="77777777" w:rsidR="005F2101" w:rsidRDefault="005F2101" w:rsidP="006670D2">
            <w:pPr>
              <w:pStyle w:val="PullOutBoxBullet"/>
            </w:pPr>
            <w:r>
              <w:t xml:space="preserve">Increase pest animal control; and </w:t>
            </w:r>
          </w:p>
          <w:p w14:paraId="58BC864D" w14:textId="77777777" w:rsidR="005F2101" w:rsidRPr="00D65476" w:rsidRDefault="005F2101" w:rsidP="006670D2">
            <w:pPr>
              <w:pStyle w:val="PullOutBoxBullet"/>
            </w:pPr>
            <w:r>
              <w:t>Check on buffer zones width in plantations and assess if adequate for important populations. If not, then submit case to plantation managers to increase the width of buffer zones.</w:t>
            </w:r>
          </w:p>
        </w:tc>
      </w:tr>
    </w:tbl>
    <w:p w14:paraId="659EF664" w14:textId="77777777" w:rsidR="005F2101" w:rsidRDefault="005F2101" w:rsidP="007E5EBF">
      <w:pPr>
        <w:pStyle w:val="Heading3"/>
      </w:pPr>
      <w:r w:rsidRPr="00D55628">
        <w:rPr>
          <w:rFonts w:cs="Times New Roman"/>
          <w:noProof/>
          <w:lang w:eastAsia="en-US"/>
        </w:rPr>
        <mc:AlternateContent>
          <mc:Choice Requires="wps">
            <w:drawing>
              <wp:anchor distT="0" distB="0" distL="114300" distR="114300" simplePos="1" relativeHeight="251658376" behindDoc="1" locked="1" layoutInCell="1" allowOverlap="1" wp14:anchorId="6103D895" wp14:editId="6B98AE0F">
                <wp:simplePos x="359410" y="9071610"/>
                <wp:positionH relativeFrom="page">
                  <wp:posOffset>359410</wp:posOffset>
                </wp:positionH>
                <wp:positionV relativeFrom="page">
                  <wp:posOffset>9071610</wp:posOffset>
                </wp:positionV>
                <wp:extent cx="6840001" cy="432000"/>
                <wp:effectExtent l="0" t="0" r="0" b="0"/>
                <wp:wrapNone/>
                <wp:docPr id="1505"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530E9"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3D895" id="_x0000_s1115" type="#_x0000_t202" alt="Title: Decorative Cover Shape" style="position:absolute;left:0;text-align:left;margin-left:28.3pt;margin-top:714.3pt;width:538.6pt;height:34pt;z-index:-2516581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PhWq6J/AgAA&#10;agUAAA4AAAAAAAAAAAAAAAAALgIAAGRycy9lMm9Eb2MueG1sUEsBAi0AFAAGAAgAAAAhAJFrJtfd&#10;AAAADQEAAA8AAAAAAAAAAAAAAAAA2QQAAGRycy9kb3ducmV2LnhtbFBLBQYAAAAABAAEAPMAAADj&#10;BQAAAAA=&#10;" fillcolor="#201547" stroked="f" strokeweight=".5pt">
                <v:textbox inset="10mm,0,10mm,0">
                  <w:txbxContent>
                    <w:p w14:paraId="064530E9"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375" behindDoc="0" locked="1" layoutInCell="1" allowOverlap="1" wp14:anchorId="5B5A5ECC" wp14:editId="34F3A0EF">
                <wp:simplePos x="0" y="0"/>
                <wp:positionH relativeFrom="page">
                  <wp:posOffset>360045</wp:posOffset>
                </wp:positionH>
                <wp:positionV relativeFrom="page">
                  <wp:posOffset>360045</wp:posOffset>
                </wp:positionV>
                <wp:extent cx="1864800" cy="1976400"/>
                <wp:effectExtent l="0" t="0" r="0" b="0"/>
                <wp:wrapNone/>
                <wp:docPr id="391"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A838BEC" id="TriangleTopACIMono" o:spid="_x0000_s1026" style="position:absolute;margin-left:28.35pt;margin-top:28.35pt;width:146.85pt;height:155.6pt;z-index:25165837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374" behindDoc="0" locked="1" layoutInCell="1" allowOverlap="1" wp14:anchorId="0171CF17" wp14:editId="062245CE">
                <wp:simplePos x="0" y="0"/>
                <wp:positionH relativeFrom="page">
                  <wp:posOffset>359410</wp:posOffset>
                </wp:positionH>
                <wp:positionV relativeFrom="page">
                  <wp:posOffset>359410</wp:posOffset>
                </wp:positionV>
                <wp:extent cx="1864800" cy="1976400"/>
                <wp:effectExtent l="0" t="0" r="0" b="0"/>
                <wp:wrapNone/>
                <wp:docPr id="392"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3D75744" id="TriangleTop" o:spid="_x0000_s1026" style="position:absolute;margin-left:28.3pt;margin-top:28.3pt;width:146.85pt;height:155.6pt;z-index:25165837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373" behindDoc="0" locked="1" layoutInCell="1" allowOverlap="1" wp14:anchorId="6BDC95E6" wp14:editId="086F8862">
                <wp:simplePos x="0" y="0"/>
                <wp:positionH relativeFrom="page">
                  <wp:posOffset>0</wp:posOffset>
                </wp:positionH>
                <wp:positionV relativeFrom="page">
                  <wp:align>bottom</wp:align>
                </wp:positionV>
                <wp:extent cx="3848400" cy="720000"/>
                <wp:effectExtent l="0" t="0" r="0" b="0"/>
                <wp:wrapNone/>
                <wp:docPr id="393"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EAC15" w14:textId="77777777" w:rsidR="005F2101" w:rsidRPr="009F69FA" w:rsidRDefault="005F2101" w:rsidP="005F2101">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C95E6" id="_x0000_s1116" type="#_x0000_t202" style="position:absolute;left:0;text-align:left;margin-left:0;margin-top:0;width:303pt;height:56.7pt;z-index:25165837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JCH6fVtAgAARgUAAA4AAAAAAAAAAAAAAAAALgIA&#10;AGRycy9lMm9Eb2MueG1sUEsBAi0AFAAGAAgAAAAhAPTKz6jaAAAABQEAAA8AAAAAAAAAAAAAAAAA&#10;xwQAAGRycy9kb3ducmV2LnhtbFBLBQYAAAAABAAEAPMAAADOBQAAAAA=&#10;" filled="f" stroked="f" strokeweight=".5pt">
                <v:textbox inset="20mm">
                  <w:txbxContent>
                    <w:p w14:paraId="606EAC15" w14:textId="77777777" w:rsidR="005F2101" w:rsidRPr="009F69FA" w:rsidRDefault="005F2101" w:rsidP="005F2101">
                      <w:pPr>
                        <w:pStyle w:val="xWebCoverPage"/>
                      </w:pPr>
                      <w:r w:rsidRPr="009F69FA">
                        <w:t>de</w:t>
                      </w:r>
                      <w:r>
                        <w:t>lw</w:t>
                      </w:r>
                      <w:r w:rsidRPr="009F69FA">
                        <w:t>p.vic.gov.au</w:t>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1" relativeHeight="251658380" behindDoc="1" locked="1" layoutInCell="1" allowOverlap="1" wp14:anchorId="39CFDA83" wp14:editId="75FEB54B">
                <wp:simplePos x="359410" y="9071610"/>
                <wp:positionH relativeFrom="page">
                  <wp:posOffset>359410</wp:posOffset>
                </wp:positionH>
                <wp:positionV relativeFrom="page">
                  <wp:posOffset>9071610</wp:posOffset>
                </wp:positionV>
                <wp:extent cx="6840001" cy="432000"/>
                <wp:effectExtent l="0" t="0" r="0" b="0"/>
                <wp:wrapNone/>
                <wp:docPr id="410"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44DB6"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FDA83" id="_x0000_s1117" type="#_x0000_t202" alt="Title: Decorative Cover Shape" style="position:absolute;left:0;text-align:left;margin-left:28.3pt;margin-top:714.3pt;width:538.6pt;height:34pt;z-index:-2516581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" fillcolor="#201547" stroked="f" strokeweight=".5pt">
                <v:textbox inset="10mm,0,10mm,0">
                  <w:txbxContent>
                    <w:p w14:paraId="13B44DB6"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379" behindDoc="0" locked="1" layoutInCell="1" allowOverlap="1" wp14:anchorId="477DF90E" wp14:editId="46C85CD6">
                <wp:simplePos x="0" y="0"/>
                <wp:positionH relativeFrom="page">
                  <wp:posOffset>360045</wp:posOffset>
                </wp:positionH>
                <wp:positionV relativeFrom="page">
                  <wp:posOffset>360045</wp:posOffset>
                </wp:positionV>
                <wp:extent cx="1864800" cy="1976400"/>
                <wp:effectExtent l="0" t="0" r="0" b="0"/>
                <wp:wrapNone/>
                <wp:docPr id="411"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D12D548" id="TriangleTopACIMono" o:spid="_x0000_s1026" style="position:absolute;margin-left:28.35pt;margin-top:28.35pt;width:146.85pt;height:155.6pt;z-index:25165837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378" behindDoc="0" locked="1" layoutInCell="1" allowOverlap="1" wp14:anchorId="0F9E53EA" wp14:editId="4805E723">
                <wp:simplePos x="0" y="0"/>
                <wp:positionH relativeFrom="page">
                  <wp:posOffset>359410</wp:posOffset>
                </wp:positionH>
                <wp:positionV relativeFrom="page">
                  <wp:posOffset>359410</wp:posOffset>
                </wp:positionV>
                <wp:extent cx="1864800" cy="1976400"/>
                <wp:effectExtent l="0" t="0" r="0" b="0"/>
                <wp:wrapNone/>
                <wp:docPr id="412"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986F1E8" id="TriangleTop" o:spid="_x0000_s1026" style="position:absolute;margin-left:28.3pt;margin-top:28.3pt;width:146.85pt;height:155.6pt;z-index:25165837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377" behindDoc="0" locked="1" layoutInCell="1" allowOverlap="1" wp14:anchorId="25810D39" wp14:editId="62E4FF93">
                <wp:simplePos x="0" y="0"/>
                <wp:positionH relativeFrom="page">
                  <wp:posOffset>0</wp:posOffset>
                </wp:positionH>
                <wp:positionV relativeFrom="page">
                  <wp:align>bottom</wp:align>
                </wp:positionV>
                <wp:extent cx="3848400" cy="720000"/>
                <wp:effectExtent l="0" t="0" r="0" b="0"/>
                <wp:wrapNone/>
                <wp:docPr id="413"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A2DF0" w14:textId="77777777" w:rsidR="005F2101" w:rsidRPr="009F69FA" w:rsidRDefault="005F2101" w:rsidP="005F2101">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10D39" id="_x0000_s1118" type="#_x0000_t202" style="position:absolute;left:0;text-align:left;margin-left:0;margin-top:0;width:303pt;height:56.7pt;z-index:25165837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Dvx0aubgIAAEYFAAAOAAAAAAAAAAAAAAAAAC4C&#10;AABkcnMvZTJvRG9jLnhtbFBLAQItABQABgAIAAAAIQD0ys+o2gAAAAUBAAAPAAAAAAAAAAAAAAAA&#10;AMgEAABkcnMvZG93bnJldi54bWxQSwUGAAAAAAQABADzAAAAzwUAAAAA&#10;" filled="f" stroked="f" strokeweight=".5pt">
                <v:textbox inset="20mm">
                  <w:txbxContent>
                    <w:p w14:paraId="71DA2DF0" w14:textId="77777777" w:rsidR="005F2101" w:rsidRPr="009F69FA" w:rsidRDefault="005F2101" w:rsidP="005F2101">
                      <w:pPr>
                        <w:pStyle w:val="xWebCoverPage"/>
                      </w:pPr>
                      <w:r w:rsidRPr="009F69FA">
                        <w:t>de</w:t>
                      </w:r>
                      <w:r>
                        <w:t>lw</w:t>
                      </w:r>
                      <w:r w:rsidRPr="009F69FA">
                        <w:t>p.vic.gov.au</w:t>
                      </w:r>
                    </w:p>
                  </w:txbxContent>
                </v:textbox>
                <w10:wrap anchorx="page" anchory="page"/>
                <w10:anchorlock/>
              </v:shape>
            </w:pict>
          </mc:Fallback>
        </mc:AlternateContent>
      </w:r>
      <w:r>
        <w:t>Invasive species</w:t>
      </w:r>
    </w:p>
    <w:p w14:paraId="1E5F3777" w14:textId="77777777" w:rsidR="005F2101" w:rsidRPr="001C0DE0" w:rsidRDefault="005F2101" w:rsidP="007E5EBF">
      <w:pPr>
        <w:pStyle w:val="Heading5"/>
      </w:pPr>
      <w:r>
        <w:t>Invasive vertebrate (deer)</w:t>
      </w:r>
    </w:p>
    <w:p w14:paraId="45DFA19A" w14:textId="004DEFD9" w:rsidR="005F2101" w:rsidRDefault="005F2101" w:rsidP="005F2101">
      <w:pPr>
        <w:pStyle w:val="BodyText"/>
      </w:pPr>
      <w:r>
        <w:t>The isolated stand on the slope of Mt Buck, north of Orbost in East Gippsland, may be threatened by the increasing density of Sambar throughout the region, and this threat may also apply to the Boggy Creek Gorge stand if it is also considered to be indigenous. Possible deer browsing and rubbing could cause a significant decrease in extent of populations</w:t>
      </w:r>
      <w:r w:rsidR="00A8157A">
        <w:t>,</w:t>
      </w:r>
      <w:r>
        <w:t xml:space="preserve"> and when combined with climate change and probable increased exposure to higher intensity bushfire, could lead to an even higher impact of deer in refugia habitat. This hazard impacts approximately 80% of the </w:t>
      </w:r>
      <w:r w:rsidR="004E428D">
        <w:t>sub</w:t>
      </w:r>
      <w:r w:rsidR="001D3902">
        <w:t>species’</w:t>
      </w:r>
      <w:r>
        <w:t xml:space="preserve"> habitat.  </w:t>
      </w:r>
    </w:p>
    <w:p w14:paraId="2F4774D3" w14:textId="77777777" w:rsidR="005F2101" w:rsidRDefault="005F2101" w:rsidP="005F2101">
      <w:pPr>
        <w:pStyle w:val="BodyText"/>
      </w:pPr>
      <w:r>
        <w:t xml:space="preserve">Current controls </w:t>
      </w:r>
      <w:r w:rsidRPr="00660ABA">
        <w:t>for this hazard includ</w:t>
      </w:r>
      <w:r>
        <w:t>e:</w:t>
      </w:r>
    </w:p>
    <w:p w14:paraId="6359A15C" w14:textId="49E9D0FE" w:rsidR="005F2101" w:rsidRDefault="005F2101" w:rsidP="006670D2">
      <w:pPr>
        <w:pStyle w:val="PullOutBoxBullet"/>
      </w:pPr>
      <w:r>
        <w:t xml:space="preserve">Aerial and ground shooting program. This has been evaluated as poor as shooting will only have a very minor effect in reducing the </w:t>
      </w:r>
      <w:r w:rsidR="002153F8">
        <w:t xml:space="preserve">deer </w:t>
      </w:r>
      <w:r>
        <w:t>populations.</w:t>
      </w:r>
    </w:p>
    <w:p w14:paraId="0090370B" w14:textId="46C6F5C7"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201</w:t>
      </w:r>
      <w:r w:rsidR="000B6788" w:rsidRPr="00B6162A">
        <w:rPr>
          <w:bCs/>
          <w:noProof/>
        </w:rPr>
        <w:fldChar w:fldCharType="end"/>
      </w:r>
      <w:r w:rsidRPr="00FF310C">
        <w:t>. Satinwood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5F2101" w:rsidRPr="00D65476" w14:paraId="180A7E04" w14:textId="77777777" w:rsidTr="60664A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379C54B3" w14:textId="77777777" w:rsidR="005F2101" w:rsidRPr="00D65476" w:rsidRDefault="005F2101" w:rsidP="00296E0F">
            <w:pPr>
              <w:pStyle w:val="BodyText"/>
            </w:pPr>
            <w:r w:rsidRPr="00D65476">
              <w:t>Requirement</w:t>
            </w:r>
          </w:p>
        </w:tc>
        <w:tc>
          <w:tcPr>
            <w:tcW w:w="7371" w:type="dxa"/>
            <w:vAlign w:val="center"/>
          </w:tcPr>
          <w:p w14:paraId="036A173F" w14:textId="77777777" w:rsidR="005F2101" w:rsidRPr="00D65476"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D65476">
              <w:t>Recommendation</w:t>
            </w:r>
          </w:p>
        </w:tc>
      </w:tr>
      <w:tr w:rsidR="005F2101" w:rsidRPr="00D65476" w14:paraId="1C2BBCC5" w14:textId="77777777" w:rsidTr="60664A41">
        <w:tc>
          <w:tcPr>
            <w:tcW w:w="2268" w:type="dxa"/>
          </w:tcPr>
          <w:p w14:paraId="659126C8" w14:textId="1D5DB96A" w:rsidR="005F2101" w:rsidRPr="00D65476" w:rsidRDefault="003C444F" w:rsidP="00C77CDF">
            <w:pPr>
              <w:pStyle w:val="BodyText"/>
            </w:pPr>
            <w:r>
              <w:t>Priority management actions</w:t>
            </w:r>
          </w:p>
        </w:tc>
        <w:tc>
          <w:tcPr>
            <w:tcW w:w="7371" w:type="dxa"/>
          </w:tcPr>
          <w:p w14:paraId="0C89C3DD" w14:textId="77777777" w:rsidR="005F2101" w:rsidRPr="00D65476" w:rsidRDefault="005F2101" w:rsidP="00C77CDF">
            <w:pPr>
              <w:pStyle w:val="BodyText"/>
            </w:pPr>
            <w:r>
              <w:t>May be required for this hazard.</w:t>
            </w:r>
          </w:p>
        </w:tc>
      </w:tr>
      <w:tr w:rsidR="005F2101" w:rsidRPr="00D65476" w14:paraId="3433F274" w14:textId="77777777" w:rsidTr="60664A41">
        <w:tc>
          <w:tcPr>
            <w:tcW w:w="2268" w:type="dxa"/>
          </w:tcPr>
          <w:p w14:paraId="5C802A7E" w14:textId="0073005D" w:rsidR="005F2101" w:rsidRPr="00D65476" w:rsidRDefault="003C444F" w:rsidP="00C77CDF">
            <w:pPr>
              <w:pStyle w:val="BodyText"/>
            </w:pPr>
            <w:r>
              <w:t>Potential m</w:t>
            </w:r>
            <w:r w:rsidR="005F2101" w:rsidRPr="00D65476">
              <w:t>anagement actions</w:t>
            </w:r>
          </w:p>
        </w:tc>
        <w:tc>
          <w:tcPr>
            <w:tcW w:w="7371" w:type="dxa"/>
          </w:tcPr>
          <w:p w14:paraId="3BEB0D6C" w14:textId="77777777" w:rsidR="005F2101" w:rsidRDefault="005F2101" w:rsidP="006670D2">
            <w:pPr>
              <w:pStyle w:val="PullOutBoxBullet"/>
            </w:pPr>
            <w:r>
              <w:t xml:space="preserve">Asses the feasibility of fencing off important populations; </w:t>
            </w:r>
          </w:p>
          <w:p w14:paraId="436EC66B" w14:textId="77777777" w:rsidR="005F2101" w:rsidRDefault="005F2101" w:rsidP="006670D2">
            <w:pPr>
              <w:pStyle w:val="PullOutBoxBullet"/>
            </w:pPr>
            <w:r>
              <w:t xml:space="preserve">Establish </w:t>
            </w:r>
            <w:r w:rsidRPr="00704719">
              <w:rPr>
                <w:i/>
                <w:iCs/>
              </w:rPr>
              <w:t>ex-situ</w:t>
            </w:r>
            <w:r>
              <w:t xml:space="preserve"> propagation to safeguard wild populations; and </w:t>
            </w:r>
          </w:p>
          <w:p w14:paraId="0BBEDD14" w14:textId="77777777" w:rsidR="005F2101" w:rsidRPr="00D65476" w:rsidRDefault="005F2101" w:rsidP="006670D2">
            <w:pPr>
              <w:pStyle w:val="PullOutBoxBullet"/>
            </w:pPr>
            <w:r>
              <w:t>Conduct field assessments on a small number of sites to investigate if deer cause similar damage as they do to Shiny Nematolepis (</w:t>
            </w:r>
            <w:r w:rsidRPr="60664A41">
              <w:rPr>
                <w:i/>
                <w:iCs/>
              </w:rPr>
              <w:t>Nematolepis wilsonii</w:t>
            </w:r>
            <w:r>
              <w:t>), as this will indicate whether urgent action is required.</w:t>
            </w:r>
          </w:p>
        </w:tc>
      </w:tr>
    </w:tbl>
    <w:p w14:paraId="47E909BB" w14:textId="77777777" w:rsidR="005F2101" w:rsidRDefault="005F2101" w:rsidP="005F2101">
      <w:pPr>
        <w:pStyle w:val="BodyText"/>
      </w:pPr>
    </w:p>
    <w:p w14:paraId="16B3DDBF" w14:textId="77777777" w:rsidR="00D24DA3" w:rsidRDefault="00D24DA3">
      <w:pPr>
        <w:rPr>
          <w:rFonts w:ascii="Arial" w:hAnsi="Arial"/>
          <w:b/>
          <w:bCs/>
          <w:i/>
          <w:iCs/>
          <w:color w:val="00B2A9" w:themeColor="accent1"/>
          <w:kern w:val="20"/>
          <w:sz w:val="24"/>
          <w:szCs w:val="28"/>
          <w:highlight w:val="lightGray"/>
        </w:rPr>
      </w:pPr>
      <w:bookmarkStart w:id="802" w:name="_Toc95129486"/>
      <w:r>
        <w:rPr>
          <w:highlight w:val="lightGray"/>
        </w:rPr>
        <w:br w:type="page"/>
      </w:r>
    </w:p>
    <w:p w14:paraId="5227309C" w14:textId="1E9FF0A4" w:rsidR="005F2101" w:rsidRPr="00D24DA3" w:rsidRDefault="005F2101" w:rsidP="00171F18">
      <w:pPr>
        <w:pStyle w:val="Heading2"/>
        <w:ind w:left="0"/>
        <w:rPr>
          <w:i/>
          <w:iCs/>
        </w:rPr>
      </w:pPr>
      <w:bookmarkStart w:id="803" w:name="_Toc113271063"/>
      <w:r w:rsidRPr="00D24DA3">
        <w:t xml:space="preserve">Selma Saddle Grevillea </w:t>
      </w:r>
      <w:r w:rsidRPr="005F7D8C">
        <w:rPr>
          <w:i/>
          <w:iCs/>
        </w:rPr>
        <w:t xml:space="preserve">(Grevillea miqueliana </w:t>
      </w:r>
      <w:r w:rsidRPr="00D24DA3">
        <w:t xml:space="preserve">subsp. </w:t>
      </w:r>
      <w:r w:rsidRPr="005F7D8C">
        <w:rPr>
          <w:i/>
          <w:iCs/>
        </w:rPr>
        <w:t>cincta)</w:t>
      </w:r>
      <w:bookmarkEnd w:id="710"/>
      <w:bookmarkEnd w:id="802"/>
      <w:bookmarkEnd w:id="803"/>
    </w:p>
    <w:p w14:paraId="4480BD2B" w14:textId="0222D1A2" w:rsidR="005F2101" w:rsidRPr="007935D4" w:rsidRDefault="005F2101" w:rsidP="005F2101">
      <w:pPr>
        <w:pStyle w:val="BodyText"/>
        <w:rPr>
          <w:rFonts w:ascii="Calibri" w:hAnsi="Calibri" w:cs="Calibri"/>
          <w:color w:val="000000"/>
          <w:sz w:val="22"/>
          <w:szCs w:val="22"/>
        </w:rPr>
      </w:pPr>
      <w:r>
        <w:t xml:space="preserve">The Selma Saddle Grevillea was listed as Critically Endangered in Australia under the FFG Act in May 2021. The </w:t>
      </w:r>
      <w:r w:rsidR="004E428D">
        <w:t>sub</w:t>
      </w:r>
      <w:r w:rsidR="001D3902">
        <w:t>species</w:t>
      </w:r>
      <w:r>
        <w:t xml:space="preserve"> has modelled habitat in the Central Highlands (34% of modelled habitat), Gippsland (27% of modelled habitat) and North East (39% of modelled habitat) RFA regions, however all </w:t>
      </w:r>
      <w:r w:rsidRPr="007935D4">
        <w:rPr>
          <w:rStyle w:val="BodyTextChar"/>
        </w:rPr>
        <w:t>known records are in the Gippsland RFA region, so this will be the only region assessed.</w:t>
      </w:r>
      <w:r>
        <w:rPr>
          <w:rStyle w:val="BodyTextChar"/>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19E5F510" w14:textId="77777777" w:rsidR="005F2101" w:rsidRDefault="005F2101" w:rsidP="007E5EBF">
      <w:pPr>
        <w:pStyle w:val="Heading3"/>
      </w:pPr>
      <w:bookmarkStart w:id="804" w:name="_Toc88724708"/>
      <w:r>
        <w:t>Risk Assessment</w:t>
      </w:r>
      <w:bookmarkEnd w:id="804"/>
    </w:p>
    <w:p w14:paraId="25F72382" w14:textId="79463154"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202</w:t>
      </w:r>
      <w:r w:rsidR="000B6788" w:rsidRPr="00B6162A">
        <w:rPr>
          <w:bCs/>
          <w:noProof/>
        </w:rPr>
        <w:fldChar w:fldCharType="end"/>
      </w:r>
      <w:r w:rsidRPr="00FF310C">
        <w:t>. Selma Saddle Grevillea risk ratings in the Gippsland RFA region:</w:t>
      </w:r>
    </w:p>
    <w:tbl>
      <w:tblPr>
        <w:tblStyle w:val="TableGrid"/>
        <w:tblW w:w="6804" w:type="dxa"/>
        <w:tblLook w:val="04A0" w:firstRow="1" w:lastRow="0" w:firstColumn="1" w:lastColumn="0" w:noHBand="0" w:noVBand="1"/>
      </w:tblPr>
      <w:tblGrid>
        <w:gridCol w:w="2268"/>
        <w:gridCol w:w="2268"/>
        <w:gridCol w:w="2268"/>
      </w:tblGrid>
      <w:tr w:rsidR="005F2101" w14:paraId="182C0580"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tcPr>
          <w:p w14:paraId="1519EAA7" w14:textId="77777777" w:rsidR="005F2101" w:rsidRPr="00C23B38" w:rsidRDefault="005F2101" w:rsidP="006670D2">
            <w:pPr>
              <w:pStyle w:val="CaptionImageorFigure"/>
            </w:pPr>
          </w:p>
        </w:tc>
        <w:tc>
          <w:tcPr>
            <w:tcW w:w="2268" w:type="dxa"/>
            <w:tcBorders>
              <w:top w:val="single" w:sz="8" w:space="0" w:color="CDDC29" w:themeColor="text2"/>
              <w:left w:val="nil"/>
              <w:bottom w:val="single" w:sz="8" w:space="0" w:color="CDDC29" w:themeColor="text2"/>
              <w:right w:val="nil"/>
            </w:tcBorders>
            <w:vAlign w:val="center"/>
          </w:tcPr>
          <w:p w14:paraId="1E4BB388" w14:textId="77777777" w:rsidR="005F2101" w:rsidRPr="00C23B38"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rsidRPr="00C23B38">
              <w:t>Increase fire intensity and frequency</w:t>
            </w:r>
          </w:p>
        </w:tc>
        <w:tc>
          <w:tcPr>
            <w:tcW w:w="2268" w:type="dxa"/>
            <w:tcBorders>
              <w:top w:val="single" w:sz="8" w:space="0" w:color="CDDC29" w:themeColor="text2"/>
              <w:left w:val="nil"/>
              <w:bottom w:val="single" w:sz="8" w:space="0" w:color="CDDC29" w:themeColor="text2"/>
              <w:right w:val="nil"/>
            </w:tcBorders>
            <w:vAlign w:val="center"/>
            <w:hideMark/>
          </w:tcPr>
          <w:p w14:paraId="593317FC" w14:textId="77777777" w:rsidR="005F2101" w:rsidRPr="00C23B38"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rsidRPr="00C23B38">
              <w:t>Forestry operations</w:t>
            </w:r>
          </w:p>
        </w:tc>
      </w:tr>
      <w:tr w:rsidR="005F2101" w14:paraId="1AFD2619"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6BDBC901" w14:textId="77777777" w:rsidR="005F2101" w:rsidRDefault="005F2101" w:rsidP="003E0597">
            <w:pPr>
              <w:pStyle w:val="BodyText"/>
              <w:jc w:val="center"/>
            </w:pPr>
            <w:r>
              <w:t>Consequence</w:t>
            </w:r>
          </w:p>
        </w:tc>
        <w:tc>
          <w:tcPr>
            <w:tcW w:w="2268" w:type="dxa"/>
            <w:tcBorders>
              <w:top w:val="single" w:sz="8" w:space="0" w:color="CDDC29" w:themeColor="text2"/>
              <w:left w:val="nil"/>
              <w:bottom w:val="single" w:sz="8" w:space="0" w:color="CDDC29" w:themeColor="text2"/>
              <w:right w:val="nil"/>
            </w:tcBorders>
            <w:vAlign w:val="center"/>
          </w:tcPr>
          <w:p w14:paraId="69BB0C78" w14:textId="77777777" w:rsidR="005F2101" w:rsidRDefault="005F2101" w:rsidP="003E0597">
            <w:pPr>
              <w:pStyle w:val="BodyText"/>
              <w:jc w:val="center"/>
            </w:pPr>
            <w:r>
              <w:t>Extreme</w:t>
            </w:r>
          </w:p>
        </w:tc>
        <w:tc>
          <w:tcPr>
            <w:tcW w:w="2268" w:type="dxa"/>
            <w:tcBorders>
              <w:top w:val="single" w:sz="8" w:space="0" w:color="CDDC29" w:themeColor="text2"/>
              <w:left w:val="nil"/>
              <w:bottom w:val="single" w:sz="8" w:space="0" w:color="CDDC29" w:themeColor="text2"/>
              <w:right w:val="nil"/>
            </w:tcBorders>
            <w:vAlign w:val="center"/>
            <w:hideMark/>
          </w:tcPr>
          <w:p w14:paraId="47DA4105" w14:textId="77777777" w:rsidR="005F2101" w:rsidRDefault="005F2101" w:rsidP="003E0597">
            <w:pPr>
              <w:pStyle w:val="BodyText"/>
              <w:jc w:val="center"/>
            </w:pPr>
            <w:r>
              <w:t>Moderate</w:t>
            </w:r>
          </w:p>
        </w:tc>
      </w:tr>
      <w:tr w:rsidR="005F2101" w14:paraId="3A31994F"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7CAB5948" w14:textId="77777777" w:rsidR="005F2101" w:rsidRDefault="005F2101" w:rsidP="003E0597">
            <w:pPr>
              <w:pStyle w:val="BodyText"/>
              <w:jc w:val="center"/>
            </w:pPr>
            <w:r>
              <w:t>Likelihood</w:t>
            </w:r>
          </w:p>
        </w:tc>
        <w:tc>
          <w:tcPr>
            <w:tcW w:w="2268" w:type="dxa"/>
            <w:tcBorders>
              <w:top w:val="single" w:sz="8" w:space="0" w:color="CDDC29" w:themeColor="text2"/>
              <w:left w:val="nil"/>
              <w:bottom w:val="single" w:sz="8" w:space="0" w:color="CDDC29" w:themeColor="text2"/>
              <w:right w:val="nil"/>
            </w:tcBorders>
            <w:vAlign w:val="center"/>
          </w:tcPr>
          <w:p w14:paraId="548D14F1" w14:textId="77777777" w:rsidR="005F2101" w:rsidRDefault="005F2101" w:rsidP="003E0597">
            <w:pPr>
              <w:pStyle w:val="BodyText"/>
              <w:jc w:val="center"/>
            </w:pPr>
            <w:r>
              <w:t>Likely</w:t>
            </w:r>
          </w:p>
        </w:tc>
        <w:tc>
          <w:tcPr>
            <w:tcW w:w="2268" w:type="dxa"/>
            <w:tcBorders>
              <w:top w:val="single" w:sz="8" w:space="0" w:color="CDDC29" w:themeColor="text2"/>
              <w:left w:val="nil"/>
              <w:bottom w:val="single" w:sz="8" w:space="0" w:color="CDDC29" w:themeColor="text2"/>
              <w:right w:val="nil"/>
            </w:tcBorders>
            <w:vAlign w:val="center"/>
            <w:hideMark/>
          </w:tcPr>
          <w:p w14:paraId="43695012" w14:textId="77777777" w:rsidR="005F2101" w:rsidRDefault="005F2101" w:rsidP="003E0597">
            <w:pPr>
              <w:pStyle w:val="BodyText"/>
              <w:jc w:val="center"/>
            </w:pPr>
            <w:r>
              <w:t>Likely</w:t>
            </w:r>
          </w:p>
        </w:tc>
      </w:tr>
      <w:tr w:rsidR="005F2101" w14:paraId="5D9D82C2"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1BD32C37" w14:textId="77777777" w:rsidR="005F2101" w:rsidRDefault="005F2101" w:rsidP="003E0597">
            <w:pPr>
              <w:pStyle w:val="BodyText"/>
              <w:jc w:val="center"/>
            </w:pPr>
            <w:r>
              <w:t>Overall risk rating</w:t>
            </w:r>
          </w:p>
        </w:tc>
        <w:tc>
          <w:tcPr>
            <w:tcW w:w="2268" w:type="dxa"/>
            <w:tcBorders>
              <w:top w:val="single" w:sz="8" w:space="0" w:color="CDDC29" w:themeColor="text2"/>
              <w:left w:val="nil"/>
              <w:bottom w:val="single" w:sz="8" w:space="0" w:color="CDDC29" w:themeColor="text2"/>
              <w:right w:val="nil"/>
            </w:tcBorders>
            <w:shd w:val="clear" w:color="auto" w:fill="FF0000"/>
            <w:vAlign w:val="center"/>
          </w:tcPr>
          <w:p w14:paraId="0F53FC85" w14:textId="77777777" w:rsidR="005F2101" w:rsidRDefault="005F2101" w:rsidP="003E0597">
            <w:pPr>
              <w:pStyle w:val="BodyText"/>
              <w:jc w:val="center"/>
            </w:pPr>
            <w:r>
              <w:t>High</w:t>
            </w:r>
          </w:p>
        </w:tc>
        <w:tc>
          <w:tcPr>
            <w:tcW w:w="2268" w:type="dxa"/>
            <w:tcBorders>
              <w:top w:val="single" w:sz="8" w:space="0" w:color="CDDC29" w:themeColor="text2"/>
              <w:left w:val="nil"/>
              <w:bottom w:val="single" w:sz="8" w:space="0" w:color="CDDC29" w:themeColor="text2"/>
              <w:right w:val="nil"/>
            </w:tcBorders>
            <w:shd w:val="clear" w:color="auto" w:fill="FFC000"/>
            <w:vAlign w:val="center"/>
            <w:hideMark/>
          </w:tcPr>
          <w:p w14:paraId="240B392F" w14:textId="77777777" w:rsidR="005F2101" w:rsidRDefault="005F2101" w:rsidP="003E0597">
            <w:pPr>
              <w:pStyle w:val="BodyText"/>
              <w:jc w:val="center"/>
            </w:pPr>
            <w:r>
              <w:t>Significant</w:t>
            </w:r>
          </w:p>
        </w:tc>
      </w:tr>
    </w:tbl>
    <w:p w14:paraId="7EAE3FA3" w14:textId="77777777" w:rsidR="005F2101" w:rsidRDefault="005F2101" w:rsidP="007E5EBF">
      <w:pPr>
        <w:pStyle w:val="Heading3"/>
      </w:pPr>
      <w:bookmarkStart w:id="805" w:name="_Toc88724709"/>
      <w:r>
        <w:t>Fire</w:t>
      </w:r>
    </w:p>
    <w:p w14:paraId="7DCC5762" w14:textId="77777777" w:rsidR="005F2101" w:rsidRPr="0078684B" w:rsidRDefault="005F2101" w:rsidP="007E5EBF">
      <w:pPr>
        <w:pStyle w:val="Heading5"/>
      </w:pPr>
      <w:r w:rsidRPr="0078684B">
        <w:t>Increased fire frequency and intensity</w:t>
      </w:r>
    </w:p>
    <w:p w14:paraId="23413E85" w14:textId="07AED315" w:rsidR="005F2101" w:rsidRDefault="005F2101" w:rsidP="005F2101">
      <w:pPr>
        <w:pStyle w:val="BodyText"/>
      </w:pPr>
      <w:r>
        <w:t xml:space="preserve">The </w:t>
      </w:r>
      <w:r w:rsidR="004E428D">
        <w:t>sub</w:t>
      </w:r>
      <w:r w:rsidR="001D3902">
        <w:t>species</w:t>
      </w:r>
      <w:r>
        <w:t xml:space="preserve"> is threatened by climatic and physical threats such as climate change resulting in increased frequency and intensity of fire, unseasonal </w:t>
      </w:r>
      <w:r w:rsidR="00E23703">
        <w:t xml:space="preserve">planned </w:t>
      </w:r>
      <w:r>
        <w:t xml:space="preserve">fire (especially in winter) and impacts of fire control </w:t>
      </w:r>
      <w:r w:rsidRPr="00073E62">
        <w:t>activities.</w:t>
      </w:r>
      <w:r>
        <w:t xml:space="preserve"> The cumulative effect of climate warming combined with lack of pollinators will highly likely reduce number of plants within populations. As all populations </w:t>
      </w:r>
      <w:r w:rsidR="00707179">
        <w:t xml:space="preserve">of this </w:t>
      </w:r>
      <w:r w:rsidR="004E428D">
        <w:t>sub</w:t>
      </w:r>
      <w:r w:rsidR="001D3902">
        <w:t>species</w:t>
      </w:r>
      <w:r w:rsidR="00707179">
        <w:t xml:space="preserve"> </w:t>
      </w:r>
      <w:r>
        <w:t>have been exposed to bushfire since 2000 it is critical to protect the cohort of vegetative plants at least until they reach</w:t>
      </w:r>
      <w:r w:rsidR="009C4298">
        <w:t xml:space="preserve"> </w:t>
      </w:r>
      <w:r>
        <w:t xml:space="preserve">reproductive maturity and have formed seed to replenish the soil-stored seed supply. </w:t>
      </w:r>
    </w:p>
    <w:p w14:paraId="190827CB" w14:textId="748BA028" w:rsidR="005F2101" w:rsidRPr="009773B1" w:rsidRDefault="005F2101" w:rsidP="005F2101">
      <w:pPr>
        <w:pStyle w:val="BodyText"/>
      </w:pPr>
      <w:r w:rsidRPr="009773B1">
        <w:t xml:space="preserve">Current control measures for this hazard are not effective in managing the risk to this </w:t>
      </w:r>
      <w:r w:rsidR="004E428D">
        <w:t>sub</w:t>
      </w:r>
      <w:r w:rsidR="001D3902">
        <w:t>species</w:t>
      </w:r>
      <w:r w:rsidRPr="009773B1">
        <w:t xml:space="preserve"> at the scale relevant to its conservation</w:t>
      </w:r>
      <w:r>
        <w:t>.</w:t>
      </w:r>
    </w:p>
    <w:p w14:paraId="68EB686A" w14:textId="48298261"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203</w:t>
      </w:r>
      <w:r w:rsidR="000B6788" w:rsidRPr="00B6162A">
        <w:rPr>
          <w:bCs/>
          <w:noProof/>
        </w:rPr>
        <w:fldChar w:fldCharType="end"/>
      </w:r>
      <w:r w:rsidRPr="00FF310C">
        <w:t>. Selma Saddle Grevillea protection requirements and recommendations for increased fire frequency and intensity</w:t>
      </w:r>
    </w:p>
    <w:tbl>
      <w:tblPr>
        <w:tblStyle w:val="TableGrid"/>
        <w:tblW w:w="0" w:type="auto"/>
        <w:tblLook w:val="04A0" w:firstRow="1" w:lastRow="0" w:firstColumn="1" w:lastColumn="0" w:noHBand="0" w:noVBand="1"/>
      </w:tblPr>
      <w:tblGrid>
        <w:gridCol w:w="2268"/>
        <w:gridCol w:w="7371"/>
      </w:tblGrid>
      <w:tr w:rsidR="005F2101" w:rsidRPr="00867DAA" w14:paraId="3EDF786E"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2A11AA43" w14:textId="77777777" w:rsidR="005F2101" w:rsidRPr="00704719" w:rsidRDefault="005F2101" w:rsidP="00296E0F">
            <w:pPr>
              <w:pStyle w:val="BodyText"/>
            </w:pPr>
            <w:r w:rsidRPr="00704719">
              <w:t>Requirement</w:t>
            </w:r>
          </w:p>
        </w:tc>
        <w:tc>
          <w:tcPr>
            <w:tcW w:w="7371" w:type="dxa"/>
            <w:vAlign w:val="center"/>
          </w:tcPr>
          <w:p w14:paraId="02BD9A92"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57D58E5B" w14:textId="77777777" w:rsidTr="00C77CDF">
        <w:tc>
          <w:tcPr>
            <w:tcW w:w="2268" w:type="dxa"/>
          </w:tcPr>
          <w:p w14:paraId="1E1BDFF1" w14:textId="0B4D61B8" w:rsidR="005F2101" w:rsidRPr="003566BD" w:rsidRDefault="00636130" w:rsidP="00C77CDF">
            <w:pPr>
              <w:pStyle w:val="BodyText"/>
            </w:pPr>
            <w:r>
              <w:t>Priority management actions</w:t>
            </w:r>
          </w:p>
        </w:tc>
        <w:tc>
          <w:tcPr>
            <w:tcW w:w="7371" w:type="dxa"/>
          </w:tcPr>
          <w:p w14:paraId="2E6AF213" w14:textId="77777777" w:rsidR="005F2101" w:rsidRPr="00001691" w:rsidRDefault="005F2101" w:rsidP="00C77CDF">
            <w:pPr>
              <w:pStyle w:val="BodyText"/>
            </w:pPr>
            <w:r w:rsidRPr="00200995">
              <w:t xml:space="preserve">Not required for this hazard based </w:t>
            </w:r>
            <w:r>
              <w:t>as it is a longer-term threat.</w:t>
            </w:r>
          </w:p>
        </w:tc>
      </w:tr>
      <w:tr w:rsidR="005F2101" w:rsidRPr="00867DAA" w14:paraId="7B12F9C1" w14:textId="77777777" w:rsidTr="00C77CDF">
        <w:tc>
          <w:tcPr>
            <w:tcW w:w="2268" w:type="dxa"/>
          </w:tcPr>
          <w:p w14:paraId="15E830F9" w14:textId="3A586B31" w:rsidR="005F2101" w:rsidRPr="00867DAA" w:rsidRDefault="00636130" w:rsidP="00C77CDF">
            <w:pPr>
              <w:pStyle w:val="BodyText"/>
            </w:pPr>
            <w:r>
              <w:t>Potential m</w:t>
            </w:r>
            <w:r w:rsidR="005F2101" w:rsidRPr="00867DAA">
              <w:t>anagement actions</w:t>
            </w:r>
          </w:p>
        </w:tc>
        <w:tc>
          <w:tcPr>
            <w:tcW w:w="7371" w:type="dxa"/>
          </w:tcPr>
          <w:p w14:paraId="07AB6ADF" w14:textId="517278AF" w:rsidR="005F2101" w:rsidRDefault="005F2101" w:rsidP="006670D2">
            <w:pPr>
              <w:pStyle w:val="PullOutBoxBullet"/>
            </w:pPr>
            <w:r>
              <w:t xml:space="preserve">Establish </w:t>
            </w:r>
            <w:r>
              <w:rPr>
                <w:i/>
                <w:iCs/>
              </w:rPr>
              <w:t xml:space="preserve">ex-situ </w:t>
            </w:r>
            <w:r>
              <w:t xml:space="preserve">propagation of the </w:t>
            </w:r>
            <w:r w:rsidR="004E428D">
              <w:t>sub</w:t>
            </w:r>
            <w:r w:rsidR="001D3902">
              <w:t>species</w:t>
            </w:r>
            <w:r>
              <w:t xml:space="preserve"> to safeguard against another bushfire eliminating populations prior to becoming reproductively mature</w:t>
            </w:r>
            <w:r w:rsidR="00F36236">
              <w:t>; and</w:t>
            </w:r>
          </w:p>
          <w:p w14:paraId="562F9925" w14:textId="6DA13FCC" w:rsidR="005F2101" w:rsidRPr="00001691" w:rsidRDefault="005F2101" w:rsidP="006670D2">
            <w:pPr>
              <w:pStyle w:val="PullOutBoxBullet"/>
            </w:pPr>
            <w:r>
              <w:t>C</w:t>
            </w:r>
            <w:r w:rsidRPr="00104E77">
              <w:t xml:space="preserve">onsider options to conserve this </w:t>
            </w:r>
            <w:r w:rsidR="004E428D">
              <w:t>sub</w:t>
            </w:r>
            <w:r w:rsidR="001D3902">
              <w:t>species</w:t>
            </w:r>
            <w:r w:rsidRPr="00104E77">
              <w:t xml:space="preserve"> under climate change, including protection of refuges, maintenance of hydrological regimes, translocation to more secure sites and gene mixing to improve its adaptability</w:t>
            </w:r>
            <w:r>
              <w:t>.</w:t>
            </w:r>
          </w:p>
        </w:tc>
      </w:tr>
    </w:tbl>
    <w:bookmarkEnd w:id="805"/>
    <w:p w14:paraId="22044EBC" w14:textId="77777777" w:rsidR="005F2101" w:rsidRPr="005A146E" w:rsidRDefault="005F2101" w:rsidP="007E5EBF">
      <w:pPr>
        <w:pStyle w:val="Heading3"/>
      </w:pPr>
      <w:r>
        <w:t>Forestry operations</w:t>
      </w:r>
    </w:p>
    <w:p w14:paraId="1A4D523F" w14:textId="77777777" w:rsidR="005F2101" w:rsidRDefault="005F2101" w:rsidP="007E5EBF">
      <w:pPr>
        <w:pStyle w:val="Heading5"/>
      </w:pPr>
      <w:r>
        <w:t>Forestry operations</w:t>
      </w:r>
    </w:p>
    <w:p w14:paraId="23590D76" w14:textId="753E93E7" w:rsidR="005F2101" w:rsidRDefault="00FD4E77" w:rsidP="005F2101">
      <w:pPr>
        <w:pStyle w:val="BodyText"/>
      </w:pPr>
      <w:r w:rsidRPr="00FD57DB">
        <w:t xml:space="preserve">Forestry operations is an anthropogenic threat to the </w:t>
      </w:r>
      <w:r w:rsidR="004E428D">
        <w:t>sub</w:t>
      </w:r>
      <w:r w:rsidR="001D3902">
        <w:t>species</w:t>
      </w:r>
      <w:r w:rsidRPr="00FD57DB">
        <w:t>, which b</w:t>
      </w:r>
      <w:r w:rsidR="0022514E" w:rsidRPr="00FD57DB">
        <w:t>ased on the 2015 net harvest area laye</w:t>
      </w:r>
      <w:r w:rsidRPr="00FD57DB">
        <w:t>r extends across</w:t>
      </w:r>
      <w:r w:rsidR="0022514E" w:rsidRPr="00FD57DB">
        <w:t xml:space="preserve"> 20% of the </w:t>
      </w:r>
      <w:r w:rsidR="004E428D">
        <w:t>sub</w:t>
      </w:r>
      <w:r w:rsidR="001D3902">
        <w:t>species’</w:t>
      </w:r>
      <w:r w:rsidR="0022514E" w:rsidRPr="00FD57DB">
        <w:t xml:space="preserve"> modelled habitat</w:t>
      </w:r>
      <w:r w:rsidRPr="00FD57DB">
        <w:t xml:space="preserve">. </w:t>
      </w:r>
      <w:r w:rsidR="0022514E" w:rsidRPr="00FD57DB">
        <w:t xml:space="preserve">Using the revised operable area layer, this is reduced to </w:t>
      </w:r>
      <w:r w:rsidRPr="00FD57DB">
        <w:t>5</w:t>
      </w:r>
      <w:r w:rsidR="0022514E" w:rsidRPr="00FD57DB">
        <w:t xml:space="preserve">%. </w:t>
      </w:r>
      <w:r w:rsidR="005F2101">
        <w:t xml:space="preserve">It is part of a suite of threats that is likely to result in a decline of area of occupancy, extent of occurrence, and quality of habitat. Forestry operations </w:t>
      </w:r>
      <w:r w:rsidR="00E43FEE">
        <w:t>may</w:t>
      </w:r>
      <w:r w:rsidR="005F2101">
        <w:t xml:space="preserve"> produce regeneration which is more fire prone and, combined with increased fire frequency and intensity, is likely to cause a considerably higher risk of bushfire adversely affecting populations.</w:t>
      </w:r>
    </w:p>
    <w:p w14:paraId="2A6621CA" w14:textId="77777777" w:rsidR="005F2101" w:rsidRDefault="005F2101" w:rsidP="005F2101">
      <w:pPr>
        <w:pStyle w:val="BodyText"/>
      </w:pPr>
      <w:r>
        <w:t>Current control measures for this hazard include:</w:t>
      </w:r>
    </w:p>
    <w:p w14:paraId="2B2B0585" w14:textId="16C3428A" w:rsidR="005F2101" w:rsidRDefault="005F2101" w:rsidP="006670D2">
      <w:pPr>
        <w:pStyle w:val="PullOutBoxBullet"/>
      </w:pPr>
      <w:r>
        <w:t xml:space="preserve">The </w:t>
      </w:r>
      <w:r w:rsidRPr="007935D4">
        <w:rPr>
          <w:i/>
        </w:rPr>
        <w:t>Code of Practice for Timber Production 2014</w:t>
      </w:r>
      <w:r>
        <w:t xml:space="preserve">. </w:t>
      </w:r>
      <w:r w:rsidRPr="00160F2E">
        <w:t xml:space="preserve">The effectiveness of this control for this </w:t>
      </w:r>
      <w:r w:rsidR="004E428D">
        <w:t>sub</w:t>
      </w:r>
      <w:r w:rsidRPr="00160F2E">
        <w:t>species has been evaluated as</w:t>
      </w:r>
      <w:r>
        <w:t xml:space="preserve"> satisfactory in the Gippsland RFA region where it has species-specific code prescriptions. </w:t>
      </w:r>
    </w:p>
    <w:p w14:paraId="2C7F8F91" w14:textId="3DD9CE25" w:rsidR="005F2101" w:rsidRPr="00F87D51" w:rsidRDefault="005F2101" w:rsidP="006670D2">
      <w:pPr>
        <w:pStyle w:val="PullOutBoxBullet"/>
      </w:pPr>
      <w:r w:rsidRPr="4F453272">
        <w:t xml:space="preserve">The CAR reserve system. </w:t>
      </w:r>
      <w:r w:rsidRPr="00160F2E">
        <w:t xml:space="preserve">The effectiveness of this control for this </w:t>
      </w:r>
      <w:r w:rsidR="004E428D">
        <w:t>sub</w:t>
      </w:r>
      <w:r w:rsidRPr="00160F2E">
        <w:t>species has been evaluated as</w:t>
      </w:r>
      <w:r>
        <w:t xml:space="preserve"> poor</w:t>
      </w:r>
      <w:r w:rsidRPr="4F453272">
        <w:t xml:space="preserve"> as </w:t>
      </w:r>
      <w:r>
        <w:t>59</w:t>
      </w:r>
      <w:r w:rsidRPr="4F453272">
        <w:t xml:space="preserve">% of the </w:t>
      </w:r>
      <w:r w:rsidR="004E428D">
        <w:t>sub</w:t>
      </w:r>
      <w:r w:rsidR="001D3902">
        <w:t>species’</w:t>
      </w:r>
      <w:r w:rsidRPr="4F453272">
        <w:t xml:space="preserve"> modelled distribution and</w:t>
      </w:r>
      <w:r>
        <w:t xml:space="preserve"> 48</w:t>
      </w:r>
      <w:r w:rsidRPr="4F453272">
        <w:t xml:space="preserve">% of important populations </w:t>
      </w:r>
      <w:r>
        <w:t xml:space="preserve">in the Gippsland RFA region </w:t>
      </w:r>
      <w:r w:rsidRPr="4F453272">
        <w:t>are within the reserve system.</w:t>
      </w:r>
    </w:p>
    <w:p w14:paraId="34B375C2" w14:textId="15732A7B"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204</w:t>
      </w:r>
      <w:r w:rsidR="000B6788" w:rsidRPr="00B6162A">
        <w:rPr>
          <w:bCs/>
          <w:noProof/>
        </w:rPr>
        <w:fldChar w:fldCharType="end"/>
      </w:r>
      <w:r w:rsidRPr="00FF310C">
        <w:t xml:space="preserve">. Selma Saddle Grevillea protection requirements and recommendations for </w:t>
      </w:r>
      <w:r w:rsidR="00E60DF2" w:rsidRPr="00FF310C">
        <w:t>f</w:t>
      </w:r>
      <w:r w:rsidRPr="00FF310C">
        <w:t>orestry operations</w:t>
      </w:r>
    </w:p>
    <w:tbl>
      <w:tblPr>
        <w:tblStyle w:val="TableGrid"/>
        <w:tblW w:w="0" w:type="auto"/>
        <w:tblLook w:val="04A0" w:firstRow="1" w:lastRow="0" w:firstColumn="1" w:lastColumn="0" w:noHBand="0" w:noVBand="1"/>
      </w:tblPr>
      <w:tblGrid>
        <w:gridCol w:w="2268"/>
        <w:gridCol w:w="7371"/>
      </w:tblGrid>
      <w:tr w:rsidR="005F2101" w:rsidRPr="00867DAA" w14:paraId="73B3C11F"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63B96346" w14:textId="77777777" w:rsidR="005F2101" w:rsidRPr="00704719" w:rsidRDefault="005F2101" w:rsidP="00296E0F">
            <w:pPr>
              <w:pStyle w:val="BodyText"/>
            </w:pPr>
            <w:r w:rsidRPr="00704719">
              <w:t>Requirement</w:t>
            </w:r>
          </w:p>
        </w:tc>
        <w:tc>
          <w:tcPr>
            <w:tcW w:w="7371" w:type="dxa"/>
            <w:vAlign w:val="center"/>
          </w:tcPr>
          <w:p w14:paraId="5A225F6D"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54DA5F45" w14:textId="77777777" w:rsidTr="00C77CDF">
        <w:tc>
          <w:tcPr>
            <w:tcW w:w="2268" w:type="dxa"/>
          </w:tcPr>
          <w:p w14:paraId="5204AB03" w14:textId="05575EF5" w:rsidR="005F2101" w:rsidRPr="003566BD" w:rsidRDefault="005F2101" w:rsidP="00C77CDF">
            <w:pPr>
              <w:pStyle w:val="BodyText"/>
            </w:pPr>
            <w:r w:rsidRPr="003566BD">
              <w:t>Interim protections</w:t>
            </w:r>
            <w:r w:rsidR="00636130">
              <w:t xml:space="preserve"> </w:t>
            </w:r>
          </w:p>
        </w:tc>
        <w:tc>
          <w:tcPr>
            <w:tcW w:w="7371" w:type="dxa"/>
          </w:tcPr>
          <w:p w14:paraId="18216989" w14:textId="77777777" w:rsidR="005F2101" w:rsidRPr="00001691" w:rsidRDefault="005F2101" w:rsidP="00C77CDF">
            <w:pPr>
              <w:pStyle w:val="BodyText"/>
            </w:pPr>
            <w:r w:rsidRPr="00200995">
              <w:t>Not required for this hazard</w:t>
            </w:r>
            <w:r>
              <w:t>.</w:t>
            </w:r>
          </w:p>
        </w:tc>
      </w:tr>
      <w:tr w:rsidR="001F005D" w:rsidRPr="00867DAA" w14:paraId="25B330BE" w14:textId="77777777" w:rsidTr="00C77CDF">
        <w:tc>
          <w:tcPr>
            <w:tcW w:w="2268" w:type="dxa"/>
          </w:tcPr>
          <w:p w14:paraId="47AD9C9A" w14:textId="6661B2FA" w:rsidR="001F005D" w:rsidRPr="003566BD" w:rsidRDefault="001F005D" w:rsidP="00C77CDF">
            <w:pPr>
              <w:pStyle w:val="BodyText"/>
            </w:pPr>
            <w:r>
              <w:t>Priority management actions</w:t>
            </w:r>
          </w:p>
        </w:tc>
        <w:tc>
          <w:tcPr>
            <w:tcW w:w="7371" w:type="dxa"/>
            <w:shd w:val="clear" w:color="auto" w:fill="auto"/>
          </w:tcPr>
          <w:p w14:paraId="540F5A18" w14:textId="77777777" w:rsidR="00FB08C4" w:rsidRPr="00E31362" w:rsidRDefault="00FB08C4" w:rsidP="006670D2">
            <w:pPr>
              <w:pStyle w:val="PullOutBoxBullet"/>
            </w:pPr>
            <w:r w:rsidRPr="00E31362">
              <w:t>Comprehensively search likely habitat and map important populations; and</w:t>
            </w:r>
          </w:p>
          <w:p w14:paraId="6A5DA5EC" w14:textId="69C4BF5C" w:rsidR="001F005D" w:rsidRPr="003566BD" w:rsidRDefault="00FB08C4" w:rsidP="006670D2">
            <w:pPr>
              <w:pStyle w:val="PullOutBoxBullet"/>
            </w:pPr>
            <w:r w:rsidRPr="00E31362">
              <w:t>Establish monitoring sites and collect baseline data.</w:t>
            </w:r>
          </w:p>
        </w:tc>
      </w:tr>
      <w:tr w:rsidR="005F2101" w:rsidRPr="00867DAA" w14:paraId="36AF4232" w14:textId="77777777" w:rsidTr="00C77CDF">
        <w:tc>
          <w:tcPr>
            <w:tcW w:w="2268" w:type="dxa"/>
          </w:tcPr>
          <w:p w14:paraId="5885C43D" w14:textId="77777777" w:rsidR="005F2101" w:rsidRPr="003566BD" w:rsidRDefault="005F2101" w:rsidP="00C77CDF">
            <w:pPr>
              <w:pStyle w:val="BodyText"/>
            </w:pPr>
            <w:r w:rsidRPr="003566BD">
              <w:t>Permanent protections</w:t>
            </w:r>
          </w:p>
        </w:tc>
        <w:tc>
          <w:tcPr>
            <w:tcW w:w="7371" w:type="dxa"/>
            <w:shd w:val="clear" w:color="auto" w:fill="auto"/>
          </w:tcPr>
          <w:p w14:paraId="1EC640C3" w14:textId="77777777" w:rsidR="005F2101" w:rsidRPr="003566BD" w:rsidRDefault="005F2101" w:rsidP="00C77CDF">
            <w:pPr>
              <w:pStyle w:val="BodyText"/>
            </w:pPr>
            <w:r w:rsidRPr="003566BD">
              <w:t>Additional permanent protections may be required in the longer-term</w:t>
            </w:r>
            <w:r>
              <w:t>.</w:t>
            </w:r>
          </w:p>
        </w:tc>
      </w:tr>
      <w:tr w:rsidR="005F2101" w:rsidRPr="00867DAA" w14:paraId="5806DC77" w14:textId="77777777" w:rsidTr="00C77CDF">
        <w:tc>
          <w:tcPr>
            <w:tcW w:w="2268" w:type="dxa"/>
          </w:tcPr>
          <w:p w14:paraId="7C8B4B55" w14:textId="0B10355A" w:rsidR="005F2101" w:rsidRPr="00867DAA" w:rsidRDefault="00E60DF2" w:rsidP="00C77CDF">
            <w:pPr>
              <w:pStyle w:val="BodyText"/>
            </w:pPr>
            <w:r>
              <w:t>Potential m</w:t>
            </w:r>
            <w:r w:rsidR="005F2101" w:rsidRPr="00867DAA">
              <w:t>anagement actions</w:t>
            </w:r>
          </w:p>
        </w:tc>
        <w:tc>
          <w:tcPr>
            <w:tcW w:w="7371" w:type="dxa"/>
          </w:tcPr>
          <w:p w14:paraId="06D5ED8D" w14:textId="690B1694" w:rsidR="005F2101" w:rsidRPr="00001691" w:rsidRDefault="005F2101" w:rsidP="006670D2">
            <w:pPr>
              <w:pStyle w:val="PullOutBoxBullet"/>
            </w:pPr>
            <w:r>
              <w:t xml:space="preserve">Establish </w:t>
            </w:r>
            <w:r>
              <w:rPr>
                <w:i/>
                <w:iCs/>
              </w:rPr>
              <w:t xml:space="preserve">ex-situ </w:t>
            </w:r>
            <w:r>
              <w:t xml:space="preserve">propagation of the </w:t>
            </w:r>
            <w:r w:rsidR="004E428D">
              <w:t>sub</w:t>
            </w:r>
            <w:r w:rsidR="001D3902">
              <w:t>species</w:t>
            </w:r>
            <w:r w:rsidR="008F4F44">
              <w:t>.</w:t>
            </w:r>
          </w:p>
        </w:tc>
      </w:tr>
    </w:tbl>
    <w:p w14:paraId="1A449B72" w14:textId="77777777" w:rsidR="005F2101" w:rsidRDefault="005F2101" w:rsidP="005F2101">
      <w:pPr>
        <w:pStyle w:val="ListBullet"/>
        <w:numPr>
          <w:ilvl w:val="0"/>
          <w:numId w:val="0"/>
        </w:numPr>
      </w:pPr>
    </w:p>
    <w:p w14:paraId="3220DE8A" w14:textId="77777777" w:rsidR="00812957" w:rsidRDefault="00812957">
      <w:pPr>
        <w:rPr>
          <w:rFonts w:ascii="Arial" w:hAnsi="Arial"/>
          <w:b/>
          <w:bCs/>
          <w:i/>
          <w:iCs/>
          <w:color w:val="00B2A9" w:themeColor="accent1"/>
          <w:kern w:val="20"/>
          <w:sz w:val="24"/>
          <w:szCs w:val="28"/>
        </w:rPr>
      </w:pPr>
      <w:bookmarkStart w:id="806" w:name="_Toc95129487"/>
      <w:r>
        <w:br w:type="page"/>
      </w:r>
    </w:p>
    <w:p w14:paraId="550C3290" w14:textId="3B40704C" w:rsidR="005F2101" w:rsidRPr="00812957" w:rsidRDefault="005F2101" w:rsidP="00171F18">
      <w:pPr>
        <w:pStyle w:val="Heading2"/>
        <w:ind w:left="0"/>
        <w:rPr>
          <w:i/>
          <w:iCs/>
        </w:rPr>
      </w:pPr>
      <w:bookmarkStart w:id="807" w:name="_Toc113271064"/>
      <w:r w:rsidRPr="00812957">
        <w:t xml:space="preserve">Slender Fork-fern </w:t>
      </w:r>
      <w:r w:rsidRPr="005F7D8C">
        <w:rPr>
          <w:i/>
          <w:iCs/>
        </w:rPr>
        <w:t>(Tmesipteris elongata)</w:t>
      </w:r>
      <w:bookmarkEnd w:id="806"/>
      <w:bookmarkEnd w:id="807"/>
    </w:p>
    <w:p w14:paraId="4FFCA976" w14:textId="036696AF" w:rsidR="005F2101" w:rsidRDefault="005F2101" w:rsidP="005F2101">
      <w:pPr>
        <w:pStyle w:val="BodyText"/>
      </w:pPr>
      <w:r>
        <w:t xml:space="preserve">The Slender fork-fern was listed as Critically Endangered in Victoria under the FFG Act in May 2021. The </w:t>
      </w:r>
      <w:r w:rsidR="001D3902">
        <w:t>species</w:t>
      </w:r>
      <w:r>
        <w:t xml:space="preserve"> has VBA points in the Gippsland (63% of VBA points), West (33% of VBA points), and Central Highlands (4% of VBA points) RFA regions.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2AFDE3F8" w14:textId="77777777" w:rsidR="005F2101" w:rsidRDefault="005F2101" w:rsidP="007E5EBF">
      <w:pPr>
        <w:pStyle w:val="Heading3"/>
      </w:pPr>
      <w:r>
        <w:t>Risk Assessment</w:t>
      </w:r>
    </w:p>
    <w:p w14:paraId="691F5B3C" w14:textId="4BC0BDE5"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205</w:t>
      </w:r>
      <w:r w:rsidR="000B6788" w:rsidRPr="00B6162A">
        <w:rPr>
          <w:bCs/>
          <w:noProof/>
        </w:rPr>
        <w:fldChar w:fldCharType="end"/>
      </w:r>
      <w:r w:rsidRPr="00FF310C">
        <w:t>. Slender Fork-fern risk ratings in the Central Highlands and Gippsland RFA regions:</w:t>
      </w:r>
    </w:p>
    <w:tbl>
      <w:tblPr>
        <w:tblStyle w:val="TableGrid"/>
        <w:tblW w:w="9072" w:type="dxa"/>
        <w:tblLayout w:type="fixed"/>
        <w:tblLook w:val="04A0" w:firstRow="1" w:lastRow="0" w:firstColumn="1" w:lastColumn="0" w:noHBand="0" w:noVBand="1"/>
      </w:tblPr>
      <w:tblGrid>
        <w:gridCol w:w="2268"/>
        <w:gridCol w:w="2268"/>
        <w:gridCol w:w="2268"/>
        <w:gridCol w:w="2268"/>
      </w:tblGrid>
      <w:tr w:rsidR="005F2101" w14:paraId="46CE8EA0"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tcPr>
          <w:p w14:paraId="72FC0B33" w14:textId="77777777" w:rsidR="005F2101" w:rsidRDefault="005F2101" w:rsidP="006670D2">
            <w:pPr>
              <w:pStyle w:val="CaptionImageorFigure"/>
            </w:pPr>
          </w:p>
        </w:tc>
        <w:tc>
          <w:tcPr>
            <w:tcW w:w="2268" w:type="dxa"/>
            <w:tcBorders>
              <w:top w:val="single" w:sz="8" w:space="0" w:color="CDDC29" w:themeColor="text2"/>
              <w:left w:val="nil"/>
              <w:bottom w:val="single" w:sz="8" w:space="0" w:color="CDDC29" w:themeColor="text2"/>
              <w:right w:val="nil"/>
            </w:tcBorders>
            <w:vAlign w:val="center"/>
          </w:tcPr>
          <w:p w14:paraId="4A468DC6" w14:textId="239795AF" w:rsidR="005F2101" w:rsidDel="00CD702E" w:rsidRDefault="006C324C"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2268" w:type="dxa"/>
            <w:tcBorders>
              <w:top w:val="single" w:sz="8" w:space="0" w:color="CDDC29" w:themeColor="text2"/>
              <w:left w:val="nil"/>
              <w:bottom w:val="single" w:sz="8" w:space="0" w:color="CDDC29" w:themeColor="text2"/>
              <w:right w:val="nil"/>
            </w:tcBorders>
            <w:vAlign w:val="center"/>
          </w:tcPr>
          <w:p w14:paraId="0FB9D4A7" w14:textId="77777777" w:rsidR="005F2101" w:rsidDel="00CD702E"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r w:rsidDel="00CD702E">
              <w:t xml:space="preserve"> </w:t>
            </w:r>
            <w:r>
              <w:t>roading</w:t>
            </w:r>
          </w:p>
        </w:tc>
        <w:tc>
          <w:tcPr>
            <w:tcW w:w="2268" w:type="dxa"/>
            <w:tcBorders>
              <w:top w:val="single" w:sz="8" w:space="0" w:color="CDDC29" w:themeColor="text2"/>
              <w:left w:val="nil"/>
              <w:bottom w:val="single" w:sz="8" w:space="0" w:color="CDDC29" w:themeColor="text2"/>
              <w:right w:val="nil"/>
            </w:tcBorders>
            <w:vAlign w:val="center"/>
            <w:hideMark/>
          </w:tcPr>
          <w:p w14:paraId="671FB779"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5F2101" w14:paraId="71B625DF"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7D4258A7" w14:textId="77777777" w:rsidR="005F2101" w:rsidRDefault="005F2101" w:rsidP="003E0597">
            <w:pPr>
              <w:pStyle w:val="BodyText"/>
              <w:jc w:val="center"/>
            </w:pPr>
            <w:r>
              <w:t>Consequence</w:t>
            </w:r>
          </w:p>
        </w:tc>
        <w:tc>
          <w:tcPr>
            <w:tcW w:w="2268" w:type="dxa"/>
            <w:tcBorders>
              <w:top w:val="single" w:sz="8" w:space="0" w:color="CDDC29" w:themeColor="text2"/>
              <w:left w:val="nil"/>
              <w:bottom w:val="single" w:sz="8" w:space="0" w:color="CDDC29" w:themeColor="text2"/>
              <w:right w:val="nil"/>
            </w:tcBorders>
            <w:vAlign w:val="center"/>
          </w:tcPr>
          <w:p w14:paraId="754FF846" w14:textId="77777777" w:rsidR="005F2101" w:rsidRDefault="005F2101" w:rsidP="003E0597">
            <w:pPr>
              <w:pStyle w:val="BodyText"/>
              <w:jc w:val="center"/>
            </w:pPr>
            <w:r>
              <w:t>Moderate</w:t>
            </w:r>
          </w:p>
        </w:tc>
        <w:tc>
          <w:tcPr>
            <w:tcW w:w="2268" w:type="dxa"/>
            <w:tcBorders>
              <w:top w:val="single" w:sz="8" w:space="0" w:color="CDDC29" w:themeColor="text2"/>
              <w:left w:val="nil"/>
              <w:bottom w:val="single" w:sz="8" w:space="0" w:color="CDDC29" w:themeColor="text2"/>
              <w:right w:val="nil"/>
            </w:tcBorders>
            <w:vAlign w:val="center"/>
          </w:tcPr>
          <w:p w14:paraId="17F48E24" w14:textId="77777777" w:rsidR="005F2101" w:rsidRDefault="005F2101" w:rsidP="003E0597">
            <w:pPr>
              <w:pStyle w:val="BodyText"/>
              <w:jc w:val="center"/>
            </w:pPr>
            <w:r>
              <w:t>Moderate</w:t>
            </w:r>
          </w:p>
        </w:tc>
        <w:tc>
          <w:tcPr>
            <w:tcW w:w="2268" w:type="dxa"/>
            <w:tcBorders>
              <w:top w:val="single" w:sz="8" w:space="0" w:color="CDDC29" w:themeColor="text2"/>
              <w:left w:val="nil"/>
              <w:bottom w:val="single" w:sz="8" w:space="0" w:color="CDDC29" w:themeColor="text2"/>
              <w:right w:val="nil"/>
            </w:tcBorders>
            <w:vAlign w:val="center"/>
            <w:hideMark/>
          </w:tcPr>
          <w:p w14:paraId="1BFDC689" w14:textId="77777777" w:rsidR="005F2101" w:rsidRDefault="005F2101" w:rsidP="003E0597">
            <w:pPr>
              <w:pStyle w:val="BodyText"/>
              <w:jc w:val="center"/>
            </w:pPr>
            <w:r>
              <w:t>Major</w:t>
            </w:r>
          </w:p>
        </w:tc>
      </w:tr>
      <w:tr w:rsidR="005F2101" w14:paraId="28B55FA2"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73D7CD60" w14:textId="77777777" w:rsidR="005F2101" w:rsidRDefault="005F2101" w:rsidP="003E0597">
            <w:pPr>
              <w:pStyle w:val="BodyText"/>
              <w:jc w:val="center"/>
            </w:pPr>
            <w:r>
              <w:t>Likelihood</w:t>
            </w:r>
          </w:p>
        </w:tc>
        <w:tc>
          <w:tcPr>
            <w:tcW w:w="2268" w:type="dxa"/>
            <w:tcBorders>
              <w:top w:val="single" w:sz="8" w:space="0" w:color="CDDC29" w:themeColor="text2"/>
              <w:left w:val="nil"/>
              <w:bottom w:val="single" w:sz="8" w:space="0" w:color="CDDC29" w:themeColor="text2"/>
              <w:right w:val="nil"/>
            </w:tcBorders>
            <w:vAlign w:val="center"/>
          </w:tcPr>
          <w:p w14:paraId="38EED556" w14:textId="77777777" w:rsidR="005F2101" w:rsidRDefault="005F2101" w:rsidP="003E0597">
            <w:pPr>
              <w:pStyle w:val="BodyText"/>
              <w:jc w:val="center"/>
            </w:pPr>
            <w:r>
              <w:t>Likely</w:t>
            </w:r>
          </w:p>
        </w:tc>
        <w:tc>
          <w:tcPr>
            <w:tcW w:w="2268" w:type="dxa"/>
            <w:tcBorders>
              <w:top w:val="single" w:sz="8" w:space="0" w:color="CDDC29" w:themeColor="text2"/>
              <w:left w:val="nil"/>
              <w:bottom w:val="single" w:sz="8" w:space="0" w:color="CDDC29" w:themeColor="text2"/>
              <w:right w:val="nil"/>
            </w:tcBorders>
            <w:vAlign w:val="center"/>
          </w:tcPr>
          <w:p w14:paraId="3D7B08A7" w14:textId="77777777" w:rsidR="005F2101" w:rsidRDefault="005F2101" w:rsidP="003E0597">
            <w:pPr>
              <w:pStyle w:val="BodyText"/>
              <w:jc w:val="center"/>
            </w:pPr>
            <w:r>
              <w:t>Possible</w:t>
            </w:r>
          </w:p>
        </w:tc>
        <w:tc>
          <w:tcPr>
            <w:tcW w:w="2268" w:type="dxa"/>
            <w:tcBorders>
              <w:top w:val="single" w:sz="8" w:space="0" w:color="CDDC29" w:themeColor="text2"/>
              <w:left w:val="nil"/>
              <w:bottom w:val="single" w:sz="8" w:space="0" w:color="CDDC29" w:themeColor="text2"/>
              <w:right w:val="nil"/>
            </w:tcBorders>
            <w:vAlign w:val="center"/>
            <w:hideMark/>
          </w:tcPr>
          <w:p w14:paraId="3407C24A" w14:textId="77777777" w:rsidR="005F2101" w:rsidRDefault="005F2101" w:rsidP="003E0597">
            <w:pPr>
              <w:pStyle w:val="BodyText"/>
              <w:jc w:val="center"/>
            </w:pPr>
            <w:r>
              <w:t>Likely</w:t>
            </w:r>
          </w:p>
        </w:tc>
      </w:tr>
      <w:tr w:rsidR="005F2101" w14:paraId="6F4EF01E"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5122A005" w14:textId="77777777" w:rsidR="005F2101" w:rsidRDefault="005F2101" w:rsidP="003E0597">
            <w:pPr>
              <w:pStyle w:val="BodyText"/>
              <w:jc w:val="center"/>
            </w:pPr>
            <w:r>
              <w:t>Overall risk rating</w:t>
            </w:r>
          </w:p>
        </w:tc>
        <w:tc>
          <w:tcPr>
            <w:tcW w:w="2268" w:type="dxa"/>
            <w:tcBorders>
              <w:top w:val="single" w:sz="8" w:space="0" w:color="CDDC29" w:themeColor="text2"/>
              <w:left w:val="nil"/>
              <w:bottom w:val="single" w:sz="8" w:space="0" w:color="CDDC29" w:themeColor="text2"/>
              <w:right w:val="nil"/>
            </w:tcBorders>
            <w:shd w:val="clear" w:color="auto" w:fill="FFC000"/>
            <w:vAlign w:val="center"/>
          </w:tcPr>
          <w:p w14:paraId="3861B54F" w14:textId="77777777" w:rsidR="005F2101" w:rsidRDefault="005F2101" w:rsidP="003E0597">
            <w:pPr>
              <w:pStyle w:val="BodyText"/>
              <w:jc w:val="center"/>
            </w:pPr>
            <w:r>
              <w:t>Significant</w:t>
            </w:r>
          </w:p>
        </w:tc>
        <w:tc>
          <w:tcPr>
            <w:tcW w:w="2268" w:type="dxa"/>
            <w:tcBorders>
              <w:top w:val="single" w:sz="8" w:space="0" w:color="CDDC29" w:themeColor="text2"/>
              <w:left w:val="nil"/>
              <w:bottom w:val="single" w:sz="8" w:space="0" w:color="CDDC29" w:themeColor="text2"/>
              <w:right w:val="nil"/>
            </w:tcBorders>
            <w:shd w:val="clear" w:color="auto" w:fill="FFFF00"/>
            <w:vAlign w:val="center"/>
          </w:tcPr>
          <w:p w14:paraId="17757B35" w14:textId="77777777" w:rsidR="005F2101" w:rsidRDefault="005F2101" w:rsidP="003E0597">
            <w:pPr>
              <w:pStyle w:val="BodyText"/>
              <w:jc w:val="center"/>
            </w:pPr>
            <w:r>
              <w:t>Medium</w:t>
            </w:r>
          </w:p>
        </w:tc>
        <w:tc>
          <w:tcPr>
            <w:tcW w:w="2268" w:type="dxa"/>
            <w:tcBorders>
              <w:top w:val="single" w:sz="8" w:space="0" w:color="CDDC29" w:themeColor="text2"/>
              <w:left w:val="nil"/>
              <w:bottom w:val="single" w:sz="8" w:space="0" w:color="CDDC29" w:themeColor="text2"/>
              <w:right w:val="nil"/>
            </w:tcBorders>
            <w:shd w:val="clear" w:color="auto" w:fill="FF0000"/>
            <w:vAlign w:val="center"/>
            <w:hideMark/>
          </w:tcPr>
          <w:p w14:paraId="11045C20" w14:textId="77777777" w:rsidR="005F2101" w:rsidRDefault="005F2101" w:rsidP="003E0597">
            <w:pPr>
              <w:pStyle w:val="BodyText"/>
              <w:jc w:val="center"/>
            </w:pPr>
            <w:r>
              <w:t>High</w:t>
            </w:r>
          </w:p>
        </w:tc>
      </w:tr>
    </w:tbl>
    <w:p w14:paraId="425EAD74" w14:textId="0542EF22"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206</w:t>
      </w:r>
      <w:r w:rsidR="000B6788" w:rsidRPr="00B6162A">
        <w:rPr>
          <w:bCs/>
          <w:noProof/>
        </w:rPr>
        <w:fldChar w:fldCharType="end"/>
      </w:r>
      <w:r w:rsidRPr="00FF310C">
        <w:t>. Slender Fork-fern risk ratings in the West RFA region:</w:t>
      </w:r>
    </w:p>
    <w:tbl>
      <w:tblPr>
        <w:tblStyle w:val="TableGrid"/>
        <w:tblW w:w="9072" w:type="dxa"/>
        <w:tblLayout w:type="fixed"/>
        <w:tblLook w:val="04A0" w:firstRow="1" w:lastRow="0" w:firstColumn="1" w:lastColumn="0" w:noHBand="0" w:noVBand="1"/>
      </w:tblPr>
      <w:tblGrid>
        <w:gridCol w:w="2268"/>
        <w:gridCol w:w="2268"/>
        <w:gridCol w:w="2268"/>
        <w:gridCol w:w="2268"/>
      </w:tblGrid>
      <w:tr w:rsidR="005F2101" w14:paraId="431E3F81"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tcPr>
          <w:p w14:paraId="45310D0A" w14:textId="77777777" w:rsidR="005F2101" w:rsidRDefault="005F2101" w:rsidP="006670D2">
            <w:pPr>
              <w:pStyle w:val="CaptionImageorFigure"/>
            </w:pPr>
          </w:p>
        </w:tc>
        <w:tc>
          <w:tcPr>
            <w:tcW w:w="2268" w:type="dxa"/>
            <w:tcBorders>
              <w:top w:val="single" w:sz="8" w:space="0" w:color="CDDC29" w:themeColor="text2"/>
              <w:left w:val="nil"/>
              <w:bottom w:val="single" w:sz="8" w:space="0" w:color="CDDC29" w:themeColor="text2"/>
              <w:right w:val="nil"/>
            </w:tcBorders>
            <w:vAlign w:val="center"/>
          </w:tcPr>
          <w:p w14:paraId="05CE0091" w14:textId="09561074" w:rsidR="005F2101" w:rsidDel="00CD702E" w:rsidRDefault="006C324C"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2268" w:type="dxa"/>
            <w:tcBorders>
              <w:top w:val="single" w:sz="8" w:space="0" w:color="CDDC29" w:themeColor="text2"/>
              <w:left w:val="nil"/>
              <w:bottom w:val="single" w:sz="8" w:space="0" w:color="CDDC29" w:themeColor="text2"/>
              <w:right w:val="nil"/>
            </w:tcBorders>
            <w:vAlign w:val="center"/>
          </w:tcPr>
          <w:p w14:paraId="4AF87C8A" w14:textId="77777777" w:rsidR="005F2101" w:rsidDel="00CD702E"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 roading</w:t>
            </w:r>
          </w:p>
        </w:tc>
        <w:tc>
          <w:tcPr>
            <w:tcW w:w="2268" w:type="dxa"/>
            <w:tcBorders>
              <w:top w:val="single" w:sz="8" w:space="0" w:color="CDDC29" w:themeColor="text2"/>
              <w:left w:val="nil"/>
              <w:bottom w:val="single" w:sz="8" w:space="0" w:color="CDDC29" w:themeColor="text2"/>
              <w:right w:val="nil"/>
            </w:tcBorders>
            <w:vAlign w:val="center"/>
            <w:hideMark/>
          </w:tcPr>
          <w:p w14:paraId="39CE8703"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5F2101" w14:paraId="36D75ABC"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7A77014A" w14:textId="77777777" w:rsidR="005F2101" w:rsidRDefault="005F2101" w:rsidP="003E0597">
            <w:pPr>
              <w:pStyle w:val="BodyText"/>
              <w:jc w:val="center"/>
            </w:pPr>
            <w:r>
              <w:t>Consequence</w:t>
            </w:r>
          </w:p>
        </w:tc>
        <w:tc>
          <w:tcPr>
            <w:tcW w:w="2268" w:type="dxa"/>
            <w:tcBorders>
              <w:top w:val="single" w:sz="8" w:space="0" w:color="CDDC29" w:themeColor="text2"/>
              <w:left w:val="nil"/>
              <w:bottom w:val="single" w:sz="8" w:space="0" w:color="CDDC29" w:themeColor="text2"/>
              <w:right w:val="nil"/>
            </w:tcBorders>
            <w:vAlign w:val="center"/>
          </w:tcPr>
          <w:p w14:paraId="42797463" w14:textId="77777777" w:rsidR="005F2101" w:rsidRDefault="005F2101" w:rsidP="003E0597">
            <w:pPr>
              <w:pStyle w:val="BodyText"/>
              <w:jc w:val="center"/>
            </w:pPr>
            <w:r>
              <w:t>Moderate</w:t>
            </w:r>
          </w:p>
        </w:tc>
        <w:tc>
          <w:tcPr>
            <w:tcW w:w="2268" w:type="dxa"/>
            <w:tcBorders>
              <w:top w:val="single" w:sz="8" w:space="0" w:color="CDDC29" w:themeColor="text2"/>
              <w:left w:val="nil"/>
              <w:bottom w:val="single" w:sz="8" w:space="0" w:color="CDDC29" w:themeColor="text2"/>
              <w:right w:val="nil"/>
            </w:tcBorders>
            <w:vAlign w:val="center"/>
          </w:tcPr>
          <w:p w14:paraId="4872C139" w14:textId="77777777" w:rsidR="005F2101" w:rsidRDefault="005F2101" w:rsidP="003E0597">
            <w:pPr>
              <w:pStyle w:val="BodyText"/>
              <w:jc w:val="center"/>
            </w:pPr>
            <w:r>
              <w:t>Negligible</w:t>
            </w:r>
          </w:p>
        </w:tc>
        <w:tc>
          <w:tcPr>
            <w:tcW w:w="2268" w:type="dxa"/>
            <w:tcBorders>
              <w:top w:val="single" w:sz="8" w:space="0" w:color="CDDC29" w:themeColor="text2"/>
              <w:left w:val="nil"/>
              <w:bottom w:val="single" w:sz="8" w:space="0" w:color="CDDC29" w:themeColor="text2"/>
              <w:right w:val="nil"/>
            </w:tcBorders>
            <w:vAlign w:val="center"/>
            <w:hideMark/>
          </w:tcPr>
          <w:p w14:paraId="756B7794" w14:textId="77777777" w:rsidR="005F2101" w:rsidRDefault="005F2101" w:rsidP="003E0597">
            <w:pPr>
              <w:pStyle w:val="BodyText"/>
              <w:jc w:val="center"/>
            </w:pPr>
            <w:r>
              <w:t>Major</w:t>
            </w:r>
          </w:p>
        </w:tc>
      </w:tr>
      <w:tr w:rsidR="005F2101" w14:paraId="6F2971BE"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7EC09C69" w14:textId="77777777" w:rsidR="005F2101" w:rsidRDefault="005F2101" w:rsidP="003E0597">
            <w:pPr>
              <w:pStyle w:val="BodyText"/>
              <w:jc w:val="center"/>
            </w:pPr>
            <w:r>
              <w:t>Likelihood</w:t>
            </w:r>
          </w:p>
        </w:tc>
        <w:tc>
          <w:tcPr>
            <w:tcW w:w="2268" w:type="dxa"/>
            <w:tcBorders>
              <w:top w:val="single" w:sz="8" w:space="0" w:color="CDDC29" w:themeColor="text2"/>
              <w:left w:val="nil"/>
              <w:bottom w:val="single" w:sz="8" w:space="0" w:color="CDDC29" w:themeColor="text2"/>
              <w:right w:val="nil"/>
            </w:tcBorders>
            <w:vAlign w:val="center"/>
          </w:tcPr>
          <w:p w14:paraId="3E3D583D" w14:textId="77777777" w:rsidR="005F2101" w:rsidRDefault="005F2101" w:rsidP="003E0597">
            <w:pPr>
              <w:pStyle w:val="BodyText"/>
              <w:jc w:val="center"/>
            </w:pPr>
            <w:r>
              <w:t>Likely</w:t>
            </w:r>
          </w:p>
        </w:tc>
        <w:tc>
          <w:tcPr>
            <w:tcW w:w="2268" w:type="dxa"/>
            <w:tcBorders>
              <w:top w:val="single" w:sz="8" w:space="0" w:color="CDDC29" w:themeColor="text2"/>
              <w:left w:val="nil"/>
              <w:bottom w:val="single" w:sz="8" w:space="0" w:color="CDDC29" w:themeColor="text2"/>
              <w:right w:val="nil"/>
            </w:tcBorders>
            <w:vAlign w:val="center"/>
          </w:tcPr>
          <w:p w14:paraId="526EEBCF" w14:textId="77777777" w:rsidR="005F2101" w:rsidRDefault="005F2101" w:rsidP="003E0597">
            <w:pPr>
              <w:pStyle w:val="BodyText"/>
              <w:jc w:val="center"/>
            </w:pPr>
            <w:r>
              <w:t>Possible</w:t>
            </w:r>
          </w:p>
        </w:tc>
        <w:tc>
          <w:tcPr>
            <w:tcW w:w="2268" w:type="dxa"/>
            <w:tcBorders>
              <w:top w:val="single" w:sz="8" w:space="0" w:color="CDDC29" w:themeColor="text2"/>
              <w:left w:val="nil"/>
              <w:bottom w:val="single" w:sz="8" w:space="0" w:color="CDDC29" w:themeColor="text2"/>
              <w:right w:val="nil"/>
            </w:tcBorders>
            <w:vAlign w:val="center"/>
            <w:hideMark/>
          </w:tcPr>
          <w:p w14:paraId="04594144" w14:textId="77777777" w:rsidR="005F2101" w:rsidRDefault="005F2101" w:rsidP="003E0597">
            <w:pPr>
              <w:pStyle w:val="BodyText"/>
              <w:jc w:val="center"/>
            </w:pPr>
            <w:r>
              <w:t>Likely</w:t>
            </w:r>
          </w:p>
        </w:tc>
      </w:tr>
      <w:tr w:rsidR="005F2101" w14:paraId="7AA07DDC"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23FD6E07" w14:textId="77777777" w:rsidR="005F2101" w:rsidRDefault="005F2101" w:rsidP="003E0597">
            <w:pPr>
              <w:pStyle w:val="BodyText"/>
              <w:jc w:val="center"/>
            </w:pPr>
            <w:r>
              <w:t>Overall risk rating</w:t>
            </w:r>
          </w:p>
        </w:tc>
        <w:tc>
          <w:tcPr>
            <w:tcW w:w="2268" w:type="dxa"/>
            <w:tcBorders>
              <w:top w:val="single" w:sz="8" w:space="0" w:color="CDDC29" w:themeColor="text2"/>
              <w:left w:val="nil"/>
              <w:bottom w:val="single" w:sz="8" w:space="0" w:color="CDDC29" w:themeColor="text2"/>
              <w:right w:val="nil"/>
            </w:tcBorders>
            <w:shd w:val="clear" w:color="auto" w:fill="FFC000"/>
            <w:vAlign w:val="center"/>
          </w:tcPr>
          <w:p w14:paraId="4C72BA84" w14:textId="77777777" w:rsidR="005F2101" w:rsidRDefault="005F2101" w:rsidP="003E0597">
            <w:pPr>
              <w:pStyle w:val="BodyText"/>
              <w:jc w:val="center"/>
            </w:pPr>
            <w:r>
              <w:t>Significant</w:t>
            </w:r>
          </w:p>
        </w:tc>
        <w:tc>
          <w:tcPr>
            <w:tcW w:w="2268" w:type="dxa"/>
            <w:tcBorders>
              <w:top w:val="single" w:sz="8" w:space="0" w:color="CDDC29" w:themeColor="text2"/>
              <w:left w:val="nil"/>
              <w:bottom w:val="single" w:sz="8" w:space="0" w:color="CDDC29" w:themeColor="text2"/>
              <w:right w:val="nil"/>
            </w:tcBorders>
            <w:shd w:val="clear" w:color="auto" w:fill="92D050"/>
            <w:vAlign w:val="center"/>
          </w:tcPr>
          <w:p w14:paraId="686A27BA" w14:textId="77777777" w:rsidR="005F2101" w:rsidRDefault="005F2101" w:rsidP="003E0597">
            <w:pPr>
              <w:pStyle w:val="BodyText"/>
              <w:jc w:val="center"/>
            </w:pPr>
            <w:r>
              <w:t>Low</w:t>
            </w:r>
          </w:p>
        </w:tc>
        <w:tc>
          <w:tcPr>
            <w:tcW w:w="2268" w:type="dxa"/>
            <w:tcBorders>
              <w:top w:val="single" w:sz="8" w:space="0" w:color="CDDC29" w:themeColor="text2"/>
              <w:left w:val="nil"/>
              <w:bottom w:val="single" w:sz="8" w:space="0" w:color="CDDC29" w:themeColor="text2"/>
              <w:right w:val="nil"/>
            </w:tcBorders>
            <w:shd w:val="clear" w:color="auto" w:fill="FF0000"/>
            <w:vAlign w:val="center"/>
            <w:hideMark/>
          </w:tcPr>
          <w:p w14:paraId="4B82F93D" w14:textId="77777777" w:rsidR="005F2101" w:rsidRDefault="005F2101" w:rsidP="003E0597">
            <w:pPr>
              <w:pStyle w:val="BodyText"/>
              <w:jc w:val="center"/>
            </w:pPr>
            <w:r>
              <w:t>High</w:t>
            </w:r>
          </w:p>
        </w:tc>
      </w:tr>
    </w:tbl>
    <w:p w14:paraId="7A0965EB" w14:textId="77777777" w:rsidR="005F2101" w:rsidRDefault="005F2101" w:rsidP="007E5EBF">
      <w:pPr>
        <w:pStyle w:val="Heading3"/>
        <w:jc w:val="both"/>
      </w:pPr>
      <w:r>
        <w:t>Fire</w:t>
      </w:r>
    </w:p>
    <w:p w14:paraId="2CB80B09" w14:textId="77777777" w:rsidR="006C324C" w:rsidRPr="001C0DE0" w:rsidRDefault="006C324C" w:rsidP="006C324C">
      <w:pPr>
        <w:pStyle w:val="Heading5"/>
        <w:numPr>
          <w:ilvl w:val="0"/>
          <w:numId w:val="0"/>
        </w:numPr>
        <w:ind w:left="1008" w:hanging="1008"/>
      </w:pPr>
      <w:r>
        <w:t>Increased fire frequency and intensity</w:t>
      </w:r>
    </w:p>
    <w:p w14:paraId="3C63C7F3" w14:textId="4C85ADEF" w:rsidR="005F2101" w:rsidRDefault="005F2101" w:rsidP="005F2101">
      <w:pPr>
        <w:pStyle w:val="BodyText"/>
      </w:pPr>
      <w:r>
        <w:t xml:space="preserve">The </w:t>
      </w:r>
      <w:r w:rsidR="001D3902">
        <w:t>species</w:t>
      </w:r>
      <w:r>
        <w:t xml:space="preserve"> is reliant on Cool Temperate Rainforest habitat which is threatened primarily by severe bushfires; stands may be eliminated by a single severe bushfire or progressively reduced by a series of bushfires. Increased fire severity and frequency is now the greatest threat to the </w:t>
      </w:r>
      <w:r w:rsidR="001D3902">
        <w:t>species</w:t>
      </w:r>
      <w:r>
        <w:t xml:space="preserve"> and its rainforest habitat, neither of which are dependent on fire for recruitment nor maintenance. The threat of bushfire applies to 60% of the </w:t>
      </w:r>
      <w:r w:rsidR="001D3902">
        <w:t>species’</w:t>
      </w:r>
      <w:r>
        <w:t xml:space="preserve"> range and can lead to direct mortality. </w:t>
      </w:r>
    </w:p>
    <w:p w14:paraId="5AFA77F6" w14:textId="77777777" w:rsidR="005F2101" w:rsidRDefault="005F2101" w:rsidP="005F2101">
      <w:pPr>
        <w:pStyle w:val="BodyText"/>
        <w:rPr>
          <w:rFonts w:ascii="Segoe UI" w:hAnsi="Segoe UI" w:cs="Segoe UI"/>
        </w:rPr>
      </w:pPr>
      <w:r>
        <w:t>Current existing controls for this hazard include: </w:t>
      </w:r>
    </w:p>
    <w:p w14:paraId="55D90B88" w14:textId="4BE00D41" w:rsidR="005F2101" w:rsidRDefault="005F2101" w:rsidP="006670D2">
      <w:pPr>
        <w:pStyle w:val="PullOutBoxBullet"/>
      </w:pPr>
      <w:r>
        <w:t>Planned burning. This control is considered ineffective in this case as the species’ habitat is generally not suitable for planned burning. Strategic fuel</w:t>
      </w:r>
      <w:r w:rsidR="00DF761D">
        <w:t xml:space="preserve"> </w:t>
      </w:r>
      <w:r>
        <w:t>breaks and associated backburning may however provide valuable protection in some cases for this species and its habitat from severe bushfires.</w:t>
      </w:r>
    </w:p>
    <w:p w14:paraId="029C4138" w14:textId="5CBFA671"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207</w:t>
      </w:r>
      <w:r w:rsidR="000B6788" w:rsidRPr="00B6162A">
        <w:rPr>
          <w:bCs/>
          <w:noProof/>
        </w:rPr>
        <w:fldChar w:fldCharType="end"/>
      </w:r>
      <w:r w:rsidRPr="00FF310C">
        <w:t xml:space="preserve">. Slender Fork-fern protection requirements and recommendations for </w:t>
      </w:r>
      <w:r w:rsidR="006C324C">
        <w:t>increased fire frequency and intensity</w:t>
      </w:r>
    </w:p>
    <w:tbl>
      <w:tblPr>
        <w:tblStyle w:val="TableGrid"/>
        <w:tblW w:w="0" w:type="auto"/>
        <w:tblLook w:val="04A0" w:firstRow="1" w:lastRow="0" w:firstColumn="1" w:lastColumn="0" w:noHBand="0" w:noVBand="1"/>
      </w:tblPr>
      <w:tblGrid>
        <w:gridCol w:w="2268"/>
        <w:gridCol w:w="7371"/>
      </w:tblGrid>
      <w:tr w:rsidR="005F2101" w:rsidRPr="00867DAA" w14:paraId="1961D0B2"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3F7EA888" w14:textId="77777777" w:rsidR="005F2101" w:rsidRPr="00704719" w:rsidRDefault="005F2101" w:rsidP="00296E0F">
            <w:pPr>
              <w:pStyle w:val="BodyText"/>
            </w:pPr>
            <w:r w:rsidRPr="00704719">
              <w:t>Requirement</w:t>
            </w:r>
          </w:p>
        </w:tc>
        <w:tc>
          <w:tcPr>
            <w:tcW w:w="7371" w:type="dxa"/>
            <w:vAlign w:val="center"/>
          </w:tcPr>
          <w:p w14:paraId="7914432B"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7E30E502" w14:textId="77777777" w:rsidTr="00B45E4E">
        <w:tc>
          <w:tcPr>
            <w:tcW w:w="2268" w:type="dxa"/>
          </w:tcPr>
          <w:p w14:paraId="588FEABE" w14:textId="64F30D91" w:rsidR="005F2101" w:rsidRPr="003566BD" w:rsidRDefault="00E60DF2" w:rsidP="00B45E4E">
            <w:pPr>
              <w:pStyle w:val="BodyText"/>
            </w:pPr>
            <w:r>
              <w:t>Priority management actions</w:t>
            </w:r>
          </w:p>
        </w:tc>
        <w:tc>
          <w:tcPr>
            <w:tcW w:w="7371" w:type="dxa"/>
          </w:tcPr>
          <w:p w14:paraId="242D7010" w14:textId="77777777" w:rsidR="005F2101" w:rsidRPr="00001691" w:rsidRDefault="005F2101" w:rsidP="00B45E4E">
            <w:pPr>
              <w:pStyle w:val="BodyText"/>
            </w:pPr>
            <w:r>
              <w:t xml:space="preserve">Not required for this hazard as it is a longer-term threat. </w:t>
            </w:r>
          </w:p>
        </w:tc>
      </w:tr>
      <w:tr w:rsidR="005F2101" w:rsidRPr="00867DAA" w14:paraId="6E1F5D66" w14:textId="77777777" w:rsidTr="00B45E4E">
        <w:tc>
          <w:tcPr>
            <w:tcW w:w="2268" w:type="dxa"/>
          </w:tcPr>
          <w:p w14:paraId="19DCB0CB" w14:textId="564FDBA7" w:rsidR="005F2101" w:rsidRPr="00867DAA" w:rsidRDefault="004714AF" w:rsidP="00B45E4E">
            <w:pPr>
              <w:pStyle w:val="BodyText"/>
            </w:pPr>
            <w:r>
              <w:t>Potential m</w:t>
            </w:r>
            <w:r w:rsidR="005F2101" w:rsidRPr="00867DAA">
              <w:t>anagement actions</w:t>
            </w:r>
          </w:p>
        </w:tc>
        <w:tc>
          <w:tcPr>
            <w:tcW w:w="7371" w:type="dxa"/>
          </w:tcPr>
          <w:p w14:paraId="427719A3" w14:textId="0C50D2DC" w:rsidR="005F2101" w:rsidRPr="00EE2E28" w:rsidRDefault="005F2101" w:rsidP="00A0496F">
            <w:pPr>
              <w:pStyle w:val="PullOutBoxBullet"/>
              <w:numPr>
                <w:ilvl w:val="0"/>
                <w:numId w:val="14"/>
              </w:numPr>
            </w:pPr>
            <w:r w:rsidRPr="00EE2E28">
              <w:t xml:space="preserve">Consider options to conserve this </w:t>
            </w:r>
            <w:r w:rsidR="001D3902">
              <w:t>species</w:t>
            </w:r>
            <w:r w:rsidRPr="00EE2E28">
              <w:t xml:space="preserve"> under climate change, including protection of refuges, maintenance of hydrological regimes, translocation to more secure sites and gene mixing to improve its adaptability.</w:t>
            </w:r>
          </w:p>
        </w:tc>
      </w:tr>
    </w:tbl>
    <w:p w14:paraId="444F146E" w14:textId="77777777" w:rsidR="005F2101" w:rsidRDefault="005F2101" w:rsidP="007E5EBF">
      <w:pPr>
        <w:pStyle w:val="Heading3"/>
        <w:jc w:val="both"/>
      </w:pPr>
      <w:r>
        <w:t>Forestry operations</w:t>
      </w:r>
    </w:p>
    <w:p w14:paraId="28CF9BE6" w14:textId="77777777" w:rsidR="005F2101" w:rsidRDefault="005F2101" w:rsidP="007E5EBF">
      <w:pPr>
        <w:pStyle w:val="Heading5"/>
      </w:pPr>
      <w:r>
        <w:t>Forestry operations and roading</w:t>
      </w:r>
    </w:p>
    <w:p w14:paraId="3F9C9B86" w14:textId="1E9CF7AF" w:rsidR="005F2101" w:rsidRDefault="005F2101" w:rsidP="005F2101">
      <w:pPr>
        <w:pStyle w:val="BodyText"/>
        <w:rPr>
          <w:rFonts w:ascii="Segoe UI" w:hAnsi="Segoe UI" w:cs="Segoe UI"/>
          <w:color w:val="363534"/>
        </w:rPr>
      </w:pPr>
      <w:r>
        <w:t>Forestry operations</w:t>
      </w:r>
      <w:r w:rsidR="00794475">
        <w:t>,</w:t>
      </w:r>
      <w:r>
        <w:t> including timber harvesting and road construction in or adjacent to its habitat in parts of its range</w:t>
      </w:r>
      <w:r w:rsidR="00794475">
        <w:t>,</w:t>
      </w:r>
      <w:r>
        <w:t xml:space="preserve"> may pose a threat in the short-term due to edge effects including increased light and wind penetration, </w:t>
      </w:r>
      <w:r w:rsidR="00F41425">
        <w:t>e</w:t>
      </w:r>
      <w:r>
        <w:t>levated</w:t>
      </w:r>
      <w:r w:rsidR="00F41425">
        <w:t xml:space="preserve"> </w:t>
      </w:r>
      <w:r>
        <w:t>temperatures</w:t>
      </w:r>
      <w:r w:rsidR="00F96DDC">
        <w:t>,</w:t>
      </w:r>
      <w:r w:rsidR="00794475">
        <w:t xml:space="preserve"> </w:t>
      </w:r>
      <w:r>
        <w:t xml:space="preserve">and reduced humidity. In addition to edge effects, roads create conditions suitable for weed establishment, especially for </w:t>
      </w:r>
      <w:r w:rsidR="008A6308">
        <w:t>b</w:t>
      </w:r>
      <w:r>
        <w:t>lackberries. </w:t>
      </w:r>
      <w:r>
        <w:rPr>
          <w:rStyle w:val="eop"/>
          <w:rFonts w:cs="Arial"/>
          <w:color w:val="363534"/>
          <w:shd w:val="clear" w:color="auto" w:fill="FFFFFF"/>
        </w:rPr>
        <w:t> </w:t>
      </w:r>
      <w:r>
        <w:rPr>
          <w:rFonts w:ascii="Arial" w:hAnsi="Arial"/>
          <w:color w:val="363534"/>
        </w:rPr>
        <w:t xml:space="preserve">Forestry operations can lead to habitat loss and weed invasion across approximately 10% of the </w:t>
      </w:r>
      <w:r w:rsidR="001D3902">
        <w:rPr>
          <w:rFonts w:ascii="Arial" w:hAnsi="Arial"/>
          <w:color w:val="363534"/>
        </w:rPr>
        <w:t>species’</w:t>
      </w:r>
      <w:r>
        <w:rPr>
          <w:rFonts w:ascii="Arial" w:hAnsi="Arial"/>
          <w:color w:val="363534"/>
        </w:rPr>
        <w:t xml:space="preserve"> distribution, while roading may be a minor hazard across less than 5% of habitat. In the West RFA</w:t>
      </w:r>
      <w:r w:rsidR="00EC6620">
        <w:rPr>
          <w:rFonts w:ascii="Arial" w:hAnsi="Arial"/>
          <w:color w:val="363534"/>
        </w:rPr>
        <w:t xml:space="preserve"> region</w:t>
      </w:r>
      <w:r>
        <w:rPr>
          <w:rFonts w:ascii="Arial" w:hAnsi="Arial"/>
          <w:color w:val="363534"/>
        </w:rPr>
        <w:t xml:space="preserve"> timber harvesting was ceased in the Otway Ranges in 2008, therefore the above hazards are no longer considered relevant, however roading may still be a minor hazard. The associated physical disturbance from re-routeing roads and/or tracks leads to direct mortality. </w:t>
      </w:r>
    </w:p>
    <w:p w14:paraId="76073CC4" w14:textId="77777777" w:rsidR="005F2101" w:rsidRDefault="005F2101" w:rsidP="005F2101">
      <w:pPr>
        <w:pStyle w:val="BodyText"/>
      </w:pPr>
      <w:r>
        <w:t xml:space="preserve">Current existing controls for this hazard include: </w:t>
      </w:r>
    </w:p>
    <w:p w14:paraId="0EB32A49" w14:textId="4474D42B" w:rsidR="005F2101" w:rsidRDefault="005F2101" w:rsidP="006670D2">
      <w:pPr>
        <w:pStyle w:val="PullOutBoxBullet"/>
      </w:pPr>
      <w:r w:rsidRPr="003566BD">
        <w:t xml:space="preserve">The </w:t>
      </w:r>
      <w:r w:rsidRPr="003566BD">
        <w:rPr>
          <w:i/>
          <w:iCs/>
        </w:rPr>
        <w:t>Code of Practice for Timber Production 2014</w:t>
      </w:r>
      <w:r>
        <w:rPr>
          <w:i/>
          <w:iCs/>
        </w:rPr>
        <w:t xml:space="preserve">. </w:t>
      </w:r>
      <w:r w:rsidR="00F869FB" w:rsidRPr="00C02DCA">
        <w:t xml:space="preserve">The effectiveness of this control for this species was rated as poor. Concerns regarding the accurate field identification of rainforest following disturbance warrants a more reliable approach to its protection. There is no species-specific prescription for this </w:t>
      </w:r>
      <w:r w:rsidR="001D3902">
        <w:t>species</w:t>
      </w:r>
      <w:r w:rsidR="00F869FB" w:rsidRPr="00C02DCA">
        <w:t xml:space="preserve"> in the Code, however the Code includes general protections for waterways</w:t>
      </w:r>
      <w:r w:rsidR="00F869FB">
        <w:t>, old growth</w:t>
      </w:r>
      <w:r w:rsidR="00F869FB" w:rsidRPr="00C02DCA">
        <w:t xml:space="preserve"> and rainforest including a prohibition on harvesting, the application of buffers and design standards for roads, crossings</w:t>
      </w:r>
      <w:r w:rsidR="00F96DDC" w:rsidRPr="00C02DCA">
        <w:t>,</w:t>
      </w:r>
      <w:r w:rsidR="00F869FB" w:rsidRPr="00C02DCA">
        <w:t xml:space="preserve"> and coupe infrastructure.</w:t>
      </w:r>
    </w:p>
    <w:p w14:paraId="0A69E866" w14:textId="772D0789" w:rsidR="005F2101" w:rsidRPr="00C10F95" w:rsidRDefault="005F2101" w:rsidP="006670D2">
      <w:pPr>
        <w:pStyle w:val="PullOutBoxBullet"/>
      </w:pPr>
      <w:r w:rsidRPr="4F453272">
        <w:t xml:space="preserve">The CAR reserve system. </w:t>
      </w:r>
      <w:r w:rsidRPr="00160F2E">
        <w:t>The effectiveness of this control for this species has been evaluated as</w:t>
      </w:r>
      <w:r>
        <w:t xml:space="preserve"> good</w:t>
      </w:r>
      <w:r w:rsidRPr="4F453272">
        <w:t xml:space="preserve"> as </w:t>
      </w:r>
      <w:r>
        <w:t>81</w:t>
      </w:r>
      <w:r w:rsidRPr="4F453272">
        <w:t xml:space="preserve">% of the </w:t>
      </w:r>
      <w:r w:rsidR="001D3902">
        <w:t>species’</w:t>
      </w:r>
      <w:r w:rsidRPr="4F453272">
        <w:t xml:space="preserve"> </w:t>
      </w:r>
      <w:r>
        <w:t>important populations</w:t>
      </w:r>
      <w:r w:rsidRPr="4F453272">
        <w:t xml:space="preserve"> and</w:t>
      </w:r>
      <w:r>
        <w:t xml:space="preserve"> 87</w:t>
      </w:r>
      <w:r w:rsidRPr="4F453272">
        <w:t xml:space="preserve">% of </w:t>
      </w:r>
      <w:r>
        <w:t>post-1970 VBA points</w:t>
      </w:r>
      <w:r w:rsidRPr="4F453272">
        <w:t xml:space="preserve"> are within the reserve system.</w:t>
      </w:r>
    </w:p>
    <w:p w14:paraId="1C05352C" w14:textId="42D15AB2" w:rsidR="005F2101" w:rsidRPr="00C10F95" w:rsidRDefault="005F2101" w:rsidP="006670D2">
      <w:pPr>
        <w:pStyle w:val="PullOutBoxBullet"/>
      </w:pPr>
      <w:r>
        <w:t xml:space="preserve">Values checking. </w:t>
      </w:r>
      <w:r w:rsidRPr="00160F2E">
        <w:t>The effectiveness of this control for this species has been evaluated as</w:t>
      </w:r>
      <w:r>
        <w:t xml:space="preserve"> satisfactory as it is standard </w:t>
      </w:r>
      <w:r w:rsidR="00C803B7">
        <w:t>practise</w:t>
      </w:r>
      <w:r>
        <w:t xml:space="preserve"> for regional staff to consult detailed mapping of known populations, to avoid them in any roading works.</w:t>
      </w:r>
    </w:p>
    <w:p w14:paraId="0ED5A198" w14:textId="5FB2DBDC"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208</w:t>
      </w:r>
      <w:r w:rsidR="000B6788" w:rsidRPr="00B6162A">
        <w:rPr>
          <w:bCs/>
          <w:noProof/>
        </w:rPr>
        <w:fldChar w:fldCharType="end"/>
      </w:r>
      <w:r w:rsidRPr="00FF310C">
        <w:t xml:space="preserve">. Slender Fork-fern protection requirements and recommendations for </w:t>
      </w:r>
      <w:r w:rsidR="000C0ECC" w:rsidRPr="00FF310C">
        <w:t>f</w:t>
      </w:r>
      <w:r w:rsidRPr="00FF310C">
        <w:t>orestry operations and roading</w:t>
      </w:r>
    </w:p>
    <w:tbl>
      <w:tblPr>
        <w:tblStyle w:val="TableGrid"/>
        <w:tblW w:w="0" w:type="auto"/>
        <w:tblLook w:val="04A0" w:firstRow="1" w:lastRow="0" w:firstColumn="1" w:lastColumn="0" w:noHBand="0" w:noVBand="1"/>
      </w:tblPr>
      <w:tblGrid>
        <w:gridCol w:w="2268"/>
        <w:gridCol w:w="7371"/>
      </w:tblGrid>
      <w:tr w:rsidR="005F2101" w:rsidRPr="00867DAA" w14:paraId="65678315"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34A4F812" w14:textId="77777777" w:rsidR="005F2101" w:rsidRPr="00704719" w:rsidRDefault="005F2101" w:rsidP="00296E0F">
            <w:pPr>
              <w:pStyle w:val="BodyText"/>
            </w:pPr>
            <w:r w:rsidRPr="00704719">
              <w:t>Requirement</w:t>
            </w:r>
          </w:p>
        </w:tc>
        <w:tc>
          <w:tcPr>
            <w:tcW w:w="7371" w:type="dxa"/>
            <w:vAlign w:val="center"/>
          </w:tcPr>
          <w:p w14:paraId="37CD98B1"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36F74B54" w14:textId="77777777" w:rsidTr="00B45E4E">
        <w:tc>
          <w:tcPr>
            <w:tcW w:w="2268" w:type="dxa"/>
          </w:tcPr>
          <w:p w14:paraId="4F1CB317" w14:textId="65A0C961" w:rsidR="005F2101" w:rsidRPr="003566BD" w:rsidRDefault="005F2101" w:rsidP="00B45E4E">
            <w:pPr>
              <w:pStyle w:val="BodyText"/>
            </w:pPr>
            <w:r w:rsidRPr="003566BD">
              <w:t>Interim protections</w:t>
            </w:r>
            <w:r w:rsidR="004714AF">
              <w:t xml:space="preserve"> </w:t>
            </w:r>
          </w:p>
        </w:tc>
        <w:tc>
          <w:tcPr>
            <w:tcW w:w="7371" w:type="dxa"/>
          </w:tcPr>
          <w:p w14:paraId="1B0F59DE" w14:textId="77777777" w:rsidR="005F2101" w:rsidRPr="00001691" w:rsidRDefault="005F2101" w:rsidP="00B45E4E">
            <w:pPr>
              <w:pStyle w:val="BodyText"/>
            </w:pPr>
            <w:r w:rsidRPr="00200995">
              <w:t>Not required for this hazard based on the overall risk level</w:t>
            </w:r>
            <w:r>
              <w:t>s</w:t>
            </w:r>
            <w:r w:rsidRPr="00200995">
              <w:t xml:space="preserve"> of </w:t>
            </w:r>
            <w:r>
              <w:t xml:space="preserve">low and </w:t>
            </w:r>
            <w:r w:rsidRPr="00200995">
              <w:t>medium</w:t>
            </w:r>
            <w:r>
              <w:t>.</w:t>
            </w:r>
          </w:p>
        </w:tc>
      </w:tr>
      <w:tr w:rsidR="001F005D" w:rsidRPr="00867DAA" w14:paraId="62572A44" w14:textId="77777777" w:rsidTr="00B45E4E">
        <w:tc>
          <w:tcPr>
            <w:tcW w:w="2268" w:type="dxa"/>
          </w:tcPr>
          <w:p w14:paraId="12350BDA" w14:textId="44FD4B91" w:rsidR="001F005D" w:rsidRPr="003566BD" w:rsidRDefault="001F005D" w:rsidP="00B45E4E">
            <w:pPr>
              <w:pStyle w:val="BodyText"/>
            </w:pPr>
            <w:r>
              <w:t>Priority management actions</w:t>
            </w:r>
          </w:p>
        </w:tc>
        <w:tc>
          <w:tcPr>
            <w:tcW w:w="7371" w:type="dxa"/>
            <w:shd w:val="clear" w:color="auto" w:fill="auto"/>
          </w:tcPr>
          <w:p w14:paraId="18146AF0" w14:textId="029D3FAF" w:rsidR="001F005D" w:rsidRPr="003566BD" w:rsidRDefault="001F005D" w:rsidP="00B45E4E">
            <w:pPr>
              <w:pStyle w:val="BodyText"/>
            </w:pPr>
            <w:r w:rsidRPr="00200995">
              <w:t>Not required for this hazard based on the overall risk level</w:t>
            </w:r>
            <w:r>
              <w:t>s</w:t>
            </w:r>
            <w:r w:rsidRPr="00200995">
              <w:t xml:space="preserve"> of </w:t>
            </w:r>
            <w:r>
              <w:t xml:space="preserve">low and </w:t>
            </w:r>
            <w:r w:rsidRPr="00200995">
              <w:t>medium</w:t>
            </w:r>
            <w:r>
              <w:t>.</w:t>
            </w:r>
          </w:p>
        </w:tc>
      </w:tr>
      <w:tr w:rsidR="005F2101" w:rsidRPr="00867DAA" w14:paraId="5F7B385B" w14:textId="77777777" w:rsidTr="00B45E4E">
        <w:tc>
          <w:tcPr>
            <w:tcW w:w="2268" w:type="dxa"/>
          </w:tcPr>
          <w:p w14:paraId="48119967" w14:textId="77777777" w:rsidR="005F2101" w:rsidRPr="003566BD" w:rsidRDefault="005F2101" w:rsidP="00B45E4E">
            <w:pPr>
              <w:pStyle w:val="BodyText"/>
            </w:pPr>
            <w:r w:rsidRPr="003566BD">
              <w:t>Permanent protections</w:t>
            </w:r>
          </w:p>
        </w:tc>
        <w:tc>
          <w:tcPr>
            <w:tcW w:w="7371" w:type="dxa"/>
            <w:shd w:val="clear" w:color="auto" w:fill="auto"/>
          </w:tcPr>
          <w:p w14:paraId="6636CD9F" w14:textId="2FC3DA73" w:rsidR="005F2101" w:rsidRPr="003566BD" w:rsidRDefault="005F2101" w:rsidP="00B45E4E">
            <w:pPr>
              <w:pStyle w:val="BodyText"/>
            </w:pPr>
            <w:r w:rsidRPr="003566BD">
              <w:t>Additional permanent protections may be required in the longer-term</w:t>
            </w:r>
            <w:r w:rsidR="004714AF">
              <w:t xml:space="preserve"> except in the West RFA</w:t>
            </w:r>
            <w:r w:rsidR="003D5D67">
              <w:t xml:space="preserve"> region</w:t>
            </w:r>
            <w:r w:rsidR="004714AF">
              <w:t xml:space="preserve"> where the overall </w:t>
            </w:r>
            <w:r w:rsidR="00814D66">
              <w:t>risk</w:t>
            </w:r>
            <w:r w:rsidR="004714AF">
              <w:t xml:space="preserve"> level is low.</w:t>
            </w:r>
          </w:p>
        </w:tc>
      </w:tr>
      <w:tr w:rsidR="005F2101" w:rsidRPr="00867DAA" w14:paraId="538E2AE0" w14:textId="77777777" w:rsidTr="00B45E4E">
        <w:tc>
          <w:tcPr>
            <w:tcW w:w="2268" w:type="dxa"/>
          </w:tcPr>
          <w:p w14:paraId="152DF4F8" w14:textId="6816A7AB" w:rsidR="005F2101" w:rsidRPr="00867DAA" w:rsidRDefault="000701C1" w:rsidP="00B45E4E">
            <w:pPr>
              <w:pStyle w:val="BodyText"/>
            </w:pPr>
            <w:r>
              <w:t>Potential m</w:t>
            </w:r>
            <w:r w:rsidR="005F2101" w:rsidRPr="00867DAA">
              <w:t>anagement actions</w:t>
            </w:r>
          </w:p>
        </w:tc>
        <w:tc>
          <w:tcPr>
            <w:tcW w:w="7371" w:type="dxa"/>
          </w:tcPr>
          <w:p w14:paraId="1F1B95E1" w14:textId="482B47CD" w:rsidR="005F2101" w:rsidRDefault="005F2101" w:rsidP="006670D2">
            <w:pPr>
              <w:pStyle w:val="PullOutBoxBullet"/>
            </w:pPr>
            <w:r>
              <w:t xml:space="preserve">Establish </w:t>
            </w:r>
            <w:r w:rsidRPr="007935D4">
              <w:rPr>
                <w:i/>
                <w:iCs/>
              </w:rPr>
              <w:t xml:space="preserve">ex-situ </w:t>
            </w:r>
            <w:r>
              <w:t>propagation in collaboration with RBG</w:t>
            </w:r>
            <w:r w:rsidR="00F15A17">
              <w:t>V</w:t>
            </w:r>
            <w:r>
              <w:t xml:space="preserve">; and </w:t>
            </w:r>
          </w:p>
          <w:p w14:paraId="00518CAB" w14:textId="77777777" w:rsidR="005F2101" w:rsidRPr="00001691" w:rsidRDefault="005F2101" w:rsidP="006670D2">
            <w:pPr>
              <w:pStyle w:val="PullOutBoxBullet"/>
            </w:pPr>
            <w:r>
              <w:t>Consider introducing a s</w:t>
            </w:r>
            <w:r w:rsidRPr="00A31083">
              <w:t xml:space="preserve">pecies-specific code prescription </w:t>
            </w:r>
            <w:r>
              <w:t xml:space="preserve">as part of </w:t>
            </w:r>
            <w:r w:rsidRPr="00A31083">
              <w:t>any future Code amendments</w:t>
            </w:r>
            <w:r>
              <w:t>.</w:t>
            </w:r>
          </w:p>
        </w:tc>
      </w:tr>
    </w:tbl>
    <w:p w14:paraId="100FBA68" w14:textId="77777777" w:rsidR="005F2101" w:rsidRDefault="005F2101" w:rsidP="007E5EBF">
      <w:pPr>
        <w:pStyle w:val="Heading3"/>
        <w:jc w:val="both"/>
      </w:pPr>
      <w:r>
        <w:t>Invasive species</w:t>
      </w:r>
    </w:p>
    <w:p w14:paraId="466EE047" w14:textId="77777777" w:rsidR="005F2101" w:rsidRDefault="005F2101" w:rsidP="007E5EBF">
      <w:pPr>
        <w:pStyle w:val="Heading5"/>
      </w:pPr>
      <w:r>
        <w:t>Invasive vertebrate (deer)</w:t>
      </w:r>
    </w:p>
    <w:p w14:paraId="269EDBFC" w14:textId="7C2D8044" w:rsidR="005F2101" w:rsidRDefault="005F2101" w:rsidP="005F2101">
      <w:pPr>
        <w:pStyle w:val="BodyText"/>
      </w:pPr>
      <w:r>
        <w:t xml:space="preserve">The </w:t>
      </w:r>
      <w:r w:rsidR="001D3902">
        <w:t>species</w:t>
      </w:r>
      <w:r>
        <w:t xml:space="preserve"> is threatened by rutting, wallowing, antler rubbing and targeted browsing by deer, particularly Sambar, which target rainforest and other riparian communities. Deer occur in 80% of the </w:t>
      </w:r>
      <w:r w:rsidR="001D3902">
        <w:t>species’</w:t>
      </w:r>
      <w:r>
        <w:t xml:space="preserve"> habitat. With possible severe bushfire impacting on populations, the browsing and rubbing by deer would have a large detrimental effect on the regeneration of tree ferns, which are the </w:t>
      </w:r>
      <w:r w:rsidR="001D3902">
        <w:t>species’</w:t>
      </w:r>
      <w:r>
        <w:t xml:space="preserve"> main hosts.</w:t>
      </w:r>
    </w:p>
    <w:p w14:paraId="376A245F" w14:textId="77777777" w:rsidR="005F2101" w:rsidRDefault="005F2101" w:rsidP="005F2101">
      <w:pPr>
        <w:pStyle w:val="BodyText"/>
      </w:pPr>
      <w:r>
        <w:t xml:space="preserve">Current existing controls for this hazard include: </w:t>
      </w:r>
    </w:p>
    <w:p w14:paraId="7E021179" w14:textId="77777777" w:rsidR="005F2101" w:rsidRDefault="005F2101" w:rsidP="006670D2">
      <w:pPr>
        <w:pStyle w:val="PullOutBoxBullet"/>
      </w:pPr>
      <w:r>
        <w:t xml:space="preserve">Aerial and ground shooting program. </w:t>
      </w:r>
      <w:r w:rsidRPr="00160F2E">
        <w:t>The effectiveness of this control for this species has been evaluated as</w:t>
      </w:r>
      <w:r>
        <w:t xml:space="preserve"> poor because shooting programs only achieve minor reductions in deer numbers  </w:t>
      </w:r>
    </w:p>
    <w:p w14:paraId="37D87207" w14:textId="77777777" w:rsidR="00C10F95" w:rsidRDefault="00C10F95">
      <w:pPr>
        <w:rPr>
          <w:b/>
          <w:sz w:val="16"/>
          <w:szCs w:val="16"/>
        </w:rPr>
      </w:pPr>
      <w:r>
        <w:br w:type="page"/>
      </w:r>
    </w:p>
    <w:p w14:paraId="30653B4E" w14:textId="12FA95AE"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209</w:t>
      </w:r>
      <w:r w:rsidR="000B6788" w:rsidRPr="00B6162A">
        <w:rPr>
          <w:bCs/>
          <w:noProof/>
        </w:rPr>
        <w:fldChar w:fldCharType="end"/>
      </w:r>
      <w:r w:rsidRPr="00FF310C">
        <w:t>. Slender Fork-fern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5F2101" w:rsidRPr="00867DAA" w14:paraId="0B589D74"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36A0EBFD" w14:textId="77777777" w:rsidR="005F2101" w:rsidRPr="00704719" w:rsidRDefault="005F2101" w:rsidP="00296E0F">
            <w:pPr>
              <w:pStyle w:val="BodyText"/>
            </w:pPr>
            <w:r w:rsidRPr="00704719">
              <w:t>Requirement</w:t>
            </w:r>
          </w:p>
        </w:tc>
        <w:tc>
          <w:tcPr>
            <w:tcW w:w="7371" w:type="dxa"/>
            <w:vAlign w:val="center"/>
          </w:tcPr>
          <w:p w14:paraId="568A1BC8"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2AA7B022" w14:textId="77777777" w:rsidTr="00B45E4E">
        <w:tc>
          <w:tcPr>
            <w:tcW w:w="2268" w:type="dxa"/>
          </w:tcPr>
          <w:p w14:paraId="619D1DCA" w14:textId="3F6E66E7" w:rsidR="005F2101" w:rsidRPr="003566BD" w:rsidRDefault="000341AF" w:rsidP="00B45E4E">
            <w:pPr>
              <w:pStyle w:val="BodyText"/>
            </w:pPr>
            <w:r>
              <w:t>Priority management actions</w:t>
            </w:r>
          </w:p>
        </w:tc>
        <w:tc>
          <w:tcPr>
            <w:tcW w:w="7371" w:type="dxa"/>
          </w:tcPr>
          <w:p w14:paraId="638CC67E" w14:textId="0055206C" w:rsidR="005F2101" w:rsidRPr="00001691" w:rsidRDefault="00623A33" w:rsidP="00B45E4E">
            <w:pPr>
              <w:pStyle w:val="BodyText"/>
            </w:pPr>
            <w:r w:rsidRPr="00C23B38">
              <w:t>May be required for this hazard</w:t>
            </w:r>
            <w:r>
              <w:t>. This will be addressed through the development of the action statement</w:t>
            </w:r>
            <w:r w:rsidRPr="00C23B38">
              <w:t>.</w:t>
            </w:r>
          </w:p>
        </w:tc>
      </w:tr>
      <w:tr w:rsidR="005F2101" w:rsidRPr="00867DAA" w14:paraId="69692260" w14:textId="77777777" w:rsidTr="00B45E4E">
        <w:tc>
          <w:tcPr>
            <w:tcW w:w="2268" w:type="dxa"/>
          </w:tcPr>
          <w:p w14:paraId="633D23F9" w14:textId="1CA5BADF" w:rsidR="005F2101" w:rsidRPr="00867DAA" w:rsidRDefault="000341AF" w:rsidP="00B45E4E">
            <w:pPr>
              <w:pStyle w:val="BodyText"/>
            </w:pPr>
            <w:r>
              <w:t>Potential m</w:t>
            </w:r>
            <w:r w:rsidR="005F2101" w:rsidRPr="00867DAA">
              <w:t>anagement actions</w:t>
            </w:r>
          </w:p>
        </w:tc>
        <w:tc>
          <w:tcPr>
            <w:tcW w:w="7371" w:type="dxa"/>
          </w:tcPr>
          <w:p w14:paraId="3B9A045D" w14:textId="1A04D062" w:rsidR="005F2101" w:rsidRDefault="005F2101" w:rsidP="006670D2">
            <w:pPr>
              <w:pStyle w:val="PullOutBoxBullet"/>
            </w:pPr>
            <w:r>
              <w:t>Investigate options to control for feral deer populations</w:t>
            </w:r>
            <w:r w:rsidR="00D96283">
              <w:t>; and</w:t>
            </w:r>
          </w:p>
          <w:p w14:paraId="1EA635C2" w14:textId="45BB0D27" w:rsidR="005F2101" w:rsidRPr="00001691" w:rsidRDefault="005F2101" w:rsidP="006670D2">
            <w:pPr>
              <w:pStyle w:val="PullOutBoxBullet"/>
            </w:pPr>
            <w:r>
              <w:t>Assess the feasibility of</w:t>
            </w:r>
            <w:r w:rsidDel="00685C23">
              <w:t xml:space="preserve"> </w:t>
            </w:r>
            <w:r>
              <w:t>fencing of important populations</w:t>
            </w:r>
            <w:r w:rsidR="00D96283">
              <w:t>.</w:t>
            </w:r>
          </w:p>
        </w:tc>
      </w:tr>
    </w:tbl>
    <w:p w14:paraId="0158A0FC" w14:textId="77777777" w:rsidR="005F2101" w:rsidRDefault="005F2101" w:rsidP="005F2101">
      <w:pPr>
        <w:pStyle w:val="ListBullet"/>
        <w:numPr>
          <w:ilvl w:val="0"/>
          <w:numId w:val="0"/>
        </w:numPr>
      </w:pPr>
    </w:p>
    <w:p w14:paraId="5764CC9A" w14:textId="77777777" w:rsidR="00845FCF" w:rsidRDefault="00845FCF">
      <w:pPr>
        <w:rPr>
          <w:rFonts w:ascii="Arial" w:hAnsi="Arial"/>
          <w:b/>
          <w:bCs/>
          <w:iCs/>
          <w:color w:val="00B2A9" w:themeColor="accent1"/>
          <w:kern w:val="20"/>
          <w:sz w:val="24"/>
          <w:szCs w:val="28"/>
          <w:highlight w:val="lightGray"/>
        </w:rPr>
      </w:pPr>
      <w:bookmarkStart w:id="808" w:name="_Toc95129488"/>
      <w:r>
        <w:rPr>
          <w:i/>
          <w:highlight w:val="lightGray"/>
        </w:rPr>
        <w:br w:type="page"/>
      </w:r>
    </w:p>
    <w:p w14:paraId="40248A6F" w14:textId="7294F415" w:rsidR="005F2101" w:rsidRPr="00845FCF" w:rsidRDefault="005F2101" w:rsidP="00171F18">
      <w:pPr>
        <w:pStyle w:val="Heading2"/>
        <w:ind w:left="0"/>
        <w:rPr>
          <w:i/>
          <w:iCs/>
        </w:rPr>
      </w:pPr>
      <w:bookmarkStart w:id="809" w:name="_Toc113271065"/>
      <w:r w:rsidRPr="00845FCF">
        <w:t xml:space="preserve">Small Autumn Greenhood </w:t>
      </w:r>
      <w:r w:rsidRPr="005F7D8C">
        <w:rPr>
          <w:i/>
          <w:iCs/>
        </w:rPr>
        <w:t>(Pterostylis reflexa)</w:t>
      </w:r>
      <w:bookmarkEnd w:id="808"/>
      <w:bookmarkEnd w:id="809"/>
    </w:p>
    <w:p w14:paraId="54DFA894" w14:textId="7ADBA743" w:rsidR="005F2101" w:rsidRDefault="005F2101" w:rsidP="005F2101">
      <w:pPr>
        <w:pStyle w:val="BodyText"/>
      </w:pPr>
      <w:r>
        <w:t xml:space="preserve">The Small Autumn Greenhood was listed as Vulnerable in Victoria under the FFG Act in May 2021. The </w:t>
      </w:r>
      <w:r w:rsidR="001D3902">
        <w:t>species</w:t>
      </w:r>
      <w:r>
        <w:t xml:space="preserve"> has modelled habitat in the East Gippsland (100% of modelled habitat) RFA region.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23531C6B" w14:textId="77777777" w:rsidR="005F2101" w:rsidRDefault="005F2101" w:rsidP="007E5EBF">
      <w:pPr>
        <w:pStyle w:val="Heading3"/>
      </w:pPr>
      <w:r>
        <w:t>Risk Assessment</w:t>
      </w:r>
    </w:p>
    <w:p w14:paraId="467608DE" w14:textId="432F0B5A"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210</w:t>
      </w:r>
      <w:r w:rsidR="000B6788" w:rsidRPr="00B6162A">
        <w:rPr>
          <w:bCs/>
          <w:noProof/>
        </w:rPr>
        <w:fldChar w:fldCharType="end"/>
      </w:r>
      <w:r w:rsidRPr="00FF310C">
        <w:t>. Small Autumn Greenhood risk ratings in the East Gippsland RFA region:</w:t>
      </w:r>
    </w:p>
    <w:tbl>
      <w:tblPr>
        <w:tblStyle w:val="TableGrid"/>
        <w:tblW w:w="6804" w:type="dxa"/>
        <w:tblLook w:val="04A0" w:firstRow="1" w:lastRow="0" w:firstColumn="1" w:lastColumn="0" w:noHBand="0" w:noVBand="1"/>
      </w:tblPr>
      <w:tblGrid>
        <w:gridCol w:w="2268"/>
        <w:gridCol w:w="2268"/>
        <w:gridCol w:w="2268"/>
      </w:tblGrid>
      <w:tr w:rsidR="005F2101" w14:paraId="635FEC80"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tcPr>
          <w:p w14:paraId="393EF7E1" w14:textId="77777777" w:rsidR="005F2101" w:rsidRDefault="005F2101" w:rsidP="006670D2">
            <w:pPr>
              <w:pStyle w:val="CaptionImageorFigure"/>
            </w:pPr>
          </w:p>
        </w:tc>
        <w:tc>
          <w:tcPr>
            <w:tcW w:w="2268" w:type="dxa"/>
            <w:tcBorders>
              <w:top w:val="single" w:sz="8" w:space="0" w:color="CDDC29" w:themeColor="text2"/>
              <w:left w:val="nil"/>
              <w:bottom w:val="single" w:sz="8" w:space="0" w:color="CDDC29" w:themeColor="text2"/>
              <w:right w:val="nil"/>
            </w:tcBorders>
            <w:vAlign w:val="center"/>
          </w:tcPr>
          <w:p w14:paraId="3FB8344D"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w:t>
            </w:r>
          </w:p>
        </w:tc>
        <w:tc>
          <w:tcPr>
            <w:tcW w:w="2268" w:type="dxa"/>
            <w:tcBorders>
              <w:top w:val="single" w:sz="8" w:space="0" w:color="CDDC29" w:themeColor="text2"/>
              <w:left w:val="nil"/>
              <w:bottom w:val="single" w:sz="8" w:space="0" w:color="CDDC29" w:themeColor="text2"/>
              <w:right w:val="nil"/>
            </w:tcBorders>
            <w:vAlign w:val="center"/>
            <w:hideMark/>
          </w:tcPr>
          <w:p w14:paraId="18BB4557"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r>
      <w:tr w:rsidR="005F2101" w14:paraId="15AE7087"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7200D8CB" w14:textId="77777777" w:rsidR="005F2101" w:rsidRDefault="005F2101" w:rsidP="003E0597">
            <w:pPr>
              <w:pStyle w:val="BodyText"/>
              <w:jc w:val="center"/>
            </w:pPr>
            <w:r>
              <w:t>Consequence</w:t>
            </w:r>
          </w:p>
        </w:tc>
        <w:tc>
          <w:tcPr>
            <w:tcW w:w="2268" w:type="dxa"/>
            <w:tcBorders>
              <w:top w:val="single" w:sz="8" w:space="0" w:color="CDDC29" w:themeColor="text2"/>
              <w:left w:val="nil"/>
              <w:bottom w:val="single" w:sz="8" w:space="0" w:color="CDDC29" w:themeColor="text2"/>
              <w:right w:val="nil"/>
            </w:tcBorders>
            <w:vAlign w:val="center"/>
          </w:tcPr>
          <w:p w14:paraId="2589CBF9" w14:textId="77777777" w:rsidR="005F2101" w:rsidRDefault="005F2101" w:rsidP="003E0597">
            <w:pPr>
              <w:pStyle w:val="BodyText"/>
              <w:jc w:val="center"/>
            </w:pPr>
            <w:r>
              <w:t>Major</w:t>
            </w:r>
          </w:p>
        </w:tc>
        <w:tc>
          <w:tcPr>
            <w:tcW w:w="2268" w:type="dxa"/>
            <w:tcBorders>
              <w:top w:val="single" w:sz="8" w:space="0" w:color="CDDC29" w:themeColor="text2"/>
              <w:left w:val="nil"/>
              <w:bottom w:val="single" w:sz="8" w:space="0" w:color="CDDC29" w:themeColor="text2"/>
              <w:right w:val="nil"/>
            </w:tcBorders>
            <w:vAlign w:val="center"/>
            <w:hideMark/>
          </w:tcPr>
          <w:p w14:paraId="3262DC69" w14:textId="77777777" w:rsidR="005F2101" w:rsidRDefault="005F2101" w:rsidP="003E0597">
            <w:pPr>
              <w:pStyle w:val="BodyText"/>
              <w:jc w:val="center"/>
            </w:pPr>
            <w:r>
              <w:t>Minor</w:t>
            </w:r>
          </w:p>
        </w:tc>
      </w:tr>
      <w:tr w:rsidR="005F2101" w14:paraId="5F34CC74"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601FB05A" w14:textId="77777777" w:rsidR="005F2101" w:rsidRDefault="005F2101" w:rsidP="003E0597">
            <w:pPr>
              <w:pStyle w:val="BodyText"/>
              <w:jc w:val="center"/>
            </w:pPr>
            <w:r>
              <w:t>Likelihood</w:t>
            </w:r>
          </w:p>
        </w:tc>
        <w:tc>
          <w:tcPr>
            <w:tcW w:w="2268" w:type="dxa"/>
            <w:tcBorders>
              <w:top w:val="single" w:sz="8" w:space="0" w:color="CDDC29" w:themeColor="text2"/>
              <w:left w:val="nil"/>
              <w:bottom w:val="single" w:sz="8" w:space="0" w:color="CDDC29" w:themeColor="text2"/>
              <w:right w:val="nil"/>
            </w:tcBorders>
            <w:vAlign w:val="center"/>
          </w:tcPr>
          <w:p w14:paraId="3ABD4736" w14:textId="77777777" w:rsidR="005F2101" w:rsidRDefault="005F2101" w:rsidP="003E0597">
            <w:pPr>
              <w:pStyle w:val="BodyText"/>
              <w:jc w:val="center"/>
            </w:pPr>
            <w:r>
              <w:t>Likely</w:t>
            </w:r>
          </w:p>
        </w:tc>
        <w:tc>
          <w:tcPr>
            <w:tcW w:w="2268" w:type="dxa"/>
            <w:tcBorders>
              <w:top w:val="single" w:sz="8" w:space="0" w:color="CDDC29" w:themeColor="text2"/>
              <w:left w:val="nil"/>
              <w:bottom w:val="single" w:sz="8" w:space="0" w:color="CDDC29" w:themeColor="text2"/>
              <w:right w:val="nil"/>
            </w:tcBorders>
            <w:vAlign w:val="center"/>
            <w:hideMark/>
          </w:tcPr>
          <w:p w14:paraId="0A61A648" w14:textId="77777777" w:rsidR="005F2101" w:rsidRDefault="005F2101" w:rsidP="003E0597">
            <w:pPr>
              <w:pStyle w:val="BodyText"/>
              <w:jc w:val="center"/>
            </w:pPr>
            <w:r>
              <w:t>Possible</w:t>
            </w:r>
          </w:p>
        </w:tc>
      </w:tr>
      <w:tr w:rsidR="005F2101" w14:paraId="5685FD03"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0794761B" w14:textId="77777777" w:rsidR="005F2101" w:rsidRDefault="005F2101" w:rsidP="003E0597">
            <w:pPr>
              <w:pStyle w:val="BodyText"/>
              <w:jc w:val="center"/>
            </w:pPr>
            <w:r>
              <w:t>Overall risk rating</w:t>
            </w:r>
          </w:p>
        </w:tc>
        <w:tc>
          <w:tcPr>
            <w:tcW w:w="2268" w:type="dxa"/>
            <w:tcBorders>
              <w:top w:val="single" w:sz="8" w:space="0" w:color="CDDC29" w:themeColor="text2"/>
              <w:left w:val="nil"/>
              <w:bottom w:val="single" w:sz="8" w:space="0" w:color="CDDC29" w:themeColor="text2"/>
              <w:right w:val="nil"/>
            </w:tcBorders>
            <w:shd w:val="clear" w:color="auto" w:fill="FF0000"/>
            <w:vAlign w:val="center"/>
          </w:tcPr>
          <w:p w14:paraId="658395DD" w14:textId="77777777" w:rsidR="005F2101" w:rsidRDefault="005F2101" w:rsidP="003E0597">
            <w:pPr>
              <w:pStyle w:val="BodyText"/>
              <w:jc w:val="center"/>
            </w:pPr>
            <w:r>
              <w:t>High</w:t>
            </w:r>
          </w:p>
        </w:tc>
        <w:tc>
          <w:tcPr>
            <w:tcW w:w="2268" w:type="dxa"/>
            <w:tcBorders>
              <w:top w:val="single" w:sz="8" w:space="0" w:color="CDDC29" w:themeColor="text2"/>
              <w:left w:val="nil"/>
              <w:bottom w:val="single" w:sz="8" w:space="0" w:color="CDDC29" w:themeColor="text2"/>
              <w:right w:val="nil"/>
            </w:tcBorders>
            <w:shd w:val="clear" w:color="auto" w:fill="FFFF00"/>
            <w:vAlign w:val="center"/>
            <w:hideMark/>
          </w:tcPr>
          <w:p w14:paraId="04193800" w14:textId="77777777" w:rsidR="005F2101" w:rsidRDefault="005F2101" w:rsidP="003E0597">
            <w:pPr>
              <w:pStyle w:val="BodyText"/>
              <w:jc w:val="center"/>
            </w:pPr>
            <w:r>
              <w:t>Medium</w:t>
            </w:r>
          </w:p>
        </w:tc>
      </w:tr>
    </w:tbl>
    <w:p w14:paraId="6D4851F3" w14:textId="77777777" w:rsidR="005F2101" w:rsidRDefault="005F2101" w:rsidP="007E5EBF">
      <w:pPr>
        <w:pStyle w:val="Heading3"/>
        <w:jc w:val="both"/>
      </w:pPr>
      <w:r>
        <w:t>Climate change</w:t>
      </w:r>
    </w:p>
    <w:p w14:paraId="0A7CCCC5" w14:textId="77777777" w:rsidR="005F2101" w:rsidRDefault="005F2101" w:rsidP="007E5EBF">
      <w:pPr>
        <w:pStyle w:val="Heading5"/>
      </w:pPr>
      <w:r>
        <w:t>Drying climate</w:t>
      </w:r>
    </w:p>
    <w:p w14:paraId="70C84DD9" w14:textId="1994D209" w:rsidR="005F2101" w:rsidRDefault="005F2101" w:rsidP="005F2101">
      <w:pPr>
        <w:pStyle w:val="BodyText"/>
      </w:pPr>
      <w:r>
        <w:t xml:space="preserve">All the </w:t>
      </w:r>
      <w:r w:rsidR="001D3902">
        <w:t>species’</w:t>
      </w:r>
      <w:r>
        <w:t xml:space="preserve"> subpopulations and habitat may be at risk from disturbance from changed fire regimes (especially planned burning) and increasingly dry conditions from declining rainfall across the distribution of the </w:t>
      </w:r>
      <w:r w:rsidR="001D3902">
        <w:t>species</w:t>
      </w:r>
      <w:r>
        <w:t xml:space="preserve"> leading to direct mortality.</w:t>
      </w:r>
    </w:p>
    <w:p w14:paraId="4F5F6515" w14:textId="2B1C2A76" w:rsidR="005F2101" w:rsidRPr="009773B1" w:rsidRDefault="005F2101" w:rsidP="005F2101">
      <w:pPr>
        <w:pStyle w:val="BodyText"/>
      </w:pPr>
      <w:r w:rsidRPr="009773B1">
        <w:t xml:space="preserve">Current control measures for this hazard are not effective in managing the risk to this </w:t>
      </w:r>
      <w:r w:rsidR="001D3902">
        <w:t>species</w:t>
      </w:r>
      <w:r w:rsidRPr="009773B1">
        <w:t xml:space="preserve"> at the scale relevant to its conservation</w:t>
      </w:r>
      <w:r w:rsidR="00F53216">
        <w:t>.</w:t>
      </w:r>
    </w:p>
    <w:p w14:paraId="19B5BC29" w14:textId="6CE490BF"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211</w:t>
      </w:r>
      <w:r w:rsidR="000B6788" w:rsidRPr="00B6162A">
        <w:rPr>
          <w:bCs/>
          <w:noProof/>
        </w:rPr>
        <w:fldChar w:fldCharType="end"/>
      </w:r>
      <w:r w:rsidRPr="00FF310C">
        <w:t>. Small Autumn Greenhood protection requirements and recommendations for drying climate</w:t>
      </w:r>
    </w:p>
    <w:tbl>
      <w:tblPr>
        <w:tblStyle w:val="TableGrid"/>
        <w:tblW w:w="0" w:type="auto"/>
        <w:tblLook w:val="04A0" w:firstRow="1" w:lastRow="0" w:firstColumn="1" w:lastColumn="0" w:noHBand="0" w:noVBand="1"/>
      </w:tblPr>
      <w:tblGrid>
        <w:gridCol w:w="2268"/>
        <w:gridCol w:w="7371"/>
      </w:tblGrid>
      <w:tr w:rsidR="005F2101" w:rsidRPr="00867DAA" w14:paraId="5E004DA6"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6C002917" w14:textId="77777777" w:rsidR="005F2101" w:rsidRPr="00704719" w:rsidRDefault="005F2101" w:rsidP="00296E0F">
            <w:pPr>
              <w:pStyle w:val="BodyText"/>
            </w:pPr>
            <w:r w:rsidRPr="00704719">
              <w:t>Requirement</w:t>
            </w:r>
          </w:p>
        </w:tc>
        <w:tc>
          <w:tcPr>
            <w:tcW w:w="7371" w:type="dxa"/>
            <w:vAlign w:val="center"/>
          </w:tcPr>
          <w:p w14:paraId="5D353A09"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203C2C44" w14:textId="77777777" w:rsidTr="00B45E4E">
        <w:tc>
          <w:tcPr>
            <w:tcW w:w="2268" w:type="dxa"/>
          </w:tcPr>
          <w:p w14:paraId="4CAFC61A" w14:textId="1CFEADA5" w:rsidR="005F2101" w:rsidRPr="003566BD" w:rsidRDefault="00814D66" w:rsidP="00B45E4E">
            <w:pPr>
              <w:pStyle w:val="BodyText"/>
            </w:pPr>
            <w:r>
              <w:t>Priority management actions</w:t>
            </w:r>
          </w:p>
        </w:tc>
        <w:tc>
          <w:tcPr>
            <w:tcW w:w="7371" w:type="dxa"/>
          </w:tcPr>
          <w:p w14:paraId="0E4FA366" w14:textId="77777777" w:rsidR="005F2101" w:rsidRPr="00001691" w:rsidRDefault="005F2101" w:rsidP="00B45E4E">
            <w:pPr>
              <w:pStyle w:val="BodyText"/>
            </w:pPr>
            <w:r w:rsidRPr="00200995">
              <w:t xml:space="preserve">Not required for this hazard </w:t>
            </w:r>
            <w:r>
              <w:t>as it is a longer-term threat.</w:t>
            </w:r>
          </w:p>
        </w:tc>
      </w:tr>
      <w:tr w:rsidR="005F2101" w:rsidRPr="00867DAA" w14:paraId="3E5DC18B" w14:textId="77777777" w:rsidTr="00B45E4E">
        <w:tc>
          <w:tcPr>
            <w:tcW w:w="2268" w:type="dxa"/>
          </w:tcPr>
          <w:p w14:paraId="1C447DF0" w14:textId="50CFAF5A" w:rsidR="005F2101" w:rsidRPr="00867DAA" w:rsidRDefault="00814D66" w:rsidP="00B45E4E">
            <w:pPr>
              <w:pStyle w:val="BodyText"/>
            </w:pPr>
            <w:r>
              <w:t>Potential m</w:t>
            </w:r>
            <w:r w:rsidR="005F2101" w:rsidRPr="00867DAA">
              <w:t>anagement actions</w:t>
            </w:r>
          </w:p>
        </w:tc>
        <w:tc>
          <w:tcPr>
            <w:tcW w:w="7371" w:type="dxa"/>
          </w:tcPr>
          <w:p w14:paraId="0AA02FFD" w14:textId="7532AE95" w:rsidR="005F2101" w:rsidRPr="00001691" w:rsidRDefault="005F2101" w:rsidP="006670D2">
            <w:pPr>
              <w:pStyle w:val="PullOutBoxBullet"/>
            </w:pPr>
            <w:r>
              <w:t>C</w:t>
            </w:r>
            <w:r w:rsidRPr="00104E77">
              <w:t xml:space="preserve">onsider options to conserve this </w:t>
            </w:r>
            <w:r w:rsidR="001D3902">
              <w:t>species</w:t>
            </w:r>
            <w:r w:rsidRPr="00104E77">
              <w:t xml:space="preserve"> under climate change, including protection of refuges, maintenance of hydrological regimes, translocation to more secure sites and gene mixing to improve its adaptability</w:t>
            </w:r>
            <w:r>
              <w:t>.</w:t>
            </w:r>
          </w:p>
        </w:tc>
      </w:tr>
    </w:tbl>
    <w:p w14:paraId="2DD6DA06" w14:textId="77777777" w:rsidR="005F2101" w:rsidRDefault="005F2101" w:rsidP="007E5EBF">
      <w:pPr>
        <w:pStyle w:val="Heading3"/>
        <w:jc w:val="both"/>
      </w:pPr>
      <w:r>
        <w:t>Forestry operations</w:t>
      </w:r>
    </w:p>
    <w:p w14:paraId="2676DA91" w14:textId="77777777" w:rsidR="005F2101" w:rsidRDefault="005F2101" w:rsidP="007E5EBF">
      <w:pPr>
        <w:pStyle w:val="Heading5"/>
      </w:pPr>
      <w:r>
        <w:t>Forestry operations</w:t>
      </w:r>
    </w:p>
    <w:p w14:paraId="38ABC3F8" w14:textId="0F25CD70" w:rsidR="005F2101" w:rsidRDefault="00F54EF1" w:rsidP="005F2101">
      <w:pPr>
        <w:pStyle w:val="BodyText"/>
      </w:pPr>
      <w:r w:rsidRPr="00FD57DB">
        <w:t xml:space="preserve">Based on the </w:t>
      </w:r>
      <w:r w:rsidR="000D06F8" w:rsidRPr="00FD57DB">
        <w:t>20</w:t>
      </w:r>
      <w:r w:rsidRPr="00FD57DB">
        <w:t>15 net harvest area</w:t>
      </w:r>
      <w:r w:rsidR="000D06F8" w:rsidRPr="00FD57DB">
        <w:t xml:space="preserve"> layer</w:t>
      </w:r>
      <w:r w:rsidRPr="00FD57DB">
        <w:t>,</w:t>
      </w:r>
      <w:r w:rsidR="0070388B" w:rsidRPr="00FD57DB">
        <w:t xml:space="preserve"> </w:t>
      </w:r>
      <w:r w:rsidR="0062398C">
        <w:t>43</w:t>
      </w:r>
      <w:r w:rsidR="0070388B" w:rsidRPr="00FD57DB">
        <w:t xml:space="preserve">% of the </w:t>
      </w:r>
      <w:r w:rsidR="001D3902">
        <w:t>species’</w:t>
      </w:r>
      <w:r w:rsidR="0062398C">
        <w:t xml:space="preserve"> </w:t>
      </w:r>
      <w:r w:rsidR="00714156">
        <w:t>modelled habitat is</w:t>
      </w:r>
      <w:r w:rsidR="0070388B" w:rsidRPr="00FD57DB">
        <w:t xml:space="preserve"> potentially available to forestry operations</w:t>
      </w:r>
      <w:r w:rsidR="009E14AD" w:rsidRPr="00FD57DB">
        <w:t>,</w:t>
      </w:r>
      <w:r w:rsidR="0070388B" w:rsidRPr="00FD57DB">
        <w:t xml:space="preserve"> which can cause direct mortality. Using the revised operable area layer, </w:t>
      </w:r>
      <w:r w:rsidR="00714156">
        <w:t xml:space="preserve">this is reduced to </w:t>
      </w:r>
      <w:r w:rsidR="0070388B" w:rsidRPr="00FD57DB">
        <w:t>13%</w:t>
      </w:r>
      <w:r w:rsidR="00714156">
        <w:t>.</w:t>
      </w:r>
      <w:r w:rsidR="0070388B" w:rsidRPr="00FD57DB">
        <w:t xml:space="preserve"> </w:t>
      </w:r>
      <w:r w:rsidR="005F2101">
        <w:t>It has very small subpopulations that are highly susceptible to stochastic events causing major decline or local extinction within a very short time frame</w:t>
      </w:r>
      <w:r w:rsidR="005F2101">
        <w:rPr>
          <w:rStyle w:val="CommentReference"/>
          <w:rFonts w:cs="Arial"/>
          <w:lang w:eastAsia="en-AU"/>
        </w:rPr>
        <w:t>. F</w:t>
      </w:r>
      <w:r w:rsidR="005F2101">
        <w:t>orestry operations, when combined with a drying climate</w:t>
      </w:r>
      <w:r w:rsidR="00CD2A57">
        <w:t>,</w:t>
      </w:r>
      <w:r w:rsidR="005F2101">
        <w:t xml:space="preserve"> may cause a cumulative impact leading to</w:t>
      </w:r>
      <w:r w:rsidR="00CD2A57">
        <w:t xml:space="preserve"> a</w:t>
      </w:r>
      <w:r w:rsidR="005F2101">
        <w:t xml:space="preserve"> reduced number of plants.</w:t>
      </w:r>
    </w:p>
    <w:p w14:paraId="3089CC06" w14:textId="77777777" w:rsidR="005F2101" w:rsidRDefault="005F2101" w:rsidP="005F2101">
      <w:pPr>
        <w:pStyle w:val="BodyText"/>
      </w:pPr>
      <w:r>
        <w:t>Current controls for this hazard include:</w:t>
      </w:r>
    </w:p>
    <w:p w14:paraId="3164CE3C" w14:textId="394F1242" w:rsidR="005F2101" w:rsidRDefault="005F2101" w:rsidP="006670D2">
      <w:pPr>
        <w:pStyle w:val="PullOutBoxBullet"/>
      </w:pPr>
      <w:r w:rsidRPr="003566BD">
        <w:t xml:space="preserve">The </w:t>
      </w:r>
      <w:r w:rsidRPr="003566BD">
        <w:rPr>
          <w:i/>
        </w:rPr>
        <w:t>Code of Practice for Timber Production 2014</w:t>
      </w:r>
      <w:r>
        <w:rPr>
          <w:i/>
        </w:rPr>
        <w:t xml:space="preserve">. </w:t>
      </w:r>
      <w:r>
        <w:t>Th</w:t>
      </w:r>
      <w:r w:rsidRPr="003566BD">
        <w:t xml:space="preserve">ere </w:t>
      </w:r>
      <w:r>
        <w:t>is</w:t>
      </w:r>
      <w:r w:rsidRPr="003566BD">
        <w:t xml:space="preserve"> no species-specific prescription for this </w:t>
      </w:r>
      <w:r w:rsidR="001D3902">
        <w:t>species</w:t>
      </w:r>
      <w:r>
        <w:t xml:space="preserve"> in the Code, however </w:t>
      </w:r>
      <w:r w:rsidRPr="003566BD">
        <w:t xml:space="preserve">the Code includes general </w:t>
      </w:r>
      <w:r>
        <w:t xml:space="preserve">measures that may offer it some protection. </w:t>
      </w:r>
      <w:r w:rsidRPr="003566BD">
        <w:t xml:space="preserve">The lack of a specific prescription leads to the effectiveness of the Code being assessed as poor for this </w:t>
      </w:r>
      <w:r w:rsidR="001D3902">
        <w:t>species</w:t>
      </w:r>
      <w:r w:rsidRPr="003566BD">
        <w:t xml:space="preserve">. </w:t>
      </w:r>
    </w:p>
    <w:p w14:paraId="0348954A" w14:textId="145DA7C3" w:rsidR="005F2101" w:rsidRPr="00C10F95" w:rsidRDefault="005F2101" w:rsidP="006670D2">
      <w:pPr>
        <w:pStyle w:val="PullOutBoxBullet"/>
      </w:pPr>
      <w:r w:rsidRPr="4F453272">
        <w:t xml:space="preserve">The CAR reserve system. </w:t>
      </w:r>
      <w:r w:rsidRPr="00160F2E">
        <w:t>The effectiveness of this control for this species has been evaluated as</w:t>
      </w:r>
      <w:r>
        <w:t xml:space="preserve"> poor</w:t>
      </w:r>
      <w:r w:rsidRPr="4F453272">
        <w:t xml:space="preserve"> as </w:t>
      </w:r>
      <w:r>
        <w:t>39</w:t>
      </w:r>
      <w:r w:rsidRPr="4F453272">
        <w:t xml:space="preserve">% of the </w:t>
      </w:r>
      <w:r w:rsidR="001D3902">
        <w:t>species’</w:t>
      </w:r>
      <w:r w:rsidRPr="4F453272">
        <w:t xml:space="preserve"> modelled distribution and</w:t>
      </w:r>
      <w:r>
        <w:t xml:space="preserve"> 47</w:t>
      </w:r>
      <w:r w:rsidRPr="4F453272">
        <w:t>% of important populations are within the reserve system.</w:t>
      </w:r>
    </w:p>
    <w:p w14:paraId="4E4ECA64" w14:textId="137F2FE7"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212</w:t>
      </w:r>
      <w:r w:rsidR="000B6788" w:rsidRPr="00B6162A">
        <w:rPr>
          <w:bCs/>
          <w:noProof/>
        </w:rPr>
        <w:fldChar w:fldCharType="end"/>
      </w:r>
      <w:r w:rsidRPr="00FF310C">
        <w:t xml:space="preserve">. Small Autumn Greenhood protection requirements and recommendations for </w:t>
      </w:r>
      <w:r w:rsidR="00006816" w:rsidRPr="00FF310C">
        <w:t>f</w:t>
      </w:r>
      <w:r w:rsidRPr="00FF310C">
        <w:t>orestry operations</w:t>
      </w:r>
    </w:p>
    <w:tbl>
      <w:tblPr>
        <w:tblStyle w:val="TableGrid"/>
        <w:tblW w:w="0" w:type="auto"/>
        <w:tblLook w:val="04A0" w:firstRow="1" w:lastRow="0" w:firstColumn="1" w:lastColumn="0" w:noHBand="0" w:noVBand="1"/>
      </w:tblPr>
      <w:tblGrid>
        <w:gridCol w:w="2268"/>
        <w:gridCol w:w="7371"/>
      </w:tblGrid>
      <w:tr w:rsidR="005F2101" w:rsidRPr="00867DAA" w14:paraId="039074C0"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3FB73CE3" w14:textId="77777777" w:rsidR="005F2101" w:rsidRPr="00704719" w:rsidRDefault="005F2101" w:rsidP="00296E0F">
            <w:pPr>
              <w:pStyle w:val="BodyText"/>
            </w:pPr>
            <w:r w:rsidRPr="00704719">
              <w:t>Requirement</w:t>
            </w:r>
          </w:p>
        </w:tc>
        <w:tc>
          <w:tcPr>
            <w:tcW w:w="7371" w:type="dxa"/>
            <w:vAlign w:val="center"/>
          </w:tcPr>
          <w:p w14:paraId="73A7B324"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509EFFEB" w14:textId="77777777" w:rsidTr="00B45E4E">
        <w:tc>
          <w:tcPr>
            <w:tcW w:w="2268" w:type="dxa"/>
          </w:tcPr>
          <w:p w14:paraId="57DBA937" w14:textId="58A46D63" w:rsidR="005F2101" w:rsidRPr="003566BD" w:rsidRDefault="005F2101" w:rsidP="00B45E4E">
            <w:pPr>
              <w:pStyle w:val="BodyText"/>
            </w:pPr>
            <w:r w:rsidRPr="003566BD">
              <w:t>Interim protections</w:t>
            </w:r>
            <w:r w:rsidR="00814D66">
              <w:t xml:space="preserve"> </w:t>
            </w:r>
          </w:p>
        </w:tc>
        <w:tc>
          <w:tcPr>
            <w:tcW w:w="7371" w:type="dxa"/>
          </w:tcPr>
          <w:p w14:paraId="20F7770D" w14:textId="77777777" w:rsidR="005F2101" w:rsidRPr="00001691" w:rsidRDefault="005F2101" w:rsidP="00B45E4E">
            <w:pPr>
              <w:pStyle w:val="BodyText"/>
            </w:pPr>
            <w:r w:rsidRPr="00200995">
              <w:t>Not required for this hazard based on the overall risk level of medium</w:t>
            </w:r>
            <w:r>
              <w:t>.</w:t>
            </w:r>
          </w:p>
        </w:tc>
      </w:tr>
      <w:tr w:rsidR="001F005D" w:rsidRPr="00867DAA" w14:paraId="0FF9FC4B" w14:textId="77777777" w:rsidTr="00B45E4E">
        <w:tc>
          <w:tcPr>
            <w:tcW w:w="2268" w:type="dxa"/>
          </w:tcPr>
          <w:p w14:paraId="13D4D58B" w14:textId="04508FAF" w:rsidR="001F005D" w:rsidRPr="003566BD" w:rsidRDefault="001D6CFC" w:rsidP="00B45E4E">
            <w:pPr>
              <w:pStyle w:val="BodyText"/>
            </w:pPr>
            <w:r>
              <w:t>Priority management actions</w:t>
            </w:r>
          </w:p>
        </w:tc>
        <w:tc>
          <w:tcPr>
            <w:tcW w:w="7371" w:type="dxa"/>
            <w:shd w:val="clear" w:color="auto" w:fill="auto"/>
          </w:tcPr>
          <w:p w14:paraId="6710F0FD" w14:textId="08167684" w:rsidR="001F005D" w:rsidRPr="003566BD" w:rsidRDefault="005F2101" w:rsidP="00B45E4E">
            <w:pPr>
              <w:pStyle w:val="BodyText"/>
            </w:pPr>
            <w:r w:rsidRPr="00200995">
              <w:t>Not required for this hazard based on the overall risk level of medium</w:t>
            </w:r>
            <w:r>
              <w:t>.</w:t>
            </w:r>
          </w:p>
        </w:tc>
      </w:tr>
      <w:tr w:rsidR="005F2101" w:rsidRPr="00867DAA" w14:paraId="5278ECCE" w14:textId="77777777" w:rsidTr="00B45E4E">
        <w:tc>
          <w:tcPr>
            <w:tcW w:w="2268" w:type="dxa"/>
          </w:tcPr>
          <w:p w14:paraId="7ECCBE2C" w14:textId="77777777" w:rsidR="005F2101" w:rsidRPr="003566BD" w:rsidRDefault="005F2101" w:rsidP="00B45E4E">
            <w:pPr>
              <w:pStyle w:val="BodyText"/>
            </w:pPr>
            <w:r w:rsidRPr="003566BD">
              <w:t>Permanent protections</w:t>
            </w:r>
          </w:p>
        </w:tc>
        <w:tc>
          <w:tcPr>
            <w:tcW w:w="7371" w:type="dxa"/>
            <w:shd w:val="clear" w:color="auto" w:fill="auto"/>
          </w:tcPr>
          <w:p w14:paraId="0FA89C18" w14:textId="77777777" w:rsidR="005F2101" w:rsidRPr="003566BD" w:rsidRDefault="005F2101" w:rsidP="00B45E4E">
            <w:pPr>
              <w:pStyle w:val="BodyText"/>
            </w:pPr>
            <w:r w:rsidRPr="003566BD">
              <w:t>Additional permanent protections may be required in the longer-term</w:t>
            </w:r>
            <w:r>
              <w:t>.</w:t>
            </w:r>
          </w:p>
        </w:tc>
      </w:tr>
      <w:tr w:rsidR="005F2101" w:rsidRPr="00867DAA" w14:paraId="00B32D6F" w14:textId="77777777" w:rsidTr="00B45E4E">
        <w:tc>
          <w:tcPr>
            <w:tcW w:w="2268" w:type="dxa"/>
          </w:tcPr>
          <w:p w14:paraId="04217B7F" w14:textId="44EECAF8" w:rsidR="005F2101" w:rsidRPr="00867DAA" w:rsidRDefault="00006816" w:rsidP="00B45E4E">
            <w:pPr>
              <w:pStyle w:val="BodyText"/>
            </w:pPr>
            <w:r>
              <w:t>Potential m</w:t>
            </w:r>
            <w:r w:rsidR="005F2101" w:rsidRPr="00867DAA">
              <w:t>anagement actions</w:t>
            </w:r>
          </w:p>
        </w:tc>
        <w:tc>
          <w:tcPr>
            <w:tcW w:w="7371" w:type="dxa"/>
          </w:tcPr>
          <w:p w14:paraId="138B76C1" w14:textId="73B46D1C" w:rsidR="005F2101" w:rsidRDefault="005F2101" w:rsidP="006670D2">
            <w:pPr>
              <w:pStyle w:val="PullOutBoxBullet"/>
            </w:pPr>
            <w:r>
              <w:t xml:space="preserve">Establish </w:t>
            </w:r>
            <w:r w:rsidRPr="007935D4">
              <w:rPr>
                <w:i/>
                <w:iCs/>
              </w:rPr>
              <w:t>ex-situ</w:t>
            </w:r>
            <w:r>
              <w:t xml:space="preserve"> propagation as a safeguard in case populations experience a significant decline</w:t>
            </w:r>
            <w:r w:rsidR="00E35B0A">
              <w:t>; and</w:t>
            </w:r>
          </w:p>
          <w:p w14:paraId="685785C1" w14:textId="6BCABF3C" w:rsidR="005F2101" w:rsidRPr="00001691" w:rsidRDefault="005F2101" w:rsidP="006670D2">
            <w:pPr>
              <w:pStyle w:val="PullOutBoxBullet"/>
            </w:pPr>
            <w:r w:rsidRPr="000E7817">
              <w:t>Consider introducing a species-specific code prescription as part of any future Code amendments</w:t>
            </w:r>
            <w:r w:rsidR="00E35B0A">
              <w:t>.</w:t>
            </w:r>
          </w:p>
        </w:tc>
      </w:tr>
    </w:tbl>
    <w:p w14:paraId="74E2B983" w14:textId="77777777" w:rsidR="005F2101" w:rsidRDefault="005F2101" w:rsidP="005F2101">
      <w:pPr>
        <w:pStyle w:val="ListBullet"/>
        <w:numPr>
          <w:ilvl w:val="0"/>
          <w:numId w:val="0"/>
        </w:numPr>
      </w:pPr>
    </w:p>
    <w:p w14:paraId="3BEB43AD" w14:textId="77777777" w:rsidR="00270126" w:rsidRDefault="00270126">
      <w:pPr>
        <w:rPr>
          <w:rFonts w:ascii="Arial" w:hAnsi="Arial"/>
          <w:b/>
          <w:bCs/>
          <w:i/>
          <w:iCs/>
          <w:color w:val="00B2A9" w:themeColor="accent1"/>
          <w:kern w:val="20"/>
          <w:sz w:val="24"/>
          <w:szCs w:val="28"/>
          <w:highlight w:val="lightGray"/>
        </w:rPr>
      </w:pPr>
      <w:bookmarkStart w:id="810" w:name="_Toc88566996"/>
      <w:bookmarkStart w:id="811" w:name="_Toc95129489"/>
      <w:r>
        <w:rPr>
          <w:highlight w:val="lightGray"/>
        </w:rPr>
        <w:br w:type="page"/>
      </w:r>
    </w:p>
    <w:p w14:paraId="38F3CDA7" w14:textId="3CDB1617" w:rsidR="005F2101" w:rsidRPr="00D44148" w:rsidRDefault="005F2101" w:rsidP="00171F18">
      <w:pPr>
        <w:pStyle w:val="Heading2"/>
        <w:ind w:left="0"/>
        <w:rPr>
          <w:i/>
          <w:iCs/>
        </w:rPr>
      </w:pPr>
      <w:bookmarkStart w:id="812" w:name="_Toc113271066"/>
      <w:r w:rsidRPr="00D44148">
        <w:t>Small Fork-fern </w:t>
      </w:r>
      <w:r w:rsidRPr="005F7D8C">
        <w:rPr>
          <w:i/>
          <w:iCs/>
        </w:rPr>
        <w:t>(Tmesipteris parva)</w:t>
      </w:r>
      <w:bookmarkEnd w:id="810"/>
      <w:bookmarkEnd w:id="811"/>
      <w:bookmarkEnd w:id="812"/>
      <w:r w:rsidRPr="00D44148">
        <w:t> </w:t>
      </w:r>
    </w:p>
    <w:p w14:paraId="7C2556CE" w14:textId="21997A8E" w:rsidR="005F2101" w:rsidRPr="003E1225" w:rsidRDefault="005F2101" w:rsidP="005F2101">
      <w:pPr>
        <w:pStyle w:val="BodyText"/>
        <w:rPr>
          <w:rFonts w:ascii="Arial" w:hAnsi="Arial"/>
          <w:color w:val="363534"/>
        </w:rPr>
      </w:pPr>
      <w:r w:rsidRPr="00CC7A45">
        <w:t xml:space="preserve">The </w:t>
      </w:r>
      <w:r>
        <w:t>Small Fork-fern</w:t>
      </w:r>
      <w:r w:rsidRPr="00CC7A45">
        <w:t xml:space="preserve"> was listed as </w:t>
      </w:r>
      <w:r>
        <w:t>Endangered in Victoria</w:t>
      </w:r>
      <w:r w:rsidRPr="00CC7A45">
        <w:t xml:space="preserve"> under the FFG Act in May 2021. The </w:t>
      </w:r>
      <w:r w:rsidR="001D3902">
        <w:t>species</w:t>
      </w:r>
      <w:r w:rsidRPr="00CC7A45">
        <w:t xml:space="preserve"> has </w:t>
      </w:r>
      <w:r>
        <w:t>VBA points</w:t>
      </w:r>
      <w:r w:rsidRPr="00CC7A45">
        <w:t xml:space="preserve"> in the </w:t>
      </w:r>
      <w:r>
        <w:t xml:space="preserve">East Gippsland (56% of VBA points), Central Highlands </w:t>
      </w:r>
      <w:r w:rsidRPr="00CC7A45">
        <w:t>(</w:t>
      </w:r>
      <w:r>
        <w:t>28</w:t>
      </w:r>
      <w:r w:rsidRPr="00CC7A45">
        <w:t xml:space="preserve">% of </w:t>
      </w:r>
      <w:r>
        <w:t>VBA points</w:t>
      </w:r>
      <w:r w:rsidRPr="00CC7A45">
        <w:t>)</w:t>
      </w:r>
      <w:r>
        <w:t xml:space="preserve"> and Gippsland (16% of VBA points) </w:t>
      </w:r>
      <w:r w:rsidRPr="00CC7A45">
        <w:t>RFA region</w:t>
      </w:r>
      <w:r>
        <w:t>s.</w:t>
      </w:r>
      <w:r w:rsidRPr="009B5D49">
        <w:rPr>
          <w:rStyle w:val="BodyTextChar"/>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3F80268E" w14:textId="77777777" w:rsidR="005F2101" w:rsidRDefault="005F2101" w:rsidP="007E5EBF">
      <w:pPr>
        <w:pStyle w:val="Heading3"/>
      </w:pPr>
      <w:r>
        <w:t>Risk Assessment</w:t>
      </w:r>
    </w:p>
    <w:p w14:paraId="3253EA08" w14:textId="3AC60A42" w:rsidR="005F2101" w:rsidRPr="00FF310C" w:rsidRDefault="005F2101" w:rsidP="006670D2">
      <w:pPr>
        <w:pStyle w:val="Caption"/>
      </w:pPr>
      <w:r w:rsidRPr="00FF310C">
        <w:t xml:space="preserve">Table </w:t>
      </w:r>
      <w:r w:rsidRPr="00B846FE">
        <w:rPr>
          <w:bCs/>
        </w:rPr>
        <w:fldChar w:fldCharType="begin"/>
      </w:r>
      <w:r w:rsidRPr="00FF310C">
        <w:instrText>SEQ Table \* ARABIC</w:instrText>
      </w:r>
      <w:r w:rsidRPr="00B846FE">
        <w:rPr>
          <w:bCs/>
        </w:rPr>
        <w:fldChar w:fldCharType="separate"/>
      </w:r>
      <w:r w:rsidR="00692F0D">
        <w:rPr>
          <w:noProof/>
        </w:rPr>
        <w:t>213</w:t>
      </w:r>
      <w:r w:rsidRPr="00B846FE">
        <w:rPr>
          <w:bCs/>
        </w:rPr>
        <w:fldChar w:fldCharType="end"/>
      </w:r>
      <w:r w:rsidRPr="00FF310C">
        <w:t xml:space="preserve">. Small Fork-fern risk ratings in the Central Highlands </w:t>
      </w:r>
      <w:r w:rsidR="00211BAD" w:rsidRPr="00FF310C">
        <w:t>RFA region:</w:t>
      </w:r>
    </w:p>
    <w:tbl>
      <w:tblPr>
        <w:tblStyle w:val="TableGrid"/>
        <w:tblW w:w="9864" w:type="dxa"/>
        <w:tblLayout w:type="fixed"/>
        <w:tblLook w:val="04A0" w:firstRow="1" w:lastRow="0" w:firstColumn="1" w:lastColumn="0" w:noHBand="0" w:noVBand="1"/>
      </w:tblPr>
      <w:tblGrid>
        <w:gridCol w:w="1644"/>
        <w:gridCol w:w="1644"/>
        <w:gridCol w:w="1644"/>
        <w:gridCol w:w="1644"/>
        <w:gridCol w:w="1644"/>
        <w:gridCol w:w="1644"/>
      </w:tblGrid>
      <w:tr w:rsidR="005F2101" w14:paraId="70D2919F"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44" w:type="dxa"/>
            <w:vAlign w:val="center"/>
          </w:tcPr>
          <w:p w14:paraId="58460394" w14:textId="77777777" w:rsidR="005F2101" w:rsidRPr="00643008" w:rsidRDefault="005F2101" w:rsidP="006670D2">
            <w:pPr>
              <w:pStyle w:val="CaptionImageorFigure"/>
            </w:pPr>
          </w:p>
        </w:tc>
        <w:tc>
          <w:tcPr>
            <w:tcW w:w="1644" w:type="dxa"/>
            <w:vAlign w:val="center"/>
          </w:tcPr>
          <w:p w14:paraId="11043A55"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Drought</w:t>
            </w:r>
          </w:p>
        </w:tc>
        <w:tc>
          <w:tcPr>
            <w:tcW w:w="1644" w:type="dxa"/>
            <w:vAlign w:val="center"/>
          </w:tcPr>
          <w:p w14:paraId="6A3E8221"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644" w:type="dxa"/>
            <w:vAlign w:val="center"/>
          </w:tcPr>
          <w:p w14:paraId="7B130F1D"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 roading</w:t>
            </w:r>
          </w:p>
        </w:tc>
        <w:tc>
          <w:tcPr>
            <w:tcW w:w="1644" w:type="dxa"/>
            <w:vAlign w:val="center"/>
          </w:tcPr>
          <w:p w14:paraId="2537D7A7"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c>
          <w:tcPr>
            <w:tcW w:w="1644" w:type="dxa"/>
            <w:vAlign w:val="center"/>
          </w:tcPr>
          <w:p w14:paraId="6A58EEEB"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Myrtle Wilt</w:t>
            </w:r>
          </w:p>
        </w:tc>
      </w:tr>
      <w:tr w:rsidR="00211BAD" w14:paraId="5DD8160D" w14:textId="77777777" w:rsidTr="00296E0F">
        <w:tc>
          <w:tcPr>
            <w:tcW w:w="1644" w:type="dxa"/>
            <w:vAlign w:val="center"/>
          </w:tcPr>
          <w:p w14:paraId="59298250" w14:textId="77777777" w:rsidR="00211BAD" w:rsidRPr="0053677B" w:rsidRDefault="00211BAD" w:rsidP="00211BAD">
            <w:pPr>
              <w:pStyle w:val="BodyText"/>
              <w:jc w:val="center"/>
            </w:pPr>
            <w:r w:rsidRPr="0053677B">
              <w:t>Consequence</w:t>
            </w:r>
          </w:p>
        </w:tc>
        <w:tc>
          <w:tcPr>
            <w:tcW w:w="1644" w:type="dxa"/>
            <w:vAlign w:val="center"/>
          </w:tcPr>
          <w:p w14:paraId="28791327" w14:textId="77777777" w:rsidR="00211BAD" w:rsidRDefault="00211BAD" w:rsidP="00211BAD">
            <w:pPr>
              <w:pStyle w:val="BodyText"/>
              <w:jc w:val="center"/>
            </w:pPr>
            <w:r>
              <w:t>Extreme</w:t>
            </w:r>
          </w:p>
        </w:tc>
        <w:tc>
          <w:tcPr>
            <w:tcW w:w="1644" w:type="dxa"/>
            <w:vAlign w:val="center"/>
          </w:tcPr>
          <w:p w14:paraId="47E07BB6" w14:textId="77777777" w:rsidR="00211BAD" w:rsidRDefault="00211BAD" w:rsidP="00211BAD">
            <w:pPr>
              <w:pStyle w:val="BodyText"/>
              <w:jc w:val="center"/>
            </w:pPr>
            <w:r>
              <w:t>Major</w:t>
            </w:r>
          </w:p>
        </w:tc>
        <w:tc>
          <w:tcPr>
            <w:tcW w:w="1644" w:type="dxa"/>
            <w:vAlign w:val="center"/>
          </w:tcPr>
          <w:p w14:paraId="09F6C5F8" w14:textId="342CFF1F" w:rsidR="00211BAD" w:rsidRDefault="00211BAD" w:rsidP="00211BAD">
            <w:pPr>
              <w:pStyle w:val="BodyText"/>
              <w:jc w:val="center"/>
            </w:pPr>
            <w:r>
              <w:t>Moderate</w:t>
            </w:r>
          </w:p>
        </w:tc>
        <w:tc>
          <w:tcPr>
            <w:tcW w:w="1644" w:type="dxa"/>
            <w:vAlign w:val="center"/>
          </w:tcPr>
          <w:p w14:paraId="5B156E32" w14:textId="77777777" w:rsidR="00211BAD" w:rsidRDefault="00211BAD" w:rsidP="00211BAD">
            <w:pPr>
              <w:pStyle w:val="BodyText"/>
              <w:jc w:val="center"/>
            </w:pPr>
            <w:r>
              <w:t>Moderate</w:t>
            </w:r>
          </w:p>
        </w:tc>
        <w:tc>
          <w:tcPr>
            <w:tcW w:w="1644" w:type="dxa"/>
            <w:vAlign w:val="center"/>
          </w:tcPr>
          <w:p w14:paraId="6031495B" w14:textId="77777777" w:rsidR="00211BAD" w:rsidRDefault="00211BAD" w:rsidP="00211BAD">
            <w:pPr>
              <w:pStyle w:val="BodyText"/>
              <w:jc w:val="center"/>
            </w:pPr>
            <w:r>
              <w:t>Moderate</w:t>
            </w:r>
          </w:p>
        </w:tc>
      </w:tr>
      <w:tr w:rsidR="00211BAD" w14:paraId="5DB70396" w14:textId="77777777" w:rsidTr="00296E0F">
        <w:tc>
          <w:tcPr>
            <w:tcW w:w="1644" w:type="dxa"/>
            <w:vAlign w:val="center"/>
          </w:tcPr>
          <w:p w14:paraId="45D2E370" w14:textId="77777777" w:rsidR="00211BAD" w:rsidRPr="0053677B" w:rsidRDefault="00211BAD" w:rsidP="00211BAD">
            <w:pPr>
              <w:pStyle w:val="BodyText"/>
              <w:jc w:val="center"/>
            </w:pPr>
            <w:r w:rsidRPr="0053677B">
              <w:t>Likelihood</w:t>
            </w:r>
          </w:p>
        </w:tc>
        <w:tc>
          <w:tcPr>
            <w:tcW w:w="1644" w:type="dxa"/>
            <w:vAlign w:val="center"/>
          </w:tcPr>
          <w:p w14:paraId="466C1D0C" w14:textId="77777777" w:rsidR="00211BAD" w:rsidRDefault="00211BAD" w:rsidP="00211BAD">
            <w:pPr>
              <w:pStyle w:val="BodyText"/>
              <w:jc w:val="center"/>
            </w:pPr>
            <w:r>
              <w:t>Almost Certain</w:t>
            </w:r>
          </w:p>
        </w:tc>
        <w:tc>
          <w:tcPr>
            <w:tcW w:w="1644" w:type="dxa"/>
            <w:vAlign w:val="center"/>
          </w:tcPr>
          <w:p w14:paraId="3CA33BA3" w14:textId="77777777" w:rsidR="00211BAD" w:rsidRDefault="00211BAD" w:rsidP="00211BAD">
            <w:pPr>
              <w:pStyle w:val="BodyText"/>
              <w:jc w:val="center"/>
            </w:pPr>
            <w:r>
              <w:t>Likely</w:t>
            </w:r>
          </w:p>
        </w:tc>
        <w:tc>
          <w:tcPr>
            <w:tcW w:w="1644" w:type="dxa"/>
            <w:vAlign w:val="center"/>
          </w:tcPr>
          <w:p w14:paraId="5D33B3BB" w14:textId="3D4420AD" w:rsidR="00211BAD" w:rsidRDefault="00211BAD" w:rsidP="00211BAD">
            <w:pPr>
              <w:pStyle w:val="BodyText"/>
              <w:jc w:val="center"/>
            </w:pPr>
            <w:r>
              <w:t>Likely</w:t>
            </w:r>
          </w:p>
        </w:tc>
        <w:tc>
          <w:tcPr>
            <w:tcW w:w="1644" w:type="dxa"/>
            <w:vAlign w:val="center"/>
          </w:tcPr>
          <w:p w14:paraId="2382ECC5" w14:textId="77777777" w:rsidR="00211BAD" w:rsidRDefault="00211BAD" w:rsidP="00211BAD">
            <w:pPr>
              <w:pStyle w:val="BodyText"/>
              <w:jc w:val="center"/>
            </w:pPr>
            <w:r>
              <w:t>Possible</w:t>
            </w:r>
          </w:p>
        </w:tc>
        <w:tc>
          <w:tcPr>
            <w:tcW w:w="1644" w:type="dxa"/>
            <w:vAlign w:val="center"/>
          </w:tcPr>
          <w:p w14:paraId="70C20141" w14:textId="77777777" w:rsidR="00211BAD" w:rsidRDefault="00211BAD" w:rsidP="00211BAD">
            <w:pPr>
              <w:pStyle w:val="BodyText"/>
              <w:jc w:val="center"/>
            </w:pPr>
            <w:r>
              <w:t>Possible</w:t>
            </w:r>
          </w:p>
        </w:tc>
      </w:tr>
      <w:tr w:rsidR="00211BAD" w14:paraId="02D5398C" w14:textId="77777777" w:rsidTr="00FD57DB">
        <w:tc>
          <w:tcPr>
            <w:tcW w:w="0" w:type="dxa"/>
            <w:vAlign w:val="center"/>
          </w:tcPr>
          <w:p w14:paraId="51117DC3" w14:textId="77777777" w:rsidR="00211BAD" w:rsidRPr="0053677B" w:rsidRDefault="00211BAD" w:rsidP="00211BAD">
            <w:pPr>
              <w:pStyle w:val="BodyText"/>
              <w:jc w:val="center"/>
            </w:pPr>
            <w:r w:rsidRPr="0053677B">
              <w:t>Overall risk rating</w:t>
            </w:r>
          </w:p>
        </w:tc>
        <w:tc>
          <w:tcPr>
            <w:tcW w:w="0" w:type="dxa"/>
            <w:shd w:val="clear" w:color="auto" w:fill="FF0000"/>
            <w:vAlign w:val="center"/>
          </w:tcPr>
          <w:p w14:paraId="27128DBD" w14:textId="77777777" w:rsidR="00211BAD" w:rsidRDefault="00211BAD" w:rsidP="00211BAD">
            <w:pPr>
              <w:pStyle w:val="BodyText"/>
              <w:jc w:val="center"/>
            </w:pPr>
            <w:r>
              <w:t>High</w:t>
            </w:r>
          </w:p>
        </w:tc>
        <w:tc>
          <w:tcPr>
            <w:tcW w:w="0" w:type="dxa"/>
            <w:shd w:val="clear" w:color="auto" w:fill="FF0000"/>
            <w:vAlign w:val="center"/>
          </w:tcPr>
          <w:p w14:paraId="0DD454B8" w14:textId="77777777" w:rsidR="00211BAD" w:rsidRDefault="00211BAD" w:rsidP="00211BAD">
            <w:pPr>
              <w:pStyle w:val="BodyText"/>
              <w:jc w:val="center"/>
            </w:pPr>
            <w:r>
              <w:t>High</w:t>
            </w:r>
          </w:p>
        </w:tc>
        <w:tc>
          <w:tcPr>
            <w:tcW w:w="0" w:type="dxa"/>
            <w:shd w:val="clear" w:color="auto" w:fill="FFC000"/>
            <w:vAlign w:val="center"/>
          </w:tcPr>
          <w:p w14:paraId="25C2CE25" w14:textId="695367C1" w:rsidR="00211BAD" w:rsidRDefault="00211BAD" w:rsidP="00211BAD">
            <w:pPr>
              <w:pStyle w:val="BodyText"/>
              <w:jc w:val="center"/>
            </w:pPr>
            <w:r>
              <w:t>Significant</w:t>
            </w:r>
          </w:p>
        </w:tc>
        <w:tc>
          <w:tcPr>
            <w:tcW w:w="0" w:type="dxa"/>
            <w:shd w:val="clear" w:color="auto" w:fill="FFFF00"/>
            <w:vAlign w:val="center"/>
          </w:tcPr>
          <w:p w14:paraId="3D6B16DE" w14:textId="77777777" w:rsidR="00211BAD" w:rsidRDefault="00211BAD" w:rsidP="00211BAD">
            <w:pPr>
              <w:pStyle w:val="BodyText"/>
              <w:jc w:val="center"/>
            </w:pPr>
            <w:r>
              <w:t>Medium</w:t>
            </w:r>
          </w:p>
        </w:tc>
        <w:tc>
          <w:tcPr>
            <w:tcW w:w="0" w:type="dxa"/>
            <w:shd w:val="clear" w:color="auto" w:fill="FFFF00"/>
            <w:vAlign w:val="center"/>
          </w:tcPr>
          <w:p w14:paraId="505909AE" w14:textId="77777777" w:rsidR="00211BAD" w:rsidRDefault="00211BAD" w:rsidP="00211BAD">
            <w:pPr>
              <w:pStyle w:val="BodyText"/>
              <w:jc w:val="center"/>
            </w:pPr>
            <w:r>
              <w:t>Medium</w:t>
            </w:r>
          </w:p>
        </w:tc>
      </w:tr>
    </w:tbl>
    <w:p w14:paraId="490D6176" w14:textId="009D0F2A" w:rsidR="005F2101" w:rsidRPr="00FF310C" w:rsidRDefault="005F2101" w:rsidP="006670D2">
      <w:pPr>
        <w:pStyle w:val="Caption"/>
      </w:pPr>
      <w:r w:rsidRPr="00FF310C">
        <w:t xml:space="preserve">Table </w:t>
      </w:r>
      <w:r w:rsidRPr="00B846FE">
        <w:rPr>
          <w:bCs/>
        </w:rPr>
        <w:fldChar w:fldCharType="begin"/>
      </w:r>
      <w:r w:rsidRPr="00FF310C">
        <w:instrText>SEQ Table \* ARABIC</w:instrText>
      </w:r>
      <w:r w:rsidRPr="00B846FE">
        <w:rPr>
          <w:bCs/>
        </w:rPr>
        <w:fldChar w:fldCharType="separate"/>
      </w:r>
      <w:r w:rsidR="00692F0D">
        <w:rPr>
          <w:noProof/>
        </w:rPr>
        <w:t>214</w:t>
      </w:r>
      <w:r w:rsidRPr="00B846FE">
        <w:rPr>
          <w:bCs/>
        </w:rPr>
        <w:fldChar w:fldCharType="end"/>
      </w:r>
      <w:r w:rsidRPr="00FF310C">
        <w:t>. Small Fork-fern risk ratings in the East Gippsland RFA region:</w:t>
      </w:r>
    </w:p>
    <w:tbl>
      <w:tblPr>
        <w:tblStyle w:val="TableGrid"/>
        <w:tblW w:w="8220" w:type="dxa"/>
        <w:tblLayout w:type="fixed"/>
        <w:tblLook w:val="04A0" w:firstRow="1" w:lastRow="0" w:firstColumn="1" w:lastColumn="0" w:noHBand="0" w:noVBand="1"/>
      </w:tblPr>
      <w:tblGrid>
        <w:gridCol w:w="1644"/>
        <w:gridCol w:w="1644"/>
        <w:gridCol w:w="1644"/>
        <w:gridCol w:w="1644"/>
        <w:gridCol w:w="1644"/>
      </w:tblGrid>
      <w:tr w:rsidR="005F2101" w14:paraId="40611E11"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44" w:type="dxa"/>
            <w:vAlign w:val="center"/>
          </w:tcPr>
          <w:p w14:paraId="2160CF27" w14:textId="77777777" w:rsidR="005F2101" w:rsidRPr="00643008" w:rsidRDefault="005F2101" w:rsidP="006670D2">
            <w:pPr>
              <w:pStyle w:val="CaptionImageorFigure"/>
            </w:pPr>
          </w:p>
        </w:tc>
        <w:tc>
          <w:tcPr>
            <w:tcW w:w="1644" w:type="dxa"/>
            <w:vAlign w:val="center"/>
          </w:tcPr>
          <w:p w14:paraId="19F7C923"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Drought</w:t>
            </w:r>
          </w:p>
        </w:tc>
        <w:tc>
          <w:tcPr>
            <w:tcW w:w="1644" w:type="dxa"/>
            <w:vAlign w:val="center"/>
          </w:tcPr>
          <w:p w14:paraId="51EBFF82"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644" w:type="dxa"/>
            <w:vAlign w:val="center"/>
          </w:tcPr>
          <w:p w14:paraId="65B5F61E"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 roading</w:t>
            </w:r>
          </w:p>
        </w:tc>
        <w:tc>
          <w:tcPr>
            <w:tcW w:w="1644" w:type="dxa"/>
            <w:vAlign w:val="center"/>
          </w:tcPr>
          <w:p w14:paraId="10AFB937"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5F2101" w14:paraId="4243C85F" w14:textId="77777777" w:rsidTr="00296E0F">
        <w:tc>
          <w:tcPr>
            <w:tcW w:w="1644" w:type="dxa"/>
            <w:vAlign w:val="center"/>
          </w:tcPr>
          <w:p w14:paraId="68CB36A8" w14:textId="77777777" w:rsidR="005F2101" w:rsidRPr="0053677B" w:rsidRDefault="005F2101" w:rsidP="003E0597">
            <w:pPr>
              <w:pStyle w:val="BodyText"/>
              <w:jc w:val="center"/>
            </w:pPr>
            <w:r w:rsidRPr="0053677B">
              <w:t>Consequence</w:t>
            </w:r>
          </w:p>
        </w:tc>
        <w:tc>
          <w:tcPr>
            <w:tcW w:w="1644" w:type="dxa"/>
            <w:vAlign w:val="center"/>
          </w:tcPr>
          <w:p w14:paraId="56FCCBFB" w14:textId="77777777" w:rsidR="005F2101" w:rsidRDefault="005F2101" w:rsidP="003E0597">
            <w:pPr>
              <w:pStyle w:val="BodyText"/>
              <w:jc w:val="center"/>
            </w:pPr>
            <w:r>
              <w:t>Extreme</w:t>
            </w:r>
          </w:p>
        </w:tc>
        <w:tc>
          <w:tcPr>
            <w:tcW w:w="1644" w:type="dxa"/>
            <w:vAlign w:val="center"/>
          </w:tcPr>
          <w:p w14:paraId="3B2A4D2D" w14:textId="77777777" w:rsidR="005F2101" w:rsidRDefault="005F2101" w:rsidP="003E0597">
            <w:pPr>
              <w:pStyle w:val="BodyText"/>
              <w:jc w:val="center"/>
            </w:pPr>
            <w:r>
              <w:t>Major</w:t>
            </w:r>
          </w:p>
        </w:tc>
        <w:tc>
          <w:tcPr>
            <w:tcW w:w="1644" w:type="dxa"/>
            <w:vAlign w:val="center"/>
          </w:tcPr>
          <w:p w14:paraId="60DF8DE3" w14:textId="77777777" w:rsidR="005F2101" w:rsidRDefault="005F2101" w:rsidP="003E0597">
            <w:pPr>
              <w:pStyle w:val="BodyText"/>
              <w:jc w:val="center"/>
            </w:pPr>
            <w:r>
              <w:t>Moderate</w:t>
            </w:r>
          </w:p>
        </w:tc>
        <w:tc>
          <w:tcPr>
            <w:tcW w:w="1644" w:type="dxa"/>
            <w:vAlign w:val="center"/>
          </w:tcPr>
          <w:p w14:paraId="7B5335CC" w14:textId="77777777" w:rsidR="005F2101" w:rsidRDefault="005F2101" w:rsidP="003E0597">
            <w:pPr>
              <w:pStyle w:val="BodyText"/>
              <w:jc w:val="center"/>
            </w:pPr>
            <w:r>
              <w:t>Moderate</w:t>
            </w:r>
          </w:p>
        </w:tc>
      </w:tr>
      <w:tr w:rsidR="005F2101" w14:paraId="5F44576A" w14:textId="77777777" w:rsidTr="00296E0F">
        <w:tc>
          <w:tcPr>
            <w:tcW w:w="1644" w:type="dxa"/>
            <w:vAlign w:val="center"/>
          </w:tcPr>
          <w:p w14:paraId="3D6AC8B1" w14:textId="77777777" w:rsidR="005F2101" w:rsidRPr="0053677B" w:rsidRDefault="005F2101" w:rsidP="003E0597">
            <w:pPr>
              <w:pStyle w:val="BodyText"/>
              <w:jc w:val="center"/>
            </w:pPr>
            <w:r w:rsidRPr="0053677B">
              <w:t>Likelihood</w:t>
            </w:r>
          </w:p>
        </w:tc>
        <w:tc>
          <w:tcPr>
            <w:tcW w:w="1644" w:type="dxa"/>
            <w:vAlign w:val="center"/>
          </w:tcPr>
          <w:p w14:paraId="44A20285" w14:textId="77777777" w:rsidR="005F2101" w:rsidRDefault="005F2101" w:rsidP="003E0597">
            <w:pPr>
              <w:pStyle w:val="BodyText"/>
              <w:jc w:val="center"/>
            </w:pPr>
            <w:r>
              <w:t>Almost Certain</w:t>
            </w:r>
          </w:p>
        </w:tc>
        <w:tc>
          <w:tcPr>
            <w:tcW w:w="1644" w:type="dxa"/>
            <w:vAlign w:val="center"/>
          </w:tcPr>
          <w:p w14:paraId="16478874" w14:textId="77777777" w:rsidR="005F2101" w:rsidRDefault="005F2101" w:rsidP="003E0597">
            <w:pPr>
              <w:pStyle w:val="BodyText"/>
              <w:jc w:val="center"/>
            </w:pPr>
            <w:r>
              <w:t>Likely</w:t>
            </w:r>
          </w:p>
        </w:tc>
        <w:tc>
          <w:tcPr>
            <w:tcW w:w="1644" w:type="dxa"/>
            <w:vAlign w:val="center"/>
          </w:tcPr>
          <w:p w14:paraId="514A7F57" w14:textId="77777777" w:rsidR="005F2101" w:rsidRDefault="005F2101" w:rsidP="003E0597">
            <w:pPr>
              <w:pStyle w:val="BodyText"/>
              <w:jc w:val="center"/>
            </w:pPr>
            <w:r>
              <w:t>Likely</w:t>
            </w:r>
          </w:p>
        </w:tc>
        <w:tc>
          <w:tcPr>
            <w:tcW w:w="1644" w:type="dxa"/>
            <w:vAlign w:val="center"/>
          </w:tcPr>
          <w:p w14:paraId="32040519" w14:textId="77777777" w:rsidR="005F2101" w:rsidRDefault="005F2101" w:rsidP="003E0597">
            <w:pPr>
              <w:pStyle w:val="BodyText"/>
              <w:jc w:val="center"/>
            </w:pPr>
            <w:r>
              <w:t>Possible</w:t>
            </w:r>
          </w:p>
        </w:tc>
      </w:tr>
      <w:tr w:rsidR="005F2101" w14:paraId="6627BA24" w14:textId="77777777" w:rsidTr="00296E0F">
        <w:tc>
          <w:tcPr>
            <w:tcW w:w="1644" w:type="dxa"/>
            <w:vAlign w:val="center"/>
          </w:tcPr>
          <w:p w14:paraId="5BDA5459" w14:textId="77777777" w:rsidR="005F2101" w:rsidRPr="0053677B" w:rsidRDefault="005F2101" w:rsidP="003E0597">
            <w:pPr>
              <w:pStyle w:val="BodyText"/>
              <w:jc w:val="center"/>
            </w:pPr>
            <w:r w:rsidRPr="0053677B">
              <w:t>Overall risk rating</w:t>
            </w:r>
          </w:p>
        </w:tc>
        <w:tc>
          <w:tcPr>
            <w:tcW w:w="1644" w:type="dxa"/>
            <w:shd w:val="clear" w:color="auto" w:fill="FF0000"/>
            <w:vAlign w:val="center"/>
          </w:tcPr>
          <w:p w14:paraId="61E2C82D" w14:textId="77777777" w:rsidR="005F2101" w:rsidRDefault="005F2101" w:rsidP="003E0597">
            <w:pPr>
              <w:pStyle w:val="BodyText"/>
              <w:jc w:val="center"/>
            </w:pPr>
            <w:r>
              <w:t>High</w:t>
            </w:r>
          </w:p>
        </w:tc>
        <w:tc>
          <w:tcPr>
            <w:tcW w:w="1644" w:type="dxa"/>
            <w:shd w:val="clear" w:color="auto" w:fill="FF0000"/>
            <w:vAlign w:val="center"/>
          </w:tcPr>
          <w:p w14:paraId="54264B20" w14:textId="77777777" w:rsidR="005F2101" w:rsidRDefault="005F2101" w:rsidP="003E0597">
            <w:pPr>
              <w:pStyle w:val="BodyText"/>
              <w:jc w:val="center"/>
            </w:pPr>
            <w:r>
              <w:t>High</w:t>
            </w:r>
          </w:p>
        </w:tc>
        <w:tc>
          <w:tcPr>
            <w:tcW w:w="1644" w:type="dxa"/>
            <w:shd w:val="clear" w:color="auto" w:fill="FFC000"/>
            <w:vAlign w:val="center"/>
          </w:tcPr>
          <w:p w14:paraId="5C1CF03A" w14:textId="77777777" w:rsidR="005F2101" w:rsidRDefault="005F2101" w:rsidP="003E0597">
            <w:pPr>
              <w:pStyle w:val="BodyText"/>
              <w:jc w:val="center"/>
            </w:pPr>
            <w:r>
              <w:t>Significant</w:t>
            </w:r>
          </w:p>
        </w:tc>
        <w:tc>
          <w:tcPr>
            <w:tcW w:w="1644" w:type="dxa"/>
            <w:shd w:val="clear" w:color="auto" w:fill="FFFF00"/>
            <w:vAlign w:val="center"/>
          </w:tcPr>
          <w:p w14:paraId="5D38C699" w14:textId="77777777" w:rsidR="005F2101" w:rsidRDefault="005F2101" w:rsidP="003E0597">
            <w:pPr>
              <w:pStyle w:val="BodyText"/>
              <w:jc w:val="center"/>
            </w:pPr>
            <w:r>
              <w:t>Medium</w:t>
            </w:r>
          </w:p>
        </w:tc>
      </w:tr>
    </w:tbl>
    <w:p w14:paraId="014FCE52" w14:textId="6032D544" w:rsidR="00211BAD" w:rsidRPr="00FF310C" w:rsidRDefault="00211BAD" w:rsidP="006670D2">
      <w:pPr>
        <w:pStyle w:val="Caption"/>
      </w:pPr>
      <w:r w:rsidRPr="00FF310C">
        <w:t xml:space="preserve">Table </w:t>
      </w:r>
      <w:r w:rsidRPr="00B846FE">
        <w:rPr>
          <w:bCs/>
        </w:rPr>
        <w:fldChar w:fldCharType="begin"/>
      </w:r>
      <w:r w:rsidRPr="00FF310C">
        <w:instrText>SEQ Table \* ARABIC</w:instrText>
      </w:r>
      <w:r w:rsidRPr="00B846FE">
        <w:rPr>
          <w:bCs/>
        </w:rPr>
        <w:fldChar w:fldCharType="separate"/>
      </w:r>
      <w:r w:rsidR="00692F0D">
        <w:rPr>
          <w:noProof/>
        </w:rPr>
        <w:t>215</w:t>
      </w:r>
      <w:r w:rsidRPr="00B846FE">
        <w:rPr>
          <w:bCs/>
        </w:rPr>
        <w:fldChar w:fldCharType="end"/>
      </w:r>
      <w:r w:rsidRPr="00FF310C">
        <w:t>. Small Fork-fern risk ratings in the Gippsland RFA region:</w:t>
      </w:r>
    </w:p>
    <w:tbl>
      <w:tblPr>
        <w:tblStyle w:val="TableGrid"/>
        <w:tblW w:w="9864" w:type="dxa"/>
        <w:tblLayout w:type="fixed"/>
        <w:tblLook w:val="04A0" w:firstRow="1" w:lastRow="0" w:firstColumn="1" w:lastColumn="0" w:noHBand="0" w:noVBand="1"/>
      </w:tblPr>
      <w:tblGrid>
        <w:gridCol w:w="1644"/>
        <w:gridCol w:w="1644"/>
        <w:gridCol w:w="1644"/>
        <w:gridCol w:w="1644"/>
        <w:gridCol w:w="1644"/>
        <w:gridCol w:w="1644"/>
      </w:tblGrid>
      <w:tr w:rsidR="00211BAD" w14:paraId="5C1B4423" w14:textId="77777777" w:rsidTr="00D345E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44" w:type="dxa"/>
            <w:vAlign w:val="center"/>
          </w:tcPr>
          <w:p w14:paraId="2CFFA3EF" w14:textId="77777777" w:rsidR="00211BAD" w:rsidRPr="00643008" w:rsidRDefault="00211BAD" w:rsidP="006670D2">
            <w:pPr>
              <w:pStyle w:val="CaptionImageorFigure"/>
            </w:pPr>
          </w:p>
        </w:tc>
        <w:tc>
          <w:tcPr>
            <w:tcW w:w="1644" w:type="dxa"/>
            <w:vAlign w:val="center"/>
          </w:tcPr>
          <w:p w14:paraId="6640C44A" w14:textId="77777777" w:rsidR="00211BAD" w:rsidRDefault="00211BA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Drought</w:t>
            </w:r>
          </w:p>
        </w:tc>
        <w:tc>
          <w:tcPr>
            <w:tcW w:w="1644" w:type="dxa"/>
            <w:vAlign w:val="center"/>
          </w:tcPr>
          <w:p w14:paraId="5DB73B20" w14:textId="77777777" w:rsidR="00211BAD" w:rsidRDefault="00211BA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644" w:type="dxa"/>
            <w:vAlign w:val="center"/>
          </w:tcPr>
          <w:p w14:paraId="59641836" w14:textId="77777777" w:rsidR="00211BAD" w:rsidRDefault="00211BA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 roading</w:t>
            </w:r>
          </w:p>
        </w:tc>
        <w:tc>
          <w:tcPr>
            <w:tcW w:w="1644" w:type="dxa"/>
            <w:vAlign w:val="center"/>
          </w:tcPr>
          <w:p w14:paraId="7001A46F" w14:textId="77777777" w:rsidR="00211BAD" w:rsidRDefault="00211BA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c>
          <w:tcPr>
            <w:tcW w:w="1644" w:type="dxa"/>
            <w:vAlign w:val="center"/>
          </w:tcPr>
          <w:p w14:paraId="0A0E27D8" w14:textId="77777777" w:rsidR="00211BAD" w:rsidRDefault="00211BA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Myrtle Wilt</w:t>
            </w:r>
          </w:p>
        </w:tc>
      </w:tr>
      <w:tr w:rsidR="00211BAD" w14:paraId="30DBB3E0" w14:textId="77777777" w:rsidTr="00D345E8">
        <w:tc>
          <w:tcPr>
            <w:tcW w:w="1644" w:type="dxa"/>
            <w:vAlign w:val="center"/>
          </w:tcPr>
          <w:p w14:paraId="1D11D52C" w14:textId="77777777" w:rsidR="00211BAD" w:rsidRPr="0053677B" w:rsidRDefault="00211BAD" w:rsidP="00D345E8">
            <w:pPr>
              <w:pStyle w:val="BodyText"/>
              <w:jc w:val="center"/>
            </w:pPr>
            <w:r w:rsidRPr="0053677B">
              <w:t>Consequence</w:t>
            </w:r>
          </w:p>
        </w:tc>
        <w:tc>
          <w:tcPr>
            <w:tcW w:w="1644" w:type="dxa"/>
            <w:vAlign w:val="center"/>
          </w:tcPr>
          <w:p w14:paraId="502BC662" w14:textId="77777777" w:rsidR="00211BAD" w:rsidRDefault="00211BAD" w:rsidP="00D345E8">
            <w:pPr>
              <w:pStyle w:val="BodyText"/>
              <w:jc w:val="center"/>
            </w:pPr>
            <w:r>
              <w:t>Extreme</w:t>
            </w:r>
          </w:p>
        </w:tc>
        <w:tc>
          <w:tcPr>
            <w:tcW w:w="1644" w:type="dxa"/>
            <w:vAlign w:val="center"/>
          </w:tcPr>
          <w:p w14:paraId="3A668FCB" w14:textId="77777777" w:rsidR="00211BAD" w:rsidRDefault="00211BAD" w:rsidP="00D345E8">
            <w:pPr>
              <w:pStyle w:val="BodyText"/>
              <w:jc w:val="center"/>
            </w:pPr>
            <w:r>
              <w:t>Major</w:t>
            </w:r>
          </w:p>
        </w:tc>
        <w:tc>
          <w:tcPr>
            <w:tcW w:w="1644" w:type="dxa"/>
            <w:vAlign w:val="center"/>
          </w:tcPr>
          <w:p w14:paraId="0BA731B2" w14:textId="77777777" w:rsidR="00211BAD" w:rsidRDefault="00211BAD" w:rsidP="00D345E8">
            <w:pPr>
              <w:pStyle w:val="BodyText"/>
              <w:jc w:val="center"/>
            </w:pPr>
            <w:r>
              <w:t>Moderate</w:t>
            </w:r>
          </w:p>
        </w:tc>
        <w:tc>
          <w:tcPr>
            <w:tcW w:w="1644" w:type="dxa"/>
            <w:vAlign w:val="center"/>
          </w:tcPr>
          <w:p w14:paraId="282A3010" w14:textId="77777777" w:rsidR="00211BAD" w:rsidRDefault="00211BAD" w:rsidP="00D345E8">
            <w:pPr>
              <w:pStyle w:val="BodyText"/>
              <w:jc w:val="center"/>
            </w:pPr>
            <w:r>
              <w:t>Moderate</w:t>
            </w:r>
          </w:p>
        </w:tc>
        <w:tc>
          <w:tcPr>
            <w:tcW w:w="1644" w:type="dxa"/>
            <w:vAlign w:val="center"/>
          </w:tcPr>
          <w:p w14:paraId="7582AAB4" w14:textId="77777777" w:rsidR="00211BAD" w:rsidRDefault="00211BAD" w:rsidP="00D345E8">
            <w:pPr>
              <w:pStyle w:val="BodyText"/>
              <w:jc w:val="center"/>
            </w:pPr>
            <w:r>
              <w:t>Moderate</w:t>
            </w:r>
          </w:p>
        </w:tc>
      </w:tr>
      <w:tr w:rsidR="00211BAD" w14:paraId="2C19E4BD" w14:textId="77777777" w:rsidTr="00D345E8">
        <w:tc>
          <w:tcPr>
            <w:tcW w:w="1644" w:type="dxa"/>
            <w:vAlign w:val="center"/>
          </w:tcPr>
          <w:p w14:paraId="77907535" w14:textId="77777777" w:rsidR="00211BAD" w:rsidRPr="0053677B" w:rsidRDefault="00211BAD" w:rsidP="00D345E8">
            <w:pPr>
              <w:pStyle w:val="BodyText"/>
              <w:jc w:val="center"/>
            </w:pPr>
            <w:r w:rsidRPr="0053677B">
              <w:t>Likelihood</w:t>
            </w:r>
          </w:p>
        </w:tc>
        <w:tc>
          <w:tcPr>
            <w:tcW w:w="1644" w:type="dxa"/>
            <w:vAlign w:val="center"/>
          </w:tcPr>
          <w:p w14:paraId="7BED747A" w14:textId="77777777" w:rsidR="00211BAD" w:rsidRDefault="00211BAD" w:rsidP="00D345E8">
            <w:pPr>
              <w:pStyle w:val="BodyText"/>
              <w:jc w:val="center"/>
            </w:pPr>
            <w:r>
              <w:t>Almost Certain</w:t>
            </w:r>
          </w:p>
        </w:tc>
        <w:tc>
          <w:tcPr>
            <w:tcW w:w="1644" w:type="dxa"/>
            <w:vAlign w:val="center"/>
          </w:tcPr>
          <w:p w14:paraId="5F9A60D5" w14:textId="77777777" w:rsidR="00211BAD" w:rsidRDefault="00211BAD" w:rsidP="00D345E8">
            <w:pPr>
              <w:pStyle w:val="BodyText"/>
              <w:jc w:val="center"/>
            </w:pPr>
            <w:r>
              <w:t>Likely</w:t>
            </w:r>
          </w:p>
        </w:tc>
        <w:tc>
          <w:tcPr>
            <w:tcW w:w="1644" w:type="dxa"/>
            <w:vAlign w:val="center"/>
          </w:tcPr>
          <w:p w14:paraId="4081B69A" w14:textId="77777777" w:rsidR="00211BAD" w:rsidRDefault="00211BAD" w:rsidP="00D345E8">
            <w:pPr>
              <w:pStyle w:val="BodyText"/>
              <w:jc w:val="center"/>
            </w:pPr>
            <w:r>
              <w:t>Possible</w:t>
            </w:r>
          </w:p>
        </w:tc>
        <w:tc>
          <w:tcPr>
            <w:tcW w:w="1644" w:type="dxa"/>
            <w:vAlign w:val="center"/>
          </w:tcPr>
          <w:p w14:paraId="4B470903" w14:textId="77777777" w:rsidR="00211BAD" w:rsidRDefault="00211BAD" w:rsidP="00D345E8">
            <w:pPr>
              <w:pStyle w:val="BodyText"/>
              <w:jc w:val="center"/>
            </w:pPr>
            <w:r>
              <w:t>Possible</w:t>
            </w:r>
          </w:p>
        </w:tc>
        <w:tc>
          <w:tcPr>
            <w:tcW w:w="1644" w:type="dxa"/>
            <w:vAlign w:val="center"/>
          </w:tcPr>
          <w:p w14:paraId="7F319479" w14:textId="77777777" w:rsidR="00211BAD" w:rsidRDefault="00211BAD" w:rsidP="00D345E8">
            <w:pPr>
              <w:pStyle w:val="BodyText"/>
              <w:jc w:val="center"/>
            </w:pPr>
            <w:r>
              <w:t>Possible</w:t>
            </w:r>
          </w:p>
        </w:tc>
      </w:tr>
      <w:tr w:rsidR="00211BAD" w14:paraId="19FADF2C" w14:textId="77777777" w:rsidTr="00D345E8">
        <w:tc>
          <w:tcPr>
            <w:tcW w:w="1644" w:type="dxa"/>
            <w:vAlign w:val="center"/>
          </w:tcPr>
          <w:p w14:paraId="7868E705" w14:textId="77777777" w:rsidR="00211BAD" w:rsidRPr="0053677B" w:rsidRDefault="00211BAD" w:rsidP="00D345E8">
            <w:pPr>
              <w:pStyle w:val="BodyText"/>
              <w:jc w:val="center"/>
            </w:pPr>
            <w:r w:rsidRPr="0053677B">
              <w:t>Overall risk rating</w:t>
            </w:r>
          </w:p>
        </w:tc>
        <w:tc>
          <w:tcPr>
            <w:tcW w:w="1644" w:type="dxa"/>
            <w:shd w:val="clear" w:color="auto" w:fill="FF0000"/>
            <w:vAlign w:val="center"/>
          </w:tcPr>
          <w:p w14:paraId="6B73AC24" w14:textId="77777777" w:rsidR="00211BAD" w:rsidRDefault="00211BAD" w:rsidP="00D345E8">
            <w:pPr>
              <w:pStyle w:val="BodyText"/>
              <w:jc w:val="center"/>
            </w:pPr>
            <w:r>
              <w:t>High</w:t>
            </w:r>
          </w:p>
        </w:tc>
        <w:tc>
          <w:tcPr>
            <w:tcW w:w="1644" w:type="dxa"/>
            <w:shd w:val="clear" w:color="auto" w:fill="FF0000"/>
            <w:vAlign w:val="center"/>
          </w:tcPr>
          <w:p w14:paraId="4F9FCEB3" w14:textId="77777777" w:rsidR="00211BAD" w:rsidRDefault="00211BAD" w:rsidP="00D345E8">
            <w:pPr>
              <w:pStyle w:val="BodyText"/>
              <w:jc w:val="center"/>
            </w:pPr>
            <w:r>
              <w:t>High</w:t>
            </w:r>
          </w:p>
        </w:tc>
        <w:tc>
          <w:tcPr>
            <w:tcW w:w="1644" w:type="dxa"/>
            <w:shd w:val="clear" w:color="auto" w:fill="FFFF00"/>
            <w:vAlign w:val="center"/>
          </w:tcPr>
          <w:p w14:paraId="40C978FA" w14:textId="77777777" w:rsidR="00211BAD" w:rsidRDefault="00211BAD" w:rsidP="00D345E8">
            <w:pPr>
              <w:pStyle w:val="BodyText"/>
              <w:jc w:val="center"/>
            </w:pPr>
            <w:r>
              <w:t>Medium</w:t>
            </w:r>
          </w:p>
        </w:tc>
        <w:tc>
          <w:tcPr>
            <w:tcW w:w="1644" w:type="dxa"/>
            <w:shd w:val="clear" w:color="auto" w:fill="FFFF00"/>
            <w:vAlign w:val="center"/>
          </w:tcPr>
          <w:p w14:paraId="0C32E165" w14:textId="77777777" w:rsidR="00211BAD" w:rsidRDefault="00211BAD" w:rsidP="00D345E8">
            <w:pPr>
              <w:pStyle w:val="BodyText"/>
              <w:jc w:val="center"/>
            </w:pPr>
            <w:r>
              <w:t>Medium</w:t>
            </w:r>
          </w:p>
        </w:tc>
        <w:tc>
          <w:tcPr>
            <w:tcW w:w="1644" w:type="dxa"/>
            <w:shd w:val="clear" w:color="auto" w:fill="FFFF00"/>
            <w:vAlign w:val="center"/>
          </w:tcPr>
          <w:p w14:paraId="16FD999D" w14:textId="77777777" w:rsidR="00211BAD" w:rsidRDefault="00211BAD" w:rsidP="00D345E8">
            <w:pPr>
              <w:pStyle w:val="BodyText"/>
              <w:jc w:val="center"/>
            </w:pPr>
            <w:r>
              <w:t>Medium</w:t>
            </w:r>
          </w:p>
        </w:tc>
      </w:tr>
    </w:tbl>
    <w:p w14:paraId="1D1CD9C3" w14:textId="77777777" w:rsidR="005F2101" w:rsidRDefault="005F2101" w:rsidP="007E5EBF">
      <w:pPr>
        <w:pStyle w:val="Heading3"/>
      </w:pPr>
      <w:r>
        <w:t>Climate change; Fire</w:t>
      </w:r>
    </w:p>
    <w:p w14:paraId="76DAC9C8" w14:textId="77777777" w:rsidR="005F2101" w:rsidRPr="00E969AE" w:rsidRDefault="005F2101" w:rsidP="007E5EBF">
      <w:pPr>
        <w:pStyle w:val="Heading5"/>
      </w:pPr>
      <w:r w:rsidRPr="00E969AE">
        <w:t>Drought and increased fire frequency and intensity</w:t>
      </w:r>
    </w:p>
    <w:p w14:paraId="25D2E031" w14:textId="6F8D9BB1" w:rsidR="005F2101" w:rsidRDefault="005F2101" w:rsidP="005F2101">
      <w:pPr>
        <w:pStyle w:val="BodyText"/>
      </w:pPr>
      <w:r>
        <w:t xml:space="preserve">The primary current and future threat to the </w:t>
      </w:r>
      <w:r w:rsidR="001D3902">
        <w:t>species</w:t>
      </w:r>
      <w:r>
        <w:t xml:space="preserve"> is climate change-driven severe droughts and the associated predicted increase in the frequency and intensity of bushfires.</w:t>
      </w:r>
      <w:r w:rsidRPr="004028AA">
        <w:t xml:space="preserve"> </w:t>
      </w:r>
      <w:r>
        <w:t>I</w:t>
      </w:r>
      <w:r w:rsidRPr="005856B4">
        <w:t>n the past bushfires would skip over the wetter gullies, but now bushfires are impacting those gullie</w:t>
      </w:r>
      <w:r>
        <w:t>s.</w:t>
      </w:r>
      <w:r w:rsidRPr="00C34409">
        <w:t xml:space="preserve"> </w:t>
      </w:r>
      <w:r>
        <w:t xml:space="preserve">Frequent bushfires are likely to directly kill plants and open rainforest remnants to desiccation and invasion by non-rainforest taxa. The high risk of future bushfires suggest that the </w:t>
      </w:r>
      <w:r w:rsidR="001D3902">
        <w:t>species</w:t>
      </w:r>
      <w:r>
        <w:t xml:space="preserve"> may become close to extinction in the next 100 years.</w:t>
      </w:r>
      <w:r w:rsidRPr="005856B4">
        <w:t xml:space="preserve"> </w:t>
      </w:r>
      <w:r>
        <w:t xml:space="preserve">Observations from parts of the Black Saturday fire extent around Kinglake indicate that some stands of tree ferns were killed and are now decaying stumps, so are not suitable as habitat for this </w:t>
      </w:r>
      <w:r w:rsidR="001D3902">
        <w:t>species</w:t>
      </w:r>
      <w:r>
        <w:t xml:space="preserve">. There is potential for high intensity fires to remove micro-habitat for the </w:t>
      </w:r>
      <w:r w:rsidR="001D3902">
        <w:t>species</w:t>
      </w:r>
      <w:r>
        <w:t xml:space="preserve"> elsewhere, as well as causing changes to vegetation structure that will cause loss of populations</w:t>
      </w:r>
      <w:r w:rsidR="008E45DA">
        <w:t xml:space="preserve">. </w:t>
      </w:r>
      <w:r w:rsidRPr="005856B4">
        <w:t xml:space="preserve">Drought is </w:t>
      </w:r>
      <w:r>
        <w:t xml:space="preserve">also </w:t>
      </w:r>
      <w:r w:rsidRPr="005856B4">
        <w:t>going to alter forest ecology leading to weed invasion</w:t>
      </w:r>
      <w:r>
        <w:t xml:space="preserve">. This hazard extends across all the </w:t>
      </w:r>
      <w:r w:rsidR="001D3902">
        <w:t>species’</w:t>
      </w:r>
      <w:r>
        <w:t xml:space="preserve"> distribution.</w:t>
      </w:r>
    </w:p>
    <w:p w14:paraId="25EF90F8" w14:textId="77777777" w:rsidR="005F2101" w:rsidRPr="00704719" w:rsidRDefault="005F2101" w:rsidP="005F2101">
      <w:pPr>
        <w:pStyle w:val="BodyText"/>
      </w:pPr>
      <w:r>
        <w:t xml:space="preserve">Current controls </w:t>
      </w:r>
      <w:r w:rsidRPr="00704719">
        <w:t>for this hazard include:</w:t>
      </w:r>
    </w:p>
    <w:p w14:paraId="72993369" w14:textId="196E50AF" w:rsidR="005F2101" w:rsidRPr="00CA4A1D" w:rsidRDefault="005F2101" w:rsidP="006670D2">
      <w:pPr>
        <w:pStyle w:val="PullOutBoxBullet"/>
      </w:pPr>
      <w:r w:rsidRPr="00B870BF">
        <w:t>Climate change policies</w:t>
      </w:r>
      <w:r w:rsidR="007D2697">
        <w:t>.</w:t>
      </w:r>
      <w:r w:rsidRPr="00B870BF">
        <w:t xml:space="preserve"> </w:t>
      </w:r>
      <w:r w:rsidRPr="00CA4A1D">
        <w:t xml:space="preserve">Current control measures for this hazard are strategic in nature and are not considered effective in managing the risk to this </w:t>
      </w:r>
      <w:r w:rsidR="001D3902">
        <w:t>species</w:t>
      </w:r>
      <w:r w:rsidRPr="00CA4A1D">
        <w:t xml:space="preserve"> at the scale relevant to its conservation at this stage.</w:t>
      </w:r>
    </w:p>
    <w:p w14:paraId="7A56419F" w14:textId="6D695878" w:rsidR="005F2101" w:rsidRPr="00CA4A1D" w:rsidRDefault="005F2101" w:rsidP="006670D2">
      <w:pPr>
        <w:pStyle w:val="PullOutBoxBullet"/>
      </w:pPr>
      <w:r>
        <w:t>Planned burning. This control is considered ineffective in this case as the species’ habitat is generally not suitable for planned burning. Strategic fuel</w:t>
      </w:r>
      <w:r w:rsidR="00DF761D">
        <w:t xml:space="preserve"> </w:t>
      </w:r>
      <w:r>
        <w:t>breaks and associated backburning may however provide valuable protection in some cases for this species and its habitat from severe bushfires.</w:t>
      </w:r>
    </w:p>
    <w:p w14:paraId="275B9F58" w14:textId="20D8CB5D" w:rsidR="005F2101" w:rsidRPr="00FF310C" w:rsidRDefault="005F2101" w:rsidP="006670D2">
      <w:pPr>
        <w:pStyle w:val="Caption"/>
      </w:pPr>
      <w:r w:rsidRPr="00FF310C">
        <w:t xml:space="preserve">Table </w:t>
      </w:r>
      <w:r w:rsidR="000B6788" w:rsidRPr="00B6162A">
        <w:rPr>
          <w:bCs/>
        </w:rPr>
        <w:fldChar w:fldCharType="begin"/>
      </w:r>
      <w:r w:rsidR="000B6788" w:rsidRPr="00FF310C">
        <w:instrText xml:space="preserve"> SEQ Table \* ARABIC </w:instrText>
      </w:r>
      <w:r w:rsidR="000B6788" w:rsidRPr="00B6162A">
        <w:rPr>
          <w:bCs/>
        </w:rPr>
        <w:fldChar w:fldCharType="separate"/>
      </w:r>
      <w:r w:rsidR="00692F0D">
        <w:rPr>
          <w:noProof/>
        </w:rPr>
        <w:t>216</w:t>
      </w:r>
      <w:r w:rsidR="000B6788" w:rsidRPr="00B6162A">
        <w:rPr>
          <w:bCs/>
          <w:noProof/>
        </w:rPr>
        <w:fldChar w:fldCharType="end"/>
      </w:r>
      <w:r w:rsidRPr="00FF310C">
        <w:t>. Small Fork-fern protection requirements and recommendations for drought and increased fire frequency and intensity</w:t>
      </w:r>
    </w:p>
    <w:tbl>
      <w:tblPr>
        <w:tblStyle w:val="TableGrid"/>
        <w:tblW w:w="0" w:type="auto"/>
        <w:tblLook w:val="04A0" w:firstRow="1" w:lastRow="0" w:firstColumn="1" w:lastColumn="0" w:noHBand="0" w:noVBand="1"/>
      </w:tblPr>
      <w:tblGrid>
        <w:gridCol w:w="2268"/>
        <w:gridCol w:w="7371"/>
      </w:tblGrid>
      <w:tr w:rsidR="005F2101" w:rsidRPr="00867DAA" w14:paraId="5A47F7C1"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00FCBF8D" w14:textId="77777777" w:rsidR="005F2101" w:rsidRPr="00704719" w:rsidRDefault="005F2101" w:rsidP="00296E0F">
            <w:pPr>
              <w:pStyle w:val="BodyText"/>
            </w:pPr>
            <w:r w:rsidRPr="00704719">
              <w:t>Requirement</w:t>
            </w:r>
          </w:p>
        </w:tc>
        <w:tc>
          <w:tcPr>
            <w:tcW w:w="7371" w:type="dxa"/>
            <w:vAlign w:val="center"/>
          </w:tcPr>
          <w:p w14:paraId="7B4D29C2"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7927055C" w14:textId="77777777" w:rsidTr="00B45E4E">
        <w:tc>
          <w:tcPr>
            <w:tcW w:w="2268" w:type="dxa"/>
          </w:tcPr>
          <w:p w14:paraId="15F88B4C" w14:textId="30EE0AE7" w:rsidR="005F2101" w:rsidRPr="003566BD" w:rsidRDefault="00006816" w:rsidP="00B45E4E">
            <w:pPr>
              <w:pStyle w:val="BodyText"/>
            </w:pPr>
            <w:r>
              <w:t>Priority management actions</w:t>
            </w:r>
          </w:p>
        </w:tc>
        <w:tc>
          <w:tcPr>
            <w:tcW w:w="7371" w:type="dxa"/>
          </w:tcPr>
          <w:p w14:paraId="7B049076" w14:textId="77777777" w:rsidR="005F2101" w:rsidRPr="00001691" w:rsidRDefault="005F2101" w:rsidP="00B45E4E">
            <w:pPr>
              <w:pStyle w:val="BodyText"/>
            </w:pPr>
            <w:r w:rsidRPr="00200995">
              <w:t xml:space="preserve">Not required for this hazard </w:t>
            </w:r>
            <w:r>
              <w:t>as these are longer-term threats.</w:t>
            </w:r>
          </w:p>
        </w:tc>
      </w:tr>
      <w:tr w:rsidR="005F2101" w:rsidRPr="00867DAA" w14:paraId="6A6D3B1E" w14:textId="77777777" w:rsidTr="00B45E4E">
        <w:tc>
          <w:tcPr>
            <w:tcW w:w="2268" w:type="dxa"/>
          </w:tcPr>
          <w:p w14:paraId="73642F7B" w14:textId="0F6FA517" w:rsidR="005F2101" w:rsidRPr="00867DAA" w:rsidRDefault="00006816" w:rsidP="00B45E4E">
            <w:pPr>
              <w:pStyle w:val="BodyText"/>
            </w:pPr>
            <w:r>
              <w:t>Potential m</w:t>
            </w:r>
            <w:r w:rsidR="005F2101" w:rsidRPr="00867DAA">
              <w:t>anagement actions</w:t>
            </w:r>
          </w:p>
        </w:tc>
        <w:tc>
          <w:tcPr>
            <w:tcW w:w="7371" w:type="dxa"/>
          </w:tcPr>
          <w:p w14:paraId="657E6C61" w14:textId="0C4D3879" w:rsidR="005F2101" w:rsidRDefault="005F2101" w:rsidP="006670D2">
            <w:pPr>
              <w:pStyle w:val="PullOutBoxBullet"/>
            </w:pPr>
            <w:r>
              <w:t>Assess the populations in East Gippsland to find out how much has been lost in the 2019</w:t>
            </w:r>
            <w:r w:rsidR="00DF57CB">
              <w:t>-</w:t>
            </w:r>
            <w:r>
              <w:t xml:space="preserve">20 bushfires; </w:t>
            </w:r>
          </w:p>
          <w:p w14:paraId="3E10B841" w14:textId="491D15EF" w:rsidR="005F2101" w:rsidRDefault="00F15E51" w:rsidP="006670D2">
            <w:pPr>
              <w:pStyle w:val="PullOutBoxBullet"/>
            </w:pPr>
            <w:r>
              <w:t>E</w:t>
            </w:r>
            <w:r w:rsidR="005F2101">
              <w:t xml:space="preserve">nsure buffering rainforest is in place to improve resilience overall; </w:t>
            </w:r>
          </w:p>
          <w:p w14:paraId="2279687C" w14:textId="5A60B29F" w:rsidR="005F2101" w:rsidRDefault="00F15E51" w:rsidP="006670D2">
            <w:pPr>
              <w:pStyle w:val="PullOutBoxBullet"/>
            </w:pPr>
            <w:r>
              <w:rPr>
                <w:i/>
                <w:iCs/>
              </w:rPr>
              <w:t>E</w:t>
            </w:r>
            <w:r w:rsidR="005F2101">
              <w:rPr>
                <w:i/>
                <w:iCs/>
              </w:rPr>
              <w:t>x-situ</w:t>
            </w:r>
            <w:r w:rsidR="005F2101">
              <w:t xml:space="preserve"> population establishment to increase chance of reintroduction, although growing this </w:t>
            </w:r>
            <w:r w:rsidR="001D3902">
              <w:t>species</w:t>
            </w:r>
            <w:r w:rsidR="005F2101">
              <w:t xml:space="preserve"> would likely to be difficult; and </w:t>
            </w:r>
          </w:p>
          <w:p w14:paraId="26AA32D7" w14:textId="3E24C46D" w:rsidR="005F2101" w:rsidRPr="00001691" w:rsidRDefault="00F15E51" w:rsidP="006670D2">
            <w:pPr>
              <w:pStyle w:val="PullOutBoxBullet"/>
            </w:pPr>
            <w:r>
              <w:t>D</w:t>
            </w:r>
            <w:r w:rsidR="005F2101">
              <w:t>etermine suitability of low intensity burns in non-riparian vegetation adjacent to populations and around gullies. Implement if deemed effective at reducing fire risk without loss of other ecological values.</w:t>
            </w:r>
          </w:p>
        </w:tc>
      </w:tr>
    </w:tbl>
    <w:p w14:paraId="7B81E601" w14:textId="77777777" w:rsidR="005F2101" w:rsidRDefault="005F2101" w:rsidP="007E5EBF">
      <w:pPr>
        <w:pStyle w:val="Heading3"/>
      </w:pPr>
      <w:r w:rsidRPr="00D55628">
        <w:rPr>
          <w:rFonts w:cs="Times New Roman"/>
          <w:noProof/>
          <w:lang w:eastAsia="en-US"/>
        </w:rPr>
        <mc:AlternateContent>
          <mc:Choice Requires="wps">
            <w:drawing>
              <wp:anchor distT="0" distB="0" distL="114300" distR="114300" simplePos="1" relativeHeight="251658414" behindDoc="1" locked="1" layoutInCell="1" allowOverlap="1" wp14:anchorId="062D8944" wp14:editId="1BF7A788">
                <wp:simplePos x="359410" y="9071610"/>
                <wp:positionH relativeFrom="page">
                  <wp:posOffset>359410</wp:posOffset>
                </wp:positionH>
                <wp:positionV relativeFrom="page">
                  <wp:posOffset>9071610</wp:posOffset>
                </wp:positionV>
                <wp:extent cx="6840001" cy="432000"/>
                <wp:effectExtent l="0" t="0" r="0" b="0"/>
                <wp:wrapNone/>
                <wp:docPr id="286"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4797E"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D8944" id="_x0000_s1119" type="#_x0000_t202" alt="Title: Decorative Cover Shape" style="position:absolute;left:0;text-align:left;margin-left:28.3pt;margin-top:714.3pt;width:538.6pt;height:34pt;z-index:-25165806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K5GYKN/AgAA&#10;agUAAA4AAAAAAAAAAAAAAAAALgIAAGRycy9lMm9Eb2MueG1sUEsBAi0AFAAGAAgAAAAhAJFrJtfd&#10;AAAADQEAAA8AAAAAAAAAAAAAAAAA2QQAAGRycy9kb3ducmV2LnhtbFBLBQYAAAAABAAEAPMAAADj&#10;BQAAAAA=&#10;" fillcolor="#201547" stroked="f" strokeweight=".5pt">
                <v:textbox inset="10mm,0,10mm,0">
                  <w:txbxContent>
                    <w:p w14:paraId="48B4797E"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413" behindDoc="0" locked="1" layoutInCell="1" allowOverlap="1" wp14:anchorId="06E2DE3B" wp14:editId="48743E65">
                <wp:simplePos x="0" y="0"/>
                <wp:positionH relativeFrom="page">
                  <wp:posOffset>360045</wp:posOffset>
                </wp:positionH>
                <wp:positionV relativeFrom="page">
                  <wp:posOffset>360045</wp:posOffset>
                </wp:positionV>
                <wp:extent cx="1864800" cy="1976400"/>
                <wp:effectExtent l="0" t="0" r="0" b="0"/>
                <wp:wrapNone/>
                <wp:docPr id="287"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34ED350" id="TriangleTopACIMono" o:spid="_x0000_s1026" style="position:absolute;margin-left:28.35pt;margin-top:28.35pt;width:146.85pt;height:155.6pt;z-index:25165841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412" behindDoc="0" locked="1" layoutInCell="1" allowOverlap="1" wp14:anchorId="2E8A950A" wp14:editId="15846D23">
                <wp:simplePos x="0" y="0"/>
                <wp:positionH relativeFrom="page">
                  <wp:posOffset>359410</wp:posOffset>
                </wp:positionH>
                <wp:positionV relativeFrom="page">
                  <wp:posOffset>359410</wp:posOffset>
                </wp:positionV>
                <wp:extent cx="1864800" cy="1976400"/>
                <wp:effectExtent l="0" t="0" r="0" b="0"/>
                <wp:wrapNone/>
                <wp:docPr id="1497"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0C04F9F" id="TriangleTop" o:spid="_x0000_s1026" style="position:absolute;margin-left:28.3pt;margin-top:28.3pt;width:146.85pt;height:155.6pt;z-index:2516584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411" behindDoc="0" locked="1" layoutInCell="1" allowOverlap="1" wp14:anchorId="145B9CA7" wp14:editId="19956A58">
                <wp:simplePos x="0" y="0"/>
                <wp:positionH relativeFrom="page">
                  <wp:posOffset>0</wp:posOffset>
                </wp:positionH>
                <wp:positionV relativeFrom="page">
                  <wp:align>bottom</wp:align>
                </wp:positionV>
                <wp:extent cx="3848400" cy="720000"/>
                <wp:effectExtent l="0" t="0" r="0" b="0"/>
                <wp:wrapNone/>
                <wp:docPr id="149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1EC75" w14:textId="77777777" w:rsidR="005F2101" w:rsidRPr="009F69FA" w:rsidRDefault="005F2101" w:rsidP="005F2101">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B9CA7" id="_x0000_s1120" type="#_x0000_t202" style="position:absolute;left:0;text-align:left;margin-left:0;margin-top:0;width:303pt;height:56.7pt;z-index:25165841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BuB7dCbgIAAEYFAAAOAAAAAAAAAAAAAAAAAC4C&#10;AABkcnMvZTJvRG9jLnhtbFBLAQItABQABgAIAAAAIQD0ys+o2gAAAAUBAAAPAAAAAAAAAAAAAAAA&#10;AMgEAABkcnMvZG93bnJldi54bWxQSwUGAAAAAAQABADzAAAAzwUAAAAA&#10;" filled="f" stroked="f" strokeweight=".5pt">
                <v:textbox inset="20mm">
                  <w:txbxContent>
                    <w:p w14:paraId="4521EC75" w14:textId="77777777" w:rsidR="005F2101" w:rsidRPr="009F69FA" w:rsidRDefault="005F2101" w:rsidP="005F2101">
                      <w:pPr>
                        <w:pStyle w:val="xWebCoverPage"/>
                      </w:pPr>
                      <w:r w:rsidRPr="009F69FA">
                        <w:t>de</w:t>
                      </w:r>
                      <w:r>
                        <w:t>lw</w:t>
                      </w:r>
                      <w:r w:rsidRPr="009F69FA">
                        <w:t>p.vic.gov.au</w:t>
                      </w:r>
                    </w:p>
                  </w:txbxContent>
                </v:textbox>
                <w10:wrap anchorx="page" anchory="page"/>
                <w10:anchorlock/>
              </v:shape>
            </w:pict>
          </mc:Fallback>
        </mc:AlternateContent>
      </w:r>
      <w:r>
        <w:t>Forestry operations</w:t>
      </w:r>
    </w:p>
    <w:p w14:paraId="4161BB16" w14:textId="77777777" w:rsidR="005F2101" w:rsidRPr="001C0DE0" w:rsidRDefault="005F2101" w:rsidP="007E5EBF">
      <w:pPr>
        <w:pStyle w:val="Heading5"/>
      </w:pPr>
      <w:r>
        <w:t>Forestry operations and roading</w:t>
      </w:r>
    </w:p>
    <w:p w14:paraId="746E3E36" w14:textId="39C6DFAC" w:rsidR="00716447" w:rsidRDefault="00716447" w:rsidP="00716447">
      <w:pPr>
        <w:pStyle w:val="BodyText"/>
      </w:pPr>
      <w:r w:rsidRPr="00FD57DB">
        <w:t xml:space="preserve">This </w:t>
      </w:r>
      <w:r w:rsidR="001D3902">
        <w:t>species</w:t>
      </w:r>
      <w:r w:rsidRPr="00FD57DB">
        <w:t xml:space="preserve"> generally occurs in association with rainforest. An analysis of VBA records showed that ~</w:t>
      </w:r>
      <w:r w:rsidR="00796EE1">
        <w:t>47</w:t>
      </w:r>
      <w:r w:rsidRPr="00FD57DB">
        <w:t>% occurred within mapped rainforest or its buffers. In this situation, occurrences should be adequately protected from forestry operations due to the requirements of the Code. The risk to this species from forestry operations in the East Gippsland RFA region was re-assessed in light of new information about the exposure to forestry operations. The experts concluded that, where the species occurred on the margins or outside rainforest and/or its buffers, and especially where the rainforest habitat might have been burnt by bushfires or otherwise disturbed, protection could not be assumed. The experts emphasised the need for additional protections that targeted both the known occurrences and the rainforest habitat where it had been disturbed</w:t>
      </w:r>
      <w:r w:rsidR="00F96DDC" w:rsidRPr="00FD57DB">
        <w:t xml:space="preserve"> and</w:t>
      </w:r>
      <w:r w:rsidRPr="00FD57DB">
        <w:t xml:space="preserve"> stressed the importance of greater survey effort to improve understanding of the distribution and abundance of this </w:t>
      </w:r>
      <w:r w:rsidR="001D3902">
        <w:t>species</w:t>
      </w:r>
      <w:r w:rsidRPr="00FD57DB">
        <w:t>.</w:t>
      </w:r>
    </w:p>
    <w:p w14:paraId="54FD1BF3" w14:textId="5B57464A" w:rsidR="005F2101" w:rsidRDefault="005F2101" w:rsidP="005F2101">
      <w:pPr>
        <w:pStyle w:val="BodyText"/>
      </w:pPr>
      <w:r w:rsidRPr="005856B4">
        <w:t>Forestry operations</w:t>
      </w:r>
      <w:r w:rsidR="005543C8">
        <w:t>,</w:t>
      </w:r>
      <w:r w:rsidRPr="005856B4">
        <w:t xml:space="preserve"> including timber harvesting and road construction in or adjacent to its habitat in parts of its range</w:t>
      </w:r>
      <w:r w:rsidR="005543C8">
        <w:t>,</w:t>
      </w:r>
      <w:r w:rsidRPr="005856B4">
        <w:t xml:space="preserve"> may also pose a threat in the short-term due to edge effects including increased light and wind penetration, elevated temperatures</w:t>
      </w:r>
      <w:r w:rsidR="00F96DDC" w:rsidRPr="005856B4">
        <w:t>,</w:t>
      </w:r>
      <w:r w:rsidRPr="005856B4">
        <w:t xml:space="preserve"> and reduced humidity. In addition to edge effects, permanent roads create conditions suitable for weed establishment, especially for </w:t>
      </w:r>
      <w:r w:rsidR="008A6308">
        <w:t>b</w:t>
      </w:r>
      <w:r w:rsidRPr="005856B4">
        <w:t>lackberries</w:t>
      </w:r>
      <w:r w:rsidR="00026AED">
        <w:t>.</w:t>
      </w:r>
    </w:p>
    <w:p w14:paraId="0D261FDC" w14:textId="4655C58E" w:rsidR="005F2101" w:rsidRDefault="00E86352" w:rsidP="005F2101">
      <w:pPr>
        <w:pStyle w:val="BodyText"/>
      </w:pPr>
      <w:r w:rsidRPr="00FD57DB">
        <w:t xml:space="preserve">Based on the 2015 net harvest area layer </w:t>
      </w:r>
      <w:r w:rsidRPr="00796EE1">
        <w:t>a</w:t>
      </w:r>
      <w:r w:rsidR="005F2101" w:rsidRPr="00796EE1">
        <w:t>pproximately 10% of post-1970 VBA points could be exposed to forestry operations, including in the Central Highlands, Strzelecki Ranges and East Gippsland.</w:t>
      </w:r>
      <w:r w:rsidRPr="00FD57DB">
        <w:t xml:space="preserve"> Using the revised operable area layer, this reduces to 7%.</w:t>
      </w:r>
      <w:r w:rsidR="005F2101" w:rsidRPr="00FD57DB">
        <w:t xml:space="preserve"> </w:t>
      </w:r>
      <w:r w:rsidR="005F2101">
        <w:t xml:space="preserve">For roading there would have to be a coincidence between where the road goes and where the population of the </w:t>
      </w:r>
      <w:r w:rsidR="001D3902">
        <w:t>species</w:t>
      </w:r>
      <w:r w:rsidR="005F2101">
        <w:t xml:space="preserve"> occurs, which are both rare in the landscape. </w:t>
      </w:r>
    </w:p>
    <w:p w14:paraId="0AA0E197" w14:textId="77777777" w:rsidR="005F2101" w:rsidRDefault="005F2101" w:rsidP="005F2101">
      <w:pPr>
        <w:pStyle w:val="BodyText"/>
      </w:pPr>
      <w:r>
        <w:t xml:space="preserve">Current controls </w:t>
      </w:r>
      <w:r w:rsidRPr="00660ABA">
        <w:t>for this hazard includ</w:t>
      </w:r>
      <w:r>
        <w:t>e:</w:t>
      </w:r>
    </w:p>
    <w:p w14:paraId="58FB06D7" w14:textId="0E17F270" w:rsidR="005F2101" w:rsidRPr="003566BD" w:rsidRDefault="005F2101" w:rsidP="006670D2">
      <w:pPr>
        <w:pStyle w:val="PullOutBoxBullet"/>
      </w:pPr>
      <w:r w:rsidRPr="003566BD">
        <w:t xml:space="preserve">The </w:t>
      </w:r>
      <w:r w:rsidRPr="003566BD">
        <w:rPr>
          <w:i/>
          <w:iCs/>
        </w:rPr>
        <w:t>Code of Practice for Timber Production 2014</w:t>
      </w:r>
      <w:r w:rsidR="00EB45AD">
        <w:rPr>
          <w:i/>
          <w:iCs/>
        </w:rPr>
        <w:t>.</w:t>
      </w:r>
      <w:r w:rsidRPr="003566BD">
        <w:rPr>
          <w:i/>
          <w:iCs/>
        </w:rPr>
        <w:t xml:space="preserve"> </w:t>
      </w:r>
      <w:r w:rsidR="00EB45AD" w:rsidRPr="00C02DCA">
        <w:t xml:space="preserve">The effectiveness of this control for this species was rated as poor. Concerns regarding the accurate field identification of rainforest following disturbance warrants a more reliable approach to its protection. There is no species-specific prescription for this </w:t>
      </w:r>
      <w:r w:rsidR="001D3902">
        <w:t>species</w:t>
      </w:r>
      <w:r w:rsidR="00EB45AD" w:rsidRPr="00C02DCA">
        <w:t xml:space="preserve"> in the Code, however the Code includes general protections for rainforest including a prohibition on harvesting, the application of buffers and design standards for roads, crossings</w:t>
      </w:r>
      <w:r w:rsidR="00F96DDC" w:rsidRPr="00C02DCA">
        <w:t>,</w:t>
      </w:r>
      <w:r w:rsidR="00EB45AD" w:rsidRPr="00C02DCA">
        <w:t xml:space="preserve"> and coupe infrastructure.</w:t>
      </w:r>
    </w:p>
    <w:p w14:paraId="31424DA8" w14:textId="6147E812" w:rsidR="005F2101" w:rsidRPr="00C10F95" w:rsidRDefault="005F2101" w:rsidP="006670D2">
      <w:pPr>
        <w:pStyle w:val="PullOutBoxBullet"/>
      </w:pPr>
      <w:r w:rsidRPr="4F453272">
        <w:t xml:space="preserve">The CAR reserve system. </w:t>
      </w:r>
      <w:r w:rsidR="003809EB" w:rsidRPr="00C10F95">
        <w:t>The effectiveness of this control for this species has been evaluated</w:t>
      </w:r>
      <w:r w:rsidR="003809EB">
        <w:t xml:space="preserve"> as </w:t>
      </w:r>
      <w:r>
        <w:t>satisfactory</w:t>
      </w:r>
      <w:r w:rsidRPr="4F453272">
        <w:t xml:space="preserve"> as </w:t>
      </w:r>
      <w:r>
        <w:t>71</w:t>
      </w:r>
      <w:r w:rsidRPr="4F453272">
        <w:t xml:space="preserve">% of the </w:t>
      </w:r>
      <w:r w:rsidR="001D3902">
        <w:t>species’</w:t>
      </w:r>
      <w:r w:rsidRPr="4F453272">
        <w:t xml:space="preserve"> </w:t>
      </w:r>
      <w:r>
        <w:t>important populations</w:t>
      </w:r>
      <w:r w:rsidRPr="4F453272">
        <w:t xml:space="preserve"> and</w:t>
      </w:r>
      <w:r>
        <w:t xml:space="preserve"> 75</w:t>
      </w:r>
      <w:r w:rsidRPr="4F453272">
        <w:t xml:space="preserve">% of </w:t>
      </w:r>
      <w:r>
        <w:t>post-1970 VBA points</w:t>
      </w:r>
      <w:r w:rsidRPr="4F453272">
        <w:t xml:space="preserve"> are within the reserve system.</w:t>
      </w:r>
    </w:p>
    <w:p w14:paraId="57AA00EB" w14:textId="60B4709E" w:rsidR="00E57924" w:rsidRPr="00E57924" w:rsidRDefault="005F2101" w:rsidP="006670D2">
      <w:pPr>
        <w:pStyle w:val="PullOutBoxBullet"/>
      </w:pPr>
      <w:r>
        <w:t xml:space="preserve">Impact assessments for roading. This has been evaluated as satisfactory based on the outcome of impact assessment when they are </w:t>
      </w:r>
      <w:r w:rsidR="00F96DDC">
        <w:t>undertaken</w:t>
      </w:r>
      <w:r>
        <w:t>. Whilst there is scope for exemptions for some works (minor roadworks etc.), there are usually surveys for new projects. For bigger maintenance projects, it may not be satisfactory due to exemptions.</w:t>
      </w:r>
    </w:p>
    <w:p w14:paraId="54EB3C9C" w14:textId="77777777" w:rsidR="005F2101" w:rsidRDefault="005F2101" w:rsidP="006670D2">
      <w:pPr>
        <w:pStyle w:val="PullOutBoxBullet"/>
        <w:numPr>
          <w:ilvl w:val="0"/>
          <w:numId w:val="0"/>
        </w:numPr>
        <w:ind w:left="312"/>
      </w:pPr>
    </w:p>
    <w:p w14:paraId="7670E06E" w14:textId="61019747" w:rsidR="005F2101" w:rsidRPr="00FF310C" w:rsidRDefault="005F2101" w:rsidP="006670D2">
      <w:pPr>
        <w:pStyle w:val="Caption"/>
      </w:pPr>
      <w:r w:rsidRPr="00FF310C">
        <w:t xml:space="preserve">Table </w:t>
      </w:r>
      <w:r w:rsidR="000B6788" w:rsidRPr="00D350A7">
        <w:rPr>
          <w:bCs/>
        </w:rPr>
        <w:fldChar w:fldCharType="begin"/>
      </w:r>
      <w:r w:rsidR="000B6788" w:rsidRPr="00FF310C">
        <w:instrText xml:space="preserve"> SEQ Table \* ARABIC </w:instrText>
      </w:r>
      <w:r w:rsidR="000B6788" w:rsidRPr="00D350A7">
        <w:rPr>
          <w:bCs/>
        </w:rPr>
        <w:fldChar w:fldCharType="separate"/>
      </w:r>
      <w:r w:rsidR="00692F0D">
        <w:rPr>
          <w:noProof/>
        </w:rPr>
        <w:t>217</w:t>
      </w:r>
      <w:r w:rsidR="000B6788" w:rsidRPr="00D350A7">
        <w:rPr>
          <w:bCs/>
          <w:noProof/>
        </w:rPr>
        <w:fldChar w:fldCharType="end"/>
      </w:r>
      <w:r w:rsidRPr="00FF310C">
        <w:t xml:space="preserve">. Small Fork-fern protection requirements and recommendations for </w:t>
      </w:r>
      <w:r w:rsidR="00F15E51" w:rsidRPr="00FF310C">
        <w:t>f</w:t>
      </w:r>
      <w:r w:rsidRPr="00FF310C">
        <w:t>orestry operations and roading</w:t>
      </w:r>
    </w:p>
    <w:tbl>
      <w:tblPr>
        <w:tblStyle w:val="TableGrid"/>
        <w:tblW w:w="0" w:type="auto"/>
        <w:tblLayout w:type="fixed"/>
        <w:tblLook w:val="04A0" w:firstRow="1" w:lastRow="0" w:firstColumn="1" w:lastColumn="0" w:noHBand="0" w:noVBand="1"/>
      </w:tblPr>
      <w:tblGrid>
        <w:gridCol w:w="2268"/>
        <w:gridCol w:w="7371"/>
      </w:tblGrid>
      <w:tr w:rsidR="00187A7D" w:rsidRPr="00867DAA" w14:paraId="5BD502E2" w14:textId="77777777" w:rsidTr="00187A7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635ED5CB" w14:textId="77777777" w:rsidR="005F2101" w:rsidRPr="007B5B86" w:rsidRDefault="005F2101" w:rsidP="00296E0F">
            <w:pPr>
              <w:pStyle w:val="BodyText"/>
            </w:pPr>
            <w:r w:rsidRPr="007B5B86">
              <w:t>Requirement</w:t>
            </w:r>
          </w:p>
        </w:tc>
        <w:tc>
          <w:tcPr>
            <w:tcW w:w="7371" w:type="dxa"/>
            <w:vAlign w:val="center"/>
          </w:tcPr>
          <w:p w14:paraId="483CB412" w14:textId="77777777" w:rsidR="005F2101" w:rsidRPr="007B5B86"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5F2101" w:rsidRPr="00867DAA" w14:paraId="7FB36107" w14:textId="77777777" w:rsidTr="0045799B">
        <w:tc>
          <w:tcPr>
            <w:tcW w:w="0" w:type="dxa"/>
          </w:tcPr>
          <w:p w14:paraId="15DC8AF8" w14:textId="77777777" w:rsidR="005F2101" w:rsidRPr="00867DAA" w:rsidRDefault="005F2101" w:rsidP="00B45E4E">
            <w:pPr>
              <w:pStyle w:val="BodyText"/>
            </w:pPr>
            <w:r w:rsidRPr="00867DAA">
              <w:t>Interim protections</w:t>
            </w:r>
          </w:p>
        </w:tc>
        <w:tc>
          <w:tcPr>
            <w:tcW w:w="0" w:type="dxa"/>
          </w:tcPr>
          <w:p w14:paraId="29DA918E" w14:textId="21660DE8" w:rsidR="00465D0D" w:rsidRPr="00013BFB" w:rsidRDefault="00465D0D" w:rsidP="00465D0D">
            <w:pPr>
              <w:pStyle w:val="BodyText"/>
              <w:rPr>
                <w:rFonts w:eastAsia="Calibri"/>
              </w:rPr>
            </w:pPr>
            <w:r w:rsidRPr="00013BFB">
              <w:rPr>
                <w:rFonts w:eastAsia="Calibri"/>
              </w:rPr>
              <w:t xml:space="preserve">Within the East Gippsland </w:t>
            </w:r>
            <w:r w:rsidR="00507ABD">
              <w:rPr>
                <w:rFonts w:eastAsia="Calibri"/>
              </w:rPr>
              <w:t xml:space="preserve">and Gippsland </w:t>
            </w:r>
            <w:r w:rsidRPr="00013BFB">
              <w:rPr>
                <w:rFonts w:eastAsia="Calibri"/>
              </w:rPr>
              <w:t>RFA region</w:t>
            </w:r>
            <w:r w:rsidR="00507ABD">
              <w:rPr>
                <w:rFonts w:eastAsia="Calibri"/>
              </w:rPr>
              <w:t>s</w:t>
            </w:r>
            <w:r w:rsidRPr="00013BFB">
              <w:rPr>
                <w:rFonts w:eastAsia="Calibri"/>
              </w:rPr>
              <w:t xml:space="preserve">, the Secretary will establish Special Protection Zone(s) to protect Warm Temperate Rainforest </w:t>
            </w:r>
            <w:r w:rsidR="00507ABD">
              <w:rPr>
                <w:rFonts w:eastAsia="Calibri"/>
              </w:rPr>
              <w:t xml:space="preserve">and Cool Temperate Rainforest </w:t>
            </w:r>
            <w:r w:rsidRPr="00013BFB">
              <w:rPr>
                <w:rFonts w:eastAsia="Calibri"/>
              </w:rPr>
              <w:t xml:space="preserve">communities including relevant buffers based on </w:t>
            </w:r>
            <w:r w:rsidR="00225397">
              <w:rPr>
                <w:rFonts w:eastAsia="Calibri"/>
              </w:rPr>
              <w:t xml:space="preserve">the </w:t>
            </w:r>
            <w:r w:rsidRPr="00013BFB">
              <w:rPr>
                <w:rFonts w:eastAsia="Calibri"/>
              </w:rPr>
              <w:t xml:space="preserve">Department’s corporate spatial dataset RAINFOR where the rainforest extent has been impacted by high severity fire in the last 10 years (since 2012) (DELWP 2019-20 Fire Severity: Crown Burn and High Crown Scorch). This is to provide protection for the habitat of unrecorded populations of this </w:t>
            </w:r>
            <w:r w:rsidR="001D3902">
              <w:rPr>
                <w:rFonts w:eastAsia="Calibri"/>
              </w:rPr>
              <w:t>species</w:t>
            </w:r>
            <w:r w:rsidRPr="00013BFB">
              <w:rPr>
                <w:rFonts w:eastAsia="Calibri"/>
              </w:rPr>
              <w:t xml:space="preserve"> where it has been recently disturbed</w:t>
            </w:r>
            <w:r w:rsidR="001B205C">
              <w:rPr>
                <w:rFonts w:eastAsia="Calibri"/>
              </w:rPr>
              <w:t xml:space="preserve"> (See Map 4).</w:t>
            </w:r>
          </w:p>
          <w:p w14:paraId="410EC8CE" w14:textId="4D6ED5C2" w:rsidR="00465D0D" w:rsidRPr="00013BFB" w:rsidRDefault="00465D0D" w:rsidP="00465D0D">
            <w:pPr>
              <w:pStyle w:val="BodyText"/>
              <w:rPr>
                <w:rFonts w:eastAsia="Calibri"/>
              </w:rPr>
            </w:pPr>
            <w:r w:rsidRPr="00013BFB">
              <w:rPr>
                <w:rFonts w:eastAsia="Calibri"/>
              </w:rPr>
              <w:t xml:space="preserve">Within </w:t>
            </w:r>
            <w:r>
              <w:rPr>
                <w:rFonts w:eastAsia="Calibri"/>
              </w:rPr>
              <w:t xml:space="preserve">the Central Highlands, </w:t>
            </w:r>
            <w:r w:rsidRPr="00013BFB">
              <w:rPr>
                <w:rFonts w:eastAsia="Calibri"/>
              </w:rPr>
              <w:t>East Gippsland</w:t>
            </w:r>
            <w:r>
              <w:rPr>
                <w:rFonts w:eastAsia="Calibri"/>
              </w:rPr>
              <w:t xml:space="preserve"> and Gippsland</w:t>
            </w:r>
            <w:r w:rsidRPr="00013BFB">
              <w:rPr>
                <w:rFonts w:eastAsia="Calibri"/>
              </w:rPr>
              <w:t xml:space="preserve"> RFA region</w:t>
            </w:r>
            <w:r>
              <w:rPr>
                <w:rFonts w:eastAsia="Calibri"/>
              </w:rPr>
              <w:t>s</w:t>
            </w:r>
            <w:r w:rsidRPr="00013BFB">
              <w:rPr>
                <w:rFonts w:eastAsia="Calibri"/>
              </w:rPr>
              <w:t xml:space="preserve">, the Secretary will establish Special Management Zone(s) of 200 m radius around post-1970 VBA records of this </w:t>
            </w:r>
            <w:r w:rsidR="001D3902">
              <w:rPr>
                <w:rFonts w:eastAsia="Calibri"/>
              </w:rPr>
              <w:t>species</w:t>
            </w:r>
            <w:r w:rsidRPr="00013BFB">
              <w:rPr>
                <w:rFonts w:eastAsia="Calibri"/>
              </w:rPr>
              <w:t xml:space="preserve"> with 100 m or better accuracy and any new records</w:t>
            </w:r>
            <w:r w:rsidR="001B205C">
              <w:rPr>
                <w:rFonts w:eastAsia="Calibri"/>
              </w:rPr>
              <w:t xml:space="preserve"> (See Maps</w:t>
            </w:r>
            <w:r w:rsidR="00CE32A7">
              <w:rPr>
                <w:rFonts w:eastAsia="Calibri"/>
              </w:rPr>
              <w:t xml:space="preserve"> 5a ad 5b).</w:t>
            </w:r>
          </w:p>
          <w:p w14:paraId="57B61794" w14:textId="03D6D31D" w:rsidR="005F2101" w:rsidRPr="00867DAA" w:rsidRDefault="00465D0D" w:rsidP="00B45E4E">
            <w:pPr>
              <w:pStyle w:val="BodyText"/>
            </w:pPr>
            <w:r w:rsidRPr="00013BFB">
              <w:rPr>
                <w:rFonts w:eastAsia="Calibri"/>
              </w:rPr>
              <w:t>Note that permanent protections have been recommended for two Warm Temperate Rainforest communities in East Gippsland (</w:t>
            </w:r>
            <w:r w:rsidRPr="00013BFB">
              <w:t>Warm Temperate Rainforest - East Gippsland Alluvial Terraces and Warm Temperate Rainforest - Far East Gippsland)</w:t>
            </w:r>
            <w:r w:rsidRPr="00013BFB">
              <w:rPr>
                <w:rFonts w:eastAsia="Calibri"/>
              </w:rPr>
              <w:t>. This measure may also provide additional protection and may overlap with areas identified above.</w:t>
            </w:r>
          </w:p>
        </w:tc>
      </w:tr>
      <w:tr w:rsidR="001A3A3C" w:rsidRPr="00867DAA" w14:paraId="03A954EF" w14:textId="77777777" w:rsidTr="0045799B">
        <w:tc>
          <w:tcPr>
            <w:tcW w:w="0" w:type="dxa"/>
          </w:tcPr>
          <w:p w14:paraId="00B20F86" w14:textId="122C151E" w:rsidR="001A3A3C" w:rsidRPr="00867DAA" w:rsidRDefault="001A3A3C" w:rsidP="00B45E4E">
            <w:pPr>
              <w:pStyle w:val="BodyText"/>
            </w:pPr>
            <w:r>
              <w:t>Priority management actions</w:t>
            </w:r>
          </w:p>
        </w:tc>
        <w:tc>
          <w:tcPr>
            <w:tcW w:w="0" w:type="dxa"/>
          </w:tcPr>
          <w:p w14:paraId="0623AC4D" w14:textId="77777777" w:rsidR="005672B6" w:rsidRPr="00E31362" w:rsidRDefault="005672B6" w:rsidP="006670D2">
            <w:pPr>
              <w:pStyle w:val="PullOutBoxBullet"/>
            </w:pPr>
            <w:r w:rsidRPr="00E31362">
              <w:t>Comprehensively search likely habitat and map important populations; and</w:t>
            </w:r>
          </w:p>
          <w:p w14:paraId="4A0A2E91" w14:textId="18115D6A" w:rsidR="001A3A3C" w:rsidRPr="003566BD" w:rsidRDefault="005672B6" w:rsidP="006670D2">
            <w:pPr>
              <w:pStyle w:val="PullOutBoxBullet"/>
            </w:pPr>
            <w:r w:rsidRPr="00E31362">
              <w:t>Establish monitoring sites and collect baseline data.</w:t>
            </w:r>
          </w:p>
        </w:tc>
      </w:tr>
      <w:tr w:rsidR="001A3A3C" w:rsidRPr="00867DAA" w14:paraId="3E388C3E" w14:textId="77777777" w:rsidTr="0045799B">
        <w:tc>
          <w:tcPr>
            <w:tcW w:w="0" w:type="dxa"/>
          </w:tcPr>
          <w:p w14:paraId="1F9E48B3" w14:textId="77777777" w:rsidR="001A3A3C" w:rsidRPr="00867DAA" w:rsidRDefault="001A3A3C" w:rsidP="00B45E4E">
            <w:pPr>
              <w:pStyle w:val="BodyText"/>
            </w:pPr>
            <w:r w:rsidRPr="00867DAA">
              <w:t>Permanent protections</w:t>
            </w:r>
          </w:p>
        </w:tc>
        <w:tc>
          <w:tcPr>
            <w:tcW w:w="0" w:type="dxa"/>
          </w:tcPr>
          <w:p w14:paraId="1657B7F2" w14:textId="77777777" w:rsidR="001A3A3C" w:rsidRPr="00867DAA" w:rsidRDefault="001A3A3C" w:rsidP="00B45E4E">
            <w:pPr>
              <w:pStyle w:val="BodyText"/>
            </w:pPr>
            <w:r w:rsidRPr="003566BD">
              <w:t>Additional permanent protections may be required in the longer-term</w:t>
            </w:r>
            <w:r>
              <w:t>.</w:t>
            </w:r>
          </w:p>
        </w:tc>
      </w:tr>
      <w:tr w:rsidR="001A3A3C" w:rsidRPr="00867DAA" w14:paraId="19326960" w14:textId="77777777" w:rsidTr="0045799B">
        <w:tc>
          <w:tcPr>
            <w:tcW w:w="0" w:type="dxa"/>
          </w:tcPr>
          <w:p w14:paraId="1A68EB63" w14:textId="72EF3399" w:rsidR="001A3A3C" w:rsidRPr="00867DAA" w:rsidRDefault="001A3A3C" w:rsidP="00B45E4E">
            <w:pPr>
              <w:pStyle w:val="BodyText"/>
            </w:pPr>
            <w:r>
              <w:t>Potential m</w:t>
            </w:r>
            <w:r w:rsidRPr="00867DAA">
              <w:t>anagement actions</w:t>
            </w:r>
          </w:p>
        </w:tc>
        <w:tc>
          <w:tcPr>
            <w:tcW w:w="0" w:type="dxa"/>
          </w:tcPr>
          <w:p w14:paraId="461AE5AB" w14:textId="7BC3C08F" w:rsidR="001A3A3C" w:rsidRDefault="001A3A3C" w:rsidP="006670D2">
            <w:pPr>
              <w:pStyle w:val="PullOutBoxBullet"/>
            </w:pPr>
            <w:r>
              <w:t>Consider establishing s</w:t>
            </w:r>
            <w:r w:rsidRPr="00A31083">
              <w:t>pecies-specific code prescriptions in any future Code amendments</w:t>
            </w:r>
            <w:r>
              <w:t>;</w:t>
            </w:r>
          </w:p>
          <w:p w14:paraId="6FB22CA4" w14:textId="055154EA" w:rsidR="001A3A3C" w:rsidRDefault="001A3A3C" w:rsidP="006670D2">
            <w:pPr>
              <w:pStyle w:val="PullOutBoxBullet"/>
            </w:pPr>
            <w:r>
              <w:t>Targeted surveys on all road construction, upgrade</w:t>
            </w:r>
            <w:r w:rsidR="00F96DDC">
              <w:t>,</w:t>
            </w:r>
            <w:r>
              <w:t xml:space="preserve"> and maintenance operations; and</w:t>
            </w:r>
          </w:p>
          <w:p w14:paraId="2167764F" w14:textId="3B295F0A" w:rsidR="001A3A3C" w:rsidRPr="00867DAA" w:rsidRDefault="001A3A3C" w:rsidP="006670D2">
            <w:pPr>
              <w:pStyle w:val="PullOutBoxBullet"/>
            </w:pPr>
            <w:r>
              <w:t xml:space="preserve">Evaluate translocation of </w:t>
            </w:r>
            <w:r w:rsidR="001D3902">
              <w:t>species</w:t>
            </w:r>
            <w:r>
              <w:t xml:space="preserve"> if road cannot be realigned.</w:t>
            </w:r>
          </w:p>
        </w:tc>
      </w:tr>
    </w:tbl>
    <w:p w14:paraId="3E0155F3" w14:textId="77777777" w:rsidR="005F2101" w:rsidRDefault="005F2101" w:rsidP="007E5EBF">
      <w:pPr>
        <w:pStyle w:val="Heading3"/>
      </w:pPr>
      <w:r w:rsidRPr="00D55628">
        <w:rPr>
          <w:rFonts w:cs="Times New Roman"/>
          <w:noProof/>
          <w:lang w:eastAsia="en-US"/>
        </w:rPr>
        <mc:AlternateContent>
          <mc:Choice Requires="wps">
            <w:drawing>
              <wp:anchor distT="0" distB="0" distL="114300" distR="114300" simplePos="1" relativeHeight="251658410" behindDoc="1" locked="1" layoutInCell="1" allowOverlap="1" wp14:anchorId="141D63E0" wp14:editId="468D3ACD">
                <wp:simplePos x="359410" y="9071610"/>
                <wp:positionH relativeFrom="page">
                  <wp:posOffset>359410</wp:posOffset>
                </wp:positionH>
                <wp:positionV relativeFrom="page">
                  <wp:posOffset>9071610</wp:posOffset>
                </wp:positionV>
                <wp:extent cx="6840001" cy="432000"/>
                <wp:effectExtent l="0" t="0" r="0" b="0"/>
                <wp:wrapNone/>
                <wp:docPr id="271"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640C9"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D63E0" id="_x0000_s1121" type="#_x0000_t202" alt="Title: Decorative Cover Shape" style="position:absolute;left:0;text-align:left;margin-left:28.3pt;margin-top:714.3pt;width:538.6pt;height:34pt;z-index:-25165807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CA6uPl/AgAA&#10;agUAAA4AAAAAAAAAAAAAAAAALgIAAGRycy9lMm9Eb2MueG1sUEsBAi0AFAAGAAgAAAAhAJFrJtfd&#10;AAAADQEAAA8AAAAAAAAAAAAAAAAA2QQAAGRycy9kb3ducmV2LnhtbFBLBQYAAAAABAAEAPMAAADj&#10;BQAAAAA=&#10;" fillcolor="#201547" stroked="f" strokeweight=".5pt">
                <v:textbox inset="10mm,0,10mm,0">
                  <w:txbxContent>
                    <w:p w14:paraId="5F2640C9" w14:textId="77777777" w:rsidR="005F2101" w:rsidRPr="00455A7E" w:rsidRDefault="005F2101" w:rsidP="005F2101">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409" behindDoc="0" locked="1" layoutInCell="1" allowOverlap="1" wp14:anchorId="3315ADAE" wp14:editId="61B4B291">
                <wp:simplePos x="0" y="0"/>
                <wp:positionH relativeFrom="page">
                  <wp:posOffset>360045</wp:posOffset>
                </wp:positionH>
                <wp:positionV relativeFrom="page">
                  <wp:posOffset>360045</wp:posOffset>
                </wp:positionV>
                <wp:extent cx="1864800" cy="1976400"/>
                <wp:effectExtent l="0" t="0" r="0" b="0"/>
                <wp:wrapNone/>
                <wp:docPr id="272"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8DC1360" id="TriangleTopACIMono" o:spid="_x0000_s1026" style="position:absolute;margin-left:28.35pt;margin-top:28.35pt;width:146.85pt;height:155.6pt;z-index:25165840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hwHwj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800,1976400;0,0;1864800,0;930800,1976400" o:connectangles="0,0,0,0"/>
                <w10:wrap anchorx="page" anchory="page"/>
                <w10:anchorlock/>
              </v:shape>
            </w:pict>
          </mc:Fallback>
        </mc:AlternateContent>
      </w:r>
      <w:r>
        <w:rPr>
          <w:rFonts w:cs="Times New Roman"/>
          <w:noProof/>
          <w:lang w:eastAsia="en-US"/>
        </w:rPr>
        <mc:AlternateContent>
          <mc:Choice Requires="wps">
            <w:drawing>
              <wp:anchor distT="0" distB="0" distL="114300" distR="114300" simplePos="0" relativeHeight="251658408" behindDoc="0" locked="1" layoutInCell="1" allowOverlap="1" wp14:anchorId="6C335404" wp14:editId="082B1A83">
                <wp:simplePos x="0" y="0"/>
                <wp:positionH relativeFrom="page">
                  <wp:posOffset>359410</wp:posOffset>
                </wp:positionH>
                <wp:positionV relativeFrom="page">
                  <wp:posOffset>359410</wp:posOffset>
                </wp:positionV>
                <wp:extent cx="1864800" cy="1976400"/>
                <wp:effectExtent l="0" t="0" r="0" b="0"/>
                <wp:wrapNone/>
                <wp:docPr id="273"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A94398C" id="TriangleTop" o:spid="_x0000_s1026" style="position:absolute;margin-left:28.3pt;margin-top:28.3pt;width:146.85pt;height:155.6pt;z-index:251658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sidRPr="00D55628">
        <w:rPr>
          <w:rFonts w:cs="Times New Roman"/>
          <w:noProof/>
          <w:lang w:eastAsia="en-US"/>
        </w:rPr>
        <mc:AlternateContent>
          <mc:Choice Requires="wps">
            <w:drawing>
              <wp:anchor distT="0" distB="0" distL="114300" distR="114300" simplePos="0" relativeHeight="251658407" behindDoc="0" locked="1" layoutInCell="1" allowOverlap="1" wp14:anchorId="78A4CD35" wp14:editId="65615E3E">
                <wp:simplePos x="0" y="0"/>
                <wp:positionH relativeFrom="page">
                  <wp:posOffset>0</wp:posOffset>
                </wp:positionH>
                <wp:positionV relativeFrom="page">
                  <wp:align>bottom</wp:align>
                </wp:positionV>
                <wp:extent cx="3848400" cy="720000"/>
                <wp:effectExtent l="0" t="0" r="0" b="0"/>
                <wp:wrapNone/>
                <wp:docPr id="274"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42E12" w14:textId="77777777" w:rsidR="005F2101" w:rsidRPr="009F69FA" w:rsidRDefault="005F2101" w:rsidP="005F2101">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CD35" id="_x0000_s1122" type="#_x0000_t202" style="position:absolute;left:0;text-align:left;margin-left:0;margin-top:0;width:303pt;height:56.7pt;z-index:25165840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" filled="f" stroked="f" strokeweight=".5pt">
                <v:textbox inset="20mm">
                  <w:txbxContent>
                    <w:p w14:paraId="0E942E12" w14:textId="77777777" w:rsidR="005F2101" w:rsidRPr="009F69FA" w:rsidRDefault="005F2101" w:rsidP="005F2101">
                      <w:pPr>
                        <w:pStyle w:val="xWebCoverPage"/>
                      </w:pPr>
                      <w:r w:rsidRPr="009F69FA">
                        <w:t>de</w:t>
                      </w:r>
                      <w:r>
                        <w:t>lw</w:t>
                      </w:r>
                      <w:r w:rsidRPr="009F69FA">
                        <w:t>p.vic.gov.au</w:t>
                      </w:r>
                    </w:p>
                  </w:txbxContent>
                </v:textbox>
                <w10:wrap anchorx="page" anchory="page"/>
                <w10:anchorlock/>
              </v:shape>
            </w:pict>
          </mc:Fallback>
        </mc:AlternateContent>
      </w:r>
      <w:r>
        <w:t>Invasive species</w:t>
      </w:r>
    </w:p>
    <w:p w14:paraId="544B2F75" w14:textId="77777777" w:rsidR="005F2101" w:rsidRPr="001C0DE0" w:rsidRDefault="005F2101" w:rsidP="007E5EBF">
      <w:pPr>
        <w:pStyle w:val="Heading5"/>
      </w:pPr>
      <w:r>
        <w:t>Invasive vertebrate (deer)</w:t>
      </w:r>
    </w:p>
    <w:p w14:paraId="63686FB9" w14:textId="3653C840" w:rsidR="005F2101" w:rsidRPr="00171856" w:rsidRDefault="005F2101" w:rsidP="005F2101">
      <w:pPr>
        <w:pStyle w:val="BodyText"/>
      </w:pPr>
      <w:r w:rsidRPr="005020E4">
        <w:t xml:space="preserve">The </w:t>
      </w:r>
      <w:r w:rsidR="001D3902">
        <w:t>species</w:t>
      </w:r>
      <w:r w:rsidRPr="005020E4">
        <w:t xml:space="preserve"> is also threatened by rutting, wallowing, antler rubbing and targ</w:t>
      </w:r>
      <w:r w:rsidRPr="009F2ADE">
        <w:t>eted browsing by deer, particularly Sambar</w:t>
      </w:r>
      <w:r>
        <w:t xml:space="preserve"> </w:t>
      </w:r>
      <w:r w:rsidRPr="00171856">
        <w:t>which target rainforest and other riparian communities</w:t>
      </w:r>
      <w:r w:rsidR="00F37AE3">
        <w:t>,</w:t>
      </w:r>
      <w:r>
        <w:t xml:space="preserve"> which can result in </w:t>
      </w:r>
      <w:r>
        <w:rPr>
          <w:rFonts w:ascii="Arial" w:hAnsi="Arial"/>
          <w:color w:val="363534"/>
        </w:rPr>
        <w:t>the reduction of understorey cover and direct damage to tree fern trunks</w:t>
      </w:r>
      <w:r w:rsidRPr="00171856">
        <w:t>.</w:t>
      </w:r>
      <w:r w:rsidRPr="00582BAC">
        <w:rPr>
          <w:rFonts w:ascii="Arial" w:hAnsi="Arial"/>
          <w:color w:val="363534"/>
        </w:rPr>
        <w:t xml:space="preserve"> </w:t>
      </w:r>
      <w:r>
        <w:rPr>
          <w:rFonts w:ascii="Arial" w:hAnsi="Arial"/>
          <w:color w:val="363534"/>
        </w:rPr>
        <w:t>Damage to vegetation by deer may increase susceptibility of habitat to fire due to changes in composition and cover of understorey vegetation.</w:t>
      </w:r>
      <w:r>
        <w:t xml:space="preserve"> </w:t>
      </w:r>
      <w:r w:rsidRPr="005856B4">
        <w:t xml:space="preserve">Browsing </w:t>
      </w:r>
      <w:r>
        <w:t xml:space="preserve">is </w:t>
      </w:r>
      <w:r w:rsidRPr="005856B4">
        <w:t>not likely but</w:t>
      </w:r>
      <w:r>
        <w:t xml:space="preserve"> is</w:t>
      </w:r>
      <w:r w:rsidRPr="005856B4">
        <w:t xml:space="preserve"> possible,</w:t>
      </w:r>
      <w:r>
        <w:t xml:space="preserve"> and deer appear</w:t>
      </w:r>
      <w:r w:rsidRPr="005856B4">
        <w:t xml:space="preserve"> t</w:t>
      </w:r>
      <w:r>
        <w:t>o prefer</w:t>
      </w:r>
      <w:r w:rsidRPr="005856B4">
        <w:t xml:space="preserve"> tree stumps of a certain diameter</w:t>
      </w:r>
      <w:r>
        <w:t xml:space="preserve"> </w:t>
      </w:r>
      <w:r w:rsidRPr="005856B4">
        <w:t xml:space="preserve">and harder timber rather than tree-ferns where this </w:t>
      </w:r>
      <w:r w:rsidR="001D3902">
        <w:t>species</w:t>
      </w:r>
      <w:r w:rsidRPr="005856B4">
        <w:t xml:space="preserve"> grow</w:t>
      </w:r>
      <w:r>
        <w:t>s</w:t>
      </w:r>
      <w:r w:rsidR="005D18A9">
        <w:t>,</w:t>
      </w:r>
      <w:r>
        <w:t xml:space="preserve"> </w:t>
      </w:r>
      <w:r w:rsidRPr="005856B4">
        <w:t xml:space="preserve">so </w:t>
      </w:r>
      <w:r>
        <w:t>there would be limited rubbing on its hosts</w:t>
      </w:r>
      <w:r w:rsidR="005D18A9">
        <w:t>. H</w:t>
      </w:r>
      <w:r>
        <w:t>owever</w:t>
      </w:r>
      <w:r w:rsidR="005D18A9">
        <w:t>,</w:t>
      </w:r>
      <w:r>
        <w:t xml:space="preserve"> they are still likely to degrade the habitat over time.</w:t>
      </w:r>
      <w:r w:rsidRPr="00582BAC">
        <w:t xml:space="preserve"> </w:t>
      </w:r>
      <w:r w:rsidRPr="005856B4">
        <w:t xml:space="preserve">After bushfires deer numbers can </w:t>
      </w:r>
      <w:r>
        <w:t>increase</w:t>
      </w:r>
      <w:r w:rsidRPr="005856B4">
        <w:t xml:space="preserve"> and seem to thrive in regenerating forests</w:t>
      </w:r>
      <w:r>
        <w:t>, which is similar</w:t>
      </w:r>
      <w:r w:rsidRPr="005856B4">
        <w:t xml:space="preserve"> for timber harvesting areas but </w:t>
      </w:r>
      <w:r>
        <w:t xml:space="preserve">at a smaller scale. This hazard extends across all the </w:t>
      </w:r>
      <w:r w:rsidR="001D3902">
        <w:t>species’</w:t>
      </w:r>
      <w:r>
        <w:t xml:space="preserve"> distribution.</w:t>
      </w:r>
    </w:p>
    <w:p w14:paraId="3892EC57" w14:textId="77777777" w:rsidR="005F2101" w:rsidRPr="00C7754C" w:rsidRDefault="005F2101" w:rsidP="005F2101">
      <w:pPr>
        <w:pStyle w:val="BodyText"/>
      </w:pPr>
      <w:r>
        <w:t xml:space="preserve">Current controls </w:t>
      </w:r>
      <w:r w:rsidRPr="0014018A">
        <w:t>for this hazard include:</w:t>
      </w:r>
    </w:p>
    <w:p w14:paraId="7781A12A" w14:textId="77777777" w:rsidR="005F2101" w:rsidRDefault="005F2101" w:rsidP="006670D2">
      <w:pPr>
        <w:pStyle w:val="PullOutBoxBullet"/>
      </w:pPr>
      <w:r>
        <w:t>The Victorian Deer Control Strategy. This has been evaluated as poor to satisfactory</w:t>
      </w:r>
      <w:r w:rsidRPr="00582BAC">
        <w:t xml:space="preserve"> </w:t>
      </w:r>
      <w:r>
        <w:t xml:space="preserve">as it is difficult to establish cause and effect for deer control on the responses of various biodiversity values. There are ongoing deer control programs in various parts of the Central Highlands, but it may not be succeeding at reducing deer numbers. </w:t>
      </w:r>
    </w:p>
    <w:p w14:paraId="4CD74AF9" w14:textId="77777777" w:rsidR="00C10F95" w:rsidRDefault="00C10F95">
      <w:pPr>
        <w:rPr>
          <w:b/>
          <w:sz w:val="16"/>
          <w:szCs w:val="16"/>
        </w:rPr>
      </w:pPr>
      <w:r>
        <w:br w:type="page"/>
      </w:r>
    </w:p>
    <w:p w14:paraId="4310C71D" w14:textId="583F5301" w:rsidR="005F2101" w:rsidRPr="00FF310C" w:rsidRDefault="005F2101" w:rsidP="006670D2">
      <w:pPr>
        <w:pStyle w:val="Caption"/>
      </w:pPr>
      <w:r w:rsidRPr="00FF310C">
        <w:t xml:space="preserve">Table </w:t>
      </w:r>
      <w:r w:rsidR="000B6788" w:rsidRPr="00D350A7">
        <w:rPr>
          <w:bCs/>
        </w:rPr>
        <w:fldChar w:fldCharType="begin"/>
      </w:r>
      <w:r w:rsidR="000B6788" w:rsidRPr="00FF310C">
        <w:instrText xml:space="preserve"> SEQ Table \* ARABIC </w:instrText>
      </w:r>
      <w:r w:rsidR="000B6788" w:rsidRPr="00D350A7">
        <w:rPr>
          <w:bCs/>
        </w:rPr>
        <w:fldChar w:fldCharType="separate"/>
      </w:r>
      <w:r w:rsidR="00692F0D">
        <w:rPr>
          <w:noProof/>
        </w:rPr>
        <w:t>218</w:t>
      </w:r>
      <w:r w:rsidR="000B6788" w:rsidRPr="00D350A7">
        <w:rPr>
          <w:bCs/>
          <w:noProof/>
        </w:rPr>
        <w:fldChar w:fldCharType="end"/>
      </w:r>
      <w:r w:rsidRPr="00FF310C">
        <w:t>. Small Fork-fern protection requirements and recommendations for invasive vertebrate (deer)</w:t>
      </w:r>
    </w:p>
    <w:tbl>
      <w:tblPr>
        <w:tblStyle w:val="TableGrid"/>
        <w:tblW w:w="9638" w:type="dxa"/>
        <w:tblInd w:w="-5" w:type="dxa"/>
        <w:tblLayout w:type="fixed"/>
        <w:tblLook w:val="04A0" w:firstRow="1" w:lastRow="0" w:firstColumn="1" w:lastColumn="0" w:noHBand="0" w:noVBand="1"/>
      </w:tblPr>
      <w:tblGrid>
        <w:gridCol w:w="2268"/>
        <w:gridCol w:w="7370"/>
      </w:tblGrid>
      <w:tr w:rsidR="00187A7D" w:rsidRPr="00867DAA" w14:paraId="36481C26" w14:textId="77777777" w:rsidTr="0045799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75B36AF0" w14:textId="77777777" w:rsidR="005F2101" w:rsidRPr="007B5B86" w:rsidRDefault="005F2101" w:rsidP="00296E0F">
            <w:pPr>
              <w:pStyle w:val="BodyText"/>
            </w:pPr>
            <w:r w:rsidRPr="007B5B86">
              <w:t>Requirement</w:t>
            </w:r>
          </w:p>
        </w:tc>
        <w:tc>
          <w:tcPr>
            <w:tcW w:w="7370" w:type="dxa"/>
            <w:vAlign w:val="center"/>
          </w:tcPr>
          <w:p w14:paraId="7F1A7D5C" w14:textId="77777777" w:rsidR="005F2101" w:rsidRPr="007B5B86"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5F2101" w:rsidRPr="00867DAA" w14:paraId="17DBA5CA" w14:textId="77777777" w:rsidTr="0045799B">
        <w:tc>
          <w:tcPr>
            <w:tcW w:w="2268" w:type="dxa"/>
          </w:tcPr>
          <w:p w14:paraId="076C9CAC" w14:textId="1869D364" w:rsidR="005F2101" w:rsidRPr="00867DAA" w:rsidRDefault="00AA6D6B" w:rsidP="00B45E4E">
            <w:pPr>
              <w:pStyle w:val="BodyText"/>
            </w:pPr>
            <w:r>
              <w:t>Priority management actions</w:t>
            </w:r>
          </w:p>
        </w:tc>
        <w:tc>
          <w:tcPr>
            <w:tcW w:w="7370" w:type="dxa"/>
          </w:tcPr>
          <w:p w14:paraId="6CC3352B" w14:textId="0C0F8EAE" w:rsidR="005F2101" w:rsidRPr="00867DAA" w:rsidRDefault="005F2101" w:rsidP="00B45E4E">
            <w:pPr>
              <w:pStyle w:val="BodyText"/>
            </w:pPr>
            <w:r w:rsidRPr="00200995">
              <w:t>Not required for this hazard based on the overall risk level of</w:t>
            </w:r>
            <w:r>
              <w:t xml:space="preserve"> medium</w:t>
            </w:r>
            <w:r w:rsidR="00EB4B72">
              <w:t>.</w:t>
            </w:r>
          </w:p>
        </w:tc>
      </w:tr>
      <w:tr w:rsidR="005F2101" w:rsidRPr="00867DAA" w14:paraId="425EBF39" w14:textId="77777777" w:rsidTr="0045799B">
        <w:tc>
          <w:tcPr>
            <w:tcW w:w="2268" w:type="dxa"/>
          </w:tcPr>
          <w:p w14:paraId="0D7E1FF6" w14:textId="61B9B895" w:rsidR="005F2101" w:rsidRPr="00867DAA" w:rsidRDefault="00AA6D6B" w:rsidP="00B45E4E">
            <w:pPr>
              <w:pStyle w:val="BodyText"/>
            </w:pPr>
            <w:r>
              <w:t>Priority m</w:t>
            </w:r>
            <w:r w:rsidR="005F2101" w:rsidRPr="00867DAA">
              <w:t>anagement actions</w:t>
            </w:r>
          </w:p>
        </w:tc>
        <w:tc>
          <w:tcPr>
            <w:tcW w:w="7370" w:type="dxa"/>
          </w:tcPr>
          <w:p w14:paraId="3A9CD3FE" w14:textId="0036E700" w:rsidR="005F2101" w:rsidRDefault="005F2101" w:rsidP="006670D2">
            <w:pPr>
              <w:pStyle w:val="PullOutBoxBullet"/>
              <w:rPr>
                <w:rFonts w:ascii="Arial" w:hAnsi="Arial"/>
                <w:color w:val="363534"/>
              </w:rPr>
            </w:pPr>
            <w:r>
              <w:t xml:space="preserve">Fencing in areas in the short term where there are numerous deer and are impacting smaller populations or single plants of the </w:t>
            </w:r>
            <w:r w:rsidR="001D3902">
              <w:t>species</w:t>
            </w:r>
            <w:r>
              <w:t xml:space="preserve">, and in areas </w:t>
            </w:r>
            <w:r>
              <w:rPr>
                <w:rFonts w:ascii="Arial" w:hAnsi="Arial"/>
                <w:color w:val="363534"/>
              </w:rPr>
              <w:t xml:space="preserve">where deer control is difficult or ineffective; </w:t>
            </w:r>
          </w:p>
          <w:p w14:paraId="1FCD3C30" w14:textId="77777777" w:rsidR="00EB4B72" w:rsidRDefault="00583090" w:rsidP="006670D2">
            <w:pPr>
              <w:pStyle w:val="PullOutBoxBullet"/>
            </w:pPr>
            <w:r>
              <w:t>I</w:t>
            </w:r>
            <w:r w:rsidR="005F2101">
              <w:t xml:space="preserve">ncrease targeted deer control in the vicinity of threatened plant populations; </w:t>
            </w:r>
          </w:p>
          <w:p w14:paraId="2D7D96E2" w14:textId="6E031D6B" w:rsidR="005F2101" w:rsidRDefault="00EB4B72" w:rsidP="006670D2">
            <w:pPr>
              <w:pStyle w:val="PullOutBoxBullet"/>
            </w:pPr>
            <w:r>
              <w:t>M</w:t>
            </w:r>
            <w:r w:rsidR="005F2101">
              <w:t xml:space="preserve">onitor the </w:t>
            </w:r>
            <w:r w:rsidR="001D3902">
              <w:t>species’</w:t>
            </w:r>
            <w:r w:rsidR="005F2101" w:rsidRPr="00704719">
              <w:rPr>
                <w:i/>
              </w:rPr>
              <w:t xml:space="preserve"> </w:t>
            </w:r>
            <w:r w:rsidR="005F2101">
              <w:t xml:space="preserve">sites with remote cameras to estimate deer density; and </w:t>
            </w:r>
          </w:p>
          <w:p w14:paraId="46122D40" w14:textId="5022A353" w:rsidR="005F2101" w:rsidRPr="007935D4" w:rsidRDefault="00583090" w:rsidP="006670D2">
            <w:pPr>
              <w:pStyle w:val="PullOutBoxBullet"/>
            </w:pPr>
            <w:r>
              <w:t>E</w:t>
            </w:r>
            <w:r w:rsidR="005F2101">
              <w:t>stablish translocation procedure and identity recipient sites to establish new populations for increased dispersal capacity.</w:t>
            </w:r>
          </w:p>
        </w:tc>
      </w:tr>
    </w:tbl>
    <w:p w14:paraId="47DAD8C8" w14:textId="77777777" w:rsidR="005F2101" w:rsidRDefault="005F2101" w:rsidP="007E5EBF">
      <w:pPr>
        <w:pStyle w:val="Heading3"/>
      </w:pPr>
      <w:r>
        <w:t>Population dynamics</w:t>
      </w:r>
    </w:p>
    <w:p w14:paraId="31BB39CA" w14:textId="77777777" w:rsidR="005F2101" w:rsidRPr="001C0DE0" w:rsidRDefault="005F2101" w:rsidP="007E5EBF">
      <w:pPr>
        <w:pStyle w:val="Heading5"/>
      </w:pPr>
      <w:r>
        <w:t>Myrtle Wilt</w:t>
      </w:r>
    </w:p>
    <w:p w14:paraId="76A4B8A5" w14:textId="3011A563" w:rsidR="005F2101" w:rsidRDefault="005F2101" w:rsidP="005F2101">
      <w:pPr>
        <w:pStyle w:val="BodyText"/>
      </w:pPr>
      <w:r>
        <w:t xml:space="preserve">This hazard depends on the Myrtle </w:t>
      </w:r>
      <w:r w:rsidR="00EF4D09">
        <w:t>B</w:t>
      </w:r>
      <w:r>
        <w:t xml:space="preserve">eech extent across this </w:t>
      </w:r>
      <w:r w:rsidR="001D3902">
        <w:t>species’</w:t>
      </w:r>
      <w:r>
        <w:t xml:space="preserve"> habitat. There is approximately 30% of the </w:t>
      </w:r>
      <w:r w:rsidR="001D3902">
        <w:t>species’</w:t>
      </w:r>
      <w:r>
        <w:t xml:space="preserve"> distribution potentially at threat from Myrtle </w:t>
      </w:r>
      <w:r w:rsidR="00EF4D09">
        <w:t>W</w:t>
      </w:r>
      <w:r>
        <w:t xml:space="preserve">ilt, but none of this is in East Gippsland which has ~50% of the populations. Any disturbance to a patch of </w:t>
      </w:r>
      <w:r w:rsidR="00EF4D09">
        <w:t>M</w:t>
      </w:r>
      <w:r>
        <w:t xml:space="preserve">yrtle </w:t>
      </w:r>
      <w:r w:rsidR="00EF4D09">
        <w:t>B</w:t>
      </w:r>
      <w:r>
        <w:t xml:space="preserve">eech, even just one tree being knocked into a gully, can increase susceptibility to </w:t>
      </w:r>
      <w:r w:rsidR="00EF4D09">
        <w:t>M</w:t>
      </w:r>
      <w:r>
        <w:t xml:space="preserve">yrtle </w:t>
      </w:r>
      <w:r w:rsidR="00EF4D09">
        <w:t>W</w:t>
      </w:r>
      <w:r>
        <w:t>ilt. Dying back of myrtles can change the whole ecology of the forest, including an increase of light coming through.</w:t>
      </w:r>
    </w:p>
    <w:p w14:paraId="284C8FF9" w14:textId="77777777" w:rsidR="005F2101" w:rsidRDefault="005F2101" w:rsidP="005F2101">
      <w:pPr>
        <w:pStyle w:val="BodyText"/>
      </w:pPr>
      <w:r>
        <w:t xml:space="preserve">Current controls </w:t>
      </w:r>
      <w:r w:rsidRPr="00660ABA">
        <w:t>for this hazard includ</w:t>
      </w:r>
      <w:r>
        <w:t>e:</w:t>
      </w:r>
    </w:p>
    <w:p w14:paraId="1C3C0B04" w14:textId="55C0CD79" w:rsidR="005F2101" w:rsidRDefault="005F2101" w:rsidP="006670D2">
      <w:pPr>
        <w:pStyle w:val="PullOutBoxBullet"/>
      </w:pPr>
      <w:r>
        <w:t xml:space="preserve">The </w:t>
      </w:r>
      <w:r w:rsidRPr="007935D4">
        <w:rPr>
          <w:i/>
          <w:iCs/>
        </w:rPr>
        <w:t>Code of Practi</w:t>
      </w:r>
      <w:r>
        <w:rPr>
          <w:i/>
          <w:iCs/>
        </w:rPr>
        <w:t>c</w:t>
      </w:r>
      <w:r w:rsidRPr="007935D4">
        <w:rPr>
          <w:i/>
          <w:iCs/>
        </w:rPr>
        <w:t>e for Timber Production 2014</w:t>
      </w:r>
      <w:r>
        <w:t>. This has been evaluated as satisfactory</w:t>
      </w:r>
      <w:r w:rsidR="00665D20">
        <w:t>.</w:t>
      </w:r>
    </w:p>
    <w:p w14:paraId="467F5DD6" w14:textId="0C57CF74" w:rsidR="005F2101" w:rsidRPr="00FF310C" w:rsidRDefault="005F2101" w:rsidP="006670D2">
      <w:pPr>
        <w:pStyle w:val="Caption"/>
      </w:pPr>
      <w:r w:rsidRPr="00FF310C">
        <w:t xml:space="preserve">Table </w:t>
      </w:r>
      <w:r w:rsidR="000B6788" w:rsidRPr="00D350A7">
        <w:rPr>
          <w:bCs/>
        </w:rPr>
        <w:fldChar w:fldCharType="begin"/>
      </w:r>
      <w:r w:rsidR="000B6788" w:rsidRPr="00FF310C">
        <w:instrText xml:space="preserve"> SEQ Table \* ARABIC </w:instrText>
      </w:r>
      <w:r w:rsidR="000B6788" w:rsidRPr="00D350A7">
        <w:rPr>
          <w:bCs/>
        </w:rPr>
        <w:fldChar w:fldCharType="separate"/>
      </w:r>
      <w:r w:rsidR="00692F0D">
        <w:rPr>
          <w:noProof/>
        </w:rPr>
        <w:t>219</w:t>
      </w:r>
      <w:r w:rsidR="000B6788" w:rsidRPr="00D350A7">
        <w:rPr>
          <w:bCs/>
          <w:noProof/>
        </w:rPr>
        <w:fldChar w:fldCharType="end"/>
      </w:r>
      <w:r w:rsidRPr="00FF310C">
        <w:t xml:space="preserve">. Small Fork-fern protection requirements and recommendations for </w:t>
      </w:r>
      <w:r w:rsidR="00EF4D09" w:rsidRPr="00FF310C">
        <w:t>M</w:t>
      </w:r>
      <w:r w:rsidRPr="00FF310C">
        <w:t xml:space="preserve">yrtle </w:t>
      </w:r>
      <w:r w:rsidR="00EF4D09" w:rsidRPr="00FF310C">
        <w:t>W</w:t>
      </w:r>
      <w:r w:rsidRPr="00FF310C">
        <w:t>ilt</w:t>
      </w:r>
    </w:p>
    <w:tbl>
      <w:tblPr>
        <w:tblStyle w:val="TableGrid"/>
        <w:tblW w:w="0" w:type="auto"/>
        <w:tblLook w:val="04A0" w:firstRow="1" w:lastRow="0" w:firstColumn="1" w:lastColumn="0" w:noHBand="0" w:noVBand="1"/>
      </w:tblPr>
      <w:tblGrid>
        <w:gridCol w:w="2268"/>
        <w:gridCol w:w="7371"/>
      </w:tblGrid>
      <w:tr w:rsidR="00585AB9" w:rsidRPr="00867DAA" w14:paraId="7B6487B5" w14:textId="77777777" w:rsidTr="0021567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1F3FBC3A" w14:textId="77777777" w:rsidR="005F2101" w:rsidRPr="007B5B86" w:rsidRDefault="005F2101" w:rsidP="00296E0F">
            <w:pPr>
              <w:pStyle w:val="BodyText"/>
            </w:pPr>
            <w:r w:rsidRPr="007B5B86">
              <w:t>Requirement</w:t>
            </w:r>
          </w:p>
        </w:tc>
        <w:tc>
          <w:tcPr>
            <w:tcW w:w="7371" w:type="dxa"/>
            <w:vAlign w:val="center"/>
          </w:tcPr>
          <w:p w14:paraId="6B24BC9B" w14:textId="77777777" w:rsidR="005F2101" w:rsidRPr="007B5B86"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B5B86">
              <w:t>Recommendation</w:t>
            </w:r>
          </w:p>
        </w:tc>
      </w:tr>
      <w:tr w:rsidR="00DC03B7" w:rsidRPr="00867DAA" w14:paraId="6D418129" w14:textId="77777777" w:rsidTr="0045799B">
        <w:tc>
          <w:tcPr>
            <w:tcW w:w="0" w:type="dxa"/>
          </w:tcPr>
          <w:p w14:paraId="5AB71F44" w14:textId="01F604DC" w:rsidR="005F2101" w:rsidRPr="00867DAA" w:rsidRDefault="00B777F0" w:rsidP="00B45E4E">
            <w:pPr>
              <w:pStyle w:val="BodyText"/>
            </w:pPr>
            <w:r>
              <w:t>Priority management actions</w:t>
            </w:r>
          </w:p>
        </w:tc>
        <w:tc>
          <w:tcPr>
            <w:tcW w:w="0" w:type="dxa"/>
          </w:tcPr>
          <w:p w14:paraId="3E375EED" w14:textId="1528F688" w:rsidR="005F2101" w:rsidRPr="00867DAA" w:rsidRDefault="005F2101" w:rsidP="00B45E4E">
            <w:pPr>
              <w:pStyle w:val="BodyText"/>
            </w:pPr>
            <w:r w:rsidRPr="00200995">
              <w:t>Not required for this hazard based on the overall risk level of</w:t>
            </w:r>
            <w:r>
              <w:t xml:space="preserve"> medium</w:t>
            </w:r>
            <w:r w:rsidR="00DD2618">
              <w:t>.</w:t>
            </w:r>
          </w:p>
        </w:tc>
      </w:tr>
      <w:tr w:rsidR="00DC03B7" w:rsidRPr="00867DAA" w14:paraId="5F2954D8" w14:textId="77777777" w:rsidTr="0045799B">
        <w:tc>
          <w:tcPr>
            <w:tcW w:w="0" w:type="dxa"/>
          </w:tcPr>
          <w:p w14:paraId="1DEDDEE0" w14:textId="17ABE97D" w:rsidR="005F2101" w:rsidRPr="00867DAA" w:rsidRDefault="00B777F0" w:rsidP="00B45E4E">
            <w:pPr>
              <w:pStyle w:val="BodyText"/>
            </w:pPr>
            <w:r>
              <w:t>Potential m</w:t>
            </w:r>
            <w:r w:rsidR="005F2101" w:rsidRPr="00867DAA">
              <w:t>anagement actions</w:t>
            </w:r>
          </w:p>
        </w:tc>
        <w:tc>
          <w:tcPr>
            <w:tcW w:w="0" w:type="dxa"/>
          </w:tcPr>
          <w:p w14:paraId="1ABCFC57" w14:textId="08A256B3" w:rsidR="005F2101" w:rsidRPr="006F3FC2" w:rsidRDefault="00E852B7" w:rsidP="00B45E4E">
            <w:pPr>
              <w:pStyle w:val="BodyText"/>
              <w:rPr>
                <w:rFonts w:ascii="Arial" w:hAnsi="Arial"/>
                <w:color w:val="363534"/>
              </w:rPr>
            </w:pPr>
            <w:r>
              <w:t>No potential management actions have been recommended for this hazard.</w:t>
            </w:r>
          </w:p>
        </w:tc>
      </w:tr>
    </w:tbl>
    <w:p w14:paraId="4FA8C7FF" w14:textId="77777777" w:rsidR="005F2101" w:rsidRDefault="005F2101" w:rsidP="005F2101">
      <w:pPr>
        <w:rPr>
          <w:rFonts w:cs="Times New Roman"/>
          <w:lang w:eastAsia="en-US"/>
        </w:rPr>
      </w:pPr>
      <w:r>
        <w:br w:type="page"/>
      </w:r>
    </w:p>
    <w:p w14:paraId="190D6033" w14:textId="77777777" w:rsidR="005F2101" w:rsidRPr="00A52C18" w:rsidRDefault="005F2101" w:rsidP="00171F18">
      <w:pPr>
        <w:pStyle w:val="Heading2"/>
        <w:ind w:left="0"/>
        <w:rPr>
          <w:i/>
          <w:iCs/>
        </w:rPr>
      </w:pPr>
      <w:bookmarkStart w:id="813" w:name="_Toc95129490"/>
      <w:bookmarkStart w:id="814" w:name="_Toc113271067"/>
      <w:r w:rsidRPr="00A52C18">
        <w:t xml:space="preserve">Small-leaf Star-hair </w:t>
      </w:r>
      <w:r w:rsidRPr="005F7D8C">
        <w:rPr>
          <w:i/>
          <w:iCs/>
        </w:rPr>
        <w:t>(Astrotricha parvifolia</w:t>
      </w:r>
      <w:r w:rsidRPr="00A52C18">
        <w:t xml:space="preserve"> subsp. 1</w:t>
      </w:r>
      <w:r w:rsidRPr="005F7D8C">
        <w:rPr>
          <w:i/>
          <w:iCs/>
        </w:rPr>
        <w:t>)</w:t>
      </w:r>
      <w:bookmarkEnd w:id="813"/>
      <w:bookmarkEnd w:id="814"/>
    </w:p>
    <w:p w14:paraId="313040D9" w14:textId="0819947D" w:rsidR="005F2101" w:rsidRDefault="005F2101" w:rsidP="005F2101">
      <w:pPr>
        <w:pStyle w:val="BodyText"/>
      </w:pPr>
      <w:r>
        <w:t xml:space="preserve">The Small-leaf Star-hair was listed as Critically Endangered in Australia under the FFG Act in May 2021. The </w:t>
      </w:r>
      <w:r w:rsidR="004E428D">
        <w:t>sub</w:t>
      </w:r>
      <w:r w:rsidR="001D3902">
        <w:t>species</w:t>
      </w:r>
      <w:r>
        <w:t xml:space="preserve"> has modelled habitat in the Gippsland (96% of modelled habitat) and Central Highlands (4% of modelled habitat) RFA regions.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233480C7" w14:textId="77777777" w:rsidR="005F2101" w:rsidRDefault="005F2101" w:rsidP="007E5EBF">
      <w:pPr>
        <w:pStyle w:val="Heading3"/>
      </w:pPr>
      <w:r>
        <w:t xml:space="preserve"> Risk Assessment</w:t>
      </w:r>
    </w:p>
    <w:p w14:paraId="303D11C2" w14:textId="54897D99" w:rsidR="005F2101" w:rsidRPr="00FF310C" w:rsidRDefault="005F2101" w:rsidP="006670D2">
      <w:pPr>
        <w:pStyle w:val="Caption"/>
      </w:pPr>
      <w:r w:rsidRPr="00FF310C">
        <w:t xml:space="preserve">Table </w:t>
      </w:r>
      <w:r w:rsidR="000B6788" w:rsidRPr="00D350A7">
        <w:rPr>
          <w:bCs/>
        </w:rPr>
        <w:fldChar w:fldCharType="begin"/>
      </w:r>
      <w:r w:rsidR="000B6788" w:rsidRPr="00FF310C">
        <w:instrText xml:space="preserve"> SEQ Table \* ARABIC </w:instrText>
      </w:r>
      <w:r w:rsidR="000B6788" w:rsidRPr="00D350A7">
        <w:rPr>
          <w:bCs/>
        </w:rPr>
        <w:fldChar w:fldCharType="separate"/>
      </w:r>
      <w:r w:rsidR="00692F0D">
        <w:rPr>
          <w:noProof/>
        </w:rPr>
        <w:t>220</w:t>
      </w:r>
      <w:r w:rsidR="000B6788" w:rsidRPr="00D350A7">
        <w:rPr>
          <w:bCs/>
          <w:noProof/>
        </w:rPr>
        <w:fldChar w:fldCharType="end"/>
      </w:r>
      <w:r w:rsidRPr="00FF310C">
        <w:t>. Small-leaf Star-hair risk ratings in the Gippsland RFA region:</w:t>
      </w:r>
    </w:p>
    <w:tbl>
      <w:tblPr>
        <w:tblStyle w:val="TableGrid"/>
        <w:tblW w:w="9639" w:type="dxa"/>
        <w:tblLook w:val="04A0" w:firstRow="1" w:lastRow="0" w:firstColumn="1" w:lastColumn="0" w:noHBand="0" w:noVBand="1"/>
      </w:tblPr>
      <w:tblGrid>
        <w:gridCol w:w="2409"/>
        <w:gridCol w:w="2410"/>
        <w:gridCol w:w="2410"/>
        <w:gridCol w:w="2410"/>
      </w:tblGrid>
      <w:tr w:rsidR="005F2101" w14:paraId="06E6C96B"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09" w:type="dxa"/>
            <w:tcBorders>
              <w:top w:val="single" w:sz="8" w:space="0" w:color="CDDC29" w:themeColor="text2"/>
              <w:left w:val="nil"/>
              <w:bottom w:val="single" w:sz="8" w:space="0" w:color="CDDC29" w:themeColor="text2"/>
              <w:right w:val="nil"/>
            </w:tcBorders>
            <w:vAlign w:val="center"/>
          </w:tcPr>
          <w:p w14:paraId="31DF138C" w14:textId="77777777" w:rsidR="005F2101" w:rsidRDefault="005F2101" w:rsidP="006670D2">
            <w:pPr>
              <w:pStyle w:val="CaptionImageorFigure"/>
            </w:pPr>
          </w:p>
        </w:tc>
        <w:tc>
          <w:tcPr>
            <w:tcW w:w="2410" w:type="dxa"/>
            <w:tcBorders>
              <w:top w:val="single" w:sz="8" w:space="0" w:color="CDDC29" w:themeColor="text2"/>
              <w:left w:val="nil"/>
              <w:bottom w:val="single" w:sz="8" w:space="0" w:color="CDDC29" w:themeColor="text2"/>
              <w:right w:val="nil"/>
            </w:tcBorders>
            <w:vAlign w:val="center"/>
          </w:tcPr>
          <w:p w14:paraId="55FDB40E" w14:textId="77777777" w:rsidR="005F2101" w:rsidDel="00976EF0"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Drought</w:t>
            </w:r>
          </w:p>
        </w:tc>
        <w:tc>
          <w:tcPr>
            <w:tcW w:w="2410" w:type="dxa"/>
            <w:tcBorders>
              <w:top w:val="single" w:sz="8" w:space="0" w:color="CDDC29" w:themeColor="text2"/>
              <w:left w:val="nil"/>
              <w:bottom w:val="single" w:sz="8" w:space="0" w:color="CDDC29" w:themeColor="text2"/>
              <w:right w:val="nil"/>
            </w:tcBorders>
            <w:vAlign w:val="center"/>
          </w:tcPr>
          <w:p w14:paraId="00F160E5" w14:textId="77777777" w:rsidR="005F2101" w:rsidDel="00976EF0"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Planned burning</w:t>
            </w:r>
          </w:p>
        </w:tc>
        <w:tc>
          <w:tcPr>
            <w:tcW w:w="2410" w:type="dxa"/>
            <w:tcBorders>
              <w:top w:val="single" w:sz="8" w:space="0" w:color="CDDC29" w:themeColor="text2"/>
              <w:left w:val="nil"/>
              <w:bottom w:val="single" w:sz="8" w:space="0" w:color="CDDC29" w:themeColor="text2"/>
              <w:right w:val="nil"/>
            </w:tcBorders>
            <w:vAlign w:val="center"/>
            <w:hideMark/>
          </w:tcPr>
          <w:p w14:paraId="471EE292"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r>
      <w:tr w:rsidR="005F2101" w14:paraId="48550013" w14:textId="77777777" w:rsidTr="00296E0F">
        <w:tc>
          <w:tcPr>
            <w:tcW w:w="2409" w:type="dxa"/>
            <w:tcBorders>
              <w:top w:val="single" w:sz="8" w:space="0" w:color="CDDC29" w:themeColor="text2"/>
              <w:left w:val="nil"/>
              <w:bottom w:val="single" w:sz="8" w:space="0" w:color="CDDC29" w:themeColor="text2"/>
              <w:right w:val="nil"/>
            </w:tcBorders>
            <w:vAlign w:val="center"/>
            <w:hideMark/>
          </w:tcPr>
          <w:p w14:paraId="5EC9CCA9" w14:textId="77777777" w:rsidR="005F2101" w:rsidRDefault="005F2101" w:rsidP="00DA4CC4">
            <w:pPr>
              <w:pStyle w:val="BodyText"/>
              <w:jc w:val="center"/>
            </w:pPr>
            <w:r>
              <w:t>Consequence</w:t>
            </w:r>
          </w:p>
        </w:tc>
        <w:tc>
          <w:tcPr>
            <w:tcW w:w="2410" w:type="dxa"/>
            <w:tcBorders>
              <w:top w:val="single" w:sz="8" w:space="0" w:color="CDDC29" w:themeColor="text2"/>
              <w:left w:val="nil"/>
              <w:bottom w:val="single" w:sz="8" w:space="0" w:color="CDDC29" w:themeColor="text2"/>
              <w:right w:val="nil"/>
            </w:tcBorders>
            <w:vAlign w:val="center"/>
          </w:tcPr>
          <w:p w14:paraId="7EBD5179" w14:textId="77777777" w:rsidR="005F2101" w:rsidRDefault="005F2101" w:rsidP="00DA4CC4">
            <w:pPr>
              <w:pStyle w:val="BodyText"/>
              <w:jc w:val="center"/>
            </w:pPr>
            <w:r>
              <w:t>Major</w:t>
            </w:r>
          </w:p>
        </w:tc>
        <w:tc>
          <w:tcPr>
            <w:tcW w:w="2410" w:type="dxa"/>
            <w:tcBorders>
              <w:top w:val="single" w:sz="8" w:space="0" w:color="CDDC29" w:themeColor="text2"/>
              <w:left w:val="nil"/>
              <w:bottom w:val="single" w:sz="8" w:space="0" w:color="CDDC29" w:themeColor="text2"/>
              <w:right w:val="nil"/>
            </w:tcBorders>
            <w:vAlign w:val="center"/>
          </w:tcPr>
          <w:p w14:paraId="3FEB863E" w14:textId="77777777" w:rsidR="005F2101" w:rsidRDefault="005F2101" w:rsidP="00DA4CC4">
            <w:pPr>
              <w:pStyle w:val="BodyText"/>
              <w:jc w:val="center"/>
            </w:pPr>
            <w:r>
              <w:t>Major</w:t>
            </w:r>
          </w:p>
        </w:tc>
        <w:tc>
          <w:tcPr>
            <w:tcW w:w="2410" w:type="dxa"/>
            <w:tcBorders>
              <w:top w:val="single" w:sz="8" w:space="0" w:color="CDDC29" w:themeColor="text2"/>
              <w:left w:val="nil"/>
              <w:bottom w:val="single" w:sz="8" w:space="0" w:color="CDDC29" w:themeColor="text2"/>
              <w:right w:val="nil"/>
            </w:tcBorders>
            <w:vAlign w:val="center"/>
            <w:hideMark/>
          </w:tcPr>
          <w:p w14:paraId="4989D8F5" w14:textId="77777777" w:rsidR="005F2101" w:rsidRDefault="005F2101" w:rsidP="00DA4CC4">
            <w:pPr>
              <w:pStyle w:val="BodyText"/>
              <w:jc w:val="center"/>
            </w:pPr>
            <w:r>
              <w:t>Moderate</w:t>
            </w:r>
          </w:p>
        </w:tc>
      </w:tr>
      <w:tr w:rsidR="005F2101" w14:paraId="0AA730EC" w14:textId="77777777" w:rsidTr="00296E0F">
        <w:tc>
          <w:tcPr>
            <w:tcW w:w="2409" w:type="dxa"/>
            <w:tcBorders>
              <w:top w:val="single" w:sz="8" w:space="0" w:color="CDDC29" w:themeColor="text2"/>
              <w:left w:val="nil"/>
              <w:bottom w:val="single" w:sz="8" w:space="0" w:color="CDDC29" w:themeColor="text2"/>
              <w:right w:val="nil"/>
            </w:tcBorders>
            <w:vAlign w:val="center"/>
            <w:hideMark/>
          </w:tcPr>
          <w:p w14:paraId="7FF0C745" w14:textId="77777777" w:rsidR="005F2101" w:rsidRDefault="005F2101" w:rsidP="00DA4CC4">
            <w:pPr>
              <w:pStyle w:val="BodyText"/>
              <w:jc w:val="center"/>
            </w:pPr>
            <w:r>
              <w:t>Likelihood</w:t>
            </w:r>
          </w:p>
        </w:tc>
        <w:tc>
          <w:tcPr>
            <w:tcW w:w="2410" w:type="dxa"/>
            <w:tcBorders>
              <w:top w:val="single" w:sz="8" w:space="0" w:color="CDDC29" w:themeColor="text2"/>
              <w:left w:val="nil"/>
              <w:bottom w:val="single" w:sz="8" w:space="0" w:color="CDDC29" w:themeColor="text2"/>
              <w:right w:val="nil"/>
            </w:tcBorders>
            <w:vAlign w:val="center"/>
          </w:tcPr>
          <w:p w14:paraId="53199142" w14:textId="77777777" w:rsidR="005F2101" w:rsidRDefault="005F2101" w:rsidP="00DA4CC4">
            <w:pPr>
              <w:pStyle w:val="BodyText"/>
              <w:jc w:val="center"/>
            </w:pPr>
            <w:r>
              <w:t>Unlikely</w:t>
            </w:r>
          </w:p>
        </w:tc>
        <w:tc>
          <w:tcPr>
            <w:tcW w:w="2410" w:type="dxa"/>
            <w:tcBorders>
              <w:top w:val="single" w:sz="8" w:space="0" w:color="CDDC29" w:themeColor="text2"/>
              <w:left w:val="nil"/>
              <w:bottom w:val="single" w:sz="8" w:space="0" w:color="CDDC29" w:themeColor="text2"/>
              <w:right w:val="nil"/>
            </w:tcBorders>
            <w:vAlign w:val="center"/>
          </w:tcPr>
          <w:p w14:paraId="16E68019" w14:textId="77777777" w:rsidR="005F2101" w:rsidRDefault="005F2101" w:rsidP="00DA4CC4">
            <w:pPr>
              <w:pStyle w:val="BodyText"/>
              <w:jc w:val="center"/>
            </w:pPr>
            <w:r>
              <w:t>Possible</w:t>
            </w:r>
          </w:p>
        </w:tc>
        <w:tc>
          <w:tcPr>
            <w:tcW w:w="2410" w:type="dxa"/>
            <w:tcBorders>
              <w:top w:val="single" w:sz="8" w:space="0" w:color="CDDC29" w:themeColor="text2"/>
              <w:left w:val="nil"/>
              <w:bottom w:val="single" w:sz="8" w:space="0" w:color="CDDC29" w:themeColor="text2"/>
              <w:right w:val="nil"/>
            </w:tcBorders>
            <w:vAlign w:val="center"/>
            <w:hideMark/>
          </w:tcPr>
          <w:p w14:paraId="23CD00DF" w14:textId="77777777" w:rsidR="005F2101" w:rsidRDefault="005F2101" w:rsidP="00DA4CC4">
            <w:pPr>
              <w:pStyle w:val="BodyText"/>
              <w:jc w:val="center"/>
            </w:pPr>
            <w:r>
              <w:t>Likely</w:t>
            </w:r>
          </w:p>
        </w:tc>
      </w:tr>
      <w:tr w:rsidR="005F2101" w14:paraId="7CB145B5" w14:textId="77777777" w:rsidTr="00296E0F">
        <w:tc>
          <w:tcPr>
            <w:tcW w:w="2409" w:type="dxa"/>
            <w:tcBorders>
              <w:top w:val="single" w:sz="8" w:space="0" w:color="CDDC29" w:themeColor="text2"/>
              <w:left w:val="nil"/>
              <w:bottom w:val="single" w:sz="8" w:space="0" w:color="CDDC29" w:themeColor="text2"/>
              <w:right w:val="nil"/>
            </w:tcBorders>
            <w:vAlign w:val="center"/>
            <w:hideMark/>
          </w:tcPr>
          <w:p w14:paraId="4B0C9344" w14:textId="77777777" w:rsidR="005F2101" w:rsidRDefault="005F2101" w:rsidP="00DA4CC4">
            <w:pPr>
              <w:pStyle w:val="BodyText"/>
              <w:jc w:val="center"/>
            </w:pPr>
            <w:r>
              <w:t>Overall risk rating</w:t>
            </w:r>
          </w:p>
        </w:tc>
        <w:tc>
          <w:tcPr>
            <w:tcW w:w="2410" w:type="dxa"/>
            <w:tcBorders>
              <w:top w:val="single" w:sz="8" w:space="0" w:color="CDDC29" w:themeColor="text2"/>
              <w:left w:val="nil"/>
              <w:bottom w:val="single" w:sz="8" w:space="0" w:color="CDDC29" w:themeColor="text2"/>
              <w:right w:val="nil"/>
            </w:tcBorders>
            <w:shd w:val="clear" w:color="auto" w:fill="FFFF00"/>
            <w:vAlign w:val="center"/>
          </w:tcPr>
          <w:p w14:paraId="3C7A871F" w14:textId="77777777" w:rsidR="005F2101" w:rsidRDefault="005F2101" w:rsidP="00DA4CC4">
            <w:pPr>
              <w:pStyle w:val="BodyText"/>
              <w:jc w:val="center"/>
            </w:pPr>
            <w:r>
              <w:t>Medium</w:t>
            </w:r>
          </w:p>
        </w:tc>
        <w:tc>
          <w:tcPr>
            <w:tcW w:w="2410" w:type="dxa"/>
            <w:tcBorders>
              <w:top w:val="single" w:sz="8" w:space="0" w:color="CDDC29" w:themeColor="text2"/>
              <w:left w:val="nil"/>
              <w:bottom w:val="single" w:sz="8" w:space="0" w:color="CDDC29" w:themeColor="text2"/>
              <w:right w:val="nil"/>
            </w:tcBorders>
            <w:shd w:val="clear" w:color="auto" w:fill="FFC000"/>
            <w:vAlign w:val="center"/>
          </w:tcPr>
          <w:p w14:paraId="439E8DEC" w14:textId="77777777" w:rsidR="005F2101" w:rsidRDefault="005F2101" w:rsidP="00DA4CC4">
            <w:pPr>
              <w:pStyle w:val="BodyText"/>
              <w:jc w:val="center"/>
            </w:pPr>
            <w:r>
              <w:t>Significant</w:t>
            </w:r>
          </w:p>
        </w:tc>
        <w:tc>
          <w:tcPr>
            <w:tcW w:w="2410" w:type="dxa"/>
            <w:tcBorders>
              <w:top w:val="single" w:sz="8" w:space="0" w:color="CDDC29" w:themeColor="text2"/>
              <w:left w:val="nil"/>
              <w:bottom w:val="single" w:sz="8" w:space="0" w:color="CDDC29" w:themeColor="text2"/>
              <w:right w:val="nil"/>
            </w:tcBorders>
            <w:shd w:val="clear" w:color="auto" w:fill="FFC000"/>
            <w:vAlign w:val="center"/>
            <w:hideMark/>
          </w:tcPr>
          <w:p w14:paraId="34B77286" w14:textId="77777777" w:rsidR="005F2101" w:rsidRDefault="005F2101" w:rsidP="00DA4CC4">
            <w:pPr>
              <w:pStyle w:val="BodyText"/>
              <w:jc w:val="center"/>
            </w:pPr>
            <w:r>
              <w:t>Significant</w:t>
            </w:r>
          </w:p>
        </w:tc>
      </w:tr>
    </w:tbl>
    <w:p w14:paraId="37CC3873" w14:textId="77777777" w:rsidR="005F2101" w:rsidRDefault="005F2101" w:rsidP="007E5EBF">
      <w:pPr>
        <w:pStyle w:val="Heading3"/>
        <w:jc w:val="both"/>
      </w:pPr>
      <w:r>
        <w:t>Climate change</w:t>
      </w:r>
    </w:p>
    <w:p w14:paraId="309E6BD2" w14:textId="77777777" w:rsidR="005F2101" w:rsidRDefault="005F2101" w:rsidP="007E5EBF">
      <w:pPr>
        <w:pStyle w:val="Heading5"/>
      </w:pPr>
      <w:r>
        <w:t>Drought</w:t>
      </w:r>
    </w:p>
    <w:p w14:paraId="489B1B2D" w14:textId="1B029145" w:rsidR="005F2101" w:rsidRDefault="005F2101" w:rsidP="005F2101">
      <w:pPr>
        <w:pStyle w:val="BodyText"/>
      </w:pPr>
      <w:r>
        <w:t xml:space="preserve">Drought is a concern to the </w:t>
      </w:r>
      <w:r w:rsidR="004E428D">
        <w:t>sub</w:t>
      </w:r>
      <w:r w:rsidR="001D3902">
        <w:t>species</w:t>
      </w:r>
      <w:r>
        <w:t xml:space="preserve"> when it interacts with bushfire, and can cause direct mortality, recruitment failure and habitat loss and degradation. </w:t>
      </w:r>
      <w:r w:rsidRPr="00942FBA">
        <w:t xml:space="preserve">The occurrence of a very severe drought may make the </w:t>
      </w:r>
      <w:r w:rsidR="004E428D">
        <w:t>sub</w:t>
      </w:r>
      <w:r w:rsidR="001D3902">
        <w:t>species’</w:t>
      </w:r>
      <w:r w:rsidRPr="00942FBA">
        <w:t xml:space="preserve"> habitat more susceptible to a peat fire,</w:t>
      </w:r>
      <w:r>
        <w:t xml:space="preserve"> however</w:t>
      </w:r>
      <w:r w:rsidRPr="00942FBA">
        <w:t xml:space="preserve"> the likelihood of this occurring in the next 20-years is probably small</w:t>
      </w:r>
      <w:r w:rsidR="00C221A0">
        <w:t>,</w:t>
      </w:r>
      <w:r>
        <w:t xml:space="preserve"> and </w:t>
      </w:r>
      <w:r w:rsidRPr="00942FBA">
        <w:t xml:space="preserve">climate change is expected to impact over a longer timeframe. </w:t>
      </w:r>
    </w:p>
    <w:p w14:paraId="016E568F" w14:textId="77777777" w:rsidR="005F2101" w:rsidRDefault="005F2101" w:rsidP="005F2101">
      <w:pPr>
        <w:pStyle w:val="BodyText"/>
      </w:pPr>
      <w:r>
        <w:t>This hazard has been evaluated as uncontrolled.</w:t>
      </w:r>
    </w:p>
    <w:p w14:paraId="00FB4AD3" w14:textId="6BE038D3" w:rsidR="005F2101" w:rsidRPr="00FF310C" w:rsidRDefault="005F2101" w:rsidP="006670D2">
      <w:pPr>
        <w:pStyle w:val="Caption"/>
      </w:pPr>
      <w:r w:rsidRPr="00FF310C">
        <w:t xml:space="preserve">Table </w:t>
      </w:r>
      <w:r w:rsidR="000B6788" w:rsidRPr="00D350A7">
        <w:rPr>
          <w:bCs/>
        </w:rPr>
        <w:fldChar w:fldCharType="begin"/>
      </w:r>
      <w:r w:rsidR="000B6788" w:rsidRPr="00FF310C">
        <w:instrText xml:space="preserve"> SEQ Table \* ARABIC </w:instrText>
      </w:r>
      <w:r w:rsidR="000B6788" w:rsidRPr="00D350A7">
        <w:rPr>
          <w:bCs/>
        </w:rPr>
        <w:fldChar w:fldCharType="separate"/>
      </w:r>
      <w:r w:rsidR="00692F0D">
        <w:rPr>
          <w:noProof/>
        </w:rPr>
        <w:t>221</w:t>
      </w:r>
      <w:r w:rsidR="000B6788" w:rsidRPr="00D350A7">
        <w:rPr>
          <w:bCs/>
          <w:noProof/>
        </w:rPr>
        <w:fldChar w:fldCharType="end"/>
      </w:r>
      <w:r w:rsidRPr="00FF310C">
        <w:t>. Small-leaf Star-hair protection requirements and recommendations for drought</w:t>
      </w:r>
    </w:p>
    <w:tbl>
      <w:tblPr>
        <w:tblStyle w:val="TableGrid"/>
        <w:tblW w:w="0" w:type="auto"/>
        <w:tblLook w:val="04A0" w:firstRow="1" w:lastRow="0" w:firstColumn="1" w:lastColumn="0" w:noHBand="0" w:noVBand="1"/>
      </w:tblPr>
      <w:tblGrid>
        <w:gridCol w:w="2268"/>
        <w:gridCol w:w="7371"/>
      </w:tblGrid>
      <w:tr w:rsidR="005F2101" w:rsidRPr="00867DAA" w14:paraId="77393E26"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43722DD6" w14:textId="77777777" w:rsidR="005F2101" w:rsidRPr="00704719" w:rsidRDefault="005F2101" w:rsidP="00296E0F">
            <w:pPr>
              <w:pStyle w:val="BodyText"/>
            </w:pPr>
            <w:r w:rsidRPr="00704719">
              <w:t>Requirement</w:t>
            </w:r>
          </w:p>
        </w:tc>
        <w:tc>
          <w:tcPr>
            <w:tcW w:w="7371" w:type="dxa"/>
            <w:vAlign w:val="center"/>
          </w:tcPr>
          <w:p w14:paraId="0E553E07"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00D47C48" w14:textId="77777777" w:rsidTr="00B45E4E">
        <w:tc>
          <w:tcPr>
            <w:tcW w:w="2268" w:type="dxa"/>
          </w:tcPr>
          <w:p w14:paraId="6A122D11" w14:textId="56E4CD32" w:rsidR="005F2101" w:rsidRPr="003566BD" w:rsidRDefault="00B777F0" w:rsidP="00B45E4E">
            <w:pPr>
              <w:pStyle w:val="BodyText"/>
            </w:pPr>
            <w:r>
              <w:t>Priority management actions</w:t>
            </w:r>
          </w:p>
        </w:tc>
        <w:tc>
          <w:tcPr>
            <w:tcW w:w="7371" w:type="dxa"/>
          </w:tcPr>
          <w:p w14:paraId="5657C95B" w14:textId="77777777" w:rsidR="005F2101" w:rsidRPr="00001691" w:rsidRDefault="005F2101" w:rsidP="00B45E4E">
            <w:pPr>
              <w:pStyle w:val="BodyText"/>
            </w:pPr>
            <w:r w:rsidRPr="00200995">
              <w:t>Not required for this hazard based on the overall risk level of medium</w:t>
            </w:r>
            <w:r>
              <w:t xml:space="preserve"> and because it is a longer-term threat.</w:t>
            </w:r>
          </w:p>
        </w:tc>
      </w:tr>
      <w:tr w:rsidR="005F2101" w:rsidRPr="00867DAA" w14:paraId="4AEB0512" w14:textId="77777777" w:rsidTr="00B45E4E">
        <w:tc>
          <w:tcPr>
            <w:tcW w:w="2268" w:type="dxa"/>
          </w:tcPr>
          <w:p w14:paraId="1E7178F5" w14:textId="7FF27624" w:rsidR="005F2101" w:rsidRPr="00867DAA" w:rsidRDefault="00B777F0" w:rsidP="00B45E4E">
            <w:pPr>
              <w:pStyle w:val="BodyText"/>
            </w:pPr>
            <w:r>
              <w:t>Potential m</w:t>
            </w:r>
            <w:r w:rsidR="005F2101" w:rsidRPr="00867DAA">
              <w:t>anagement actions</w:t>
            </w:r>
          </w:p>
        </w:tc>
        <w:tc>
          <w:tcPr>
            <w:tcW w:w="7371" w:type="dxa"/>
          </w:tcPr>
          <w:p w14:paraId="023A17FD" w14:textId="37CB619B" w:rsidR="005F2101" w:rsidRDefault="005F2101" w:rsidP="006670D2">
            <w:pPr>
              <w:pStyle w:val="PullOutBoxBullet"/>
            </w:pPr>
            <w:r w:rsidRPr="00B82AD1">
              <w:t xml:space="preserve">Mitigations recommended are linked to bushfire mitigations with the aim to limit bushfire incursion into peat sites and/or avoid bushfire suppression negatively impacting the </w:t>
            </w:r>
            <w:r w:rsidR="004E428D">
              <w:t>sub</w:t>
            </w:r>
            <w:r w:rsidRPr="00B82AD1">
              <w:t>species</w:t>
            </w:r>
            <w:r>
              <w:t xml:space="preserve">; and </w:t>
            </w:r>
          </w:p>
          <w:p w14:paraId="09B6F53E" w14:textId="19C2B4A2" w:rsidR="005F2101" w:rsidRPr="00001691" w:rsidRDefault="00C67525" w:rsidP="006670D2">
            <w:pPr>
              <w:pStyle w:val="PullOutBoxBullet"/>
            </w:pPr>
            <w:r>
              <w:t>E</w:t>
            </w:r>
            <w:r w:rsidR="005F2101" w:rsidRPr="00B82AD1">
              <w:t>nsure</w:t>
            </w:r>
            <w:r w:rsidR="005F2101">
              <w:t xml:space="preserve"> the </w:t>
            </w:r>
            <w:r w:rsidR="004E428D">
              <w:t>sub</w:t>
            </w:r>
            <w:r w:rsidR="001D3902">
              <w:t>species’</w:t>
            </w:r>
            <w:r w:rsidR="005F2101" w:rsidRPr="00B82AD1">
              <w:t xml:space="preserve"> habitat is considered in incident management. </w:t>
            </w:r>
          </w:p>
        </w:tc>
      </w:tr>
    </w:tbl>
    <w:p w14:paraId="352E6131" w14:textId="77777777" w:rsidR="005F2101" w:rsidRDefault="005F2101" w:rsidP="007E5EBF">
      <w:pPr>
        <w:pStyle w:val="Heading3"/>
        <w:jc w:val="both"/>
      </w:pPr>
      <w:r>
        <w:t>Fire</w:t>
      </w:r>
    </w:p>
    <w:p w14:paraId="4F53614D" w14:textId="77777777" w:rsidR="005F2101" w:rsidRDefault="005F2101" w:rsidP="007E5EBF">
      <w:pPr>
        <w:pStyle w:val="Heading5"/>
      </w:pPr>
      <w:r>
        <w:t>Planned burning</w:t>
      </w:r>
    </w:p>
    <w:p w14:paraId="4CC8B245" w14:textId="608479D0" w:rsidR="005F2101" w:rsidRDefault="005F2101" w:rsidP="005F2101">
      <w:pPr>
        <w:pStyle w:val="BodyText"/>
      </w:pPr>
      <w:r>
        <w:t xml:space="preserve">If swampy patches where this plant occurs are subjected to an appropriate fire consistent with its tolerable fire interval or a soil disturbance event, the </w:t>
      </w:r>
      <w:r w:rsidR="004E428D">
        <w:t>sub</w:t>
      </w:r>
      <w:r w:rsidR="001D3902">
        <w:t>species</w:t>
      </w:r>
      <w:r>
        <w:t xml:space="preserve"> will germinate. However, it may not adequately recruit and replenish the soil seedbank if the site is drier</w:t>
      </w:r>
      <w:r w:rsidRPr="00C904E8">
        <w:t xml:space="preserve"> </w:t>
      </w:r>
      <w:r>
        <w:t>where planned burning does occur, and v</w:t>
      </w:r>
      <w:r w:rsidRPr="00C216F3">
        <w:t xml:space="preserve">ery frequent fire </w:t>
      </w:r>
      <w:r>
        <w:t>is a</w:t>
      </w:r>
      <w:r w:rsidRPr="00C216F3">
        <w:t xml:space="preserve"> threat to adequate seed set and replenishment of soil seedbanks for this </w:t>
      </w:r>
      <w:r w:rsidR="004E428D">
        <w:t>sub</w:t>
      </w:r>
      <w:r w:rsidR="001D3902">
        <w:t>species</w:t>
      </w:r>
      <w:r w:rsidRPr="00C216F3">
        <w:t>.</w:t>
      </w:r>
      <w:r>
        <w:t xml:space="preserve"> </w:t>
      </w:r>
      <w:r w:rsidRPr="00C216F3">
        <w:t xml:space="preserve">The habitat can be somewhat peaty, and a peat fire could </w:t>
      </w:r>
      <w:r>
        <w:t xml:space="preserve">also </w:t>
      </w:r>
      <w:r w:rsidRPr="00C216F3">
        <w:t>seriously damage the habitat and the soil seedbank</w:t>
      </w:r>
      <w:r w:rsidR="00472C00">
        <w:t xml:space="preserve"> of this </w:t>
      </w:r>
      <w:r w:rsidR="004E428D">
        <w:t>sub</w:t>
      </w:r>
      <w:r w:rsidR="00472C00">
        <w:t>species</w:t>
      </w:r>
      <w:r>
        <w:t xml:space="preserve">. This hazard could impact up to 100% of the </w:t>
      </w:r>
      <w:r w:rsidR="004E428D">
        <w:t>sub</w:t>
      </w:r>
      <w:r w:rsidR="001D3902">
        <w:t>species’</w:t>
      </w:r>
      <w:r>
        <w:t xml:space="preserve"> distribution as it is within very fire prone habitat (dense, wet heathy woodland), and can cause recruitment failure and direct mortality</w:t>
      </w:r>
      <w:r w:rsidR="00AB0B0B">
        <w:t xml:space="preserve"> of this </w:t>
      </w:r>
      <w:r w:rsidR="004E428D">
        <w:t>sub</w:t>
      </w:r>
      <w:r w:rsidR="001D3902">
        <w:t>species</w:t>
      </w:r>
      <w:r>
        <w:t>. Planned burning interacts with climate change and drought, because if a dry period follows a fire, this may compromise recruitment</w:t>
      </w:r>
      <w:r w:rsidR="00AB0B0B">
        <w:t xml:space="preserve"> of this </w:t>
      </w:r>
      <w:r w:rsidR="004E428D">
        <w:t>sub</w:t>
      </w:r>
      <w:r w:rsidR="00AB0B0B">
        <w:t>species</w:t>
      </w:r>
      <w:r w:rsidDel="00AB0B0B">
        <w:t>.</w:t>
      </w:r>
      <w:r w:rsidRPr="00C904E8">
        <w:t xml:space="preserve"> </w:t>
      </w:r>
    </w:p>
    <w:p w14:paraId="4A6BDF1A" w14:textId="77777777" w:rsidR="005F2101" w:rsidRDefault="005F2101" w:rsidP="005F2101">
      <w:pPr>
        <w:pStyle w:val="BodyText"/>
      </w:pPr>
      <w:r>
        <w:t>Current controls for this hazard include:</w:t>
      </w:r>
    </w:p>
    <w:p w14:paraId="275AC0B6" w14:textId="77777777" w:rsidR="005F2101" w:rsidRPr="00EA4170" w:rsidRDefault="005F2101" w:rsidP="006670D2">
      <w:pPr>
        <w:pStyle w:val="PullOutBoxBullet"/>
      </w:pPr>
      <w:r w:rsidRPr="00094095">
        <w:t>Values Checking, regionally established mitigation protocols</w:t>
      </w:r>
      <w:r>
        <w:t xml:space="preserve">. This has been evaluated as satisfactory as they appear </w:t>
      </w:r>
      <w:r w:rsidRPr="00EA4170">
        <w:t>to be applied consistently</w:t>
      </w:r>
      <w:r>
        <w:t>.</w:t>
      </w:r>
    </w:p>
    <w:p w14:paraId="5F9FDEE8" w14:textId="0C9F0FBC" w:rsidR="005F2101" w:rsidRPr="00EA4170" w:rsidRDefault="005F2101" w:rsidP="006670D2">
      <w:pPr>
        <w:pStyle w:val="PullOutBoxBullet"/>
      </w:pPr>
      <w:r w:rsidRPr="00EA4170">
        <w:t>RGB seedbank</w:t>
      </w:r>
      <w:r>
        <w:t xml:space="preserve"> collection. This has been evaluated as satisfactory, however u</w:t>
      </w:r>
      <w:r w:rsidRPr="00EA4170">
        <w:t>nknown germination requirements</w:t>
      </w:r>
      <w:r>
        <w:t xml:space="preserve"> of the </w:t>
      </w:r>
      <w:r w:rsidR="004E428D">
        <w:t>sub</w:t>
      </w:r>
      <w:r w:rsidR="001D3902">
        <w:t>species</w:t>
      </w:r>
      <w:r w:rsidRPr="00EA4170">
        <w:t xml:space="preserve"> limit the confidence in this control</w:t>
      </w:r>
      <w:r>
        <w:t>.</w:t>
      </w:r>
    </w:p>
    <w:p w14:paraId="13374D7D" w14:textId="2A4CD38F" w:rsidR="005F2101" w:rsidRPr="00FF310C" w:rsidRDefault="005F2101" w:rsidP="006670D2">
      <w:pPr>
        <w:pStyle w:val="Caption"/>
      </w:pPr>
      <w:r w:rsidRPr="00FF310C">
        <w:t xml:space="preserve">Table </w:t>
      </w:r>
      <w:r w:rsidR="000B6788" w:rsidRPr="00D350A7">
        <w:rPr>
          <w:bCs/>
        </w:rPr>
        <w:fldChar w:fldCharType="begin"/>
      </w:r>
      <w:r w:rsidR="000B6788" w:rsidRPr="00FF310C">
        <w:instrText xml:space="preserve"> SEQ Table \* ARABIC </w:instrText>
      </w:r>
      <w:r w:rsidR="000B6788" w:rsidRPr="00D350A7">
        <w:rPr>
          <w:bCs/>
        </w:rPr>
        <w:fldChar w:fldCharType="separate"/>
      </w:r>
      <w:r w:rsidR="00692F0D">
        <w:rPr>
          <w:noProof/>
        </w:rPr>
        <w:t>222</w:t>
      </w:r>
      <w:r w:rsidR="000B6788" w:rsidRPr="00D350A7">
        <w:rPr>
          <w:bCs/>
          <w:noProof/>
        </w:rPr>
        <w:fldChar w:fldCharType="end"/>
      </w:r>
      <w:r w:rsidRPr="00FF310C">
        <w:t>. Small-leaf Star-hair protection requirements and recommendations for planned burning</w:t>
      </w:r>
    </w:p>
    <w:tbl>
      <w:tblPr>
        <w:tblStyle w:val="TableGrid"/>
        <w:tblW w:w="0" w:type="auto"/>
        <w:tblLook w:val="04A0" w:firstRow="1" w:lastRow="0" w:firstColumn="1" w:lastColumn="0" w:noHBand="0" w:noVBand="1"/>
      </w:tblPr>
      <w:tblGrid>
        <w:gridCol w:w="2268"/>
        <w:gridCol w:w="7371"/>
      </w:tblGrid>
      <w:tr w:rsidR="005F2101" w:rsidRPr="00867DAA" w14:paraId="1949F18E"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4BA47AC4" w14:textId="77777777" w:rsidR="005F2101" w:rsidRPr="00704719" w:rsidRDefault="005F2101" w:rsidP="00296E0F">
            <w:pPr>
              <w:pStyle w:val="BodyText"/>
            </w:pPr>
            <w:r w:rsidRPr="00704719">
              <w:t>Requirement</w:t>
            </w:r>
          </w:p>
        </w:tc>
        <w:tc>
          <w:tcPr>
            <w:tcW w:w="7371" w:type="dxa"/>
            <w:vAlign w:val="center"/>
          </w:tcPr>
          <w:p w14:paraId="0006A08D"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26DA92FE" w14:textId="77777777" w:rsidTr="00B45E4E">
        <w:tc>
          <w:tcPr>
            <w:tcW w:w="2268" w:type="dxa"/>
          </w:tcPr>
          <w:p w14:paraId="44C48E22" w14:textId="5126FBA9" w:rsidR="005F2101" w:rsidRPr="003566BD" w:rsidRDefault="00B777F0" w:rsidP="00B45E4E">
            <w:pPr>
              <w:pStyle w:val="BodyText"/>
            </w:pPr>
            <w:r>
              <w:t>Priority management actions</w:t>
            </w:r>
          </w:p>
        </w:tc>
        <w:tc>
          <w:tcPr>
            <w:tcW w:w="7371" w:type="dxa"/>
          </w:tcPr>
          <w:p w14:paraId="438D82AA" w14:textId="77777777" w:rsidR="005F2101" w:rsidRPr="00001691" w:rsidRDefault="005F2101" w:rsidP="00B45E4E">
            <w:pPr>
              <w:pStyle w:val="BodyText"/>
            </w:pPr>
            <w:r w:rsidRPr="00200995">
              <w:t xml:space="preserve">Not required for this hazard </w:t>
            </w:r>
            <w:r>
              <w:t>if the current arrangements are maintained.</w:t>
            </w:r>
          </w:p>
        </w:tc>
      </w:tr>
      <w:tr w:rsidR="005F2101" w:rsidRPr="00867DAA" w14:paraId="248A3776" w14:textId="77777777" w:rsidTr="00B45E4E">
        <w:tc>
          <w:tcPr>
            <w:tcW w:w="2268" w:type="dxa"/>
          </w:tcPr>
          <w:p w14:paraId="7C970A2C" w14:textId="7F738403" w:rsidR="005F2101" w:rsidRPr="00867DAA" w:rsidRDefault="00B777F0" w:rsidP="00B45E4E">
            <w:pPr>
              <w:pStyle w:val="BodyText"/>
            </w:pPr>
            <w:r>
              <w:t>Potential m</w:t>
            </w:r>
            <w:r w:rsidR="005F2101" w:rsidRPr="00867DAA">
              <w:t>anagement actions</w:t>
            </w:r>
          </w:p>
        </w:tc>
        <w:tc>
          <w:tcPr>
            <w:tcW w:w="7371" w:type="dxa"/>
          </w:tcPr>
          <w:p w14:paraId="496E38EA" w14:textId="341ACC21" w:rsidR="005F2101" w:rsidRPr="00001691" w:rsidRDefault="005F2101" w:rsidP="006670D2">
            <w:pPr>
              <w:pStyle w:val="PullOutBoxBullet"/>
            </w:pPr>
            <w:r>
              <w:t xml:space="preserve">Undertake research into germination requirements of the </w:t>
            </w:r>
            <w:r w:rsidR="004E428D">
              <w:t>sub</w:t>
            </w:r>
            <w:r w:rsidR="001D3902">
              <w:t>species</w:t>
            </w:r>
            <w:r>
              <w:t>.</w:t>
            </w:r>
            <w:r w:rsidRPr="00B82AD1">
              <w:t xml:space="preserve"> </w:t>
            </w:r>
          </w:p>
        </w:tc>
      </w:tr>
    </w:tbl>
    <w:p w14:paraId="657E6429" w14:textId="77777777" w:rsidR="005F2101" w:rsidRDefault="005F2101" w:rsidP="007E5EBF">
      <w:pPr>
        <w:pStyle w:val="Heading3"/>
        <w:jc w:val="both"/>
      </w:pPr>
      <w:r>
        <w:t>Forestry operations</w:t>
      </w:r>
    </w:p>
    <w:p w14:paraId="3CD55EDF" w14:textId="77777777" w:rsidR="005F2101" w:rsidRDefault="005F2101" w:rsidP="007E5EBF">
      <w:pPr>
        <w:pStyle w:val="Heading5"/>
      </w:pPr>
      <w:r>
        <w:t>Plantations</w:t>
      </w:r>
    </w:p>
    <w:p w14:paraId="60A57304" w14:textId="7006699C" w:rsidR="005F2101" w:rsidRDefault="005F2101" w:rsidP="005F2101">
      <w:pPr>
        <w:pStyle w:val="BodyText"/>
      </w:pPr>
      <w:r>
        <w:t xml:space="preserve">Some of the known populations of this </w:t>
      </w:r>
      <w:r w:rsidR="004E428D">
        <w:t>sub</w:t>
      </w:r>
      <w:r w:rsidR="001D3902">
        <w:t>species</w:t>
      </w:r>
      <w:r>
        <w:t xml:space="preserve"> occur in Radiata Pine (</w:t>
      </w:r>
      <w:r>
        <w:rPr>
          <w:i/>
          <w:iCs/>
        </w:rPr>
        <w:t>Pinus radiata</w:t>
      </w:r>
      <w:r w:rsidRPr="00B0619C">
        <w:t>)</w:t>
      </w:r>
      <w:r>
        <w:t xml:space="preserve"> plantations on sandy soils, and other locations occur in swampy sites in the vicinity to plantations. Some 29% of important populations and 60% of modelled habitat are subject to plantations, which may impact the </w:t>
      </w:r>
      <w:r w:rsidR="004E428D">
        <w:t>sub</w:t>
      </w:r>
      <w:r w:rsidR="001D3902">
        <w:t>species</w:t>
      </w:r>
      <w:r>
        <w:t xml:space="preserve"> through hydrological changes. The swampy habitat of the </w:t>
      </w:r>
      <w:r w:rsidR="004E428D">
        <w:t>sub</w:t>
      </w:r>
      <w:r w:rsidR="001D3902">
        <w:t>species</w:t>
      </w:r>
      <w:r>
        <w:t xml:space="preserve"> is likely to be drier now because of actively growing plantations immediately adjacent</w:t>
      </w:r>
      <w:r w:rsidR="00925E59">
        <w:t>,</w:t>
      </w:r>
      <w:r>
        <w:t xml:space="preserve"> and there is potential for mechanical during plantation management</w:t>
      </w:r>
      <w:r w:rsidR="00925E59">
        <w:t>. H</w:t>
      </w:r>
      <w:r>
        <w:t>owever</w:t>
      </w:r>
      <w:r w:rsidR="00925E59">
        <w:t>,</w:t>
      </w:r>
      <w:r>
        <w:t xml:space="preserve"> the sites are well documented and plantation managers generally have good prescriptions in place. Conversely, the </w:t>
      </w:r>
      <w:r w:rsidR="004E428D">
        <w:t>sub</w:t>
      </w:r>
      <w:r w:rsidR="001D3902">
        <w:t>species</w:t>
      </w:r>
      <w:r>
        <w:t xml:space="preserve"> needs a degree of soil disturbance to recruit and is present primarily in the soil seedbank for much of its lifecycle. If swampy patches where this plant occurs are subjected to an appropriate fire or soil disturbance event, the </w:t>
      </w:r>
      <w:r w:rsidR="004E428D">
        <w:t>sub</w:t>
      </w:r>
      <w:r w:rsidR="001D3902">
        <w:t>species</w:t>
      </w:r>
      <w:r>
        <w:t xml:space="preserve"> will germinate, however it may not adequately recruit and replenish the soil seedbank if the site is drier through the growing plantations. Plantation managers tend to exclude fire from plantations which would limit recruitment of the </w:t>
      </w:r>
      <w:r w:rsidR="004E428D">
        <w:t>sub</w:t>
      </w:r>
      <w:r w:rsidR="001D3902">
        <w:t>species</w:t>
      </w:r>
      <w:r>
        <w:t>,</w:t>
      </w:r>
      <w:r w:rsidR="009C0856">
        <w:t xml:space="preserve"> but</w:t>
      </w:r>
      <w:r>
        <w:t xml:space="preserve"> if fire occurs at a frequency consistent with its tolerable fire interval, it is likely to benefit the </w:t>
      </w:r>
      <w:r w:rsidR="004E428D">
        <w:t>sub</w:t>
      </w:r>
      <w:r w:rsidR="001D3902">
        <w:t>species</w:t>
      </w:r>
      <w:r>
        <w:t>.</w:t>
      </w:r>
    </w:p>
    <w:p w14:paraId="463A50C5" w14:textId="77777777" w:rsidR="005F2101" w:rsidRDefault="005F2101" w:rsidP="005F2101">
      <w:pPr>
        <w:pStyle w:val="BodyText"/>
      </w:pPr>
      <w:r>
        <w:t>Current controls for this hazard include:</w:t>
      </w:r>
    </w:p>
    <w:p w14:paraId="46397A1F" w14:textId="38010EDE" w:rsidR="005F2101" w:rsidRDefault="005F2101" w:rsidP="006670D2">
      <w:pPr>
        <w:pStyle w:val="PullOutBoxBullet"/>
      </w:pPr>
      <w:r w:rsidRPr="003566BD">
        <w:t xml:space="preserve">The </w:t>
      </w:r>
      <w:r w:rsidRPr="00B9079C">
        <w:rPr>
          <w:i/>
        </w:rPr>
        <w:t>Code of Practice for Timber Production 2014.</w:t>
      </w:r>
      <w:r>
        <w:t xml:space="preserve"> This control was evaluated as poor because </w:t>
      </w:r>
      <w:r w:rsidR="008C5D0D">
        <w:t>there is no specie</w:t>
      </w:r>
      <w:r w:rsidR="00A75BCE">
        <w:t>s</w:t>
      </w:r>
      <w:r w:rsidR="00F96DDC">
        <w:t>-specific</w:t>
      </w:r>
      <w:r w:rsidR="008C5D0D">
        <w:t xml:space="preserve"> prescription in the Code, and as </w:t>
      </w:r>
      <w:r>
        <w:t xml:space="preserve">the </w:t>
      </w:r>
      <w:r w:rsidR="004E428D">
        <w:t>sub</w:t>
      </w:r>
      <w:r w:rsidR="001D3902">
        <w:t>species</w:t>
      </w:r>
      <w:r>
        <w:t xml:space="preserve"> </w:t>
      </w:r>
      <w:r w:rsidRPr="005F19FC">
        <w:t>occurs</w:t>
      </w:r>
      <w:r>
        <w:t xml:space="preserve"> in heathy swamps</w:t>
      </w:r>
      <w:r w:rsidR="00A75BCE">
        <w:t>,</w:t>
      </w:r>
      <w:r>
        <w:t xml:space="preserve"> waterway protections in the Code do not benefit it.</w:t>
      </w:r>
    </w:p>
    <w:p w14:paraId="260EC7F6" w14:textId="7DA68CEC" w:rsidR="005F2101" w:rsidRPr="00C10F95" w:rsidRDefault="005F2101" w:rsidP="006670D2">
      <w:pPr>
        <w:pStyle w:val="PullOutBoxBullet"/>
      </w:pPr>
      <w:r w:rsidRPr="4F453272">
        <w:t xml:space="preserve">The CAR reserve system. </w:t>
      </w:r>
      <w:r w:rsidR="003809EB" w:rsidRPr="00C10F95">
        <w:t xml:space="preserve">The effectiveness of this control for this </w:t>
      </w:r>
      <w:r w:rsidR="004E428D" w:rsidRPr="00C10F95">
        <w:t>sub</w:t>
      </w:r>
      <w:r w:rsidR="003809EB" w:rsidRPr="00C10F95">
        <w:t>species has been evaluated</w:t>
      </w:r>
      <w:r w:rsidR="003809EB">
        <w:t xml:space="preserve"> as </w:t>
      </w:r>
      <w:r>
        <w:t>poor as 24%</w:t>
      </w:r>
      <w:r w:rsidRPr="4F453272">
        <w:t xml:space="preserve"> of the </w:t>
      </w:r>
      <w:r w:rsidR="004E428D">
        <w:t>sub</w:t>
      </w:r>
      <w:r w:rsidR="001D3902">
        <w:t>species’</w:t>
      </w:r>
      <w:r w:rsidRPr="4F453272">
        <w:t xml:space="preserve"> modelled distribution and</w:t>
      </w:r>
      <w:r>
        <w:t xml:space="preserve"> 51</w:t>
      </w:r>
      <w:r w:rsidRPr="4F453272">
        <w:t>% of important populations are within the reserve system.</w:t>
      </w:r>
    </w:p>
    <w:p w14:paraId="2019F3E6" w14:textId="2590C673" w:rsidR="005F2101" w:rsidRDefault="005F2101" w:rsidP="006670D2">
      <w:pPr>
        <w:pStyle w:val="PullOutBoxBullet"/>
      </w:pPr>
      <w:r>
        <w:t xml:space="preserve">Local plantation management guidelines. This control was rated as good as both the Catchment Management Authorities and DELWP have developed prescriptions in partnership with the plantation managers to protect and manage the </w:t>
      </w:r>
      <w:r w:rsidR="004E428D">
        <w:t>sub</w:t>
      </w:r>
      <w:r w:rsidR="001D3902">
        <w:t>species</w:t>
      </w:r>
      <w:r>
        <w:t>, which are consistently applied by the relevant land managers.</w:t>
      </w:r>
    </w:p>
    <w:p w14:paraId="1EAE75A1" w14:textId="59DEE20F" w:rsidR="005F2101" w:rsidRPr="00FF310C" w:rsidRDefault="005F2101" w:rsidP="006670D2">
      <w:pPr>
        <w:pStyle w:val="Caption"/>
      </w:pPr>
      <w:r w:rsidRPr="00FF310C">
        <w:t xml:space="preserve">Table </w:t>
      </w:r>
      <w:r w:rsidR="000B6788" w:rsidRPr="00D350A7">
        <w:rPr>
          <w:bCs/>
        </w:rPr>
        <w:fldChar w:fldCharType="begin"/>
      </w:r>
      <w:r w:rsidR="000B6788" w:rsidRPr="00FF310C">
        <w:instrText xml:space="preserve"> SEQ Table \* ARABIC </w:instrText>
      </w:r>
      <w:r w:rsidR="000B6788" w:rsidRPr="00D350A7">
        <w:rPr>
          <w:bCs/>
        </w:rPr>
        <w:fldChar w:fldCharType="separate"/>
      </w:r>
      <w:r w:rsidR="00692F0D">
        <w:rPr>
          <w:noProof/>
        </w:rPr>
        <w:t>223</w:t>
      </w:r>
      <w:r w:rsidR="000B6788" w:rsidRPr="00D350A7">
        <w:rPr>
          <w:bCs/>
          <w:noProof/>
        </w:rPr>
        <w:fldChar w:fldCharType="end"/>
      </w:r>
      <w:r w:rsidRPr="00FF310C">
        <w:t>. Small-leaf Star-hair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5F2101" w:rsidRPr="00867DAA" w14:paraId="3392BF7E" w14:textId="77777777" w:rsidTr="60664A41">
        <w:trPr>
          <w:cnfStyle w:val="100000000000" w:firstRow="1" w:lastRow="0" w:firstColumn="0" w:lastColumn="0" w:oddVBand="0" w:evenVBand="0" w:oddHBand="0" w:evenHBand="0" w:firstRowFirstColumn="0" w:firstRowLastColumn="0" w:lastRowFirstColumn="0" w:lastRowLastColumn="0"/>
          <w:trHeight w:val="363"/>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25E3685F" w14:textId="77777777" w:rsidR="005F2101" w:rsidRPr="00704719" w:rsidRDefault="005F2101" w:rsidP="00296E0F">
            <w:pPr>
              <w:pStyle w:val="BodyText"/>
            </w:pPr>
            <w:r w:rsidRPr="00704719">
              <w:t>Requirement</w:t>
            </w:r>
          </w:p>
        </w:tc>
        <w:tc>
          <w:tcPr>
            <w:tcW w:w="7371" w:type="dxa"/>
            <w:vAlign w:val="center"/>
          </w:tcPr>
          <w:p w14:paraId="2027D7E9"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198EB272" w14:textId="77777777" w:rsidTr="60664A41">
        <w:tc>
          <w:tcPr>
            <w:tcW w:w="2268" w:type="dxa"/>
          </w:tcPr>
          <w:p w14:paraId="1FC900F1" w14:textId="5ABD2485" w:rsidR="005F2101" w:rsidRPr="003566BD" w:rsidRDefault="005F2101" w:rsidP="00B45E4E">
            <w:pPr>
              <w:pStyle w:val="BodyText"/>
            </w:pPr>
            <w:r w:rsidRPr="003566BD">
              <w:t>Interim protections</w:t>
            </w:r>
          </w:p>
        </w:tc>
        <w:tc>
          <w:tcPr>
            <w:tcW w:w="7371" w:type="dxa"/>
          </w:tcPr>
          <w:p w14:paraId="7D35F1EB" w14:textId="64D7E9AC" w:rsidR="005F2101" w:rsidRPr="00001691" w:rsidRDefault="005F2101" w:rsidP="00B45E4E">
            <w:pPr>
              <w:pStyle w:val="BodyText"/>
            </w:pPr>
            <w:r w:rsidRPr="00154190">
              <w:t>Not required for this hazard</w:t>
            </w:r>
            <w:r w:rsidR="00C67525">
              <w:t>.</w:t>
            </w:r>
          </w:p>
        </w:tc>
      </w:tr>
      <w:tr w:rsidR="008971B7" w:rsidRPr="00867DAA" w14:paraId="590025B9" w14:textId="77777777" w:rsidTr="60664A41">
        <w:tc>
          <w:tcPr>
            <w:tcW w:w="2268" w:type="dxa"/>
          </w:tcPr>
          <w:p w14:paraId="29D3F128" w14:textId="75B4040B" w:rsidR="008971B7" w:rsidRPr="003566BD" w:rsidRDefault="008971B7" w:rsidP="00B45E4E">
            <w:pPr>
              <w:pStyle w:val="BodyText"/>
            </w:pPr>
            <w:r>
              <w:t>Priority management actions</w:t>
            </w:r>
          </w:p>
        </w:tc>
        <w:tc>
          <w:tcPr>
            <w:tcW w:w="7371" w:type="dxa"/>
            <w:shd w:val="clear" w:color="auto" w:fill="auto"/>
          </w:tcPr>
          <w:p w14:paraId="42D74F0B" w14:textId="37708F8A" w:rsidR="008971B7" w:rsidRPr="003566BD" w:rsidRDefault="00C67525" w:rsidP="006670D2">
            <w:pPr>
              <w:pStyle w:val="PullOutBoxBullet"/>
            </w:pPr>
            <w:r>
              <w:rPr>
                <w:shd w:val="clear" w:color="auto" w:fill="FFFFFF"/>
              </w:rPr>
              <w:t>Work with plantation managers to identify important populations.</w:t>
            </w:r>
          </w:p>
        </w:tc>
      </w:tr>
      <w:tr w:rsidR="005F2101" w:rsidRPr="00867DAA" w14:paraId="18D5834C" w14:textId="77777777" w:rsidTr="60664A41">
        <w:tc>
          <w:tcPr>
            <w:tcW w:w="2268" w:type="dxa"/>
          </w:tcPr>
          <w:p w14:paraId="12606C73" w14:textId="77777777" w:rsidR="005F2101" w:rsidRPr="003566BD" w:rsidRDefault="005F2101" w:rsidP="00B45E4E">
            <w:pPr>
              <w:pStyle w:val="BodyText"/>
            </w:pPr>
            <w:r w:rsidRPr="003566BD">
              <w:t>Permanent protections</w:t>
            </w:r>
          </w:p>
        </w:tc>
        <w:tc>
          <w:tcPr>
            <w:tcW w:w="7371" w:type="dxa"/>
            <w:shd w:val="clear" w:color="auto" w:fill="auto"/>
          </w:tcPr>
          <w:p w14:paraId="182D31A0" w14:textId="77777777" w:rsidR="005F2101" w:rsidRPr="003566BD" w:rsidRDefault="005F2101" w:rsidP="00B45E4E">
            <w:pPr>
              <w:pStyle w:val="BodyText"/>
            </w:pPr>
            <w:r w:rsidRPr="003566BD">
              <w:t>Additional permanent protections may be required in the longer-term</w:t>
            </w:r>
            <w:r>
              <w:t>.</w:t>
            </w:r>
          </w:p>
        </w:tc>
      </w:tr>
      <w:tr w:rsidR="005F2101" w:rsidRPr="00867DAA" w14:paraId="5DA34821" w14:textId="77777777" w:rsidTr="60664A41">
        <w:tc>
          <w:tcPr>
            <w:tcW w:w="2268" w:type="dxa"/>
          </w:tcPr>
          <w:p w14:paraId="521AA89D" w14:textId="4A2C4985" w:rsidR="005F2101" w:rsidRPr="00867DAA" w:rsidRDefault="00B777F0" w:rsidP="00B45E4E">
            <w:pPr>
              <w:pStyle w:val="BodyText"/>
            </w:pPr>
            <w:r>
              <w:t>Potential m</w:t>
            </w:r>
            <w:r w:rsidR="005F2101" w:rsidRPr="00867DAA">
              <w:t>anagement actions</w:t>
            </w:r>
          </w:p>
        </w:tc>
        <w:tc>
          <w:tcPr>
            <w:tcW w:w="7371" w:type="dxa"/>
          </w:tcPr>
          <w:p w14:paraId="63C37D1A" w14:textId="3F5439A9" w:rsidR="005F2101" w:rsidRPr="00037D36" w:rsidRDefault="005F2101" w:rsidP="006670D2">
            <w:pPr>
              <w:pStyle w:val="PullOutBoxBullet"/>
            </w:pPr>
            <w:r w:rsidRPr="60664A41">
              <w:rPr>
                <w:i/>
                <w:iCs/>
              </w:rPr>
              <w:t>Ex-situ</w:t>
            </w:r>
            <w:r>
              <w:t xml:space="preserve"> seedbanking of the </w:t>
            </w:r>
            <w:r w:rsidR="004E428D">
              <w:t>sub</w:t>
            </w:r>
            <w:r w:rsidR="001D3902">
              <w:t>species</w:t>
            </w:r>
            <w:r w:rsidR="2C79C738">
              <w:t>.</w:t>
            </w:r>
          </w:p>
        </w:tc>
      </w:tr>
    </w:tbl>
    <w:p w14:paraId="5C12F33A" w14:textId="77777777" w:rsidR="005F2101" w:rsidRDefault="005F2101" w:rsidP="005F2101">
      <w:pPr>
        <w:rPr>
          <w:b/>
          <w:bCs/>
          <w:iCs/>
          <w:color w:val="00B2A9" w:themeColor="accent1"/>
          <w:kern w:val="20"/>
          <w:sz w:val="24"/>
          <w:szCs w:val="28"/>
        </w:rPr>
      </w:pPr>
      <w:r>
        <w:br w:type="page"/>
      </w:r>
    </w:p>
    <w:p w14:paraId="5E09DEB8" w14:textId="77777777" w:rsidR="005F2101" w:rsidRPr="00A52C18" w:rsidRDefault="005F2101" w:rsidP="00171F18">
      <w:pPr>
        <w:pStyle w:val="Heading2"/>
        <w:ind w:left="0"/>
        <w:rPr>
          <w:i/>
          <w:iCs/>
        </w:rPr>
      </w:pPr>
      <w:bookmarkStart w:id="815" w:name="_Toc95129491"/>
      <w:bookmarkStart w:id="816" w:name="_Toc113271068"/>
      <w:r w:rsidRPr="00A52C18">
        <w:t xml:space="preserve">Snowdrop Wood-sorrel </w:t>
      </w:r>
      <w:r w:rsidRPr="005F7D8C">
        <w:rPr>
          <w:i/>
          <w:iCs/>
        </w:rPr>
        <w:t>(Oxalis magellanica)</w:t>
      </w:r>
      <w:bookmarkEnd w:id="815"/>
      <w:bookmarkEnd w:id="816"/>
    </w:p>
    <w:p w14:paraId="3BB23334" w14:textId="19432527" w:rsidR="005F2101" w:rsidRDefault="005F2101" w:rsidP="005F2101">
      <w:pPr>
        <w:pStyle w:val="BodyText"/>
      </w:pPr>
      <w:r>
        <w:t xml:space="preserve">The Snowdrop Wood-sorrel was listed as Endangered in Victoria under the FFG Act in May 2021. The </w:t>
      </w:r>
      <w:r w:rsidR="001D3902">
        <w:t>species</w:t>
      </w:r>
      <w:r>
        <w:t xml:space="preserve"> has modelled habitat in the Central Highlands (45% of modelled habitat), West (40% of modelled habitat), East Gippsland (13% of modelled habitat) and Gippsland (2% of modelled habitat) RFA regions.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3E631D1E" w14:textId="77777777" w:rsidR="005F2101" w:rsidRDefault="005F2101" w:rsidP="007E5EBF">
      <w:pPr>
        <w:pStyle w:val="Heading3"/>
      </w:pPr>
      <w:r>
        <w:t>Risk Assessment</w:t>
      </w:r>
    </w:p>
    <w:p w14:paraId="7B60EFD2" w14:textId="5E88E495" w:rsidR="005F2101" w:rsidRPr="00FF310C" w:rsidRDefault="005F2101" w:rsidP="006670D2">
      <w:pPr>
        <w:pStyle w:val="Caption"/>
      </w:pPr>
      <w:r w:rsidRPr="00FF310C">
        <w:t xml:space="preserve">Table </w:t>
      </w:r>
      <w:r w:rsidR="000B6788" w:rsidRPr="00D350A7">
        <w:rPr>
          <w:bCs/>
        </w:rPr>
        <w:fldChar w:fldCharType="begin"/>
      </w:r>
      <w:r w:rsidR="000B6788" w:rsidRPr="00FF310C">
        <w:instrText xml:space="preserve"> SEQ Table \* ARABIC </w:instrText>
      </w:r>
      <w:r w:rsidR="000B6788" w:rsidRPr="00D350A7">
        <w:rPr>
          <w:bCs/>
        </w:rPr>
        <w:fldChar w:fldCharType="separate"/>
      </w:r>
      <w:r w:rsidR="00692F0D">
        <w:rPr>
          <w:noProof/>
        </w:rPr>
        <w:t>224</w:t>
      </w:r>
      <w:r w:rsidR="000B6788" w:rsidRPr="00D350A7">
        <w:rPr>
          <w:bCs/>
          <w:noProof/>
        </w:rPr>
        <w:fldChar w:fldCharType="end"/>
      </w:r>
      <w:r w:rsidRPr="00FF310C">
        <w:t>. Snowdrop Wood-sorrel risk ratings in the Central Highlands and East Gippsland RFA regions</w:t>
      </w:r>
    </w:p>
    <w:tbl>
      <w:tblPr>
        <w:tblStyle w:val="TableGrid"/>
        <w:tblW w:w="6804" w:type="dxa"/>
        <w:tblLook w:val="04A0" w:firstRow="1" w:lastRow="0" w:firstColumn="1" w:lastColumn="0" w:noHBand="0" w:noVBand="1"/>
      </w:tblPr>
      <w:tblGrid>
        <w:gridCol w:w="2268"/>
        <w:gridCol w:w="2268"/>
        <w:gridCol w:w="2268"/>
      </w:tblGrid>
      <w:tr w:rsidR="005F2101" w14:paraId="5E0AA226"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tcPr>
          <w:p w14:paraId="50DD4905" w14:textId="77777777" w:rsidR="005F2101" w:rsidRDefault="005F2101" w:rsidP="006670D2">
            <w:pPr>
              <w:pStyle w:val="CaptionImageorFigure"/>
            </w:pPr>
          </w:p>
        </w:tc>
        <w:tc>
          <w:tcPr>
            <w:tcW w:w="2268" w:type="dxa"/>
            <w:tcBorders>
              <w:top w:val="single" w:sz="8" w:space="0" w:color="CDDC29" w:themeColor="text2"/>
              <w:left w:val="nil"/>
              <w:bottom w:val="single" w:sz="8" w:space="0" w:color="CDDC29" w:themeColor="text2"/>
              <w:right w:val="nil"/>
            </w:tcBorders>
          </w:tcPr>
          <w:p w14:paraId="544716DD"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Altered rainfall patterns</w:t>
            </w:r>
          </w:p>
        </w:tc>
        <w:tc>
          <w:tcPr>
            <w:tcW w:w="2268" w:type="dxa"/>
            <w:tcBorders>
              <w:top w:val="single" w:sz="8" w:space="0" w:color="CDDC29" w:themeColor="text2"/>
              <w:left w:val="nil"/>
              <w:bottom w:val="single" w:sz="8" w:space="0" w:color="CDDC29" w:themeColor="text2"/>
              <w:right w:val="nil"/>
            </w:tcBorders>
            <w:hideMark/>
          </w:tcPr>
          <w:p w14:paraId="4644F227"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r>
      <w:tr w:rsidR="005F2101" w14:paraId="7C877696"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58FB7FCB" w14:textId="77777777" w:rsidR="005F2101" w:rsidRDefault="005F2101" w:rsidP="00DA4CC4">
            <w:pPr>
              <w:pStyle w:val="BodyText"/>
              <w:jc w:val="center"/>
            </w:pPr>
            <w:r>
              <w:t>Consequence</w:t>
            </w:r>
          </w:p>
        </w:tc>
        <w:tc>
          <w:tcPr>
            <w:tcW w:w="2268" w:type="dxa"/>
            <w:tcBorders>
              <w:top w:val="single" w:sz="8" w:space="0" w:color="CDDC29" w:themeColor="text2"/>
              <w:left w:val="nil"/>
              <w:bottom w:val="single" w:sz="8" w:space="0" w:color="CDDC29" w:themeColor="text2"/>
              <w:right w:val="nil"/>
            </w:tcBorders>
          </w:tcPr>
          <w:p w14:paraId="43626F7B" w14:textId="77777777" w:rsidR="005F2101" w:rsidRDefault="005F2101" w:rsidP="00DA4CC4">
            <w:pPr>
              <w:pStyle w:val="BodyText"/>
              <w:jc w:val="center"/>
            </w:pPr>
            <w:r>
              <w:t>Extreme</w:t>
            </w:r>
          </w:p>
        </w:tc>
        <w:tc>
          <w:tcPr>
            <w:tcW w:w="2268" w:type="dxa"/>
            <w:tcBorders>
              <w:top w:val="single" w:sz="8" w:space="0" w:color="CDDC29" w:themeColor="text2"/>
              <w:left w:val="nil"/>
              <w:bottom w:val="single" w:sz="8" w:space="0" w:color="CDDC29" w:themeColor="text2"/>
              <w:right w:val="nil"/>
            </w:tcBorders>
            <w:hideMark/>
          </w:tcPr>
          <w:p w14:paraId="325B8844" w14:textId="77777777" w:rsidR="005F2101" w:rsidRDefault="005F2101" w:rsidP="00DA4CC4">
            <w:pPr>
              <w:pStyle w:val="BodyText"/>
              <w:jc w:val="center"/>
            </w:pPr>
            <w:r>
              <w:t>Minor</w:t>
            </w:r>
          </w:p>
        </w:tc>
      </w:tr>
      <w:tr w:rsidR="005F2101" w14:paraId="4ECF0CF9"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73DD492E" w14:textId="77777777" w:rsidR="005F2101" w:rsidRDefault="005F2101" w:rsidP="00DA4CC4">
            <w:pPr>
              <w:pStyle w:val="BodyText"/>
              <w:jc w:val="center"/>
            </w:pPr>
            <w:r>
              <w:t>Likelihood</w:t>
            </w:r>
          </w:p>
        </w:tc>
        <w:tc>
          <w:tcPr>
            <w:tcW w:w="2268" w:type="dxa"/>
            <w:tcBorders>
              <w:top w:val="single" w:sz="8" w:space="0" w:color="CDDC29" w:themeColor="text2"/>
              <w:left w:val="nil"/>
              <w:bottom w:val="single" w:sz="8" w:space="0" w:color="CDDC29" w:themeColor="text2"/>
              <w:right w:val="nil"/>
            </w:tcBorders>
          </w:tcPr>
          <w:p w14:paraId="0B4D711C" w14:textId="77777777" w:rsidR="005F2101" w:rsidRDefault="005F2101" w:rsidP="00DA4CC4">
            <w:pPr>
              <w:pStyle w:val="BodyText"/>
              <w:jc w:val="center"/>
            </w:pPr>
            <w:r>
              <w:t>Likely</w:t>
            </w:r>
          </w:p>
        </w:tc>
        <w:tc>
          <w:tcPr>
            <w:tcW w:w="2268" w:type="dxa"/>
            <w:tcBorders>
              <w:top w:val="single" w:sz="8" w:space="0" w:color="CDDC29" w:themeColor="text2"/>
              <w:left w:val="nil"/>
              <w:bottom w:val="single" w:sz="8" w:space="0" w:color="CDDC29" w:themeColor="text2"/>
              <w:right w:val="nil"/>
            </w:tcBorders>
            <w:hideMark/>
          </w:tcPr>
          <w:p w14:paraId="34F8FB57" w14:textId="77777777" w:rsidR="005F2101" w:rsidRDefault="005F2101" w:rsidP="00DA4CC4">
            <w:pPr>
              <w:pStyle w:val="BodyText"/>
              <w:jc w:val="center"/>
            </w:pPr>
            <w:r>
              <w:t>Likely</w:t>
            </w:r>
          </w:p>
        </w:tc>
      </w:tr>
      <w:tr w:rsidR="005F2101" w14:paraId="1B30D1D6" w14:textId="77777777" w:rsidTr="00296E0F">
        <w:tc>
          <w:tcPr>
            <w:tcW w:w="2268" w:type="dxa"/>
            <w:tcBorders>
              <w:top w:val="single" w:sz="8" w:space="0" w:color="CDDC29" w:themeColor="text2"/>
              <w:left w:val="nil"/>
              <w:bottom w:val="single" w:sz="8" w:space="0" w:color="CDDC29" w:themeColor="text2"/>
              <w:right w:val="nil"/>
            </w:tcBorders>
            <w:vAlign w:val="center"/>
            <w:hideMark/>
          </w:tcPr>
          <w:p w14:paraId="78319A86" w14:textId="77777777" w:rsidR="005F2101" w:rsidRDefault="005F2101" w:rsidP="00DA4CC4">
            <w:pPr>
              <w:pStyle w:val="BodyText"/>
              <w:jc w:val="center"/>
            </w:pPr>
            <w:r>
              <w:t>Overall risk rating</w:t>
            </w:r>
          </w:p>
        </w:tc>
        <w:tc>
          <w:tcPr>
            <w:tcW w:w="2268" w:type="dxa"/>
            <w:tcBorders>
              <w:top w:val="single" w:sz="8" w:space="0" w:color="CDDC29" w:themeColor="text2"/>
              <w:left w:val="nil"/>
              <w:bottom w:val="single" w:sz="8" w:space="0" w:color="CDDC29" w:themeColor="text2"/>
              <w:right w:val="nil"/>
            </w:tcBorders>
            <w:shd w:val="clear" w:color="auto" w:fill="FF0000"/>
          </w:tcPr>
          <w:p w14:paraId="2202005E" w14:textId="77777777" w:rsidR="005F2101" w:rsidRDefault="005F2101" w:rsidP="00DA4CC4">
            <w:pPr>
              <w:pStyle w:val="BodyText"/>
              <w:jc w:val="center"/>
            </w:pPr>
            <w:r>
              <w:t>High</w:t>
            </w:r>
          </w:p>
        </w:tc>
        <w:tc>
          <w:tcPr>
            <w:tcW w:w="2268" w:type="dxa"/>
            <w:tcBorders>
              <w:top w:val="single" w:sz="8" w:space="0" w:color="CDDC29" w:themeColor="text2"/>
              <w:left w:val="nil"/>
              <w:bottom w:val="single" w:sz="8" w:space="0" w:color="CDDC29" w:themeColor="text2"/>
              <w:right w:val="nil"/>
            </w:tcBorders>
            <w:shd w:val="clear" w:color="auto" w:fill="FFFF00"/>
            <w:hideMark/>
          </w:tcPr>
          <w:p w14:paraId="41D4C906" w14:textId="77777777" w:rsidR="005F2101" w:rsidRDefault="005F2101" w:rsidP="00DA4CC4">
            <w:pPr>
              <w:pStyle w:val="BodyText"/>
              <w:jc w:val="center"/>
            </w:pPr>
            <w:r>
              <w:t>Medium</w:t>
            </w:r>
          </w:p>
        </w:tc>
      </w:tr>
    </w:tbl>
    <w:p w14:paraId="3AEEAC60" w14:textId="77777777" w:rsidR="005F2101" w:rsidRDefault="005F2101" w:rsidP="007E5EBF">
      <w:pPr>
        <w:pStyle w:val="Heading3"/>
        <w:jc w:val="both"/>
      </w:pPr>
      <w:r>
        <w:t>Climate change</w:t>
      </w:r>
    </w:p>
    <w:p w14:paraId="7157AA1A" w14:textId="77777777" w:rsidR="005F2101" w:rsidRDefault="005F2101" w:rsidP="007E5EBF">
      <w:pPr>
        <w:pStyle w:val="Heading5"/>
      </w:pPr>
      <w:r>
        <w:t>Altered rainfall patterns</w:t>
      </w:r>
    </w:p>
    <w:p w14:paraId="4B258F5F" w14:textId="34D21483" w:rsidR="005F2101" w:rsidRDefault="005F2101" w:rsidP="005F2101">
      <w:pPr>
        <w:pStyle w:val="BodyText"/>
      </w:pPr>
      <w:r>
        <w:t xml:space="preserve">The most serious threat to the </w:t>
      </w:r>
      <w:r w:rsidR="001D3902">
        <w:t>species</w:t>
      </w:r>
      <w:r>
        <w:t xml:space="preserve"> is decreased rainfall </w:t>
      </w:r>
      <w:r w:rsidR="00CD4006">
        <w:t>due to</w:t>
      </w:r>
      <w:r>
        <w:t xml:space="preserve"> climate change across </w:t>
      </w:r>
      <w:r w:rsidR="00CD4006">
        <w:t>its</w:t>
      </w:r>
      <w:r>
        <w:t xml:space="preserve"> entire distribution. Longer term decline seems likely due to the impacts of climate change, and potentially habitat degradation due to increased fire frequency and intensity. The effect of altered rainfall patterns is likely to be increased by forestry operations as this opens the forest structure to desiccation, although this impact might be mitigated </w:t>
      </w:r>
      <w:r w:rsidR="00F96DDC">
        <w:t>using</w:t>
      </w:r>
      <w:r w:rsidRPr="005517D2">
        <w:t xml:space="preserve"> </w:t>
      </w:r>
      <w:r>
        <w:t>m</w:t>
      </w:r>
      <w:r w:rsidRPr="00C23B38">
        <w:t xml:space="preserve">odified harvesting and forest regeneration </w:t>
      </w:r>
      <w:r w:rsidR="00C803B7">
        <w:t>practise</w:t>
      </w:r>
      <w:r w:rsidRPr="00C23B38">
        <w:t>s</w:t>
      </w:r>
      <w:r>
        <w:t>.</w:t>
      </w:r>
    </w:p>
    <w:p w14:paraId="7AFA06F3" w14:textId="427D97B0" w:rsidR="005F2101" w:rsidRPr="009773B1" w:rsidRDefault="005F2101" w:rsidP="005F2101">
      <w:pPr>
        <w:pStyle w:val="BodyText"/>
      </w:pPr>
      <w:r w:rsidRPr="00CA4A1D">
        <w:t xml:space="preserve">Current control measures for this hazard are strategic in nature and are not considered effective in managing the risk to this </w:t>
      </w:r>
      <w:r w:rsidR="001D3902">
        <w:t>species</w:t>
      </w:r>
      <w:r w:rsidRPr="00CA4A1D">
        <w:t xml:space="preserve"> at the scale relevant to its conservation at this stage.</w:t>
      </w:r>
    </w:p>
    <w:p w14:paraId="64E99781" w14:textId="1D415CF8" w:rsidR="005F2101" w:rsidRPr="00FF310C" w:rsidRDefault="005F2101" w:rsidP="006670D2">
      <w:pPr>
        <w:pStyle w:val="Caption"/>
      </w:pPr>
      <w:r w:rsidRPr="00FF310C">
        <w:t xml:space="preserve">Table </w:t>
      </w:r>
      <w:r w:rsidR="000B6788" w:rsidRPr="00D350A7">
        <w:rPr>
          <w:bCs/>
        </w:rPr>
        <w:fldChar w:fldCharType="begin"/>
      </w:r>
      <w:r w:rsidR="000B6788" w:rsidRPr="00FF310C">
        <w:instrText xml:space="preserve"> SEQ Table \* ARABIC </w:instrText>
      </w:r>
      <w:r w:rsidR="000B6788" w:rsidRPr="00D350A7">
        <w:rPr>
          <w:bCs/>
        </w:rPr>
        <w:fldChar w:fldCharType="separate"/>
      </w:r>
      <w:r w:rsidR="00692F0D">
        <w:rPr>
          <w:noProof/>
        </w:rPr>
        <w:t>225</w:t>
      </w:r>
      <w:r w:rsidR="000B6788" w:rsidRPr="00D350A7">
        <w:rPr>
          <w:bCs/>
          <w:noProof/>
        </w:rPr>
        <w:fldChar w:fldCharType="end"/>
      </w:r>
      <w:r w:rsidRPr="00FF310C">
        <w:t>. Snowdrop Wood-sorrel protection requirements and recommendations for altered rainfall patterns</w:t>
      </w:r>
    </w:p>
    <w:tbl>
      <w:tblPr>
        <w:tblStyle w:val="TableGrid"/>
        <w:tblW w:w="0" w:type="auto"/>
        <w:tblLook w:val="04A0" w:firstRow="1" w:lastRow="0" w:firstColumn="1" w:lastColumn="0" w:noHBand="0" w:noVBand="1"/>
      </w:tblPr>
      <w:tblGrid>
        <w:gridCol w:w="2268"/>
        <w:gridCol w:w="7371"/>
      </w:tblGrid>
      <w:tr w:rsidR="005F2101" w:rsidRPr="00867DAA" w14:paraId="70EB0F4C"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70661A2F" w14:textId="77777777" w:rsidR="005F2101" w:rsidRPr="00704719" w:rsidRDefault="005F2101" w:rsidP="00296E0F">
            <w:pPr>
              <w:pStyle w:val="BodyText"/>
            </w:pPr>
            <w:r w:rsidRPr="00704719">
              <w:t>Requirement</w:t>
            </w:r>
          </w:p>
        </w:tc>
        <w:tc>
          <w:tcPr>
            <w:tcW w:w="7371" w:type="dxa"/>
            <w:vAlign w:val="center"/>
          </w:tcPr>
          <w:p w14:paraId="1807739D"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65CB0035" w14:textId="77777777" w:rsidTr="00B45E4E">
        <w:tc>
          <w:tcPr>
            <w:tcW w:w="2268" w:type="dxa"/>
          </w:tcPr>
          <w:p w14:paraId="04B6B878" w14:textId="200D4B96" w:rsidR="005F2101" w:rsidRPr="003566BD" w:rsidRDefault="00B777F0" w:rsidP="00B45E4E">
            <w:pPr>
              <w:pStyle w:val="BodyText"/>
            </w:pPr>
            <w:r>
              <w:t>Priority management actions</w:t>
            </w:r>
          </w:p>
        </w:tc>
        <w:tc>
          <w:tcPr>
            <w:tcW w:w="7371" w:type="dxa"/>
          </w:tcPr>
          <w:p w14:paraId="70CF8FC2" w14:textId="77777777" w:rsidR="005F2101" w:rsidRPr="00001691" w:rsidRDefault="005F2101" w:rsidP="00B45E4E">
            <w:pPr>
              <w:pStyle w:val="BodyText"/>
            </w:pPr>
            <w:r w:rsidRPr="00200995">
              <w:t xml:space="preserve">Not required for this hazard </w:t>
            </w:r>
            <w:r>
              <w:t>as it is a longer-term threat.</w:t>
            </w:r>
          </w:p>
        </w:tc>
      </w:tr>
      <w:tr w:rsidR="005F2101" w:rsidRPr="00867DAA" w14:paraId="248BB0C7" w14:textId="77777777" w:rsidTr="00B45E4E">
        <w:tc>
          <w:tcPr>
            <w:tcW w:w="2268" w:type="dxa"/>
          </w:tcPr>
          <w:p w14:paraId="69D82A38" w14:textId="698DAA4D" w:rsidR="005F2101" w:rsidRPr="00867DAA" w:rsidRDefault="00B777F0" w:rsidP="00B45E4E">
            <w:pPr>
              <w:pStyle w:val="BodyText"/>
            </w:pPr>
            <w:r>
              <w:t>Potential m</w:t>
            </w:r>
            <w:r w:rsidR="005F2101" w:rsidRPr="00867DAA">
              <w:t>anagement actions</w:t>
            </w:r>
          </w:p>
        </w:tc>
        <w:tc>
          <w:tcPr>
            <w:tcW w:w="7371" w:type="dxa"/>
          </w:tcPr>
          <w:p w14:paraId="24D899A9" w14:textId="03B0DF14" w:rsidR="005F2101" w:rsidRPr="00001691" w:rsidRDefault="00DA4CC4" w:rsidP="006670D2">
            <w:pPr>
              <w:pStyle w:val="PullOutBoxBullet"/>
            </w:pPr>
            <w:r>
              <w:t>E</w:t>
            </w:r>
            <w:r w:rsidR="005F2101">
              <w:t xml:space="preserve">stablish </w:t>
            </w:r>
            <w:r w:rsidR="005F2101" w:rsidRPr="008B5C16">
              <w:rPr>
                <w:i/>
                <w:iCs/>
              </w:rPr>
              <w:t>ex-situ</w:t>
            </w:r>
            <w:r w:rsidR="005F2101">
              <w:t xml:space="preserve"> propagation to safeguard populations from becoming extinct.</w:t>
            </w:r>
          </w:p>
        </w:tc>
      </w:tr>
    </w:tbl>
    <w:p w14:paraId="1E09879B" w14:textId="77777777" w:rsidR="005F2101" w:rsidRDefault="005F2101" w:rsidP="005F2101"/>
    <w:p w14:paraId="6EA3F975" w14:textId="77777777" w:rsidR="005F2101" w:rsidRDefault="005F2101" w:rsidP="007E5EBF">
      <w:pPr>
        <w:pStyle w:val="Heading3"/>
        <w:jc w:val="both"/>
      </w:pPr>
      <w:r>
        <w:t>Forestry operations</w:t>
      </w:r>
    </w:p>
    <w:p w14:paraId="23A5E788" w14:textId="77777777" w:rsidR="005F2101" w:rsidRDefault="005F2101" w:rsidP="007E5EBF">
      <w:pPr>
        <w:pStyle w:val="Heading5"/>
      </w:pPr>
      <w:r>
        <w:t>Forestry operations</w:t>
      </w:r>
    </w:p>
    <w:p w14:paraId="2EB000C8" w14:textId="25B7BBDE" w:rsidR="005F2101" w:rsidRDefault="005F2101" w:rsidP="005F2101">
      <w:pPr>
        <w:pStyle w:val="BodyText"/>
      </w:pPr>
      <w:r>
        <w:t xml:space="preserve">The </w:t>
      </w:r>
      <w:r w:rsidR="001D3902">
        <w:t>species’</w:t>
      </w:r>
      <w:r>
        <w:t xml:space="preserve"> response to timber harvesting and regeneration </w:t>
      </w:r>
      <w:r w:rsidR="00C803B7">
        <w:t>practise</w:t>
      </w:r>
      <w:r>
        <w:t>s is not documented. However, changes to the vegetation structure and composition due to past forestry operations in the habitat, together with the likely increase in the frequency and intensity of bushfires</w:t>
      </w:r>
      <w:r w:rsidR="00DA3060">
        <w:t>,</w:t>
      </w:r>
      <w:r>
        <w:t xml:space="preserve"> may lead to habitat degradation. In the shorter term, forestry operations could impact the tree and shrub layer, opening the forest </w:t>
      </w:r>
      <w:r w:rsidRPr="00B6162A">
        <w:t>structure to dryin</w:t>
      </w:r>
      <w:r w:rsidR="00D248CE" w:rsidRPr="00D350A7">
        <w:t xml:space="preserve">g. </w:t>
      </w:r>
      <w:r w:rsidR="000D06F8" w:rsidRPr="00FD57DB">
        <w:t>Based on the 2015 net harvest area layer</w:t>
      </w:r>
      <w:r w:rsidR="00963D3B" w:rsidRPr="00FD57DB">
        <w:t>,</w:t>
      </w:r>
      <w:r w:rsidR="000D06F8" w:rsidRPr="00FD57DB">
        <w:t xml:space="preserve"> 2</w:t>
      </w:r>
      <w:r w:rsidR="00963D3B" w:rsidRPr="00FD57DB">
        <w:t>6</w:t>
      </w:r>
      <w:r w:rsidR="000D06F8" w:rsidRPr="00FD57DB">
        <w:t xml:space="preserve">% of the </w:t>
      </w:r>
      <w:r w:rsidR="001D3902">
        <w:t>species’</w:t>
      </w:r>
      <w:r w:rsidR="000D06F8" w:rsidRPr="00FD57DB">
        <w:t xml:space="preserve"> modelled habitat</w:t>
      </w:r>
      <w:r w:rsidR="00963D3B" w:rsidRPr="00FD57DB">
        <w:t xml:space="preserve"> and 10% of VBA points in the Central Highlands RFA</w:t>
      </w:r>
      <w:r w:rsidR="003D5D67">
        <w:t xml:space="preserve"> region</w:t>
      </w:r>
      <w:r w:rsidR="00963D3B" w:rsidRPr="00FD57DB">
        <w:t>, and 22% of modelled habitat and 3% of VBA point in the East Gippsland RFA</w:t>
      </w:r>
      <w:r w:rsidR="003D5D67">
        <w:t xml:space="preserve"> region</w:t>
      </w:r>
      <w:r w:rsidR="00963D3B" w:rsidRPr="00FD57DB">
        <w:t xml:space="preserve"> are in merchantable forest. Using the revised operable area layer this reduces to 12% of the </w:t>
      </w:r>
      <w:r w:rsidR="001D3902">
        <w:t>species’</w:t>
      </w:r>
      <w:r w:rsidR="00963D3B" w:rsidRPr="00FD57DB">
        <w:t xml:space="preserve"> modelled habitat and 9% of VBA points in the Central Highlands RFA</w:t>
      </w:r>
      <w:r w:rsidR="003D5D67">
        <w:t xml:space="preserve"> region</w:t>
      </w:r>
      <w:r w:rsidR="00963D3B" w:rsidRPr="00FD57DB">
        <w:t>, and 7% of modelled habitat with no VBA points in the East Gippsland RFA</w:t>
      </w:r>
      <w:r w:rsidR="003D5D67">
        <w:t xml:space="preserve"> region</w:t>
      </w:r>
      <w:r w:rsidR="00963D3B" w:rsidRPr="00FD57DB">
        <w:t xml:space="preserve">.  </w:t>
      </w:r>
    </w:p>
    <w:p w14:paraId="311AD139" w14:textId="77777777" w:rsidR="005F2101" w:rsidRDefault="005F2101" w:rsidP="005F2101">
      <w:pPr>
        <w:pStyle w:val="BodyText"/>
      </w:pPr>
      <w:r>
        <w:t>Current controls for this hazard include:</w:t>
      </w:r>
    </w:p>
    <w:p w14:paraId="6CD94601" w14:textId="636F4B83" w:rsidR="005F2101" w:rsidRPr="00E35322" w:rsidRDefault="005F2101" w:rsidP="006670D2">
      <w:pPr>
        <w:pStyle w:val="PullOutBoxBullet"/>
      </w:pPr>
      <w:r w:rsidRPr="00E35322">
        <w:t>The</w:t>
      </w:r>
      <w:r w:rsidRPr="006270F1">
        <w:t xml:space="preserve"> </w:t>
      </w:r>
      <w:r w:rsidRPr="00B9079C">
        <w:rPr>
          <w:i/>
        </w:rPr>
        <w:t xml:space="preserve">Code of Practice for Timber Production 2014. </w:t>
      </w:r>
      <w:r w:rsidRPr="006270F1">
        <w:t xml:space="preserve">This </w:t>
      </w:r>
      <w:r>
        <w:t xml:space="preserve">control </w:t>
      </w:r>
      <w:r w:rsidRPr="00E35322">
        <w:t xml:space="preserve">has been evaluated as </w:t>
      </w:r>
      <w:r w:rsidRPr="00C23B38">
        <w:t>poor</w:t>
      </w:r>
      <w:r w:rsidRPr="00E35322">
        <w:t xml:space="preserve"> </w:t>
      </w:r>
      <w:r w:rsidRPr="006270F1">
        <w:t xml:space="preserve">as there </w:t>
      </w:r>
      <w:r w:rsidRPr="00C23B38">
        <w:t>is no</w:t>
      </w:r>
      <w:r w:rsidRPr="00E35322">
        <w:t xml:space="preserve"> </w:t>
      </w:r>
      <w:r w:rsidRPr="006270F1">
        <w:t>species</w:t>
      </w:r>
      <w:r w:rsidRPr="00C23B38">
        <w:t>-</w:t>
      </w:r>
      <w:r w:rsidRPr="006270F1">
        <w:t xml:space="preserve">specific code prescription for the </w:t>
      </w:r>
      <w:r w:rsidR="001D3902">
        <w:t>species</w:t>
      </w:r>
      <w:r w:rsidRPr="006270F1">
        <w:t xml:space="preserve"> </w:t>
      </w:r>
      <w:r w:rsidRPr="00C23B38">
        <w:t>across most of its range; however</w:t>
      </w:r>
      <w:r w:rsidRPr="00E35322">
        <w:t xml:space="preserve">, </w:t>
      </w:r>
      <w:r w:rsidRPr="00C23B38">
        <w:t>general</w:t>
      </w:r>
      <w:r w:rsidRPr="00E35322">
        <w:t xml:space="preserve"> prescriptions for the prot</w:t>
      </w:r>
      <w:r w:rsidRPr="006270F1">
        <w:t>ection and buffering of rainforests also provide protection from forestry operations.</w:t>
      </w:r>
    </w:p>
    <w:p w14:paraId="665F8D72" w14:textId="17DF4607" w:rsidR="005F2101" w:rsidRPr="00C10F95" w:rsidRDefault="005F2101" w:rsidP="006670D2">
      <w:pPr>
        <w:pStyle w:val="PullOutBoxBullet"/>
      </w:pPr>
      <w:r w:rsidRPr="4F453272">
        <w:t xml:space="preserve">The CAR reserve system. </w:t>
      </w:r>
      <w:r w:rsidR="003809EB" w:rsidRPr="00C10F95">
        <w:t>The effectiveness of this control for this species has been evaluated</w:t>
      </w:r>
      <w:r w:rsidR="003809EB">
        <w:t xml:space="preserve"> as </w:t>
      </w:r>
      <w:r>
        <w:t>satisfactory</w:t>
      </w:r>
      <w:r w:rsidRPr="4F453272">
        <w:t xml:space="preserve"> as </w:t>
      </w:r>
      <w:r>
        <w:t>56</w:t>
      </w:r>
      <w:r w:rsidRPr="4F453272">
        <w:t xml:space="preserve">% of the </w:t>
      </w:r>
      <w:r w:rsidR="001D3902">
        <w:t>species’</w:t>
      </w:r>
      <w:r w:rsidRPr="4F453272">
        <w:t xml:space="preserve"> modelled distribution and</w:t>
      </w:r>
      <w:r>
        <w:t xml:space="preserve"> 82</w:t>
      </w:r>
      <w:r w:rsidRPr="4F453272">
        <w:t>% of important populations are within the reserve system.</w:t>
      </w:r>
    </w:p>
    <w:p w14:paraId="7AC23CA1" w14:textId="17ABF740" w:rsidR="005F2101" w:rsidRDefault="005F2101" w:rsidP="006670D2">
      <w:pPr>
        <w:pStyle w:val="PullOutBoxBullet"/>
      </w:pPr>
      <w:r>
        <w:t xml:space="preserve">Modified harvesting and forest regeneration </w:t>
      </w:r>
      <w:r w:rsidR="00C803B7">
        <w:t>practise</w:t>
      </w:r>
      <w:r>
        <w:t>s. These have been evaluated as satisfactory as they have been implemented in native forest and are designed to further mitigate the potential threat from forestry operations to threatened species and their habitats, however their effectiveness has not been demonstrated.</w:t>
      </w:r>
    </w:p>
    <w:p w14:paraId="089CF41D" w14:textId="5E99F992" w:rsidR="005F2101" w:rsidRPr="00FF310C" w:rsidRDefault="005F2101" w:rsidP="006670D2">
      <w:pPr>
        <w:pStyle w:val="Caption"/>
      </w:pPr>
      <w:r w:rsidRPr="00FF310C">
        <w:t xml:space="preserve">Table </w:t>
      </w:r>
      <w:r w:rsidR="000B6788" w:rsidRPr="00D350A7">
        <w:rPr>
          <w:bCs/>
        </w:rPr>
        <w:fldChar w:fldCharType="begin"/>
      </w:r>
      <w:r w:rsidR="000B6788" w:rsidRPr="00FF310C">
        <w:instrText xml:space="preserve"> SEQ Table \* ARABIC </w:instrText>
      </w:r>
      <w:r w:rsidR="000B6788" w:rsidRPr="00D350A7">
        <w:rPr>
          <w:bCs/>
        </w:rPr>
        <w:fldChar w:fldCharType="separate"/>
      </w:r>
      <w:r w:rsidR="00692F0D">
        <w:rPr>
          <w:noProof/>
        </w:rPr>
        <w:t>226</w:t>
      </w:r>
      <w:r w:rsidR="000B6788" w:rsidRPr="00D350A7">
        <w:rPr>
          <w:bCs/>
          <w:noProof/>
        </w:rPr>
        <w:fldChar w:fldCharType="end"/>
      </w:r>
      <w:r w:rsidRPr="00FF310C">
        <w:t>. Snowdrop Wood-sorrel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5F2101" w:rsidRPr="00867DAA" w14:paraId="1F1AFAEA"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084DA753" w14:textId="77777777" w:rsidR="005F2101" w:rsidRPr="00704719" w:rsidRDefault="005F2101" w:rsidP="00296E0F">
            <w:pPr>
              <w:pStyle w:val="BodyText"/>
            </w:pPr>
            <w:r w:rsidRPr="00704719">
              <w:t>Requirement</w:t>
            </w:r>
          </w:p>
        </w:tc>
        <w:tc>
          <w:tcPr>
            <w:tcW w:w="7371" w:type="dxa"/>
            <w:vAlign w:val="center"/>
          </w:tcPr>
          <w:p w14:paraId="2618C3C4"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313DCAA3" w14:textId="77777777" w:rsidTr="00B45E4E">
        <w:tc>
          <w:tcPr>
            <w:tcW w:w="2268" w:type="dxa"/>
          </w:tcPr>
          <w:p w14:paraId="6918AC23" w14:textId="00092C1B" w:rsidR="005F2101" w:rsidRPr="003566BD" w:rsidRDefault="005F2101" w:rsidP="00B45E4E">
            <w:pPr>
              <w:pStyle w:val="BodyText"/>
            </w:pPr>
            <w:r w:rsidRPr="003566BD">
              <w:t>Interim protections</w:t>
            </w:r>
          </w:p>
        </w:tc>
        <w:tc>
          <w:tcPr>
            <w:tcW w:w="7371" w:type="dxa"/>
          </w:tcPr>
          <w:p w14:paraId="72909F57" w14:textId="77777777" w:rsidR="005F2101" w:rsidRPr="00001691" w:rsidRDefault="005F2101" w:rsidP="00B45E4E">
            <w:pPr>
              <w:pStyle w:val="BodyText"/>
            </w:pPr>
            <w:r w:rsidRPr="00200995">
              <w:t>Not required for this hazard based on the overall risk level of medium</w:t>
            </w:r>
            <w:r>
              <w:t>.</w:t>
            </w:r>
          </w:p>
        </w:tc>
      </w:tr>
      <w:tr w:rsidR="008971B7" w:rsidRPr="00867DAA" w14:paraId="4DB2D052" w14:textId="77777777" w:rsidTr="00B45E4E">
        <w:tc>
          <w:tcPr>
            <w:tcW w:w="2268" w:type="dxa"/>
          </w:tcPr>
          <w:p w14:paraId="3D242098" w14:textId="23357BA0" w:rsidR="008971B7" w:rsidRPr="003566BD" w:rsidRDefault="008971B7" w:rsidP="00B45E4E">
            <w:pPr>
              <w:pStyle w:val="BodyText"/>
            </w:pPr>
            <w:r>
              <w:t>Priority management actions</w:t>
            </w:r>
          </w:p>
        </w:tc>
        <w:tc>
          <w:tcPr>
            <w:tcW w:w="7371" w:type="dxa"/>
            <w:shd w:val="clear" w:color="auto" w:fill="auto"/>
          </w:tcPr>
          <w:p w14:paraId="2E033FC9" w14:textId="20A26CEC" w:rsidR="008971B7" w:rsidRPr="003566BD" w:rsidRDefault="008971B7" w:rsidP="00B45E4E">
            <w:pPr>
              <w:pStyle w:val="BodyText"/>
            </w:pPr>
            <w:r w:rsidRPr="00200995">
              <w:t>Not required for this hazard based on the overall risk level of medium</w:t>
            </w:r>
            <w:r>
              <w:t>.</w:t>
            </w:r>
          </w:p>
        </w:tc>
      </w:tr>
      <w:tr w:rsidR="005F2101" w:rsidRPr="00867DAA" w14:paraId="13E8B18C" w14:textId="77777777" w:rsidTr="00B45E4E">
        <w:tc>
          <w:tcPr>
            <w:tcW w:w="2268" w:type="dxa"/>
          </w:tcPr>
          <w:p w14:paraId="2A9396C6" w14:textId="77777777" w:rsidR="005F2101" w:rsidRPr="003566BD" w:rsidRDefault="005F2101" w:rsidP="00B45E4E">
            <w:pPr>
              <w:pStyle w:val="BodyText"/>
            </w:pPr>
            <w:r w:rsidRPr="003566BD">
              <w:t>Permanent protections</w:t>
            </w:r>
          </w:p>
        </w:tc>
        <w:tc>
          <w:tcPr>
            <w:tcW w:w="7371" w:type="dxa"/>
            <w:shd w:val="clear" w:color="auto" w:fill="auto"/>
          </w:tcPr>
          <w:p w14:paraId="7B0BEF4F" w14:textId="77777777" w:rsidR="005F2101" w:rsidRPr="003566BD" w:rsidRDefault="005F2101" w:rsidP="00B45E4E">
            <w:pPr>
              <w:pStyle w:val="BodyText"/>
            </w:pPr>
            <w:r w:rsidRPr="003566BD">
              <w:t>Additional permanent protections may be required in the longer-term</w:t>
            </w:r>
            <w:r>
              <w:t>.</w:t>
            </w:r>
          </w:p>
        </w:tc>
      </w:tr>
      <w:tr w:rsidR="005F2101" w:rsidRPr="00867DAA" w14:paraId="1A8863B0" w14:textId="77777777" w:rsidTr="00B45E4E">
        <w:tc>
          <w:tcPr>
            <w:tcW w:w="2268" w:type="dxa"/>
          </w:tcPr>
          <w:p w14:paraId="60F00779" w14:textId="4443966A" w:rsidR="005F2101" w:rsidRPr="00867DAA" w:rsidRDefault="00B777F0" w:rsidP="00B45E4E">
            <w:pPr>
              <w:pStyle w:val="BodyText"/>
            </w:pPr>
            <w:r>
              <w:t>Potential m</w:t>
            </w:r>
            <w:r w:rsidR="005F2101" w:rsidRPr="00867DAA">
              <w:t>anagement actions</w:t>
            </w:r>
          </w:p>
        </w:tc>
        <w:tc>
          <w:tcPr>
            <w:tcW w:w="7371" w:type="dxa"/>
          </w:tcPr>
          <w:p w14:paraId="735B8EF6" w14:textId="4B87C4F5" w:rsidR="005F2101" w:rsidRPr="00001691" w:rsidRDefault="00DA4CC4" w:rsidP="006670D2">
            <w:pPr>
              <w:pStyle w:val="PullOutBoxBullet"/>
            </w:pPr>
            <w:r>
              <w:t>C</w:t>
            </w:r>
            <w:r w:rsidR="005F2101">
              <w:t xml:space="preserve">onsider introducing species-specific code prescriptions that cover all the </w:t>
            </w:r>
            <w:r w:rsidR="001D3902">
              <w:t>species’</w:t>
            </w:r>
            <w:r w:rsidR="005F2101">
              <w:t xml:space="preserve"> distribution in any future Code amendment</w:t>
            </w:r>
            <w:r w:rsidR="0025056B">
              <w:t>s</w:t>
            </w:r>
            <w:r w:rsidR="005F2101">
              <w:t xml:space="preserve">. </w:t>
            </w:r>
          </w:p>
        </w:tc>
      </w:tr>
    </w:tbl>
    <w:p w14:paraId="7D651533" w14:textId="77777777" w:rsidR="005F2101" w:rsidRDefault="005F2101" w:rsidP="005F2101">
      <w:pPr>
        <w:pStyle w:val="BodyText"/>
        <w:rPr>
          <w:highlight w:val="yellow"/>
        </w:rPr>
      </w:pPr>
    </w:p>
    <w:p w14:paraId="29EB438F" w14:textId="77777777" w:rsidR="005F2101" w:rsidRDefault="005F2101" w:rsidP="005F2101">
      <w:pPr>
        <w:rPr>
          <w:rFonts w:cs="Times New Roman"/>
          <w:highlight w:val="yellow"/>
          <w:lang w:eastAsia="en-US"/>
        </w:rPr>
      </w:pPr>
      <w:r>
        <w:rPr>
          <w:highlight w:val="yellow"/>
        </w:rPr>
        <w:br w:type="page"/>
      </w:r>
    </w:p>
    <w:p w14:paraId="418B8C82" w14:textId="77777777" w:rsidR="005F2101" w:rsidRPr="00A52C18" w:rsidRDefault="005F2101" w:rsidP="00171F18">
      <w:pPr>
        <w:pStyle w:val="Heading2"/>
        <w:ind w:left="0"/>
        <w:rPr>
          <w:i/>
          <w:iCs/>
        </w:rPr>
      </w:pPr>
      <w:bookmarkStart w:id="817" w:name="_Toc88566999"/>
      <w:bookmarkStart w:id="818" w:name="_Toc88726067"/>
      <w:bookmarkStart w:id="819" w:name="_Toc95129492"/>
      <w:bookmarkStart w:id="820" w:name="_Toc113271069"/>
      <w:r w:rsidRPr="00A52C18">
        <w:t>Soft Skullcap </w:t>
      </w:r>
      <w:r w:rsidRPr="005F7D8C">
        <w:rPr>
          <w:i/>
          <w:iCs/>
        </w:rPr>
        <w:t>(Scutellaria mollis)</w:t>
      </w:r>
      <w:bookmarkEnd w:id="817"/>
      <w:bookmarkEnd w:id="818"/>
      <w:bookmarkEnd w:id="819"/>
      <w:bookmarkEnd w:id="820"/>
      <w:r w:rsidRPr="00A52C18">
        <w:t> </w:t>
      </w:r>
    </w:p>
    <w:p w14:paraId="219A1C9D" w14:textId="7BF80818" w:rsidR="005F2101" w:rsidRDefault="005F2101" w:rsidP="005F2101">
      <w:pPr>
        <w:pStyle w:val="BodyText"/>
        <w:rPr>
          <w:rFonts w:ascii="Arial" w:hAnsi="Arial"/>
          <w:color w:val="363534"/>
        </w:rPr>
      </w:pPr>
      <w:r>
        <w:t xml:space="preserve">The Soft Skullcap was listed as Endangered in Victoria under the FFG Act in May 2021. The </w:t>
      </w:r>
      <w:r w:rsidR="001D3902">
        <w:t>species</w:t>
      </w:r>
      <w:r>
        <w:t xml:space="preserve"> has modelled habitat in the East Gippsland (100% of modelled habitat) RFA region.</w:t>
      </w:r>
      <w:r>
        <w:rPr>
          <w:rStyle w:val="BodyTextChar"/>
        </w:rPr>
        <w:t xml:space="preserve"> </w:t>
      </w:r>
      <w:r w:rsidRPr="0026100A">
        <w:rPr>
          <w:rStyle w:val="BodyTextChar"/>
        </w:rPr>
        <w:t xml:space="preserve">Permanent protections are </w:t>
      </w:r>
      <w:r>
        <w:rPr>
          <w:rStyle w:val="BodyTextChar"/>
        </w:rPr>
        <w:t>recommended</w:t>
      </w:r>
      <w:r w:rsidRPr="0026100A">
        <w:rPr>
          <w:rStyle w:val="BodyTextChar"/>
        </w:rPr>
        <w:t xml:space="preserve"> to address </w:t>
      </w:r>
      <w:r>
        <w:rPr>
          <w:rStyle w:val="BodyTextChar"/>
        </w:rPr>
        <w:t>any hazards identified at a significant or high risk, and all</w:t>
      </w:r>
      <w:r>
        <w:t xml:space="preserve"> hazards rated a medium risk or higher will be considered in future management planning.</w:t>
      </w:r>
    </w:p>
    <w:p w14:paraId="30486E28" w14:textId="77777777" w:rsidR="005F2101" w:rsidRDefault="005F2101" w:rsidP="007E5EBF">
      <w:pPr>
        <w:pStyle w:val="Heading3"/>
      </w:pPr>
      <w:bookmarkStart w:id="821" w:name="_Toc88726068"/>
      <w:r>
        <w:t>Risk Assessment</w:t>
      </w:r>
      <w:bookmarkEnd w:id="821"/>
    </w:p>
    <w:p w14:paraId="65B6B412" w14:textId="637162CF" w:rsidR="005F2101" w:rsidRPr="00FF310C" w:rsidRDefault="003C6827"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227</w:t>
      </w:r>
      <w:r w:rsidR="000B6788" w:rsidRPr="00B846FE">
        <w:rPr>
          <w:bCs/>
          <w:noProof/>
        </w:rPr>
        <w:fldChar w:fldCharType="end"/>
      </w:r>
      <w:r w:rsidRPr="00FF310C">
        <w:t>.</w:t>
      </w:r>
      <w:r w:rsidR="005F2101" w:rsidRPr="00FF310C">
        <w:t xml:space="preserve"> Soft Skullcap risk ratings in the East Gippsland RFA region:</w:t>
      </w:r>
    </w:p>
    <w:tbl>
      <w:tblPr>
        <w:tblStyle w:val="TableGrid"/>
        <w:tblW w:w="9781" w:type="dxa"/>
        <w:tblLook w:val="04A0" w:firstRow="1" w:lastRow="0" w:firstColumn="1" w:lastColumn="0" w:noHBand="0" w:noVBand="1"/>
      </w:tblPr>
      <w:tblGrid>
        <w:gridCol w:w="2445"/>
        <w:gridCol w:w="2445"/>
        <w:gridCol w:w="2445"/>
        <w:gridCol w:w="2446"/>
      </w:tblGrid>
      <w:tr w:rsidR="005F2101" w14:paraId="66830ACB"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45" w:type="dxa"/>
            <w:tcBorders>
              <w:top w:val="single" w:sz="8" w:space="0" w:color="CDDC29" w:themeColor="text2"/>
              <w:left w:val="nil"/>
              <w:bottom w:val="single" w:sz="8" w:space="0" w:color="CDDC29" w:themeColor="text2"/>
              <w:right w:val="nil"/>
            </w:tcBorders>
            <w:vAlign w:val="center"/>
          </w:tcPr>
          <w:p w14:paraId="2D26F194" w14:textId="77777777" w:rsidR="005F2101" w:rsidRDefault="005F2101" w:rsidP="006670D2">
            <w:pPr>
              <w:pStyle w:val="CaptionImageorFigure"/>
            </w:pPr>
          </w:p>
        </w:tc>
        <w:tc>
          <w:tcPr>
            <w:tcW w:w="2445" w:type="dxa"/>
            <w:tcBorders>
              <w:top w:val="single" w:sz="8" w:space="0" w:color="CDDC29" w:themeColor="text2"/>
              <w:left w:val="nil"/>
              <w:bottom w:val="single" w:sz="8" w:space="0" w:color="CDDC29" w:themeColor="text2"/>
              <w:right w:val="nil"/>
            </w:tcBorders>
            <w:vAlign w:val="center"/>
          </w:tcPr>
          <w:p w14:paraId="4A0E88D7" w14:textId="77777777" w:rsidR="005F2101" w:rsidDel="003877EB"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2445" w:type="dxa"/>
            <w:tcBorders>
              <w:top w:val="single" w:sz="8" w:space="0" w:color="CDDC29" w:themeColor="text2"/>
              <w:left w:val="nil"/>
              <w:bottom w:val="single" w:sz="8" w:space="0" w:color="CDDC29" w:themeColor="text2"/>
              <w:right w:val="nil"/>
            </w:tcBorders>
            <w:vAlign w:val="center"/>
            <w:hideMark/>
          </w:tcPr>
          <w:p w14:paraId="2AA48449"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2446" w:type="dxa"/>
            <w:tcBorders>
              <w:top w:val="single" w:sz="8" w:space="0" w:color="CDDC29" w:themeColor="text2"/>
              <w:left w:val="nil"/>
              <w:bottom w:val="single" w:sz="8" w:space="0" w:color="CDDC29" w:themeColor="text2"/>
              <w:right w:val="nil"/>
            </w:tcBorders>
            <w:vAlign w:val="center"/>
            <w:hideMark/>
          </w:tcPr>
          <w:p w14:paraId="0473B8BE" w14:textId="77777777" w:rsidR="005F2101" w:rsidRDefault="005F210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5F2101" w14:paraId="4C8313B8" w14:textId="77777777" w:rsidTr="00296E0F">
        <w:tc>
          <w:tcPr>
            <w:tcW w:w="2445" w:type="dxa"/>
            <w:tcBorders>
              <w:top w:val="single" w:sz="8" w:space="0" w:color="CDDC29" w:themeColor="text2"/>
              <w:left w:val="nil"/>
              <w:bottom w:val="single" w:sz="8" w:space="0" w:color="CDDC29" w:themeColor="text2"/>
              <w:right w:val="nil"/>
            </w:tcBorders>
            <w:vAlign w:val="center"/>
            <w:hideMark/>
          </w:tcPr>
          <w:p w14:paraId="4C41E94F" w14:textId="77777777" w:rsidR="005F2101" w:rsidRDefault="005F2101" w:rsidP="00DA4CC4">
            <w:pPr>
              <w:pStyle w:val="BodyText"/>
              <w:jc w:val="center"/>
            </w:pPr>
            <w:r>
              <w:t>Consequence</w:t>
            </w:r>
          </w:p>
        </w:tc>
        <w:tc>
          <w:tcPr>
            <w:tcW w:w="2445" w:type="dxa"/>
            <w:tcBorders>
              <w:top w:val="single" w:sz="8" w:space="0" w:color="CDDC29" w:themeColor="text2"/>
              <w:left w:val="nil"/>
              <w:bottom w:val="single" w:sz="8" w:space="0" w:color="CDDC29" w:themeColor="text2"/>
              <w:right w:val="nil"/>
            </w:tcBorders>
            <w:vAlign w:val="center"/>
          </w:tcPr>
          <w:p w14:paraId="17A05431" w14:textId="77777777" w:rsidR="005F2101" w:rsidRDefault="005F2101" w:rsidP="00DA4CC4">
            <w:pPr>
              <w:pStyle w:val="BodyText"/>
              <w:jc w:val="center"/>
            </w:pPr>
            <w:r>
              <w:t>Moderate</w:t>
            </w:r>
          </w:p>
        </w:tc>
        <w:tc>
          <w:tcPr>
            <w:tcW w:w="2445" w:type="dxa"/>
            <w:tcBorders>
              <w:top w:val="single" w:sz="8" w:space="0" w:color="CDDC29" w:themeColor="text2"/>
              <w:left w:val="nil"/>
              <w:bottom w:val="single" w:sz="8" w:space="0" w:color="CDDC29" w:themeColor="text2"/>
              <w:right w:val="nil"/>
            </w:tcBorders>
            <w:vAlign w:val="center"/>
            <w:hideMark/>
          </w:tcPr>
          <w:p w14:paraId="7CCAA321" w14:textId="77777777" w:rsidR="005F2101" w:rsidRDefault="005F2101" w:rsidP="00DA4CC4">
            <w:pPr>
              <w:pStyle w:val="BodyText"/>
              <w:jc w:val="center"/>
            </w:pPr>
            <w:r>
              <w:t>Moderate</w:t>
            </w:r>
          </w:p>
        </w:tc>
        <w:tc>
          <w:tcPr>
            <w:tcW w:w="2446" w:type="dxa"/>
            <w:tcBorders>
              <w:top w:val="single" w:sz="8" w:space="0" w:color="CDDC29" w:themeColor="text2"/>
              <w:left w:val="nil"/>
              <w:bottom w:val="single" w:sz="8" w:space="0" w:color="CDDC29" w:themeColor="text2"/>
              <w:right w:val="nil"/>
            </w:tcBorders>
            <w:vAlign w:val="center"/>
            <w:hideMark/>
          </w:tcPr>
          <w:p w14:paraId="04E12633" w14:textId="77777777" w:rsidR="005F2101" w:rsidRDefault="005F2101" w:rsidP="00DA4CC4">
            <w:pPr>
              <w:pStyle w:val="BodyText"/>
              <w:jc w:val="center"/>
            </w:pPr>
            <w:r>
              <w:t>Major</w:t>
            </w:r>
          </w:p>
        </w:tc>
      </w:tr>
      <w:tr w:rsidR="005F2101" w14:paraId="16E52642" w14:textId="77777777" w:rsidTr="00296E0F">
        <w:tc>
          <w:tcPr>
            <w:tcW w:w="2445" w:type="dxa"/>
            <w:tcBorders>
              <w:top w:val="single" w:sz="8" w:space="0" w:color="CDDC29" w:themeColor="text2"/>
              <w:left w:val="nil"/>
              <w:bottom w:val="single" w:sz="8" w:space="0" w:color="CDDC29" w:themeColor="text2"/>
              <w:right w:val="nil"/>
            </w:tcBorders>
            <w:vAlign w:val="center"/>
            <w:hideMark/>
          </w:tcPr>
          <w:p w14:paraId="5B986597" w14:textId="77777777" w:rsidR="005F2101" w:rsidRDefault="005F2101" w:rsidP="00DA4CC4">
            <w:pPr>
              <w:pStyle w:val="BodyText"/>
              <w:jc w:val="center"/>
            </w:pPr>
            <w:r>
              <w:t>Likelihood</w:t>
            </w:r>
          </w:p>
        </w:tc>
        <w:tc>
          <w:tcPr>
            <w:tcW w:w="2445" w:type="dxa"/>
            <w:tcBorders>
              <w:top w:val="single" w:sz="8" w:space="0" w:color="CDDC29" w:themeColor="text2"/>
              <w:left w:val="nil"/>
              <w:bottom w:val="single" w:sz="8" w:space="0" w:color="CDDC29" w:themeColor="text2"/>
              <w:right w:val="nil"/>
            </w:tcBorders>
            <w:vAlign w:val="center"/>
          </w:tcPr>
          <w:p w14:paraId="007E3357" w14:textId="77777777" w:rsidR="005F2101" w:rsidRDefault="005F2101" w:rsidP="00DA4CC4">
            <w:pPr>
              <w:pStyle w:val="BodyText"/>
              <w:jc w:val="center"/>
            </w:pPr>
            <w:r>
              <w:t>Possible</w:t>
            </w:r>
          </w:p>
        </w:tc>
        <w:tc>
          <w:tcPr>
            <w:tcW w:w="2445" w:type="dxa"/>
            <w:tcBorders>
              <w:top w:val="single" w:sz="8" w:space="0" w:color="CDDC29" w:themeColor="text2"/>
              <w:left w:val="nil"/>
              <w:bottom w:val="single" w:sz="8" w:space="0" w:color="CDDC29" w:themeColor="text2"/>
              <w:right w:val="nil"/>
            </w:tcBorders>
            <w:vAlign w:val="center"/>
            <w:hideMark/>
          </w:tcPr>
          <w:p w14:paraId="04845026" w14:textId="77777777" w:rsidR="005F2101" w:rsidRDefault="005F2101" w:rsidP="00DA4CC4">
            <w:pPr>
              <w:pStyle w:val="BodyText"/>
              <w:jc w:val="center"/>
            </w:pPr>
            <w:r>
              <w:t>Unlikely</w:t>
            </w:r>
          </w:p>
        </w:tc>
        <w:tc>
          <w:tcPr>
            <w:tcW w:w="2446" w:type="dxa"/>
            <w:tcBorders>
              <w:top w:val="single" w:sz="8" w:space="0" w:color="CDDC29" w:themeColor="text2"/>
              <w:left w:val="nil"/>
              <w:bottom w:val="single" w:sz="8" w:space="0" w:color="CDDC29" w:themeColor="text2"/>
              <w:right w:val="nil"/>
            </w:tcBorders>
            <w:vAlign w:val="center"/>
            <w:hideMark/>
          </w:tcPr>
          <w:p w14:paraId="6303767B" w14:textId="77777777" w:rsidR="005F2101" w:rsidRDefault="005F2101" w:rsidP="00DA4CC4">
            <w:pPr>
              <w:pStyle w:val="BodyText"/>
              <w:jc w:val="center"/>
            </w:pPr>
            <w:r>
              <w:t>Likely</w:t>
            </w:r>
          </w:p>
        </w:tc>
      </w:tr>
      <w:tr w:rsidR="005F2101" w14:paraId="0991CFCB" w14:textId="77777777" w:rsidTr="00296E0F">
        <w:tc>
          <w:tcPr>
            <w:tcW w:w="2445" w:type="dxa"/>
            <w:tcBorders>
              <w:top w:val="single" w:sz="8" w:space="0" w:color="CDDC29" w:themeColor="text2"/>
              <w:left w:val="nil"/>
              <w:bottom w:val="single" w:sz="8" w:space="0" w:color="CDDC29" w:themeColor="text2"/>
              <w:right w:val="nil"/>
            </w:tcBorders>
            <w:vAlign w:val="center"/>
            <w:hideMark/>
          </w:tcPr>
          <w:p w14:paraId="6FF976D5" w14:textId="77777777" w:rsidR="005F2101" w:rsidRDefault="005F2101" w:rsidP="00DA4CC4">
            <w:pPr>
              <w:pStyle w:val="BodyText"/>
              <w:jc w:val="center"/>
            </w:pPr>
            <w:r>
              <w:t>Overall risk rating</w:t>
            </w:r>
          </w:p>
        </w:tc>
        <w:tc>
          <w:tcPr>
            <w:tcW w:w="2445" w:type="dxa"/>
            <w:tcBorders>
              <w:top w:val="single" w:sz="8" w:space="0" w:color="CDDC29" w:themeColor="text2"/>
              <w:left w:val="nil"/>
              <w:bottom w:val="single" w:sz="8" w:space="0" w:color="CDDC29" w:themeColor="text2"/>
              <w:right w:val="nil"/>
            </w:tcBorders>
            <w:shd w:val="clear" w:color="auto" w:fill="FFFF00"/>
            <w:vAlign w:val="center"/>
          </w:tcPr>
          <w:p w14:paraId="5050C6CF" w14:textId="77777777" w:rsidR="005F2101" w:rsidRDefault="005F2101" w:rsidP="00DA4CC4">
            <w:pPr>
              <w:pStyle w:val="BodyText"/>
              <w:jc w:val="center"/>
            </w:pPr>
            <w:r>
              <w:t>Medium</w:t>
            </w:r>
          </w:p>
        </w:tc>
        <w:tc>
          <w:tcPr>
            <w:tcW w:w="2445" w:type="dxa"/>
            <w:tcBorders>
              <w:top w:val="single" w:sz="8" w:space="0" w:color="CDDC29" w:themeColor="text2"/>
              <w:left w:val="nil"/>
              <w:bottom w:val="single" w:sz="8" w:space="0" w:color="CDDC29" w:themeColor="text2"/>
              <w:right w:val="nil"/>
            </w:tcBorders>
            <w:shd w:val="clear" w:color="auto" w:fill="FFFF00"/>
            <w:vAlign w:val="center"/>
            <w:hideMark/>
          </w:tcPr>
          <w:p w14:paraId="45E7CFBC" w14:textId="77777777" w:rsidR="005F2101" w:rsidRDefault="005F2101" w:rsidP="00DA4CC4">
            <w:pPr>
              <w:pStyle w:val="BodyText"/>
              <w:jc w:val="center"/>
            </w:pPr>
            <w:r>
              <w:t>Medium</w:t>
            </w:r>
          </w:p>
        </w:tc>
        <w:tc>
          <w:tcPr>
            <w:tcW w:w="2446" w:type="dxa"/>
            <w:tcBorders>
              <w:top w:val="single" w:sz="8" w:space="0" w:color="CDDC29" w:themeColor="text2"/>
              <w:left w:val="nil"/>
              <w:bottom w:val="single" w:sz="8" w:space="0" w:color="CDDC29" w:themeColor="text2"/>
              <w:right w:val="nil"/>
            </w:tcBorders>
            <w:shd w:val="clear" w:color="auto" w:fill="FF0000"/>
            <w:vAlign w:val="center"/>
            <w:hideMark/>
          </w:tcPr>
          <w:p w14:paraId="691945A6" w14:textId="77777777" w:rsidR="005F2101" w:rsidRDefault="005F2101" w:rsidP="00DA4CC4">
            <w:pPr>
              <w:pStyle w:val="BodyText"/>
              <w:jc w:val="center"/>
            </w:pPr>
            <w:r>
              <w:t>High</w:t>
            </w:r>
          </w:p>
        </w:tc>
      </w:tr>
    </w:tbl>
    <w:p w14:paraId="39DD5419" w14:textId="77777777" w:rsidR="005F2101" w:rsidRDefault="005F2101" w:rsidP="007E5EBF">
      <w:pPr>
        <w:pStyle w:val="Heading3"/>
      </w:pPr>
      <w:bookmarkStart w:id="822" w:name="_Toc88726069"/>
      <w:bookmarkStart w:id="823" w:name="_Toc88726070"/>
      <w:bookmarkStart w:id="824" w:name="_Toc88726071"/>
      <w:bookmarkStart w:id="825" w:name="_Toc88726072"/>
      <w:bookmarkStart w:id="826" w:name="_Toc88726073"/>
      <w:bookmarkStart w:id="827" w:name="_Toc88726075"/>
      <w:bookmarkEnd w:id="822"/>
      <w:bookmarkEnd w:id="823"/>
      <w:bookmarkEnd w:id="824"/>
      <w:bookmarkEnd w:id="825"/>
      <w:bookmarkEnd w:id="826"/>
      <w:r>
        <w:rPr>
          <w:noProof/>
        </w:rPr>
        <mc:AlternateContent>
          <mc:Choice Requires="wps">
            <w:drawing>
              <wp:anchor distT="0" distB="0" distL="114300" distR="114300" simplePos="0" relativeHeight="251658367" behindDoc="1" locked="1" layoutInCell="1" allowOverlap="1" wp14:anchorId="63695141" wp14:editId="5A5F178F">
                <wp:simplePos x="0" y="0"/>
                <wp:positionH relativeFrom="page">
                  <wp:posOffset>359410</wp:posOffset>
                </wp:positionH>
                <wp:positionV relativeFrom="page">
                  <wp:posOffset>9071610</wp:posOffset>
                </wp:positionV>
                <wp:extent cx="6840220" cy="431800"/>
                <wp:effectExtent l="0" t="0" r="0" b="0"/>
                <wp:wrapNone/>
                <wp:docPr id="1256" name="Text Box 1256"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18683" w14:textId="77777777" w:rsidR="005F2101" w:rsidRDefault="005F2101" w:rsidP="005F2101">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95141" id="Text Box 1256" o:spid="_x0000_s1123" type="#_x0000_t202" alt="Title: Decorative Cover Shape" style="position:absolute;left:0;text-align:left;margin-left:28.3pt;margin-top:714.3pt;width:538.6pt;height:34pt;z-index:-25165811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" fillcolor="#201547" stroked="f" strokeweight=".5pt">
                <v:textbox inset="10mm,0,10mm,0">
                  <w:txbxContent>
                    <w:p w14:paraId="61C18683" w14:textId="77777777" w:rsidR="005F2101" w:rsidRDefault="005F2101" w:rsidP="005F2101">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366" behindDoc="0" locked="1" layoutInCell="1" allowOverlap="1" wp14:anchorId="0D17A6D6" wp14:editId="5F682A12">
                <wp:simplePos x="0" y="0"/>
                <wp:positionH relativeFrom="page">
                  <wp:posOffset>360045</wp:posOffset>
                </wp:positionH>
                <wp:positionV relativeFrom="page">
                  <wp:posOffset>360045</wp:posOffset>
                </wp:positionV>
                <wp:extent cx="1864995" cy="1976120"/>
                <wp:effectExtent l="0" t="0" r="0" b="0"/>
                <wp:wrapNone/>
                <wp:docPr id="102" name="Freeform: Shape 10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19337D" id="Freeform: Shape 102" o:spid="_x0000_s1026" style="position:absolute;margin-left:28.35pt;margin-top:28.35pt;width:146.85pt;height:155.6pt;z-index:25165836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365" behindDoc="0" locked="1" layoutInCell="1" allowOverlap="1" wp14:anchorId="3A22D592" wp14:editId="6568247E">
                <wp:simplePos x="0" y="0"/>
                <wp:positionH relativeFrom="page">
                  <wp:posOffset>359410</wp:posOffset>
                </wp:positionH>
                <wp:positionV relativeFrom="page">
                  <wp:posOffset>359410</wp:posOffset>
                </wp:positionV>
                <wp:extent cx="1864995" cy="1976120"/>
                <wp:effectExtent l="0" t="0" r="0" b="0"/>
                <wp:wrapNone/>
                <wp:docPr id="103" name="Freeform: Shape 1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8E304ED" id="Freeform: Shape 103" o:spid="_x0000_s1026" style="position:absolute;margin-left:28.3pt;margin-top:28.3pt;width:146.85pt;height:155.6pt;z-index:25165836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363" behindDoc="0" locked="1" layoutInCell="1" allowOverlap="1" wp14:anchorId="674CE989" wp14:editId="0CA81EF7">
                <wp:simplePos x="0" y="0"/>
                <wp:positionH relativeFrom="page">
                  <wp:posOffset>0</wp:posOffset>
                </wp:positionH>
                <wp:positionV relativeFrom="page">
                  <wp:align>bottom</wp:align>
                </wp:positionV>
                <wp:extent cx="3848100" cy="720090"/>
                <wp:effectExtent l="0" t="0" r="0" b="0"/>
                <wp:wrapNone/>
                <wp:docPr id="1259" name="Text Box 1259"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B9F8C" w14:textId="77777777" w:rsidR="005F2101" w:rsidRDefault="005F2101" w:rsidP="005F2101">
                            <w:pPr>
                              <w:pStyle w:val="xWebCoverPage"/>
                            </w:pPr>
                            <w:r>
                              <w:t>delwp.vic.gov.au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CE989" id="Text Box 1259" o:spid="_x0000_s1124" type="#_x0000_t202" style="position:absolute;left:0;text-align:left;margin-left:0;margin-top:0;width:303pt;height:56.7pt;z-index:25165836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" filled="f" stroked="f" strokeweight=".5pt">
                <v:textbox inset="20mm">
                  <w:txbxContent>
                    <w:p w14:paraId="677B9F8C" w14:textId="77777777" w:rsidR="005F2101" w:rsidRDefault="005F2101" w:rsidP="005F2101">
                      <w:pPr>
                        <w:pStyle w:val="xWebCoverPage"/>
                      </w:pPr>
                      <w:r>
                        <w:t>delwp.vic.gov.au</w:t>
                      </w:r>
                    </w:p>
                  </w:txbxContent>
                </v:textbox>
                <w10:wrap anchorx="page" anchory="page"/>
                <w10:anchorlock/>
              </v:shape>
            </w:pict>
          </mc:Fallback>
        </mc:AlternateContent>
      </w:r>
      <w:bookmarkStart w:id="828" w:name="_Toc88726076"/>
      <w:bookmarkStart w:id="829" w:name="_Toc88726077"/>
      <w:bookmarkStart w:id="830" w:name="_Toc88726078"/>
      <w:bookmarkStart w:id="831" w:name="_Toc88726079"/>
      <w:bookmarkStart w:id="832" w:name="_Toc88726080"/>
      <w:bookmarkStart w:id="833" w:name="_Toc88726081"/>
      <w:bookmarkStart w:id="834" w:name="_Toc88726082"/>
      <w:bookmarkStart w:id="835" w:name="_Toc88726083"/>
      <w:bookmarkStart w:id="836" w:name="_Toc88726084"/>
      <w:bookmarkStart w:id="837" w:name="_Toc88726085"/>
      <w:bookmarkStart w:id="838" w:name="_Toc88726086"/>
      <w:bookmarkStart w:id="839" w:name="_Toc88726088"/>
      <w:bookmarkStart w:id="840" w:name="_Toc88726090"/>
      <w:bookmarkStart w:id="841" w:name="_Toc88726092"/>
      <w:bookmarkStart w:id="842" w:name="_Toc88726094"/>
      <w:bookmarkStart w:id="843" w:name="_Toc88726095"/>
      <w:bookmarkStart w:id="844" w:name="_Toc88726096"/>
      <w:bookmarkStart w:id="845" w:name="_Toc88726097"/>
      <w:bookmarkStart w:id="846" w:name="_Toc88726098"/>
      <w:bookmarkStart w:id="847" w:name="_Toc88726099"/>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t>Fire</w:t>
      </w:r>
      <w:bookmarkEnd w:id="847"/>
    </w:p>
    <w:p w14:paraId="7AF00324" w14:textId="77777777" w:rsidR="005F2101" w:rsidRDefault="005F2101" w:rsidP="007E5EBF">
      <w:pPr>
        <w:pStyle w:val="Heading5"/>
      </w:pPr>
      <w:r>
        <w:t>Increased fire frequency and intensity</w:t>
      </w:r>
    </w:p>
    <w:p w14:paraId="64B587E4" w14:textId="28A22F93" w:rsidR="005F2101" w:rsidRDefault="005F2101" w:rsidP="005F2101">
      <w:pPr>
        <w:pStyle w:val="BodyText"/>
      </w:pPr>
      <w:r>
        <w:t xml:space="preserve">An increase in the frequency and intensity of fire is likely to alter species composition and structural aspects of the habitat, as well as threaten the survival of Warm Temperate Rainforest where this </w:t>
      </w:r>
      <w:r w:rsidR="001D3902">
        <w:t>species</w:t>
      </w:r>
      <w:r>
        <w:t xml:space="preserve"> occurs</w:t>
      </w:r>
      <w:r w:rsidR="00E2100E">
        <w:t xml:space="preserve">. </w:t>
      </w:r>
      <w:r>
        <w:t xml:space="preserve">Fire may also facilitate deer access and can cause increased competition in the ground strata which may be detrimental to this </w:t>
      </w:r>
      <w:r w:rsidR="001D3902">
        <w:t>species</w:t>
      </w:r>
      <w:r>
        <w:t xml:space="preserve">. This hazard extends across 80% of the </w:t>
      </w:r>
      <w:r w:rsidR="001D3902">
        <w:t>species’</w:t>
      </w:r>
      <w:r>
        <w:t xml:space="preserve"> populations. </w:t>
      </w:r>
    </w:p>
    <w:p w14:paraId="232B33EF" w14:textId="77777777" w:rsidR="005F2101" w:rsidRDefault="005F2101" w:rsidP="005F2101">
      <w:pPr>
        <w:pStyle w:val="BodyText"/>
      </w:pPr>
      <w:r>
        <w:t>Current controls for this hazard include:</w:t>
      </w:r>
    </w:p>
    <w:p w14:paraId="41EA4C37" w14:textId="06F83DC4" w:rsidR="005F2101" w:rsidRDefault="005F2101" w:rsidP="006670D2">
      <w:pPr>
        <w:pStyle w:val="PullOutBoxBullet"/>
      </w:pPr>
      <w:r>
        <w:t xml:space="preserve">Planned burning. This control may be effective in reducing the risk of severe bushfires in this species’ habitat depending on the location of the burns and the time elapsed since their implementation. </w:t>
      </w:r>
      <w:r w:rsidR="00EF4561">
        <w:t>S</w:t>
      </w:r>
      <w:r>
        <w:t>trategic fuel</w:t>
      </w:r>
      <w:r w:rsidR="00DF761D">
        <w:t xml:space="preserve"> </w:t>
      </w:r>
      <w:r>
        <w:t>breaks and associated backburning may also provide valuable protection in some cases for this species and its habitat from severe bushfires.</w:t>
      </w:r>
    </w:p>
    <w:p w14:paraId="547AC414" w14:textId="1DA939DE" w:rsidR="005F2101" w:rsidRPr="00FF310C" w:rsidRDefault="005F2101"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228</w:t>
      </w:r>
      <w:r w:rsidR="000B6788" w:rsidRPr="00B846FE">
        <w:rPr>
          <w:bCs/>
          <w:noProof/>
        </w:rPr>
        <w:fldChar w:fldCharType="end"/>
      </w:r>
      <w:r w:rsidRPr="00FF310C">
        <w:t>. Soft Skullcap protection requirements and recommendations for increased fire frequency and intensity</w:t>
      </w:r>
    </w:p>
    <w:tbl>
      <w:tblPr>
        <w:tblStyle w:val="TableGrid"/>
        <w:tblW w:w="0" w:type="auto"/>
        <w:tblLook w:val="04A0" w:firstRow="1" w:lastRow="0" w:firstColumn="1" w:lastColumn="0" w:noHBand="0" w:noVBand="1"/>
      </w:tblPr>
      <w:tblGrid>
        <w:gridCol w:w="2268"/>
        <w:gridCol w:w="7371"/>
      </w:tblGrid>
      <w:tr w:rsidR="005F2101" w:rsidRPr="00867DAA" w14:paraId="32D4CAB4"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04C114E7" w14:textId="77777777" w:rsidR="005F2101" w:rsidRPr="00704719" w:rsidRDefault="005F2101" w:rsidP="00296E0F">
            <w:pPr>
              <w:pStyle w:val="BodyText"/>
            </w:pPr>
            <w:r w:rsidRPr="00704719">
              <w:t>Requirement</w:t>
            </w:r>
          </w:p>
        </w:tc>
        <w:tc>
          <w:tcPr>
            <w:tcW w:w="7371" w:type="dxa"/>
            <w:vAlign w:val="center"/>
          </w:tcPr>
          <w:p w14:paraId="7E4B8907"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24E0832A" w14:textId="77777777" w:rsidTr="00B45E4E">
        <w:tc>
          <w:tcPr>
            <w:tcW w:w="2268" w:type="dxa"/>
          </w:tcPr>
          <w:p w14:paraId="28712A4B" w14:textId="5EE4DB72" w:rsidR="005F2101" w:rsidRPr="003566BD" w:rsidRDefault="00B777F0" w:rsidP="00B45E4E">
            <w:pPr>
              <w:pStyle w:val="BodyText"/>
            </w:pPr>
            <w:r>
              <w:t>Priority management actions</w:t>
            </w:r>
          </w:p>
        </w:tc>
        <w:tc>
          <w:tcPr>
            <w:tcW w:w="7371" w:type="dxa"/>
          </w:tcPr>
          <w:p w14:paraId="18703CFD" w14:textId="77777777" w:rsidR="005F2101" w:rsidRPr="00001691" w:rsidRDefault="005F2101" w:rsidP="00B45E4E">
            <w:pPr>
              <w:pStyle w:val="BodyText"/>
            </w:pPr>
            <w:r w:rsidRPr="00200995">
              <w:t>Not required for this hazard based on the overall risk level of mediu</w:t>
            </w:r>
            <w:r>
              <w:t>m and because it is a longer-term threat.</w:t>
            </w:r>
          </w:p>
        </w:tc>
      </w:tr>
      <w:tr w:rsidR="005F2101" w:rsidRPr="00867DAA" w14:paraId="23AEF80C" w14:textId="77777777" w:rsidTr="00B45E4E">
        <w:tc>
          <w:tcPr>
            <w:tcW w:w="2268" w:type="dxa"/>
          </w:tcPr>
          <w:p w14:paraId="13F29476" w14:textId="4C9E2B82" w:rsidR="005F2101" w:rsidRPr="00867DAA" w:rsidRDefault="00B777F0" w:rsidP="00B45E4E">
            <w:pPr>
              <w:pStyle w:val="BodyText"/>
            </w:pPr>
            <w:r>
              <w:t>Potential m</w:t>
            </w:r>
            <w:r w:rsidR="005F2101" w:rsidRPr="00867DAA">
              <w:t>anagement actions</w:t>
            </w:r>
          </w:p>
        </w:tc>
        <w:tc>
          <w:tcPr>
            <w:tcW w:w="7371" w:type="dxa"/>
          </w:tcPr>
          <w:p w14:paraId="5C362179" w14:textId="44C2A8B4" w:rsidR="005F2101" w:rsidRPr="00001691" w:rsidRDefault="005F2101" w:rsidP="00B45E4E">
            <w:pPr>
              <w:pStyle w:val="BodyText"/>
            </w:pPr>
            <w:r>
              <w:t xml:space="preserve">No potential </w:t>
            </w:r>
            <w:r w:rsidR="00B777F0">
              <w:t xml:space="preserve">management actions </w:t>
            </w:r>
            <w:r>
              <w:t xml:space="preserve">have been </w:t>
            </w:r>
            <w:r w:rsidR="00B777F0">
              <w:t>recommended for this hazard.</w:t>
            </w:r>
          </w:p>
        </w:tc>
      </w:tr>
    </w:tbl>
    <w:p w14:paraId="0A6EBD14" w14:textId="77777777" w:rsidR="005F2101" w:rsidRDefault="005F2101" w:rsidP="007E5EBF">
      <w:pPr>
        <w:pStyle w:val="Heading3"/>
      </w:pPr>
      <w:bookmarkStart w:id="848" w:name="_Toc88726074"/>
      <w:r>
        <w:t>Forestry operations</w:t>
      </w:r>
      <w:bookmarkEnd w:id="848"/>
    </w:p>
    <w:p w14:paraId="55585E23" w14:textId="77777777" w:rsidR="005F2101" w:rsidRDefault="005F2101" w:rsidP="007E5EBF">
      <w:pPr>
        <w:pStyle w:val="Heading5"/>
      </w:pPr>
      <w:r>
        <w:t>Forestry operations</w:t>
      </w:r>
    </w:p>
    <w:p w14:paraId="3A20558F" w14:textId="59098201" w:rsidR="005F2101" w:rsidRDefault="005F2101" w:rsidP="005F2101">
      <w:pPr>
        <w:pStyle w:val="BodyText"/>
      </w:pPr>
      <w:r>
        <w:rPr>
          <w:rFonts w:ascii="Arial" w:hAnsi="Arial"/>
          <w:color w:val="363534"/>
        </w:rPr>
        <w:t xml:space="preserve">This hazard includes </w:t>
      </w:r>
      <w:r>
        <w:t xml:space="preserve">direct impacts from machinery activity damaging plants and habitat, and indirect impacts from erosion or downstream deposition, as well as weed introduction and promotion. The </w:t>
      </w:r>
      <w:r w:rsidR="001D3902">
        <w:t>species</w:t>
      </w:r>
      <w:r>
        <w:t xml:space="preserve"> prefers opening of rainforest</w:t>
      </w:r>
      <w:r w:rsidR="003A0A57">
        <w:t xml:space="preserve">; </w:t>
      </w:r>
      <w:r>
        <w:t xml:space="preserve">it can survive within rainforest but has also been observed regenerating readily post-fire where the rainforest canopy had been consumed. This hazard extends across </w:t>
      </w:r>
      <w:r w:rsidR="00BE4E65">
        <w:t xml:space="preserve">less than </w:t>
      </w:r>
      <w:r>
        <w:t xml:space="preserve">5% of the </w:t>
      </w:r>
      <w:r w:rsidR="001D3902">
        <w:t>species’</w:t>
      </w:r>
      <w:r>
        <w:t xml:space="preserve"> important populations and known occurrences. </w:t>
      </w:r>
    </w:p>
    <w:p w14:paraId="057F178F" w14:textId="77777777" w:rsidR="005F2101" w:rsidRDefault="005F2101" w:rsidP="005F2101">
      <w:pPr>
        <w:pStyle w:val="BodyText"/>
      </w:pPr>
      <w:r>
        <w:t>Current controls for this hazard include:</w:t>
      </w:r>
    </w:p>
    <w:p w14:paraId="77B77CCC" w14:textId="4B130DF9" w:rsidR="005F2101" w:rsidRDefault="005F2101" w:rsidP="006670D2">
      <w:pPr>
        <w:pStyle w:val="PullOutBoxBullet"/>
      </w:pPr>
      <w:r>
        <w:t>The </w:t>
      </w:r>
      <w:r w:rsidRPr="00B9079C">
        <w:rPr>
          <w:i/>
        </w:rPr>
        <w:t>Code of Practice for Timber Production 2014.</w:t>
      </w:r>
      <w:r>
        <w:t xml:space="preserve"> This has been evaluated as satisfactory because although there </w:t>
      </w:r>
      <w:r w:rsidR="00A75BCE">
        <w:t>is</w:t>
      </w:r>
      <w:r>
        <w:t xml:space="preserve"> no species-specific p</w:t>
      </w:r>
      <w:r w:rsidR="00A75BCE">
        <w:t>rescription</w:t>
      </w:r>
      <w:r>
        <w:t xml:space="preserve"> for the </w:t>
      </w:r>
      <w:r w:rsidR="001D3902">
        <w:t>species</w:t>
      </w:r>
      <w:r w:rsidR="00A75BCE">
        <w:t xml:space="preserve"> in the Code</w:t>
      </w:r>
      <w:r>
        <w:t>, other more general prescriptions such as protection and buffering of rainforests, old growth forests and waterways provide protection from forestry operations</w:t>
      </w:r>
      <w:r w:rsidR="00DE27E1">
        <w:t xml:space="preserve"> and</w:t>
      </w:r>
      <w:r>
        <w:t xml:space="preserve"> are generally applied appropriately. </w:t>
      </w:r>
    </w:p>
    <w:p w14:paraId="553B929F" w14:textId="6E0D1C43" w:rsidR="005F2101" w:rsidRPr="00C10F95" w:rsidRDefault="005F2101" w:rsidP="006670D2">
      <w:pPr>
        <w:pStyle w:val="PullOutBoxBullet"/>
      </w:pPr>
      <w:r w:rsidRPr="4F453272">
        <w:t xml:space="preserve">The CAR reserve system. </w:t>
      </w:r>
      <w:r w:rsidR="003809EB" w:rsidRPr="00C10F95">
        <w:t>The effectiveness of this control for this species has been evaluated</w:t>
      </w:r>
      <w:r w:rsidR="003809EB">
        <w:t xml:space="preserve"> as </w:t>
      </w:r>
      <w:r>
        <w:t>satisfactory</w:t>
      </w:r>
      <w:r w:rsidRPr="4F453272">
        <w:t xml:space="preserve"> as </w:t>
      </w:r>
      <w:r>
        <w:t>61</w:t>
      </w:r>
      <w:r w:rsidRPr="4F453272">
        <w:t xml:space="preserve">% of the </w:t>
      </w:r>
      <w:r w:rsidR="001D3902">
        <w:t>species’</w:t>
      </w:r>
      <w:r w:rsidRPr="4F453272">
        <w:t xml:space="preserve"> modelled distribution and</w:t>
      </w:r>
      <w:r>
        <w:t xml:space="preserve"> 70</w:t>
      </w:r>
      <w:r w:rsidRPr="4F453272">
        <w:t>% of important populations are within the reserve system.</w:t>
      </w:r>
    </w:p>
    <w:p w14:paraId="6974C8FB" w14:textId="792DB6FB" w:rsidR="005F2101" w:rsidRPr="00FF310C" w:rsidRDefault="005F2101"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229</w:t>
      </w:r>
      <w:r w:rsidR="000B6788" w:rsidRPr="00B846FE">
        <w:rPr>
          <w:bCs/>
          <w:noProof/>
        </w:rPr>
        <w:fldChar w:fldCharType="end"/>
      </w:r>
      <w:r w:rsidRPr="00FF310C">
        <w:t>. Soft Skullcap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5F2101" w:rsidRPr="00867DAA" w14:paraId="1DFBD0A7"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404F429D" w14:textId="77777777" w:rsidR="005F2101" w:rsidRPr="00704719" w:rsidRDefault="005F2101" w:rsidP="00296E0F">
            <w:pPr>
              <w:pStyle w:val="BodyText"/>
            </w:pPr>
            <w:r w:rsidRPr="00704719">
              <w:t>Requirement</w:t>
            </w:r>
          </w:p>
        </w:tc>
        <w:tc>
          <w:tcPr>
            <w:tcW w:w="7371" w:type="dxa"/>
            <w:vAlign w:val="center"/>
          </w:tcPr>
          <w:p w14:paraId="3BBB5D6C"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73363A1E" w14:textId="77777777" w:rsidTr="00B45E4E">
        <w:tc>
          <w:tcPr>
            <w:tcW w:w="2268" w:type="dxa"/>
          </w:tcPr>
          <w:p w14:paraId="60805708" w14:textId="10F34D88" w:rsidR="005F2101" w:rsidRPr="003566BD" w:rsidRDefault="005F2101" w:rsidP="00B45E4E">
            <w:pPr>
              <w:pStyle w:val="BodyText"/>
            </w:pPr>
            <w:r w:rsidRPr="003566BD">
              <w:t>Interim protections</w:t>
            </w:r>
          </w:p>
        </w:tc>
        <w:tc>
          <w:tcPr>
            <w:tcW w:w="7371" w:type="dxa"/>
          </w:tcPr>
          <w:p w14:paraId="3697A8DF" w14:textId="128651AD" w:rsidR="005F2101" w:rsidRPr="00001691" w:rsidRDefault="005F2101" w:rsidP="00B45E4E">
            <w:pPr>
              <w:pStyle w:val="BodyText"/>
            </w:pPr>
            <w:r w:rsidRPr="00200995">
              <w:t>Not required for this hazard based on the overall risk level of medium</w:t>
            </w:r>
            <w:r w:rsidR="008971B7">
              <w:t>.</w:t>
            </w:r>
          </w:p>
        </w:tc>
      </w:tr>
      <w:tr w:rsidR="008971B7" w:rsidRPr="00867DAA" w14:paraId="3B84AA47" w14:textId="77777777" w:rsidTr="00B45E4E">
        <w:tc>
          <w:tcPr>
            <w:tcW w:w="2268" w:type="dxa"/>
          </w:tcPr>
          <w:p w14:paraId="1EF8EB85" w14:textId="6B854314" w:rsidR="008971B7" w:rsidRPr="003566BD" w:rsidRDefault="008971B7" w:rsidP="00B45E4E">
            <w:pPr>
              <w:pStyle w:val="BodyText"/>
            </w:pPr>
            <w:r>
              <w:t>Priority management actions</w:t>
            </w:r>
          </w:p>
        </w:tc>
        <w:tc>
          <w:tcPr>
            <w:tcW w:w="7371" w:type="dxa"/>
            <w:shd w:val="clear" w:color="auto" w:fill="auto"/>
          </w:tcPr>
          <w:p w14:paraId="4E700BE2" w14:textId="5E623D18" w:rsidR="008971B7" w:rsidRPr="003566BD" w:rsidRDefault="008971B7" w:rsidP="00B45E4E">
            <w:pPr>
              <w:pStyle w:val="BodyText"/>
            </w:pPr>
            <w:r w:rsidRPr="00200995">
              <w:t>Not required for this hazard based on the overall risk level of medium</w:t>
            </w:r>
            <w:r>
              <w:t>.</w:t>
            </w:r>
          </w:p>
        </w:tc>
      </w:tr>
      <w:tr w:rsidR="005F2101" w:rsidRPr="00867DAA" w14:paraId="596EB92B" w14:textId="77777777" w:rsidTr="00B45E4E">
        <w:tc>
          <w:tcPr>
            <w:tcW w:w="2268" w:type="dxa"/>
          </w:tcPr>
          <w:p w14:paraId="02607934" w14:textId="77777777" w:rsidR="005F2101" w:rsidRPr="003566BD" w:rsidRDefault="005F2101" w:rsidP="00B45E4E">
            <w:pPr>
              <w:pStyle w:val="BodyText"/>
            </w:pPr>
            <w:r w:rsidRPr="003566BD">
              <w:t>Permanent protections</w:t>
            </w:r>
          </w:p>
        </w:tc>
        <w:tc>
          <w:tcPr>
            <w:tcW w:w="7371" w:type="dxa"/>
            <w:shd w:val="clear" w:color="auto" w:fill="auto"/>
          </w:tcPr>
          <w:p w14:paraId="4A166D5F" w14:textId="77777777" w:rsidR="005F2101" w:rsidRPr="003566BD" w:rsidRDefault="005F2101" w:rsidP="00B45E4E">
            <w:pPr>
              <w:pStyle w:val="BodyText"/>
            </w:pPr>
            <w:r w:rsidRPr="003566BD">
              <w:t>Additional permanent protections may be required in the longer-term</w:t>
            </w:r>
            <w:r>
              <w:t>.</w:t>
            </w:r>
          </w:p>
        </w:tc>
      </w:tr>
      <w:tr w:rsidR="005F2101" w:rsidRPr="00867DAA" w14:paraId="3C00FF5B" w14:textId="77777777" w:rsidTr="00B45E4E">
        <w:tc>
          <w:tcPr>
            <w:tcW w:w="2268" w:type="dxa"/>
          </w:tcPr>
          <w:p w14:paraId="07C2876F" w14:textId="45F81843" w:rsidR="005F2101" w:rsidRPr="00867DAA" w:rsidRDefault="00B777F0" w:rsidP="00B45E4E">
            <w:pPr>
              <w:pStyle w:val="BodyText"/>
            </w:pPr>
            <w:r>
              <w:t>Potential m</w:t>
            </w:r>
            <w:r w:rsidR="005F2101" w:rsidRPr="00867DAA">
              <w:t>anagement actions</w:t>
            </w:r>
          </w:p>
        </w:tc>
        <w:tc>
          <w:tcPr>
            <w:tcW w:w="7371" w:type="dxa"/>
          </w:tcPr>
          <w:p w14:paraId="4CD25483" w14:textId="0A5F3BBD" w:rsidR="005F2101" w:rsidRPr="00DA4A7B" w:rsidRDefault="005F2101" w:rsidP="006670D2">
            <w:pPr>
              <w:pStyle w:val="PullOutBoxBullet"/>
              <w:rPr>
                <w:rFonts w:cs="Arial"/>
                <w:sz w:val="20"/>
              </w:rPr>
            </w:pPr>
            <w:r w:rsidRPr="000E7817">
              <w:t>Consider introducing a species-specific code prescription as part of any future Code amendments</w:t>
            </w:r>
            <w:r w:rsidR="0025056B">
              <w:t>.</w:t>
            </w:r>
          </w:p>
        </w:tc>
      </w:tr>
    </w:tbl>
    <w:p w14:paraId="0D5110C4" w14:textId="77777777" w:rsidR="005F2101" w:rsidRDefault="005F2101" w:rsidP="007E5EBF">
      <w:pPr>
        <w:pStyle w:val="Heading3"/>
      </w:pPr>
      <w:bookmarkStart w:id="849" w:name="_Toc88726101"/>
      <w:bookmarkStart w:id="850" w:name="_Toc88726102"/>
      <w:bookmarkStart w:id="851" w:name="_Toc88726103"/>
      <w:bookmarkStart w:id="852" w:name="_Toc88726104"/>
      <w:bookmarkStart w:id="853" w:name="_Toc88726105"/>
      <w:bookmarkStart w:id="854" w:name="_Toc88726106"/>
      <w:bookmarkStart w:id="855" w:name="_Toc88726107"/>
      <w:bookmarkStart w:id="856" w:name="_Toc88726108"/>
      <w:bookmarkStart w:id="857" w:name="_Toc88726109"/>
      <w:bookmarkStart w:id="858" w:name="_Toc88726110"/>
      <w:bookmarkStart w:id="859" w:name="_Toc88726111"/>
      <w:bookmarkStart w:id="860" w:name="_Toc88726113"/>
      <w:bookmarkStart w:id="861" w:name="_Toc88726115"/>
      <w:bookmarkStart w:id="862" w:name="_Toc88726117"/>
      <w:bookmarkStart w:id="863" w:name="_Toc88726119"/>
      <w:bookmarkStart w:id="864" w:name="_Toc88726120"/>
      <w:bookmarkStart w:id="865" w:name="_Toc88726121"/>
      <w:bookmarkStart w:id="866" w:name="_Toc88726122"/>
      <w:bookmarkStart w:id="867" w:name="_Toc88726123"/>
      <w:bookmarkStart w:id="868" w:name="_Toc88726124"/>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t>Invasive species</w:t>
      </w:r>
      <w:bookmarkEnd w:id="868"/>
    </w:p>
    <w:p w14:paraId="79FCE659" w14:textId="77777777" w:rsidR="005F2101" w:rsidRDefault="005F2101" w:rsidP="007E5EBF">
      <w:pPr>
        <w:pStyle w:val="Heading5"/>
      </w:pPr>
      <w:r>
        <w:t>Invasive vertebrate (deer)</w:t>
      </w:r>
    </w:p>
    <w:p w14:paraId="761DD88B" w14:textId="061AE392" w:rsidR="005F2101" w:rsidRDefault="005F2101" w:rsidP="005F2101">
      <w:pPr>
        <w:pStyle w:val="BodyText"/>
      </w:pPr>
      <w:r>
        <w:t xml:space="preserve">The greatest current threat </w:t>
      </w:r>
      <w:r w:rsidR="0025056B">
        <w:t xml:space="preserve">to the </w:t>
      </w:r>
      <w:r w:rsidR="001D3902">
        <w:t>species</w:t>
      </w:r>
      <w:r w:rsidR="0025056B">
        <w:t xml:space="preserve"> </w:t>
      </w:r>
      <w:r>
        <w:t>is likely to be the degradation by Sambar of Warm Temperate Rainforest and its ecotones with Riparian Forest and sheltered gullies within Damp, Wet or Lowland Forest. Sambar have a documented capacity to denude the understorey of such forests by targeted browsing of trees, shrubs and vines</w:t>
      </w:r>
      <w:r w:rsidR="008F2E28">
        <w:t>,</w:t>
      </w:r>
      <w:r>
        <w:t xml:space="preserve"> and concentrated trampling, wallowing</w:t>
      </w:r>
      <w:r w:rsidR="00DE27E1">
        <w:t>,</w:t>
      </w:r>
      <w:r>
        <w:t xml:space="preserve"> and rutting in damp sites, eliminating stands of herbaceous vegetation on the forest floor. Sambar have undergone a population increase across East Gippsland</w:t>
      </w:r>
      <w:r w:rsidR="00D1185A">
        <w:t xml:space="preserve"> (Watter et al. 2020),</w:t>
      </w:r>
      <w:r>
        <w:t xml:space="preserve"> and their projected impact on gully vegetation poses a threat to the long-term persistence of the </w:t>
      </w:r>
      <w:r w:rsidR="001D3902">
        <w:t>species</w:t>
      </w:r>
      <w:r>
        <w:t xml:space="preserve">. Current deer activity is projected to eliminate the remaining occurrences within the next few decades. This hazard extends across 95% of the </w:t>
      </w:r>
      <w:r w:rsidR="001D3902">
        <w:t>species’</w:t>
      </w:r>
      <w:r>
        <w:t xml:space="preserve"> populations.</w:t>
      </w:r>
    </w:p>
    <w:p w14:paraId="72094235" w14:textId="77777777" w:rsidR="005F2101" w:rsidRDefault="005F2101" w:rsidP="005F2101">
      <w:pPr>
        <w:pStyle w:val="BodyText"/>
      </w:pPr>
      <w:r>
        <w:t>Current controls for this hazard include:</w:t>
      </w:r>
    </w:p>
    <w:p w14:paraId="683DD2E1" w14:textId="77777777" w:rsidR="005F2101" w:rsidRDefault="005F2101" w:rsidP="006670D2">
      <w:pPr>
        <w:pStyle w:val="PullOutBoxBullet"/>
      </w:pPr>
      <w:r>
        <w:t>Exclusion Fences. This has been evaluated as good for the few examples of exclusion fences occurring, but it is limited in its extent.</w:t>
      </w:r>
    </w:p>
    <w:p w14:paraId="26CFE3AC" w14:textId="77777777" w:rsidR="005F2101" w:rsidRDefault="005F2101" w:rsidP="006670D2">
      <w:pPr>
        <w:pStyle w:val="PullOutBoxBullet"/>
      </w:pPr>
      <w:r>
        <w:t>Targeted deer control. This has been evaluated as poor as it is limited in extent.</w:t>
      </w:r>
    </w:p>
    <w:p w14:paraId="105E0079" w14:textId="2840076A" w:rsidR="005F2101" w:rsidRPr="00FF310C" w:rsidRDefault="005F2101"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230</w:t>
      </w:r>
      <w:r w:rsidR="000B6788" w:rsidRPr="00B846FE">
        <w:rPr>
          <w:bCs/>
          <w:noProof/>
        </w:rPr>
        <w:fldChar w:fldCharType="end"/>
      </w:r>
      <w:r w:rsidRPr="00FF310C">
        <w:t>. Soft Skullcap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5F2101" w:rsidRPr="00867DAA" w14:paraId="59B9FA61"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vAlign w:val="center"/>
          </w:tcPr>
          <w:p w14:paraId="0144E446" w14:textId="77777777" w:rsidR="005F2101" w:rsidRPr="00704719" w:rsidRDefault="005F2101" w:rsidP="00296E0F">
            <w:pPr>
              <w:pStyle w:val="BodyText"/>
            </w:pPr>
            <w:r w:rsidRPr="00704719">
              <w:t>Requirement</w:t>
            </w:r>
          </w:p>
        </w:tc>
        <w:tc>
          <w:tcPr>
            <w:tcW w:w="7371" w:type="dxa"/>
            <w:vAlign w:val="center"/>
          </w:tcPr>
          <w:p w14:paraId="4AF5FB64" w14:textId="77777777" w:rsidR="005F2101" w:rsidRPr="00704719" w:rsidRDefault="005F2101" w:rsidP="00296E0F">
            <w:pPr>
              <w:pStyle w:val="BodyText"/>
              <w:cnfStyle w:val="100000000000" w:firstRow="1" w:lastRow="0" w:firstColumn="0" w:lastColumn="0" w:oddVBand="0" w:evenVBand="0" w:oddHBand="0" w:evenHBand="0" w:firstRowFirstColumn="0" w:firstRowLastColumn="0" w:lastRowFirstColumn="0" w:lastRowLastColumn="0"/>
            </w:pPr>
            <w:r w:rsidRPr="00704719">
              <w:t>Recommendation</w:t>
            </w:r>
          </w:p>
        </w:tc>
      </w:tr>
      <w:tr w:rsidR="005F2101" w:rsidRPr="00867DAA" w14:paraId="3E721983" w14:textId="77777777" w:rsidTr="00B45E4E">
        <w:tc>
          <w:tcPr>
            <w:tcW w:w="2268" w:type="dxa"/>
          </w:tcPr>
          <w:p w14:paraId="4EC73261" w14:textId="70CE6855" w:rsidR="005F2101" w:rsidRPr="003566BD" w:rsidRDefault="00B777F0" w:rsidP="00B45E4E">
            <w:pPr>
              <w:pStyle w:val="BodyText"/>
            </w:pPr>
            <w:r>
              <w:t>Priority management actions</w:t>
            </w:r>
          </w:p>
        </w:tc>
        <w:tc>
          <w:tcPr>
            <w:tcW w:w="7371" w:type="dxa"/>
          </w:tcPr>
          <w:p w14:paraId="4AE49698" w14:textId="3BDE9850" w:rsidR="005F2101" w:rsidRPr="00001691" w:rsidRDefault="00623A33" w:rsidP="00B45E4E">
            <w:pPr>
              <w:pStyle w:val="BodyText"/>
            </w:pPr>
            <w:r w:rsidRPr="00C23B38">
              <w:t>May be required for this hazard</w:t>
            </w:r>
            <w:r>
              <w:t>. This will be addressed through the development of the action statement</w:t>
            </w:r>
            <w:r w:rsidRPr="00C23B38">
              <w:t>.</w:t>
            </w:r>
          </w:p>
        </w:tc>
      </w:tr>
      <w:tr w:rsidR="005F2101" w:rsidRPr="00867DAA" w14:paraId="00FFB549" w14:textId="77777777" w:rsidTr="00B45E4E">
        <w:tc>
          <w:tcPr>
            <w:tcW w:w="2268" w:type="dxa"/>
          </w:tcPr>
          <w:p w14:paraId="6CE071A3" w14:textId="508F99AB" w:rsidR="005F2101" w:rsidRPr="00867DAA" w:rsidRDefault="00B777F0" w:rsidP="00B45E4E">
            <w:pPr>
              <w:pStyle w:val="BodyText"/>
            </w:pPr>
            <w:r>
              <w:t>Potential m</w:t>
            </w:r>
            <w:r w:rsidR="005F2101" w:rsidRPr="00867DAA">
              <w:t>anagement actions</w:t>
            </w:r>
          </w:p>
        </w:tc>
        <w:tc>
          <w:tcPr>
            <w:tcW w:w="7371" w:type="dxa"/>
          </w:tcPr>
          <w:p w14:paraId="797462D0" w14:textId="77777777" w:rsidR="005F2101" w:rsidRPr="00DA4A7B" w:rsidRDefault="005F2101" w:rsidP="006670D2">
            <w:pPr>
              <w:pStyle w:val="PullOutBoxBullet"/>
              <w:rPr>
                <w:rFonts w:cs="Arial"/>
                <w:sz w:val="20"/>
              </w:rPr>
            </w:pPr>
            <w:r>
              <w:t>Expand deer control programs and targeted deer culling within important populations areas that are bushfire impacted.</w:t>
            </w:r>
          </w:p>
        </w:tc>
      </w:tr>
    </w:tbl>
    <w:p w14:paraId="6CDA5E66" w14:textId="77777777" w:rsidR="005F2101" w:rsidRDefault="005F2101" w:rsidP="005F2101">
      <w:pPr>
        <w:pStyle w:val="ListBullet"/>
        <w:numPr>
          <w:ilvl w:val="0"/>
          <w:numId w:val="0"/>
        </w:numPr>
        <w:ind w:left="454"/>
      </w:pPr>
      <w:bookmarkStart w:id="869" w:name="_Toc88724870"/>
      <w:bookmarkStart w:id="870" w:name="_Toc88724871"/>
      <w:bookmarkStart w:id="871" w:name="_Toc88724872"/>
      <w:bookmarkStart w:id="872" w:name="_Toc88724873"/>
      <w:bookmarkStart w:id="873" w:name="_Toc88724874"/>
      <w:bookmarkStart w:id="874" w:name="_Toc88724875"/>
      <w:bookmarkStart w:id="875" w:name="_Toc88724876"/>
      <w:bookmarkStart w:id="876" w:name="_Toc88724877"/>
      <w:bookmarkStart w:id="877" w:name="_Toc88724878"/>
      <w:bookmarkStart w:id="878" w:name="_Toc88724879"/>
      <w:bookmarkStart w:id="879" w:name="_Toc88724880"/>
      <w:bookmarkStart w:id="880" w:name="_Toc88724881"/>
      <w:bookmarkStart w:id="881" w:name="_Toc88724882"/>
      <w:bookmarkStart w:id="882" w:name="_Toc88724883"/>
      <w:bookmarkStart w:id="883" w:name="_Toc88724884"/>
      <w:bookmarkStart w:id="884" w:name="_Toc88724886"/>
      <w:bookmarkStart w:id="885" w:name="_Toc88724887"/>
      <w:bookmarkStart w:id="886" w:name="_Toc88724889"/>
      <w:bookmarkStart w:id="887" w:name="_Toc88724890"/>
      <w:bookmarkStart w:id="888" w:name="_Toc88724892"/>
      <w:bookmarkStart w:id="889" w:name="_Toc88724893"/>
      <w:bookmarkStart w:id="890" w:name="_Toc88724895"/>
      <w:bookmarkStart w:id="891" w:name="_Toc88724896"/>
      <w:bookmarkStart w:id="892" w:name="_Toc88724897"/>
      <w:bookmarkStart w:id="893" w:name="_Toc88724898"/>
      <w:bookmarkStart w:id="894" w:name="_Toc88724899"/>
      <w:bookmarkStart w:id="895" w:name="_Toc88724900"/>
      <w:bookmarkStart w:id="896" w:name="_Toc88724901"/>
      <w:bookmarkStart w:id="897" w:name="_Toc88724904"/>
      <w:bookmarkStart w:id="898" w:name="_Toc88724905"/>
      <w:bookmarkStart w:id="899" w:name="_Toc88724906"/>
      <w:bookmarkStart w:id="900" w:name="_Toc88724908"/>
      <w:bookmarkStart w:id="901" w:name="_Toc88724909"/>
      <w:bookmarkStart w:id="902" w:name="_Toc88724910"/>
      <w:bookmarkStart w:id="903" w:name="_Toc88724911"/>
      <w:bookmarkStart w:id="904" w:name="_Toc88724912"/>
      <w:bookmarkStart w:id="905" w:name="_Toc88724913"/>
      <w:bookmarkStart w:id="906" w:name="_Toc88724915"/>
      <w:bookmarkStart w:id="907" w:name="_Toc88724916"/>
      <w:bookmarkStart w:id="908" w:name="_Toc88724917"/>
      <w:bookmarkStart w:id="909" w:name="_Toc88724918"/>
      <w:bookmarkStart w:id="910" w:name="_Toc88724919"/>
      <w:bookmarkStart w:id="911" w:name="_Toc88724920"/>
      <w:bookmarkStart w:id="912" w:name="_Toc88724921"/>
      <w:bookmarkStart w:id="913" w:name="_Toc88724922"/>
      <w:bookmarkStart w:id="914" w:name="_Toc88724923"/>
      <w:bookmarkStart w:id="915" w:name="_Toc88724924"/>
      <w:bookmarkStart w:id="916" w:name="_Toc88724925"/>
      <w:bookmarkStart w:id="917" w:name="_Toc88724926"/>
      <w:bookmarkStart w:id="918" w:name="_Toc88724927"/>
      <w:bookmarkStart w:id="919" w:name="_Toc88724928"/>
      <w:bookmarkStart w:id="920" w:name="_Toc88724929"/>
      <w:bookmarkStart w:id="921" w:name="_Toc88724930"/>
      <w:bookmarkStart w:id="922" w:name="_Toc88724931"/>
      <w:bookmarkStart w:id="923" w:name="_Toc88724932"/>
      <w:bookmarkStart w:id="924" w:name="_Toc88724934"/>
      <w:bookmarkStart w:id="925" w:name="_Toc88724935"/>
      <w:bookmarkStart w:id="926" w:name="_Toc88724937"/>
      <w:bookmarkStart w:id="927" w:name="_Toc88724938"/>
      <w:bookmarkStart w:id="928" w:name="_Toc88724940"/>
      <w:bookmarkStart w:id="929" w:name="_Toc88724941"/>
      <w:bookmarkStart w:id="930" w:name="_Toc88724943"/>
      <w:bookmarkStart w:id="931" w:name="_Toc88724944"/>
      <w:bookmarkStart w:id="932" w:name="_Toc88724945"/>
      <w:bookmarkStart w:id="933" w:name="_Toc88724946"/>
      <w:bookmarkStart w:id="934" w:name="_Toc88724947"/>
      <w:bookmarkStart w:id="935" w:name="_Toc88724948"/>
      <w:bookmarkStart w:id="936" w:name="_Toc88724949"/>
      <w:bookmarkStart w:id="937" w:name="_Toc88724951"/>
      <w:bookmarkStart w:id="938" w:name="_Toc88724952"/>
      <w:bookmarkStart w:id="939" w:name="_Toc88724954"/>
      <w:bookmarkStart w:id="940" w:name="_Toc88724955"/>
      <w:bookmarkStart w:id="941" w:name="_Toc88724956"/>
      <w:bookmarkStart w:id="942" w:name="_Toc88724957"/>
      <w:bookmarkStart w:id="943" w:name="_Toc88724958"/>
      <w:bookmarkStart w:id="944" w:name="_Toc88724959"/>
      <w:bookmarkStart w:id="945" w:name="_Toc88724963"/>
      <w:bookmarkStart w:id="946" w:name="_Toc88724964"/>
      <w:bookmarkStart w:id="947" w:name="_Toc88724966"/>
      <w:bookmarkStart w:id="948" w:name="_Toc88724967"/>
      <w:bookmarkStart w:id="949" w:name="_Toc88724968"/>
      <w:bookmarkStart w:id="950" w:name="_Toc88724969"/>
      <w:bookmarkStart w:id="951" w:name="_Toc88724970"/>
      <w:bookmarkStart w:id="952" w:name="_Toc88724971"/>
      <w:bookmarkStart w:id="953" w:name="_Toc88724972"/>
      <w:bookmarkStart w:id="954" w:name="_Toc88724973"/>
      <w:bookmarkStart w:id="955" w:name="_Toc88724974"/>
      <w:bookmarkStart w:id="956" w:name="_Toc88724975"/>
      <w:bookmarkStart w:id="957" w:name="_Toc88724976"/>
      <w:bookmarkStart w:id="958" w:name="_Toc88724977"/>
      <w:bookmarkStart w:id="959" w:name="_Toc88724979"/>
      <w:bookmarkStart w:id="960" w:name="_Toc88724981"/>
      <w:bookmarkStart w:id="961" w:name="_Toc88724983"/>
      <w:bookmarkStart w:id="962" w:name="_Toc88724985"/>
      <w:bookmarkStart w:id="963" w:name="_Toc88724986"/>
      <w:bookmarkStart w:id="964" w:name="_Toc88724987"/>
      <w:bookmarkStart w:id="965" w:name="_Toc88724988"/>
      <w:bookmarkStart w:id="966" w:name="_Toc88724654"/>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7F147F2F" w14:textId="5712D198" w:rsidR="00BE1D36" w:rsidRDefault="00BE1D36">
      <w:pPr>
        <w:rPr>
          <w:rFonts w:cs="Times New Roman"/>
          <w:sz w:val="18"/>
          <w:szCs w:val="18"/>
          <w:lang w:eastAsia="en-US"/>
        </w:rPr>
      </w:pPr>
      <w:r>
        <w:br w:type="page"/>
      </w:r>
    </w:p>
    <w:p w14:paraId="65DEFE5F" w14:textId="77777777" w:rsidR="00BE1D36" w:rsidRPr="006316F0" w:rsidRDefault="00BE1D36" w:rsidP="00171F18">
      <w:pPr>
        <w:pStyle w:val="Heading2"/>
        <w:ind w:left="0"/>
        <w:rPr>
          <w:i/>
          <w:iCs/>
        </w:rPr>
      </w:pPr>
      <w:bookmarkStart w:id="967" w:name="_Toc113271070"/>
      <w:r w:rsidRPr="006316F0">
        <w:t>Spicy Everlasting</w:t>
      </w:r>
      <w:r w:rsidRPr="005F7D8C">
        <w:rPr>
          <w:i/>
          <w:iCs/>
        </w:rPr>
        <w:t> (Ozothamnus argophyllus)</w:t>
      </w:r>
      <w:bookmarkEnd w:id="967"/>
      <w:r w:rsidRPr="005F7D8C">
        <w:rPr>
          <w:i/>
          <w:iCs/>
        </w:rPr>
        <w:t> </w:t>
      </w:r>
    </w:p>
    <w:p w14:paraId="36D1777A" w14:textId="1D2A384C" w:rsidR="00BE1D36" w:rsidRDefault="00BE1D36" w:rsidP="00BE1D36">
      <w:pPr>
        <w:pStyle w:val="BodyText"/>
        <w:rPr>
          <w:rFonts w:ascii="Segoe UI" w:hAnsi="Segoe UI" w:cs="Segoe UI"/>
          <w:color w:val="363534"/>
        </w:rPr>
      </w:pPr>
      <w:r>
        <w:t xml:space="preserve">The Spicy Everlasting was listed as Endangered in Victoria under the FFG Act in May 2021. The </w:t>
      </w:r>
      <w:r w:rsidR="001D3902">
        <w:t>species</w:t>
      </w:r>
      <w:r>
        <w:t xml:space="preserve"> has modelled habitat in the East Gippsland (99% of modelled habitat) and Gippsland (1% of modelled habitat) RFA regions. </w:t>
      </w:r>
      <w:r>
        <w:rPr>
          <w:rStyle w:val="BodyTextChar"/>
        </w:rPr>
        <w:t>Permanent protections are recommended to address any hazards identified at a significant or high risk, and all</w:t>
      </w:r>
      <w:r>
        <w:t xml:space="preserve"> hazards rated a medium risk or higher will be considered in future management planning.</w:t>
      </w:r>
    </w:p>
    <w:p w14:paraId="1CE14B8E" w14:textId="77777777" w:rsidR="00BE1D36" w:rsidRDefault="00BE1D36" w:rsidP="007E5EBF">
      <w:pPr>
        <w:pStyle w:val="Heading3"/>
      </w:pPr>
      <w:r>
        <w:t>Risk Assessment</w:t>
      </w:r>
    </w:p>
    <w:p w14:paraId="0A1C3DF6" w14:textId="06C63E26" w:rsidR="00BE1D36" w:rsidRPr="00FF310C" w:rsidRDefault="0053766B"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231</w:t>
      </w:r>
      <w:r w:rsidR="000B6788" w:rsidRPr="00B846FE">
        <w:rPr>
          <w:bCs/>
          <w:noProof/>
        </w:rPr>
        <w:fldChar w:fldCharType="end"/>
      </w:r>
      <w:r w:rsidRPr="00FF310C">
        <w:t xml:space="preserve">. </w:t>
      </w:r>
      <w:r w:rsidR="00BE1D36" w:rsidRPr="00FF310C">
        <w:t>Spicy Everlasting risk ratings in East Gippsland and Gippsland RFA</w:t>
      </w:r>
      <w:r w:rsidR="009B3219">
        <w:t xml:space="preserve"> region</w:t>
      </w:r>
      <w:r w:rsidR="00BE1D36" w:rsidRPr="00FF310C">
        <w:t>s:</w:t>
      </w:r>
    </w:p>
    <w:tbl>
      <w:tblPr>
        <w:tblStyle w:val="TableGrid"/>
        <w:tblW w:w="7088" w:type="dxa"/>
        <w:tblLook w:val="04A0" w:firstRow="1" w:lastRow="0" w:firstColumn="1" w:lastColumn="0" w:noHBand="0" w:noVBand="1"/>
      </w:tblPr>
      <w:tblGrid>
        <w:gridCol w:w="2362"/>
        <w:gridCol w:w="2363"/>
        <w:gridCol w:w="2363"/>
      </w:tblGrid>
      <w:tr w:rsidR="00BE1D36" w14:paraId="5F6AC4D1"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62" w:type="dxa"/>
            <w:tcBorders>
              <w:top w:val="single" w:sz="8" w:space="0" w:color="CDDC29" w:themeColor="text2"/>
              <w:left w:val="nil"/>
              <w:bottom w:val="single" w:sz="8" w:space="0" w:color="CDDC29" w:themeColor="text2"/>
              <w:right w:val="nil"/>
            </w:tcBorders>
            <w:vAlign w:val="center"/>
          </w:tcPr>
          <w:p w14:paraId="7881C2C2" w14:textId="77777777" w:rsidR="00BE1D36" w:rsidRDefault="00BE1D36" w:rsidP="006670D2">
            <w:pPr>
              <w:pStyle w:val="CaptionImageorFigure"/>
            </w:pPr>
          </w:p>
        </w:tc>
        <w:tc>
          <w:tcPr>
            <w:tcW w:w="2363" w:type="dxa"/>
            <w:tcBorders>
              <w:top w:val="single" w:sz="8" w:space="0" w:color="CDDC29" w:themeColor="text2"/>
              <w:left w:val="nil"/>
              <w:bottom w:val="single" w:sz="8" w:space="0" w:color="CDDC29" w:themeColor="text2"/>
              <w:right w:val="nil"/>
            </w:tcBorders>
            <w:vAlign w:val="center"/>
            <w:hideMark/>
          </w:tcPr>
          <w:p w14:paraId="251975C1"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w:t>
            </w:r>
          </w:p>
        </w:tc>
        <w:tc>
          <w:tcPr>
            <w:tcW w:w="2363" w:type="dxa"/>
            <w:tcBorders>
              <w:top w:val="single" w:sz="8" w:space="0" w:color="CDDC29" w:themeColor="text2"/>
              <w:left w:val="nil"/>
              <w:bottom w:val="single" w:sz="8" w:space="0" w:color="CDDC29" w:themeColor="text2"/>
              <w:right w:val="nil"/>
            </w:tcBorders>
            <w:vAlign w:val="center"/>
            <w:hideMark/>
          </w:tcPr>
          <w:p w14:paraId="5CC72888" w14:textId="797EEF1C" w:rsidR="00BE1D36" w:rsidRDefault="005D1677"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w:t>
            </w:r>
            <w:r w:rsidR="00BE1D36">
              <w:t>restry operations</w:t>
            </w:r>
          </w:p>
        </w:tc>
      </w:tr>
      <w:tr w:rsidR="00BE1D36" w14:paraId="759DB8E1" w14:textId="77777777" w:rsidTr="00BE1D36">
        <w:tc>
          <w:tcPr>
            <w:tcW w:w="2362" w:type="dxa"/>
            <w:tcBorders>
              <w:top w:val="single" w:sz="8" w:space="0" w:color="CDDC29" w:themeColor="text2"/>
              <w:left w:val="nil"/>
              <w:bottom w:val="single" w:sz="8" w:space="0" w:color="CDDC29" w:themeColor="text2"/>
              <w:right w:val="nil"/>
            </w:tcBorders>
            <w:vAlign w:val="center"/>
            <w:hideMark/>
          </w:tcPr>
          <w:p w14:paraId="1E0D76D8" w14:textId="77777777" w:rsidR="00BE1D36" w:rsidRDefault="00BE1D36">
            <w:pPr>
              <w:pStyle w:val="BodyText"/>
              <w:jc w:val="center"/>
            </w:pPr>
            <w:r>
              <w:t>Consequence</w:t>
            </w:r>
          </w:p>
        </w:tc>
        <w:tc>
          <w:tcPr>
            <w:tcW w:w="2363" w:type="dxa"/>
            <w:tcBorders>
              <w:top w:val="single" w:sz="8" w:space="0" w:color="CDDC29" w:themeColor="text2"/>
              <w:left w:val="nil"/>
              <w:bottom w:val="single" w:sz="8" w:space="0" w:color="CDDC29" w:themeColor="text2"/>
              <w:right w:val="nil"/>
            </w:tcBorders>
            <w:vAlign w:val="center"/>
            <w:hideMark/>
          </w:tcPr>
          <w:p w14:paraId="05950C0C" w14:textId="77777777" w:rsidR="00BE1D36" w:rsidRDefault="00BE1D36">
            <w:pPr>
              <w:pStyle w:val="BodyText"/>
              <w:jc w:val="center"/>
            </w:pPr>
            <w:r>
              <w:t>Moderate</w:t>
            </w:r>
          </w:p>
        </w:tc>
        <w:tc>
          <w:tcPr>
            <w:tcW w:w="2363" w:type="dxa"/>
            <w:tcBorders>
              <w:top w:val="single" w:sz="8" w:space="0" w:color="CDDC29" w:themeColor="text2"/>
              <w:left w:val="nil"/>
              <w:bottom w:val="single" w:sz="8" w:space="0" w:color="CDDC29" w:themeColor="text2"/>
              <w:right w:val="nil"/>
            </w:tcBorders>
            <w:vAlign w:val="center"/>
            <w:hideMark/>
          </w:tcPr>
          <w:p w14:paraId="41FBD817" w14:textId="77777777" w:rsidR="00BE1D36" w:rsidRDefault="00BE1D36">
            <w:pPr>
              <w:pStyle w:val="BodyText"/>
              <w:jc w:val="center"/>
            </w:pPr>
            <w:r>
              <w:t>Moderate</w:t>
            </w:r>
          </w:p>
        </w:tc>
      </w:tr>
      <w:tr w:rsidR="00BE1D36" w14:paraId="74B8FAD6" w14:textId="77777777" w:rsidTr="00BE1D36">
        <w:tc>
          <w:tcPr>
            <w:tcW w:w="2362" w:type="dxa"/>
            <w:tcBorders>
              <w:top w:val="single" w:sz="8" w:space="0" w:color="CDDC29" w:themeColor="text2"/>
              <w:left w:val="nil"/>
              <w:bottom w:val="single" w:sz="8" w:space="0" w:color="CDDC29" w:themeColor="text2"/>
              <w:right w:val="nil"/>
            </w:tcBorders>
            <w:vAlign w:val="center"/>
            <w:hideMark/>
          </w:tcPr>
          <w:p w14:paraId="3ECA775D" w14:textId="77777777" w:rsidR="00BE1D36" w:rsidRDefault="00BE1D36">
            <w:pPr>
              <w:pStyle w:val="BodyText"/>
              <w:jc w:val="center"/>
            </w:pPr>
            <w:r>
              <w:t>Likelihood</w:t>
            </w:r>
          </w:p>
        </w:tc>
        <w:tc>
          <w:tcPr>
            <w:tcW w:w="2363" w:type="dxa"/>
            <w:tcBorders>
              <w:top w:val="single" w:sz="8" w:space="0" w:color="CDDC29" w:themeColor="text2"/>
              <w:left w:val="nil"/>
              <w:bottom w:val="single" w:sz="8" w:space="0" w:color="CDDC29" w:themeColor="text2"/>
              <w:right w:val="nil"/>
            </w:tcBorders>
            <w:vAlign w:val="center"/>
            <w:hideMark/>
          </w:tcPr>
          <w:p w14:paraId="78520CB7" w14:textId="77777777" w:rsidR="00BE1D36" w:rsidRDefault="00BE1D36">
            <w:pPr>
              <w:pStyle w:val="BodyText"/>
              <w:jc w:val="center"/>
            </w:pPr>
            <w:r>
              <w:t>Possible</w:t>
            </w:r>
          </w:p>
        </w:tc>
        <w:tc>
          <w:tcPr>
            <w:tcW w:w="2363" w:type="dxa"/>
            <w:tcBorders>
              <w:top w:val="single" w:sz="8" w:space="0" w:color="CDDC29" w:themeColor="text2"/>
              <w:left w:val="nil"/>
              <w:bottom w:val="single" w:sz="8" w:space="0" w:color="CDDC29" w:themeColor="text2"/>
              <w:right w:val="nil"/>
            </w:tcBorders>
            <w:vAlign w:val="center"/>
            <w:hideMark/>
          </w:tcPr>
          <w:p w14:paraId="7EBEB1D3" w14:textId="77777777" w:rsidR="00BE1D36" w:rsidRDefault="00BE1D36">
            <w:pPr>
              <w:pStyle w:val="BodyText"/>
              <w:jc w:val="center"/>
            </w:pPr>
            <w:r>
              <w:t>Possible</w:t>
            </w:r>
          </w:p>
        </w:tc>
      </w:tr>
      <w:tr w:rsidR="00BE1D36" w14:paraId="624FD541" w14:textId="77777777" w:rsidTr="00BE1D36">
        <w:tc>
          <w:tcPr>
            <w:tcW w:w="2362" w:type="dxa"/>
            <w:tcBorders>
              <w:top w:val="single" w:sz="8" w:space="0" w:color="CDDC29" w:themeColor="text2"/>
              <w:left w:val="nil"/>
              <w:bottom w:val="single" w:sz="8" w:space="0" w:color="CDDC29" w:themeColor="text2"/>
              <w:right w:val="nil"/>
            </w:tcBorders>
            <w:vAlign w:val="center"/>
            <w:hideMark/>
          </w:tcPr>
          <w:p w14:paraId="777BE870" w14:textId="77777777" w:rsidR="00BE1D36" w:rsidRDefault="00BE1D36">
            <w:pPr>
              <w:pStyle w:val="BodyText"/>
              <w:jc w:val="center"/>
            </w:pPr>
            <w:r>
              <w:t>Overall risk rating</w:t>
            </w:r>
          </w:p>
        </w:tc>
        <w:tc>
          <w:tcPr>
            <w:tcW w:w="2363" w:type="dxa"/>
            <w:tcBorders>
              <w:top w:val="single" w:sz="8" w:space="0" w:color="CDDC29" w:themeColor="text2"/>
              <w:left w:val="nil"/>
              <w:bottom w:val="single" w:sz="8" w:space="0" w:color="CDDC29" w:themeColor="text2"/>
              <w:right w:val="nil"/>
            </w:tcBorders>
            <w:shd w:val="clear" w:color="auto" w:fill="FFFF00"/>
            <w:vAlign w:val="center"/>
            <w:hideMark/>
          </w:tcPr>
          <w:p w14:paraId="679104E6" w14:textId="77777777" w:rsidR="00BE1D36" w:rsidRDefault="00BE1D36">
            <w:pPr>
              <w:pStyle w:val="BodyText"/>
              <w:jc w:val="center"/>
            </w:pPr>
            <w:r>
              <w:t>Medium</w:t>
            </w:r>
          </w:p>
        </w:tc>
        <w:tc>
          <w:tcPr>
            <w:tcW w:w="2363" w:type="dxa"/>
            <w:tcBorders>
              <w:top w:val="single" w:sz="8" w:space="0" w:color="CDDC29" w:themeColor="text2"/>
              <w:left w:val="nil"/>
              <w:bottom w:val="single" w:sz="8" w:space="0" w:color="CDDC29" w:themeColor="text2"/>
              <w:right w:val="nil"/>
            </w:tcBorders>
            <w:shd w:val="clear" w:color="auto" w:fill="FFFF00"/>
            <w:vAlign w:val="center"/>
            <w:hideMark/>
          </w:tcPr>
          <w:p w14:paraId="4175E144" w14:textId="77777777" w:rsidR="00BE1D36" w:rsidRDefault="00BE1D36">
            <w:pPr>
              <w:pStyle w:val="BodyText"/>
              <w:jc w:val="center"/>
            </w:pPr>
            <w:r>
              <w:t>Medium</w:t>
            </w:r>
          </w:p>
        </w:tc>
      </w:tr>
    </w:tbl>
    <w:p w14:paraId="2BB4F981" w14:textId="77777777" w:rsidR="00BE1D36" w:rsidRDefault="00BE1D36" w:rsidP="007E5EBF">
      <w:pPr>
        <w:pStyle w:val="Heading3"/>
      </w:pPr>
      <w:r>
        <w:t>Climate change</w:t>
      </w:r>
    </w:p>
    <w:p w14:paraId="58D48A00" w14:textId="77777777" w:rsidR="00BE1D36" w:rsidRDefault="00BE1D36" w:rsidP="007E5EBF">
      <w:pPr>
        <w:pStyle w:val="Heading5"/>
      </w:pPr>
      <w:r>
        <w:t>Drying climate</w:t>
      </w:r>
    </w:p>
    <w:p w14:paraId="6CBF0E6B" w14:textId="607BE7DE" w:rsidR="00BE1D36" w:rsidRDefault="00BE1D36" w:rsidP="00BE1D36">
      <w:pPr>
        <w:pStyle w:val="BodyText"/>
      </w:pPr>
      <w:r>
        <w:t xml:space="preserve">The </w:t>
      </w:r>
      <w:r w:rsidR="001D3902">
        <w:t>species</w:t>
      </w:r>
      <w:r>
        <w:t xml:space="preserve"> is threatened in the long-term by climatic drying and warming resulting in changes in vegetation structure, such as increasing tree and shrub density and potential changes in soil microflora, particularly of mycorrhizal fungi. These impacts are likely to be exacerbated by imposed fire regimes, increasing the risk of repeat fire and recruitment failure. This hazard extends across 70% of the </w:t>
      </w:r>
      <w:r w:rsidR="001D3902">
        <w:t>species’</w:t>
      </w:r>
      <w:r>
        <w:t xml:space="preserve"> modelled habitat. </w:t>
      </w:r>
    </w:p>
    <w:p w14:paraId="789918B4" w14:textId="6B1BA48F" w:rsidR="00BE1D36" w:rsidRDefault="00BE1D36" w:rsidP="00BE1D36">
      <w:pPr>
        <w:pStyle w:val="BodyText"/>
      </w:pPr>
      <w:r>
        <w:t xml:space="preserve">Current control measures for this hazard are not effective in managing the risk to this </w:t>
      </w:r>
      <w:r w:rsidR="001D3902">
        <w:t>species</w:t>
      </w:r>
      <w:r>
        <w:t xml:space="preserve"> at the scale relevant to its conservation.</w:t>
      </w:r>
    </w:p>
    <w:p w14:paraId="245598B8" w14:textId="7D8781A5"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232</w:t>
      </w:r>
      <w:r w:rsidR="000B6788" w:rsidRPr="00B846FE">
        <w:rPr>
          <w:bCs/>
          <w:noProof/>
        </w:rPr>
        <w:fldChar w:fldCharType="end"/>
      </w:r>
      <w:r w:rsidRPr="00FF310C">
        <w:t>. Spicy Everlasting protection requirements and recommendations for drying climate</w:t>
      </w:r>
    </w:p>
    <w:tbl>
      <w:tblPr>
        <w:tblStyle w:val="TableGrid"/>
        <w:tblW w:w="0" w:type="auto"/>
        <w:tblLook w:val="04A0" w:firstRow="1" w:lastRow="0" w:firstColumn="1" w:lastColumn="0" w:noHBand="0" w:noVBand="1"/>
      </w:tblPr>
      <w:tblGrid>
        <w:gridCol w:w="2268"/>
        <w:gridCol w:w="7371"/>
      </w:tblGrid>
      <w:tr w:rsidR="00BE1D36" w14:paraId="262EDA25"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02D090E8"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1653C164"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2462EC4D" w14:textId="77777777" w:rsidTr="00B45E4E">
        <w:tc>
          <w:tcPr>
            <w:tcW w:w="2268" w:type="dxa"/>
            <w:tcBorders>
              <w:top w:val="single" w:sz="8" w:space="0" w:color="CDDC29" w:themeColor="text2"/>
              <w:left w:val="nil"/>
              <w:bottom w:val="single" w:sz="8" w:space="0" w:color="CDDC29" w:themeColor="text2"/>
              <w:right w:val="nil"/>
            </w:tcBorders>
            <w:hideMark/>
          </w:tcPr>
          <w:p w14:paraId="6E738C7D" w14:textId="19D0054D" w:rsidR="00BE1D36" w:rsidRDefault="004A1D6B"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61E18973" w14:textId="77777777" w:rsidR="00BE1D36" w:rsidRDefault="00BE1D36" w:rsidP="00B45E4E">
            <w:pPr>
              <w:pStyle w:val="BodyText"/>
            </w:pPr>
            <w:r>
              <w:t xml:space="preserve">Not required for this hazard as it is a longer-term threat. </w:t>
            </w:r>
          </w:p>
        </w:tc>
      </w:tr>
      <w:tr w:rsidR="00BE1D36" w14:paraId="441FB05C" w14:textId="77777777" w:rsidTr="00B45E4E">
        <w:tc>
          <w:tcPr>
            <w:tcW w:w="2268" w:type="dxa"/>
            <w:tcBorders>
              <w:top w:val="single" w:sz="8" w:space="0" w:color="CDDC29" w:themeColor="text2"/>
              <w:left w:val="nil"/>
              <w:bottom w:val="single" w:sz="8" w:space="0" w:color="CDDC29" w:themeColor="text2"/>
              <w:right w:val="nil"/>
            </w:tcBorders>
            <w:hideMark/>
          </w:tcPr>
          <w:p w14:paraId="2A04FDC7" w14:textId="63E6F1B0" w:rsidR="00BE1D36" w:rsidRDefault="004A1D6B"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1C88877F" w14:textId="049C5B22" w:rsidR="00BE1D36" w:rsidRDefault="00BE1D36" w:rsidP="006670D2">
            <w:pPr>
              <w:pStyle w:val="PullOutBoxBullet"/>
            </w:pPr>
            <w:r>
              <w:t xml:space="preserve">Establish </w:t>
            </w:r>
            <w:r w:rsidRPr="00915D82">
              <w:rPr>
                <w:i/>
                <w:iCs/>
              </w:rPr>
              <w:t>ex-situ</w:t>
            </w:r>
            <w:r>
              <w:t xml:space="preserve"> propagation</w:t>
            </w:r>
            <w:r w:rsidR="004A1D6B">
              <w:t>;</w:t>
            </w:r>
          </w:p>
          <w:p w14:paraId="3CC2E290" w14:textId="168A5E66" w:rsidR="00BE1D36" w:rsidRDefault="00BE1D36" w:rsidP="006670D2">
            <w:pPr>
              <w:pStyle w:val="PullOutBoxBullet"/>
            </w:pPr>
            <w:r>
              <w:t>Ensure important populations are appropriately recorded and available for values checking purposes</w:t>
            </w:r>
            <w:r w:rsidR="004A1D6B">
              <w:t>; and</w:t>
            </w:r>
          </w:p>
          <w:p w14:paraId="1B7A7679" w14:textId="6AF35A7D" w:rsidR="00BE1D36" w:rsidRDefault="00BE1D36" w:rsidP="006670D2">
            <w:pPr>
              <w:pStyle w:val="PullOutBoxBullet"/>
            </w:pPr>
            <w:r>
              <w:t xml:space="preserve">Consider options to conserve this </w:t>
            </w:r>
            <w:r w:rsidR="001D3902">
              <w:t>species</w:t>
            </w:r>
            <w:r>
              <w:t xml:space="preserve"> under climate change, including protection of refuges, maintenance of hydrological regimes, translocation to more secure sites and gene mixing to improve its adaptability.</w:t>
            </w:r>
          </w:p>
        </w:tc>
      </w:tr>
    </w:tbl>
    <w:p w14:paraId="0EBDA04D" w14:textId="77777777" w:rsidR="00BE1D36" w:rsidRDefault="00BE1D36" w:rsidP="007E5EBF">
      <w:pPr>
        <w:pStyle w:val="Heading3"/>
      </w:pPr>
      <w:r>
        <w:t>Forestry operations</w:t>
      </w:r>
    </w:p>
    <w:p w14:paraId="1BBB6C83" w14:textId="1294FB28" w:rsidR="00BE1D36" w:rsidRDefault="005D1677" w:rsidP="007E5EBF">
      <w:pPr>
        <w:pStyle w:val="Heading5"/>
      </w:pPr>
      <w:r>
        <w:t>F</w:t>
      </w:r>
      <w:r w:rsidR="00BE1D36">
        <w:t>orestry operations</w:t>
      </w:r>
    </w:p>
    <w:p w14:paraId="003E9C75" w14:textId="051AAABD" w:rsidR="00BE1D36" w:rsidRDefault="009751FF" w:rsidP="00BE1D36">
      <w:pPr>
        <w:pStyle w:val="BodyText"/>
      </w:pPr>
      <w:r w:rsidRPr="00FD57DB">
        <w:t>Based on the 2015 net harvest area layer</w:t>
      </w:r>
      <w:r w:rsidR="000B0726" w:rsidRPr="00FD57DB">
        <w:t>,</w:t>
      </w:r>
      <w:r w:rsidRPr="00FD57DB">
        <w:t xml:space="preserve"> 15% of the </w:t>
      </w:r>
      <w:r w:rsidR="001D3902">
        <w:t>species’</w:t>
      </w:r>
      <w:r w:rsidRPr="00FD57DB">
        <w:t xml:space="preserve"> modelled habitat and 11% of it</w:t>
      </w:r>
      <w:r w:rsidR="00CB7602" w:rsidRPr="00FD57DB">
        <w:t xml:space="preserve">s important populations </w:t>
      </w:r>
      <w:r w:rsidRPr="00FD57DB">
        <w:t>are in merchantable areas. Using the revised operable area layer</w:t>
      </w:r>
      <w:r w:rsidR="000B0726" w:rsidRPr="00FD57DB">
        <w:t>,</w:t>
      </w:r>
      <w:r w:rsidR="00C649E0" w:rsidRPr="00FD57DB">
        <w:t xml:space="preserve"> the </w:t>
      </w:r>
      <w:r w:rsidR="001D3902">
        <w:t>species’</w:t>
      </w:r>
      <w:r w:rsidR="00EF6C5A" w:rsidRPr="00FD57DB">
        <w:t xml:space="preserve"> modelled habitat is reduced to</w:t>
      </w:r>
      <w:r w:rsidRPr="00FD57DB">
        <w:t xml:space="preserve"> 5% </w:t>
      </w:r>
      <w:r w:rsidR="00EF6C5A" w:rsidRPr="00FD57DB">
        <w:t>in merchantable areas</w:t>
      </w:r>
      <w:r w:rsidR="003E749D" w:rsidRPr="00FD57DB">
        <w:t xml:space="preserve"> and</w:t>
      </w:r>
      <w:r w:rsidR="00EF6C5A" w:rsidRPr="00FD57DB">
        <w:t xml:space="preserve"> </w:t>
      </w:r>
      <w:r w:rsidR="003E749D" w:rsidRPr="00FD57DB">
        <w:t>its</w:t>
      </w:r>
      <w:r w:rsidR="00EF6C5A" w:rsidRPr="00FD57DB">
        <w:t xml:space="preserve"> important populations stay the same</w:t>
      </w:r>
      <w:r w:rsidR="00C649E0" w:rsidRPr="00FD57DB">
        <w:t xml:space="preserve"> at 11%.</w:t>
      </w:r>
      <w:r w:rsidR="00BE1D36" w:rsidRPr="00FD57DB">
        <w:t xml:space="preserve"> </w:t>
      </w:r>
      <w:r w:rsidR="00BE1D36">
        <w:t>The combination of disturbance associated with timber harvesting and any subsequent fires may result in disruptions to regeneration of this species and therefore population declines.</w:t>
      </w:r>
    </w:p>
    <w:p w14:paraId="7D04F730" w14:textId="77777777" w:rsidR="00BE1D36" w:rsidRDefault="00BE1D36" w:rsidP="00BE1D36">
      <w:pPr>
        <w:pStyle w:val="BodyText"/>
      </w:pPr>
      <w:r>
        <w:t>Current controls for this hazard include:</w:t>
      </w:r>
    </w:p>
    <w:p w14:paraId="428BDF9B" w14:textId="7113F2AF" w:rsidR="00BE1D36" w:rsidRDefault="00BE1D36" w:rsidP="006670D2">
      <w:pPr>
        <w:pStyle w:val="PullOutBoxBullet"/>
        <w:rPr>
          <w:rFonts w:ascii="Arial" w:hAnsi="Arial"/>
          <w:color w:val="363534"/>
        </w:rPr>
      </w:pPr>
      <w:r>
        <w:t>The </w:t>
      </w:r>
      <w:r>
        <w:rPr>
          <w:i/>
          <w:iCs/>
        </w:rPr>
        <w:t>Code of Practice for Timber Production 2014</w:t>
      </w:r>
      <w:r>
        <w:t xml:space="preserve">. This control has been evaluated as poor as the </w:t>
      </w:r>
      <w:r w:rsidR="001D3902">
        <w:t>species</w:t>
      </w:r>
      <w:r>
        <w:t xml:space="preserve"> does not have species-specific code prescriptions in the </w:t>
      </w:r>
      <w:r>
        <w:rPr>
          <w:rFonts w:ascii="Arial" w:hAnsi="Arial"/>
          <w:sz w:val="20"/>
        </w:rPr>
        <w:t>East Gippsland</w:t>
      </w:r>
      <w:r>
        <w:rPr>
          <w:rFonts w:ascii="Arial" w:hAnsi="Arial"/>
        </w:rPr>
        <w:t xml:space="preserve"> FMA where most of its modelled habitat occurs</w:t>
      </w:r>
      <w:r>
        <w:t xml:space="preserve">. </w:t>
      </w:r>
    </w:p>
    <w:p w14:paraId="0B0E0638" w14:textId="153AF051" w:rsidR="00BE1D36" w:rsidRPr="00C10F95" w:rsidRDefault="00BE1D36" w:rsidP="006670D2">
      <w:pPr>
        <w:pStyle w:val="PullOutBoxBullet"/>
      </w:pPr>
      <w:r>
        <w:t xml:space="preserve">The CAR reserve system. </w:t>
      </w:r>
      <w:r w:rsidR="003809EB" w:rsidRPr="00C10F95">
        <w:t>The effectiveness of this control for this species has been evaluated</w:t>
      </w:r>
      <w:r w:rsidR="003809EB">
        <w:t xml:space="preserve"> as </w:t>
      </w:r>
      <w:r>
        <w:t xml:space="preserve">satisfactory as 66% of the </w:t>
      </w:r>
      <w:r w:rsidR="001D3902">
        <w:t>species’</w:t>
      </w:r>
      <w:r>
        <w:t xml:space="preserve"> modelled distribution and 68% of important populations are within the reserve system.</w:t>
      </w:r>
    </w:p>
    <w:p w14:paraId="34113BB5" w14:textId="7DB0F0F4"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233</w:t>
      </w:r>
      <w:r w:rsidR="000B6788" w:rsidRPr="00B846FE">
        <w:rPr>
          <w:bCs/>
          <w:noProof/>
        </w:rPr>
        <w:fldChar w:fldCharType="end"/>
      </w:r>
      <w:r w:rsidRPr="00FF310C">
        <w:t>. Spicy Everlasting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BE1D36" w14:paraId="7FE75D53"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42C4C6C"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027C9185"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03DB7D13" w14:textId="77777777" w:rsidTr="00B45E4E">
        <w:tc>
          <w:tcPr>
            <w:tcW w:w="2268" w:type="dxa"/>
            <w:tcBorders>
              <w:top w:val="single" w:sz="8" w:space="0" w:color="CDDC29" w:themeColor="text2"/>
              <w:left w:val="nil"/>
              <w:bottom w:val="single" w:sz="8" w:space="0" w:color="CDDC29" w:themeColor="text2"/>
              <w:right w:val="nil"/>
            </w:tcBorders>
            <w:hideMark/>
          </w:tcPr>
          <w:p w14:paraId="69F43A54" w14:textId="5A504DE4" w:rsidR="00BE1D36" w:rsidRDefault="00BE1D36" w:rsidP="00B45E4E">
            <w:pPr>
              <w:pStyle w:val="BodyText"/>
            </w:pPr>
            <w:r>
              <w:t>Interim protections</w:t>
            </w:r>
            <w:r w:rsidR="004A1D6B">
              <w:t xml:space="preserve"> </w:t>
            </w:r>
          </w:p>
        </w:tc>
        <w:tc>
          <w:tcPr>
            <w:tcW w:w="7371" w:type="dxa"/>
            <w:tcBorders>
              <w:top w:val="single" w:sz="8" w:space="0" w:color="CDDC29" w:themeColor="text2"/>
              <w:left w:val="nil"/>
              <w:bottom w:val="single" w:sz="8" w:space="0" w:color="CDDC29" w:themeColor="text2"/>
              <w:right w:val="nil"/>
            </w:tcBorders>
            <w:hideMark/>
          </w:tcPr>
          <w:p w14:paraId="596E9F20" w14:textId="07C3555F" w:rsidR="00BE1D36" w:rsidRDefault="0018753E" w:rsidP="00B45E4E">
            <w:pPr>
              <w:spacing w:line="240" w:lineRule="auto"/>
              <w:textAlignment w:val="baseline"/>
            </w:pPr>
            <w:r>
              <w:t>Not required for this hazard based on the overall risk level of medium.</w:t>
            </w:r>
          </w:p>
        </w:tc>
      </w:tr>
      <w:tr w:rsidR="008971B7" w14:paraId="5F9999DA" w14:textId="77777777" w:rsidTr="00B45E4E">
        <w:tc>
          <w:tcPr>
            <w:tcW w:w="2268" w:type="dxa"/>
            <w:tcBorders>
              <w:top w:val="single" w:sz="8" w:space="0" w:color="CDDC29" w:themeColor="text2"/>
              <w:left w:val="nil"/>
              <w:bottom w:val="single" w:sz="8" w:space="0" w:color="CDDC29" w:themeColor="text2"/>
              <w:right w:val="nil"/>
            </w:tcBorders>
          </w:tcPr>
          <w:p w14:paraId="653506DC" w14:textId="22B0335D" w:rsidR="008971B7" w:rsidRDefault="008971B7"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3E550B27" w14:textId="2F576BC5" w:rsidR="008971B7" w:rsidRDefault="0018753E" w:rsidP="00B45E4E">
            <w:pPr>
              <w:pStyle w:val="BodyText"/>
            </w:pPr>
            <w:r>
              <w:t>Not required for this hazard based on the overall risk level of medium.</w:t>
            </w:r>
          </w:p>
        </w:tc>
      </w:tr>
      <w:tr w:rsidR="008971B7" w14:paraId="0C2265B0" w14:textId="77777777" w:rsidTr="00B45E4E">
        <w:tc>
          <w:tcPr>
            <w:tcW w:w="2268" w:type="dxa"/>
            <w:tcBorders>
              <w:top w:val="single" w:sz="8" w:space="0" w:color="CDDC29" w:themeColor="text2"/>
              <w:left w:val="nil"/>
              <w:bottom w:val="single" w:sz="8" w:space="0" w:color="CDDC29" w:themeColor="text2"/>
              <w:right w:val="nil"/>
            </w:tcBorders>
            <w:hideMark/>
          </w:tcPr>
          <w:p w14:paraId="1659EB57" w14:textId="77777777" w:rsidR="008971B7" w:rsidRDefault="008971B7" w:rsidP="00B45E4E">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12A62D3E" w14:textId="77777777" w:rsidR="008971B7" w:rsidRDefault="008971B7" w:rsidP="00B45E4E">
            <w:pPr>
              <w:pStyle w:val="BodyText"/>
            </w:pPr>
            <w:r>
              <w:t>Additional permanent protections may be required in the longer-term.</w:t>
            </w:r>
          </w:p>
        </w:tc>
      </w:tr>
      <w:tr w:rsidR="008971B7" w14:paraId="4C833A05" w14:textId="77777777" w:rsidTr="00B45E4E">
        <w:tc>
          <w:tcPr>
            <w:tcW w:w="2268" w:type="dxa"/>
            <w:tcBorders>
              <w:top w:val="single" w:sz="8" w:space="0" w:color="CDDC29" w:themeColor="text2"/>
              <w:left w:val="nil"/>
              <w:bottom w:val="single" w:sz="8" w:space="0" w:color="CDDC29" w:themeColor="text2"/>
              <w:right w:val="nil"/>
            </w:tcBorders>
            <w:hideMark/>
          </w:tcPr>
          <w:p w14:paraId="1EA3D354" w14:textId="4C6E3861" w:rsidR="008971B7" w:rsidRDefault="008971B7" w:rsidP="00B45E4E">
            <w:pPr>
              <w:pStyle w:val="BodyText"/>
            </w:pPr>
            <w:r>
              <w:t>Potential management actions</w:t>
            </w:r>
          </w:p>
        </w:tc>
        <w:tc>
          <w:tcPr>
            <w:tcW w:w="7371" w:type="dxa"/>
            <w:tcBorders>
              <w:top w:val="single" w:sz="8" w:space="0" w:color="CDDC29" w:themeColor="text2"/>
              <w:left w:val="nil"/>
              <w:bottom w:val="single" w:sz="8" w:space="0" w:color="CDDC29" w:themeColor="text2"/>
              <w:right w:val="nil"/>
            </w:tcBorders>
            <w:hideMark/>
          </w:tcPr>
          <w:p w14:paraId="0DEEEE72" w14:textId="416BFAB7" w:rsidR="008971B7" w:rsidRDefault="008971B7" w:rsidP="006670D2">
            <w:pPr>
              <w:pStyle w:val="PullOutBoxBullet"/>
              <w:rPr>
                <w:rFonts w:cs="Arial"/>
                <w:sz w:val="20"/>
              </w:rPr>
            </w:pPr>
            <w:r>
              <w:t>Ensure important populations are appropriately recorded and available for coupe planning purposes; and</w:t>
            </w:r>
          </w:p>
          <w:p w14:paraId="223E5658" w14:textId="489A2B66" w:rsidR="008971B7" w:rsidRDefault="008971B7" w:rsidP="006670D2">
            <w:pPr>
              <w:pStyle w:val="PullOutBoxBullet"/>
            </w:pPr>
            <w:r>
              <w:t>Consider reviewing and extending species-specific code prescription to East Gippsland as part of any future Code amendments.</w:t>
            </w:r>
          </w:p>
        </w:tc>
      </w:tr>
    </w:tbl>
    <w:p w14:paraId="6155B9AA" w14:textId="77777777" w:rsidR="00BE1D36" w:rsidRDefault="00BE1D36" w:rsidP="00BE1D36">
      <w:pPr>
        <w:pStyle w:val="ListBullet"/>
        <w:numPr>
          <w:ilvl w:val="0"/>
          <w:numId w:val="0"/>
        </w:numPr>
        <w:ind w:left="397"/>
        <w:rPr>
          <w:szCs w:val="20"/>
        </w:rPr>
      </w:pPr>
    </w:p>
    <w:p w14:paraId="7469D8B1" w14:textId="77777777" w:rsidR="00134C6A" w:rsidRDefault="00134C6A">
      <w:pPr>
        <w:rPr>
          <w:rFonts w:ascii="Arial" w:hAnsi="Arial"/>
          <w:b/>
          <w:bCs/>
          <w:i/>
          <w:iCs/>
          <w:color w:val="00B2A9" w:themeColor="accent1"/>
          <w:kern w:val="20"/>
          <w:sz w:val="24"/>
          <w:szCs w:val="28"/>
          <w:highlight w:val="lightGray"/>
        </w:rPr>
      </w:pPr>
      <w:bookmarkStart w:id="968" w:name="_Toc87531588"/>
      <w:r>
        <w:rPr>
          <w:highlight w:val="lightGray"/>
        </w:rPr>
        <w:br w:type="page"/>
      </w:r>
    </w:p>
    <w:p w14:paraId="30C0A585" w14:textId="62BC7F3B" w:rsidR="00BE1D36" w:rsidRPr="00134C6A" w:rsidRDefault="00BE1D36" w:rsidP="00171F18">
      <w:pPr>
        <w:pStyle w:val="Heading2"/>
        <w:ind w:left="0"/>
        <w:rPr>
          <w:i/>
          <w:iCs/>
        </w:rPr>
      </w:pPr>
      <w:bookmarkStart w:id="969" w:name="_Toc113271071"/>
      <w:r w:rsidRPr="00134C6A">
        <w:t xml:space="preserve">Sticky Wattle </w:t>
      </w:r>
      <w:r w:rsidRPr="005F7D8C">
        <w:rPr>
          <w:i/>
          <w:iCs/>
        </w:rPr>
        <w:t>(Acacia howittii)</w:t>
      </w:r>
      <w:bookmarkEnd w:id="968"/>
      <w:bookmarkEnd w:id="969"/>
    </w:p>
    <w:p w14:paraId="699AB555" w14:textId="57A4241C" w:rsidR="00BE1D36" w:rsidRDefault="00BE1D36" w:rsidP="00BE1D36">
      <w:pPr>
        <w:pStyle w:val="BodyText"/>
      </w:pPr>
      <w:r>
        <w:t xml:space="preserve">The Sticky Wattle was listed as Vulnerable in Australia under the FFG Act in May 2021. The </w:t>
      </w:r>
      <w:r w:rsidR="001D3902">
        <w:t>species</w:t>
      </w:r>
      <w:r>
        <w:t xml:space="preserve"> occurs in the Gippsland (76% of modelled habitat), Central Highlands (7% of modelled habitat), North East (4% of modelled habitat) and West (1% of modelled habitat) RFA regions, with 12% of modelled habitat in non-RFA regions. </w:t>
      </w:r>
      <w:r>
        <w:rPr>
          <w:rStyle w:val="BodyTextChar"/>
        </w:rPr>
        <w:t>Permanent protections are recommended to address any hazards identified at a significant or high risk, and all</w:t>
      </w:r>
      <w:r>
        <w:t xml:space="preserve"> hazards rated a medium risk or higher will be considered in future management planning.</w:t>
      </w:r>
    </w:p>
    <w:p w14:paraId="6F2B6BCC" w14:textId="77777777" w:rsidR="00BE1D36" w:rsidRDefault="00BE1D36" w:rsidP="007E5EBF">
      <w:pPr>
        <w:pStyle w:val="Heading3"/>
      </w:pPr>
      <w:r>
        <w:t>Risk Assessment</w:t>
      </w:r>
    </w:p>
    <w:p w14:paraId="6FD35CDB" w14:textId="6718CEAD"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234</w:t>
      </w:r>
      <w:r w:rsidR="000B6788" w:rsidRPr="00B846FE">
        <w:rPr>
          <w:bCs/>
          <w:noProof/>
        </w:rPr>
        <w:fldChar w:fldCharType="end"/>
      </w:r>
      <w:r w:rsidRPr="00FF310C">
        <w:t>. Sticky Wattle risk ratings in the Gippsland RFA region:</w:t>
      </w:r>
    </w:p>
    <w:tbl>
      <w:tblPr>
        <w:tblStyle w:val="TableGrid"/>
        <w:tblW w:w="9750" w:type="dxa"/>
        <w:tblLayout w:type="fixed"/>
        <w:tblLook w:val="04A0" w:firstRow="1" w:lastRow="0" w:firstColumn="1" w:lastColumn="0" w:noHBand="0" w:noVBand="1"/>
      </w:tblPr>
      <w:tblGrid>
        <w:gridCol w:w="1814"/>
        <w:gridCol w:w="1984"/>
        <w:gridCol w:w="1984"/>
        <w:gridCol w:w="1984"/>
        <w:gridCol w:w="1984"/>
      </w:tblGrid>
      <w:tr w:rsidR="00BE1D36" w14:paraId="58668C12"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14" w:type="dxa"/>
            <w:tcBorders>
              <w:top w:val="single" w:sz="8" w:space="0" w:color="CDDC29" w:themeColor="text2"/>
              <w:left w:val="nil"/>
              <w:bottom w:val="single" w:sz="8" w:space="0" w:color="CDDC29" w:themeColor="text2"/>
              <w:right w:val="nil"/>
            </w:tcBorders>
            <w:vAlign w:val="center"/>
          </w:tcPr>
          <w:p w14:paraId="1A9E1F31" w14:textId="77777777" w:rsidR="00BE1D36" w:rsidRDefault="00BE1D36" w:rsidP="006670D2">
            <w:pPr>
              <w:pStyle w:val="CaptionImageorFigure"/>
            </w:pPr>
          </w:p>
        </w:tc>
        <w:tc>
          <w:tcPr>
            <w:tcW w:w="1984" w:type="dxa"/>
            <w:tcBorders>
              <w:top w:val="single" w:sz="8" w:space="0" w:color="CDDC29" w:themeColor="text2"/>
              <w:left w:val="nil"/>
              <w:bottom w:val="single" w:sz="8" w:space="0" w:color="CDDC29" w:themeColor="text2"/>
              <w:right w:val="nil"/>
            </w:tcBorders>
            <w:vAlign w:val="center"/>
            <w:hideMark/>
          </w:tcPr>
          <w:p w14:paraId="3F1F685A"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984" w:type="dxa"/>
            <w:tcBorders>
              <w:top w:val="single" w:sz="8" w:space="0" w:color="CDDC29" w:themeColor="text2"/>
              <w:left w:val="nil"/>
              <w:bottom w:val="single" w:sz="8" w:space="0" w:color="CDDC29" w:themeColor="text2"/>
              <w:right w:val="nil"/>
            </w:tcBorders>
            <w:vAlign w:val="center"/>
            <w:hideMark/>
          </w:tcPr>
          <w:p w14:paraId="32F31E76"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c>
          <w:tcPr>
            <w:tcW w:w="1984" w:type="dxa"/>
            <w:tcBorders>
              <w:top w:val="single" w:sz="8" w:space="0" w:color="CDDC29" w:themeColor="text2"/>
              <w:left w:val="nil"/>
              <w:bottom w:val="single" w:sz="8" w:space="0" w:color="CDDC29" w:themeColor="text2"/>
              <w:right w:val="nil"/>
            </w:tcBorders>
            <w:vAlign w:val="center"/>
            <w:hideMark/>
          </w:tcPr>
          <w:p w14:paraId="33E45F92"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c>
          <w:tcPr>
            <w:tcW w:w="1984" w:type="dxa"/>
            <w:tcBorders>
              <w:top w:val="single" w:sz="8" w:space="0" w:color="CDDC29" w:themeColor="text2"/>
              <w:left w:val="nil"/>
              <w:bottom w:val="single" w:sz="8" w:space="0" w:color="CDDC29" w:themeColor="text2"/>
              <w:right w:val="nil"/>
            </w:tcBorders>
            <w:vAlign w:val="center"/>
            <w:hideMark/>
          </w:tcPr>
          <w:p w14:paraId="5B33418C"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Native browsers and grazers</w:t>
            </w:r>
          </w:p>
        </w:tc>
      </w:tr>
      <w:tr w:rsidR="00BE1D36" w14:paraId="00091960" w14:textId="77777777" w:rsidTr="00BE1D36">
        <w:tc>
          <w:tcPr>
            <w:tcW w:w="1814" w:type="dxa"/>
            <w:tcBorders>
              <w:top w:val="single" w:sz="8" w:space="0" w:color="CDDC29" w:themeColor="text2"/>
              <w:left w:val="nil"/>
              <w:bottom w:val="single" w:sz="8" w:space="0" w:color="CDDC29" w:themeColor="text2"/>
              <w:right w:val="nil"/>
            </w:tcBorders>
            <w:vAlign w:val="center"/>
            <w:hideMark/>
          </w:tcPr>
          <w:p w14:paraId="7118842C" w14:textId="77777777" w:rsidR="00BE1D36" w:rsidRDefault="00BE1D36">
            <w:pPr>
              <w:pStyle w:val="BodyText"/>
              <w:jc w:val="center"/>
            </w:pPr>
            <w:r>
              <w:t>Consequence</w:t>
            </w:r>
          </w:p>
        </w:tc>
        <w:tc>
          <w:tcPr>
            <w:tcW w:w="1984" w:type="dxa"/>
            <w:tcBorders>
              <w:top w:val="single" w:sz="8" w:space="0" w:color="CDDC29" w:themeColor="text2"/>
              <w:left w:val="nil"/>
              <w:bottom w:val="single" w:sz="8" w:space="0" w:color="CDDC29" w:themeColor="text2"/>
              <w:right w:val="nil"/>
            </w:tcBorders>
            <w:vAlign w:val="center"/>
            <w:hideMark/>
          </w:tcPr>
          <w:p w14:paraId="549392EE" w14:textId="77777777" w:rsidR="00BE1D36" w:rsidRDefault="00BE1D36">
            <w:pPr>
              <w:pStyle w:val="BodyText"/>
              <w:jc w:val="center"/>
            </w:pPr>
            <w:r>
              <w:t>Major</w:t>
            </w:r>
          </w:p>
        </w:tc>
        <w:tc>
          <w:tcPr>
            <w:tcW w:w="1984" w:type="dxa"/>
            <w:tcBorders>
              <w:top w:val="single" w:sz="8" w:space="0" w:color="CDDC29" w:themeColor="text2"/>
              <w:left w:val="nil"/>
              <w:bottom w:val="single" w:sz="8" w:space="0" w:color="CDDC29" w:themeColor="text2"/>
              <w:right w:val="nil"/>
            </w:tcBorders>
            <w:vAlign w:val="center"/>
            <w:hideMark/>
          </w:tcPr>
          <w:p w14:paraId="3C78938C" w14:textId="77777777" w:rsidR="00BE1D36" w:rsidRDefault="00BE1D36">
            <w:pPr>
              <w:pStyle w:val="BodyText"/>
              <w:jc w:val="center"/>
            </w:pPr>
            <w:r>
              <w:t>Major</w:t>
            </w:r>
          </w:p>
        </w:tc>
        <w:tc>
          <w:tcPr>
            <w:tcW w:w="1984" w:type="dxa"/>
            <w:tcBorders>
              <w:top w:val="single" w:sz="8" w:space="0" w:color="CDDC29" w:themeColor="text2"/>
              <w:left w:val="nil"/>
              <w:bottom w:val="single" w:sz="8" w:space="0" w:color="CDDC29" w:themeColor="text2"/>
              <w:right w:val="nil"/>
            </w:tcBorders>
            <w:vAlign w:val="center"/>
            <w:hideMark/>
          </w:tcPr>
          <w:p w14:paraId="78C12897" w14:textId="77777777" w:rsidR="00BE1D36" w:rsidRDefault="00BE1D36">
            <w:pPr>
              <w:pStyle w:val="BodyText"/>
              <w:jc w:val="center"/>
            </w:pPr>
            <w:r>
              <w:t>Moderate</w:t>
            </w:r>
          </w:p>
        </w:tc>
        <w:tc>
          <w:tcPr>
            <w:tcW w:w="1984" w:type="dxa"/>
            <w:tcBorders>
              <w:top w:val="single" w:sz="8" w:space="0" w:color="CDDC29" w:themeColor="text2"/>
              <w:left w:val="nil"/>
              <w:bottom w:val="single" w:sz="8" w:space="0" w:color="CDDC29" w:themeColor="text2"/>
              <w:right w:val="nil"/>
            </w:tcBorders>
            <w:vAlign w:val="center"/>
            <w:hideMark/>
          </w:tcPr>
          <w:p w14:paraId="253F14AE" w14:textId="77777777" w:rsidR="00BE1D36" w:rsidRDefault="00BE1D36">
            <w:pPr>
              <w:pStyle w:val="BodyText"/>
              <w:jc w:val="center"/>
            </w:pPr>
            <w:r>
              <w:t>Moderate</w:t>
            </w:r>
          </w:p>
        </w:tc>
      </w:tr>
      <w:tr w:rsidR="00BE1D36" w14:paraId="6A4A468D" w14:textId="77777777" w:rsidTr="00BE1D36">
        <w:tc>
          <w:tcPr>
            <w:tcW w:w="1814" w:type="dxa"/>
            <w:tcBorders>
              <w:top w:val="single" w:sz="8" w:space="0" w:color="CDDC29" w:themeColor="text2"/>
              <w:left w:val="nil"/>
              <w:bottom w:val="single" w:sz="8" w:space="0" w:color="CDDC29" w:themeColor="text2"/>
              <w:right w:val="nil"/>
            </w:tcBorders>
            <w:vAlign w:val="center"/>
            <w:hideMark/>
          </w:tcPr>
          <w:p w14:paraId="781F3A42" w14:textId="77777777" w:rsidR="00BE1D36" w:rsidRDefault="00BE1D36">
            <w:pPr>
              <w:pStyle w:val="BodyText"/>
              <w:jc w:val="center"/>
            </w:pPr>
            <w:r>
              <w:t>Likelihood</w:t>
            </w:r>
          </w:p>
        </w:tc>
        <w:tc>
          <w:tcPr>
            <w:tcW w:w="1984" w:type="dxa"/>
            <w:tcBorders>
              <w:top w:val="single" w:sz="8" w:space="0" w:color="CDDC29" w:themeColor="text2"/>
              <w:left w:val="nil"/>
              <w:bottom w:val="single" w:sz="8" w:space="0" w:color="CDDC29" w:themeColor="text2"/>
              <w:right w:val="nil"/>
            </w:tcBorders>
            <w:vAlign w:val="center"/>
            <w:hideMark/>
          </w:tcPr>
          <w:p w14:paraId="610AF3A2" w14:textId="77777777" w:rsidR="00BE1D36" w:rsidRDefault="00BE1D36">
            <w:pPr>
              <w:pStyle w:val="BodyText"/>
              <w:jc w:val="center"/>
            </w:pPr>
            <w:r>
              <w:t>Rare</w:t>
            </w:r>
          </w:p>
        </w:tc>
        <w:tc>
          <w:tcPr>
            <w:tcW w:w="1984" w:type="dxa"/>
            <w:tcBorders>
              <w:top w:val="single" w:sz="8" w:space="0" w:color="CDDC29" w:themeColor="text2"/>
              <w:left w:val="nil"/>
              <w:bottom w:val="single" w:sz="8" w:space="0" w:color="CDDC29" w:themeColor="text2"/>
              <w:right w:val="nil"/>
            </w:tcBorders>
            <w:vAlign w:val="center"/>
            <w:hideMark/>
          </w:tcPr>
          <w:p w14:paraId="7C31667D" w14:textId="77777777" w:rsidR="00BE1D36" w:rsidRDefault="00BE1D36">
            <w:pPr>
              <w:pStyle w:val="BodyText"/>
              <w:jc w:val="center"/>
            </w:pPr>
            <w:r>
              <w:t>Likely</w:t>
            </w:r>
          </w:p>
        </w:tc>
        <w:tc>
          <w:tcPr>
            <w:tcW w:w="1984" w:type="dxa"/>
            <w:tcBorders>
              <w:top w:val="single" w:sz="8" w:space="0" w:color="CDDC29" w:themeColor="text2"/>
              <w:left w:val="nil"/>
              <w:bottom w:val="single" w:sz="8" w:space="0" w:color="CDDC29" w:themeColor="text2"/>
              <w:right w:val="nil"/>
            </w:tcBorders>
            <w:vAlign w:val="center"/>
            <w:hideMark/>
          </w:tcPr>
          <w:p w14:paraId="0E35C50C" w14:textId="77777777" w:rsidR="00BE1D36" w:rsidRDefault="00BE1D36">
            <w:pPr>
              <w:pStyle w:val="BodyText"/>
              <w:jc w:val="center"/>
              <w:rPr>
                <w:color w:val="auto"/>
              </w:rPr>
            </w:pPr>
            <w:r>
              <w:t>Likely</w:t>
            </w:r>
          </w:p>
        </w:tc>
        <w:tc>
          <w:tcPr>
            <w:tcW w:w="1984" w:type="dxa"/>
            <w:tcBorders>
              <w:top w:val="single" w:sz="8" w:space="0" w:color="CDDC29" w:themeColor="text2"/>
              <w:left w:val="nil"/>
              <w:bottom w:val="single" w:sz="8" w:space="0" w:color="CDDC29" w:themeColor="text2"/>
              <w:right w:val="nil"/>
            </w:tcBorders>
            <w:vAlign w:val="center"/>
            <w:hideMark/>
          </w:tcPr>
          <w:p w14:paraId="3FD505BF" w14:textId="77777777" w:rsidR="00BE1D36" w:rsidRDefault="00BE1D36">
            <w:pPr>
              <w:pStyle w:val="BodyText"/>
              <w:jc w:val="center"/>
              <w:rPr>
                <w:color w:val="auto"/>
              </w:rPr>
            </w:pPr>
            <w:r>
              <w:t>Likely</w:t>
            </w:r>
          </w:p>
        </w:tc>
      </w:tr>
      <w:tr w:rsidR="00BE1D36" w14:paraId="228CA058" w14:textId="77777777" w:rsidTr="00BE1D36">
        <w:tc>
          <w:tcPr>
            <w:tcW w:w="1814" w:type="dxa"/>
            <w:tcBorders>
              <w:top w:val="single" w:sz="8" w:space="0" w:color="CDDC29" w:themeColor="text2"/>
              <w:left w:val="nil"/>
              <w:bottom w:val="single" w:sz="8" w:space="0" w:color="CDDC29" w:themeColor="text2"/>
              <w:right w:val="nil"/>
            </w:tcBorders>
            <w:vAlign w:val="center"/>
            <w:hideMark/>
          </w:tcPr>
          <w:p w14:paraId="3E818B14" w14:textId="77777777" w:rsidR="00BE1D36" w:rsidRDefault="00BE1D36">
            <w:pPr>
              <w:pStyle w:val="BodyText"/>
              <w:jc w:val="center"/>
            </w:pPr>
            <w:r>
              <w:t>Overall risk rating</w:t>
            </w:r>
          </w:p>
        </w:tc>
        <w:tc>
          <w:tcPr>
            <w:tcW w:w="1984" w:type="dxa"/>
            <w:tcBorders>
              <w:top w:val="single" w:sz="8" w:space="0" w:color="CDDC29" w:themeColor="text2"/>
              <w:left w:val="nil"/>
              <w:bottom w:val="single" w:sz="8" w:space="0" w:color="CDDC29" w:themeColor="text2"/>
              <w:right w:val="nil"/>
            </w:tcBorders>
            <w:shd w:val="clear" w:color="auto" w:fill="FFFF00"/>
            <w:vAlign w:val="center"/>
            <w:hideMark/>
          </w:tcPr>
          <w:p w14:paraId="0AC161C6" w14:textId="77777777" w:rsidR="00BE1D36" w:rsidRDefault="00BE1D36">
            <w:pPr>
              <w:pStyle w:val="BodyText"/>
              <w:jc w:val="center"/>
            </w:pPr>
            <w:r>
              <w:t>Medium</w:t>
            </w:r>
          </w:p>
        </w:tc>
        <w:tc>
          <w:tcPr>
            <w:tcW w:w="1984" w:type="dxa"/>
            <w:tcBorders>
              <w:top w:val="single" w:sz="8" w:space="0" w:color="CDDC29" w:themeColor="text2"/>
              <w:left w:val="nil"/>
              <w:bottom w:val="single" w:sz="8" w:space="0" w:color="CDDC29" w:themeColor="text2"/>
              <w:right w:val="nil"/>
            </w:tcBorders>
            <w:shd w:val="clear" w:color="auto" w:fill="FF0000"/>
            <w:vAlign w:val="center"/>
            <w:hideMark/>
          </w:tcPr>
          <w:p w14:paraId="37D0A4CC" w14:textId="77777777" w:rsidR="00BE1D36" w:rsidRDefault="00BE1D36">
            <w:pPr>
              <w:pStyle w:val="BodyText"/>
              <w:jc w:val="center"/>
            </w:pPr>
            <w:r>
              <w:t>High</w:t>
            </w:r>
          </w:p>
        </w:tc>
        <w:tc>
          <w:tcPr>
            <w:tcW w:w="1984" w:type="dxa"/>
            <w:tcBorders>
              <w:top w:val="single" w:sz="8" w:space="0" w:color="CDDC29" w:themeColor="text2"/>
              <w:left w:val="nil"/>
              <w:bottom w:val="single" w:sz="8" w:space="0" w:color="CDDC29" w:themeColor="text2"/>
              <w:right w:val="nil"/>
            </w:tcBorders>
            <w:shd w:val="clear" w:color="auto" w:fill="FFC000"/>
            <w:vAlign w:val="center"/>
            <w:hideMark/>
          </w:tcPr>
          <w:p w14:paraId="5A4F04F8" w14:textId="77777777" w:rsidR="00BE1D36" w:rsidRDefault="00BE1D36">
            <w:pPr>
              <w:pStyle w:val="BodyText"/>
              <w:jc w:val="center"/>
              <w:rPr>
                <w:color w:val="auto"/>
              </w:rPr>
            </w:pPr>
            <w:r>
              <w:t>Significant</w:t>
            </w:r>
          </w:p>
        </w:tc>
        <w:tc>
          <w:tcPr>
            <w:tcW w:w="1984" w:type="dxa"/>
            <w:tcBorders>
              <w:top w:val="single" w:sz="8" w:space="0" w:color="CDDC29" w:themeColor="text2"/>
              <w:left w:val="nil"/>
              <w:bottom w:val="single" w:sz="8" w:space="0" w:color="CDDC29" w:themeColor="text2"/>
              <w:right w:val="nil"/>
            </w:tcBorders>
            <w:shd w:val="clear" w:color="auto" w:fill="FFC000"/>
            <w:vAlign w:val="center"/>
            <w:hideMark/>
          </w:tcPr>
          <w:p w14:paraId="247E7649" w14:textId="77777777" w:rsidR="00BE1D36" w:rsidRDefault="00BE1D36">
            <w:pPr>
              <w:pStyle w:val="BodyText"/>
              <w:jc w:val="center"/>
              <w:rPr>
                <w:color w:val="auto"/>
              </w:rPr>
            </w:pPr>
            <w:r>
              <w:t>Significant</w:t>
            </w:r>
          </w:p>
        </w:tc>
      </w:tr>
    </w:tbl>
    <w:p w14:paraId="07F010EF" w14:textId="77777777" w:rsidR="00BE1D36" w:rsidRDefault="00BE1D36" w:rsidP="007E5EBF">
      <w:pPr>
        <w:pStyle w:val="Heading3"/>
      </w:pPr>
      <w:r>
        <w:t>Fire</w:t>
      </w:r>
    </w:p>
    <w:p w14:paraId="1FC666CF" w14:textId="77777777" w:rsidR="00BE1D36" w:rsidRDefault="00BE1D36" w:rsidP="007E5EBF">
      <w:pPr>
        <w:pStyle w:val="Heading5"/>
      </w:pPr>
      <w:r>
        <w:t>Increased fire frequency and intensity</w:t>
      </w:r>
    </w:p>
    <w:p w14:paraId="1962DFB4" w14:textId="7B900DA1" w:rsidR="00BE1D36" w:rsidRDefault="00BE1D36" w:rsidP="00BE1D36">
      <w:pPr>
        <w:pStyle w:val="BodyText"/>
      </w:pPr>
      <w:r>
        <w:t xml:space="preserve">The </w:t>
      </w:r>
      <w:r w:rsidR="001D3902">
        <w:t>species</w:t>
      </w:r>
      <w:r>
        <w:t xml:space="preserve"> may be threatened by climatic drying and increased fire risk across 100% of its range. This hazard may act synergistically to increase the exposure of recruiting stands to the risk of recruitment failure in response to extreme drought stress or targeted browsing pressure and, therefore, of seedbank depletion. Young recruits can flower and set seed within 5-7 years of germination, therefore the risk of repeat fire events at intervals approaching the tolerable fire interval for the </w:t>
      </w:r>
      <w:r w:rsidR="001D3902">
        <w:t>species</w:t>
      </w:r>
      <w:r>
        <w:t xml:space="preserve"> is low</w:t>
      </w:r>
      <w:r w:rsidR="004C6E7B">
        <w:t>,</w:t>
      </w:r>
      <w:r>
        <w:t xml:space="preserve"> since few habitats accumulate sufficient fuel levels to support intense fire within the </w:t>
      </w:r>
      <w:r w:rsidR="00E57924">
        <w:t>tolerable fire interval</w:t>
      </w:r>
      <w:r>
        <w:t>. In the longer term, however, this risk is projected to increase.</w:t>
      </w:r>
    </w:p>
    <w:p w14:paraId="012CC154" w14:textId="469AA6E2" w:rsidR="00BE1D36" w:rsidRDefault="00BE1D36" w:rsidP="00BE1D36">
      <w:pPr>
        <w:pStyle w:val="BodyText"/>
      </w:pPr>
      <w:r>
        <w:t>This hazard interacts with all other hazards that expose populations and small, isolated</w:t>
      </w:r>
      <w:r w:rsidR="00DE27E1">
        <w:t>,</w:t>
      </w:r>
      <w:r>
        <w:t xml:space="preserve"> or disjunct remnant stands to disturbance including grazing/browsing threats, seed-bank exhaustion and other climate change pressures that drive plant mortality, including drought and drying effects.</w:t>
      </w:r>
    </w:p>
    <w:p w14:paraId="2D016B30" w14:textId="77777777" w:rsidR="00BE1D36" w:rsidRDefault="00BE1D36" w:rsidP="00BE1D36">
      <w:pPr>
        <w:pStyle w:val="BodyText"/>
      </w:pPr>
      <w:r>
        <w:t>Current controls for this hazard include:</w:t>
      </w:r>
    </w:p>
    <w:p w14:paraId="2A79E8B5" w14:textId="08FAC55D" w:rsidR="00BE1D36" w:rsidRDefault="00BE1D36" w:rsidP="006670D2">
      <w:pPr>
        <w:pStyle w:val="PullOutBoxBullet"/>
      </w:pPr>
      <w:r>
        <w:t xml:space="preserve">The </w:t>
      </w:r>
      <w:r>
        <w:rPr>
          <w:i/>
          <w:iCs/>
        </w:rPr>
        <w:t xml:space="preserve">Climate Change Act 2017 </w:t>
      </w:r>
      <w:r>
        <w:t xml:space="preserve">and associated mitigation strategies. These controls are strategic in nature and are not considered to be effective in managing the risk to this </w:t>
      </w:r>
      <w:r w:rsidR="001D3902">
        <w:t>species</w:t>
      </w:r>
      <w:r>
        <w:t xml:space="preserve"> at the scale relevant to its conservation.</w:t>
      </w:r>
    </w:p>
    <w:p w14:paraId="21E125AF" w14:textId="6DA58872" w:rsidR="00BE1D36" w:rsidRDefault="00BE1D36" w:rsidP="006670D2">
      <w:pPr>
        <w:pStyle w:val="PullOutBoxBullet"/>
      </w:pPr>
      <w:r>
        <w:t xml:space="preserve">Victorian Conservation Seedbank. This control has been evaluated as poor because Sticky Wattle is only present in the </w:t>
      </w:r>
      <w:r w:rsidR="000B671C">
        <w:t>VCS</w:t>
      </w:r>
      <w:r>
        <w:t xml:space="preserve"> by a single collection. </w:t>
      </w:r>
    </w:p>
    <w:p w14:paraId="556F7610" w14:textId="1AA8DA82"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235</w:t>
      </w:r>
      <w:r w:rsidR="000B6788" w:rsidRPr="00B846FE">
        <w:rPr>
          <w:bCs/>
          <w:noProof/>
        </w:rPr>
        <w:fldChar w:fldCharType="end"/>
      </w:r>
      <w:r w:rsidRPr="00FF310C">
        <w:t>. Sticky Wattle protection requirements and recommendations for increased fire frequency and intensity</w:t>
      </w:r>
    </w:p>
    <w:tbl>
      <w:tblPr>
        <w:tblStyle w:val="TableGrid"/>
        <w:tblW w:w="0" w:type="auto"/>
        <w:tblLook w:val="04A0" w:firstRow="1" w:lastRow="0" w:firstColumn="1" w:lastColumn="0" w:noHBand="0" w:noVBand="1"/>
      </w:tblPr>
      <w:tblGrid>
        <w:gridCol w:w="2268"/>
        <w:gridCol w:w="7371"/>
      </w:tblGrid>
      <w:tr w:rsidR="00BE1D36" w14:paraId="049712C8"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01130F2"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1E8F9014"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53A9C4B4" w14:textId="77777777" w:rsidTr="00B45E4E">
        <w:tc>
          <w:tcPr>
            <w:tcW w:w="2268" w:type="dxa"/>
            <w:tcBorders>
              <w:top w:val="single" w:sz="8" w:space="0" w:color="CDDC29" w:themeColor="text2"/>
              <w:left w:val="nil"/>
              <w:bottom w:val="single" w:sz="8" w:space="0" w:color="CDDC29" w:themeColor="text2"/>
              <w:right w:val="nil"/>
            </w:tcBorders>
            <w:hideMark/>
          </w:tcPr>
          <w:p w14:paraId="32B82905" w14:textId="2E95FEE8" w:rsidR="00BE1D36" w:rsidRDefault="00ED7738"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5E0A7EA7" w14:textId="77777777" w:rsidR="00BE1D36" w:rsidRDefault="00BE1D36" w:rsidP="00B45E4E">
            <w:pPr>
              <w:pStyle w:val="BodyText"/>
            </w:pPr>
            <w:r>
              <w:t>Not required for this hazard based on the overall risk level of medium.</w:t>
            </w:r>
          </w:p>
        </w:tc>
      </w:tr>
      <w:tr w:rsidR="00BE1D36" w14:paraId="09E26931" w14:textId="77777777" w:rsidTr="00B45E4E">
        <w:tc>
          <w:tcPr>
            <w:tcW w:w="2268" w:type="dxa"/>
            <w:tcBorders>
              <w:top w:val="single" w:sz="8" w:space="0" w:color="CDDC29" w:themeColor="text2"/>
              <w:left w:val="nil"/>
              <w:bottom w:val="single" w:sz="8" w:space="0" w:color="CDDC29" w:themeColor="text2"/>
              <w:right w:val="nil"/>
            </w:tcBorders>
            <w:hideMark/>
          </w:tcPr>
          <w:p w14:paraId="60469689" w14:textId="0C890194" w:rsidR="00BE1D36" w:rsidRDefault="00ED7738"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0F09E6A8" w14:textId="349F42D5" w:rsidR="00BE1D36" w:rsidRDefault="00BE1D36" w:rsidP="006670D2">
            <w:pPr>
              <w:pStyle w:val="PullOutBoxBullet"/>
            </w:pPr>
            <w:r>
              <w:t>Maintain seed collection representative of the species range</w:t>
            </w:r>
            <w:r w:rsidR="000B670A">
              <w:t>.</w:t>
            </w:r>
          </w:p>
        </w:tc>
      </w:tr>
    </w:tbl>
    <w:p w14:paraId="4DEA2C14" w14:textId="77777777" w:rsidR="00BE1D36" w:rsidRDefault="00BE1D36" w:rsidP="007E5EBF">
      <w:pPr>
        <w:pStyle w:val="Heading3"/>
      </w:pPr>
      <w:r>
        <w:t>Forestry operations</w:t>
      </w:r>
    </w:p>
    <w:p w14:paraId="2BA9ECB5" w14:textId="77777777" w:rsidR="00BE1D36" w:rsidRDefault="00BE1D36" w:rsidP="007E5EBF">
      <w:pPr>
        <w:pStyle w:val="Heading5"/>
      </w:pPr>
      <w:r>
        <w:t>Plantations</w:t>
      </w:r>
    </w:p>
    <w:p w14:paraId="30EAB5BE" w14:textId="24342ED4" w:rsidR="00BE1D36" w:rsidRDefault="00BE1D36" w:rsidP="00BE1D36">
      <w:pPr>
        <w:pStyle w:val="BodyText"/>
      </w:pPr>
      <w:r>
        <w:t xml:space="preserve">The establishment and harvesting of plantations of Radiata Pine and Shining Gum potentially impacts 72% of the </w:t>
      </w:r>
      <w:r w:rsidR="001D3902">
        <w:t>species’</w:t>
      </w:r>
      <w:r>
        <w:t xml:space="preserve"> VBA points and 49% of important populations in the Gippsland RFA region. This </w:t>
      </w:r>
      <w:r w:rsidR="001D3902">
        <w:t>species</w:t>
      </w:r>
      <w:r>
        <w:t xml:space="preserve"> grows along roadsides and in the plantation estate which potentially leads to direct mortality, habitat loss and loss of seedbank. Use of herbicides as part of plantation management may impact this </w:t>
      </w:r>
      <w:r w:rsidR="001D3902">
        <w:t>species</w:t>
      </w:r>
      <w:r>
        <w:t>. In South Gippsland, where incremental habitat loss and degradation associated with agriculture and plantation management is a continuing threat, decline may be potentially compensated by seedbank recruitment in areas no longer managed as plantations.</w:t>
      </w:r>
    </w:p>
    <w:p w14:paraId="374B19A2" w14:textId="4BCB3193" w:rsidR="00BE1D36" w:rsidRDefault="00BE1D36" w:rsidP="00BE1D36">
      <w:pPr>
        <w:pStyle w:val="BodyText"/>
      </w:pPr>
      <w:r>
        <w:t>The impacts of plantations are likely to interact with climate change and herbivore threats, such as wallabies browsing regeneration which put</w:t>
      </w:r>
      <w:r w:rsidR="003E6579">
        <w:t>s</w:t>
      </w:r>
      <w:r>
        <w:t xml:space="preserve"> pressure on populations in plantations when harvesting or other disturbances such as bushfire occur. In the event of a significant landscape-scale bushfire event, pre- or post- harvesting, the outcome for individual stands of Sticky Wattle will depend significantly on successful recruitment and seedbank replenishment.</w:t>
      </w:r>
    </w:p>
    <w:p w14:paraId="57232CFF" w14:textId="77777777" w:rsidR="00BE1D36" w:rsidRDefault="00BE1D36" w:rsidP="00BE1D36">
      <w:pPr>
        <w:pStyle w:val="BodyText"/>
      </w:pPr>
      <w:r>
        <w:t>Current controls include:</w:t>
      </w:r>
    </w:p>
    <w:p w14:paraId="7B8227F9" w14:textId="77777777" w:rsidR="00BE1D36" w:rsidRDefault="00BE1D36" w:rsidP="006670D2">
      <w:pPr>
        <w:pStyle w:val="PullOutBoxBullet"/>
      </w:pPr>
      <w:r>
        <w:t xml:space="preserve">The </w:t>
      </w:r>
      <w:r>
        <w:rPr>
          <w:i/>
          <w:iCs/>
        </w:rPr>
        <w:t>Code of Practice for Timber Production 2014.</w:t>
      </w:r>
      <w:r>
        <w:t xml:space="preserve"> This control was rated as poor to satisfactory because waterway buffers may protect parts of the private land population, however the species-specific code prescription application of SMZ’s in plantations would inhibit plantation management and is therefore unrealistic. </w:t>
      </w:r>
    </w:p>
    <w:p w14:paraId="4B446687" w14:textId="5EC2E7EB" w:rsidR="00BE1D36" w:rsidRPr="00800B65" w:rsidRDefault="00BE1D36" w:rsidP="006670D2">
      <w:pPr>
        <w:pStyle w:val="PullOutBoxBullet"/>
      </w:pPr>
      <w:r>
        <w:t xml:space="preserve">The CAR reserve system. </w:t>
      </w:r>
      <w:r w:rsidR="003809EB" w:rsidRPr="00800B65">
        <w:t>The effectiveness of this control for this species has been evaluated</w:t>
      </w:r>
      <w:r w:rsidR="003809EB">
        <w:t xml:space="preserve"> as </w:t>
      </w:r>
      <w:r>
        <w:t xml:space="preserve">poor as 44% of the </w:t>
      </w:r>
      <w:r w:rsidR="001D3902">
        <w:t>species’</w:t>
      </w:r>
      <w:r>
        <w:t xml:space="preserve"> modelled distribution and 38% of important populations are within the reserve system.</w:t>
      </w:r>
    </w:p>
    <w:p w14:paraId="1A1E389D" w14:textId="3F4F150E"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236</w:t>
      </w:r>
      <w:r w:rsidR="000B6788" w:rsidRPr="00B846FE">
        <w:rPr>
          <w:bCs/>
          <w:noProof/>
        </w:rPr>
        <w:fldChar w:fldCharType="end"/>
      </w:r>
      <w:r w:rsidRPr="00FF310C">
        <w:t>. Sticky Wattle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BE1D36" w14:paraId="78BD54D0"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46EA446"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3A0BE9C"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369770C3" w14:textId="77777777" w:rsidTr="00B45E4E">
        <w:tc>
          <w:tcPr>
            <w:tcW w:w="2268" w:type="dxa"/>
            <w:tcBorders>
              <w:top w:val="single" w:sz="8" w:space="0" w:color="CDDC29" w:themeColor="text2"/>
              <w:left w:val="nil"/>
              <w:bottom w:val="single" w:sz="8" w:space="0" w:color="CDDC29" w:themeColor="text2"/>
              <w:right w:val="nil"/>
            </w:tcBorders>
            <w:hideMark/>
          </w:tcPr>
          <w:p w14:paraId="126BB05E" w14:textId="61030EEE" w:rsidR="00BE1D36" w:rsidRDefault="00BE1D36" w:rsidP="00B45E4E">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4859C2EA" w14:textId="77777777" w:rsidR="00BE1D36" w:rsidRDefault="00BE1D36" w:rsidP="00B45E4E">
            <w:pPr>
              <w:pStyle w:val="BodyText"/>
            </w:pPr>
            <w:r>
              <w:t>Not required for this hazard as this is a longer-term threat.</w:t>
            </w:r>
          </w:p>
        </w:tc>
      </w:tr>
      <w:tr w:rsidR="002E31CA" w14:paraId="5791D8DE" w14:textId="77777777" w:rsidTr="00B45E4E">
        <w:tc>
          <w:tcPr>
            <w:tcW w:w="2268" w:type="dxa"/>
            <w:tcBorders>
              <w:top w:val="single" w:sz="8" w:space="0" w:color="CDDC29" w:themeColor="text2"/>
              <w:left w:val="nil"/>
              <w:bottom w:val="single" w:sz="8" w:space="0" w:color="CDDC29" w:themeColor="text2"/>
              <w:right w:val="nil"/>
            </w:tcBorders>
          </w:tcPr>
          <w:p w14:paraId="05E0C00A" w14:textId="113998AA" w:rsidR="002E31CA" w:rsidRDefault="002E31CA"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1A33FD87" w14:textId="457F345F" w:rsidR="002E31CA" w:rsidRDefault="004932CE" w:rsidP="006670D2">
            <w:pPr>
              <w:pStyle w:val="PullOutBoxBullet"/>
            </w:pPr>
            <w:r>
              <w:rPr>
                <w:shd w:val="clear" w:color="auto" w:fill="FFFFFF"/>
              </w:rPr>
              <w:t>Work with plantation managers to identify important populations.</w:t>
            </w:r>
          </w:p>
        </w:tc>
      </w:tr>
      <w:tr w:rsidR="00BE1D36" w14:paraId="052C8C15" w14:textId="77777777" w:rsidTr="00B45E4E">
        <w:tc>
          <w:tcPr>
            <w:tcW w:w="2268" w:type="dxa"/>
            <w:tcBorders>
              <w:top w:val="single" w:sz="8" w:space="0" w:color="CDDC29" w:themeColor="text2"/>
              <w:left w:val="nil"/>
              <w:bottom w:val="single" w:sz="8" w:space="0" w:color="CDDC29" w:themeColor="text2"/>
              <w:right w:val="nil"/>
            </w:tcBorders>
            <w:hideMark/>
          </w:tcPr>
          <w:p w14:paraId="6ACDB5F0" w14:textId="77777777" w:rsidR="00BE1D36" w:rsidRDefault="00BE1D36" w:rsidP="00B45E4E">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70C9B4DE" w14:textId="77777777" w:rsidR="00BE1D36" w:rsidRDefault="00BE1D36" w:rsidP="00B45E4E">
            <w:pPr>
              <w:pStyle w:val="BodyText"/>
            </w:pPr>
            <w:r>
              <w:t>Additional permanent protections may be required in the longer-term.</w:t>
            </w:r>
          </w:p>
        </w:tc>
      </w:tr>
      <w:tr w:rsidR="00BE1D36" w14:paraId="4946AB1F" w14:textId="77777777" w:rsidTr="00B45E4E">
        <w:tc>
          <w:tcPr>
            <w:tcW w:w="2268" w:type="dxa"/>
            <w:tcBorders>
              <w:top w:val="single" w:sz="8" w:space="0" w:color="CDDC29" w:themeColor="text2"/>
              <w:left w:val="nil"/>
              <w:bottom w:val="single" w:sz="8" w:space="0" w:color="CDDC29" w:themeColor="text2"/>
              <w:right w:val="nil"/>
            </w:tcBorders>
            <w:hideMark/>
          </w:tcPr>
          <w:p w14:paraId="1906B69B" w14:textId="7D58DA5C" w:rsidR="00BE1D36" w:rsidRDefault="00ED7738"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31981BE5" w14:textId="6419069F" w:rsidR="00BE1D36" w:rsidRDefault="00BE1D36" w:rsidP="006670D2">
            <w:pPr>
              <w:pStyle w:val="PullOutBoxBullet"/>
              <w:rPr>
                <w:b/>
                <w:bCs/>
              </w:rPr>
            </w:pPr>
            <w:r>
              <w:t>Survey when the species is flowering (October) to identify stands outside of plantations themselves but vulnerable to roadside management</w:t>
            </w:r>
            <w:r w:rsidR="00ED7738">
              <w:t>;</w:t>
            </w:r>
          </w:p>
          <w:p w14:paraId="3372F3E3" w14:textId="0DCB005E" w:rsidR="00BE1D36" w:rsidRDefault="00BE1D36" w:rsidP="006670D2">
            <w:pPr>
              <w:pStyle w:val="PullOutBoxBullet"/>
              <w:rPr>
                <w:b/>
                <w:bCs/>
              </w:rPr>
            </w:pPr>
            <w:r>
              <w:t>Include on local council register</w:t>
            </w:r>
            <w:r w:rsidR="00610F16">
              <w:t>s</w:t>
            </w:r>
            <w:r>
              <w:t xml:space="preserve"> of significant roadside vegetation or other regulatory mechanism</w:t>
            </w:r>
            <w:r w:rsidR="00610F16">
              <w:t>s</w:t>
            </w:r>
            <w:r>
              <w:t xml:space="preserve"> to ensure protection; </w:t>
            </w:r>
          </w:p>
          <w:p w14:paraId="5C03212E" w14:textId="66998FCE" w:rsidR="00BE1D36" w:rsidRDefault="0093676B" w:rsidP="006670D2">
            <w:pPr>
              <w:pStyle w:val="PullOutBoxBullet"/>
              <w:rPr>
                <w:b/>
                <w:bCs/>
              </w:rPr>
            </w:pPr>
            <w:r w:rsidRPr="00915D82">
              <w:t>Within plantations, consider establishing</w:t>
            </w:r>
            <w:r w:rsidDel="0093676B">
              <w:t xml:space="preserve"> </w:t>
            </w:r>
            <w:r w:rsidR="00BE1D36">
              <w:t xml:space="preserve">zones around mature plants with the intention to leave a network/patchwork of mature stands that can recruit and replenish the seedbank; </w:t>
            </w:r>
            <w:r w:rsidR="00464E02">
              <w:t>and</w:t>
            </w:r>
          </w:p>
          <w:p w14:paraId="10E8AD22" w14:textId="23599812" w:rsidR="00BE1D36" w:rsidRDefault="00ED7738" w:rsidP="006670D2">
            <w:pPr>
              <w:pStyle w:val="PullOutBoxBullet"/>
              <w:rPr>
                <w:b/>
                <w:bCs/>
              </w:rPr>
            </w:pPr>
            <w:r>
              <w:t>R</w:t>
            </w:r>
            <w:r w:rsidR="00BE1D36">
              <w:t>esearch to identify if sub-populations on private land in South Gippsland are being compensated by seedbank recruitment in areas no longer managed as plantations</w:t>
            </w:r>
            <w:r w:rsidR="00464E02">
              <w:t>.</w:t>
            </w:r>
          </w:p>
        </w:tc>
      </w:tr>
    </w:tbl>
    <w:p w14:paraId="371F9FD3" w14:textId="77777777" w:rsidR="00BE1D36" w:rsidRDefault="00BE1D36" w:rsidP="007E5EBF">
      <w:pPr>
        <w:pStyle w:val="Heading3"/>
      </w:pPr>
      <w:r>
        <w:t>Invasive species</w:t>
      </w:r>
    </w:p>
    <w:p w14:paraId="53433A24" w14:textId="77777777" w:rsidR="00BE1D36" w:rsidRDefault="00BE1D36" w:rsidP="007E5EBF">
      <w:pPr>
        <w:pStyle w:val="Heading5"/>
      </w:pPr>
      <w:r>
        <w:t>Invasive vertebrate (deer)</w:t>
      </w:r>
    </w:p>
    <w:p w14:paraId="551A64C6" w14:textId="360108F0" w:rsidR="00BE1D36" w:rsidRDefault="00BE1D36" w:rsidP="00BE1D36">
      <w:pPr>
        <w:pStyle w:val="BodyText"/>
      </w:pPr>
      <w:r>
        <w:t>Feral deer, particularly Sambar,</w:t>
      </w:r>
      <w:r>
        <w:rPr>
          <w:i/>
          <w:iCs/>
        </w:rPr>
        <w:t xml:space="preserve"> </w:t>
      </w:r>
      <w:r>
        <w:t>threaten all moist forest taxa. Because the Sticky Wattle occurs in moist forests, deer therefore have the possibility of impacting 100% of its populations. Deer</w:t>
      </w:r>
      <w:r w:rsidDel="00DE27E1">
        <w:t xml:space="preserve"> </w:t>
      </w:r>
      <w:r w:rsidR="00DE27E1">
        <w:t>use</w:t>
      </w:r>
      <w:r>
        <w:t xml:space="preserve"> areas with fresh regrowth post-disturbance, such as fire or harvesting, which can lead to reduced or failed recruitment, browsing impacts and direct mortality. Compared to other browsers like the Black-tailed Wallaby</w:t>
      </w:r>
      <w:r w:rsidR="00125C02">
        <w:t>,</w:t>
      </w:r>
      <w:r>
        <w:t xml:space="preserve"> deer have a greater impact per animal. This hazard interacts with bushfire, planned burning</w:t>
      </w:r>
      <w:r w:rsidR="002A73F9">
        <w:t>,</w:t>
      </w:r>
      <w:r>
        <w:t xml:space="preserve"> and burns following harvesting, as these mechanisms generate mass germination post fire which attract deer.</w:t>
      </w:r>
    </w:p>
    <w:p w14:paraId="7098D6C5" w14:textId="77777777" w:rsidR="00BE1D36" w:rsidRDefault="00BE1D36" w:rsidP="00BE1D36">
      <w:pPr>
        <w:pStyle w:val="BodyText"/>
      </w:pPr>
      <w:r>
        <w:t>Current controls include:</w:t>
      </w:r>
    </w:p>
    <w:p w14:paraId="3274316A" w14:textId="77777777" w:rsidR="00BE1D36" w:rsidRDefault="00BE1D36" w:rsidP="006670D2">
      <w:pPr>
        <w:pStyle w:val="PullOutBoxBullet"/>
      </w:pPr>
      <w:r>
        <w:t>Targeted deer control. This control has been evaluated as poor because targeted culling is patchy, expensive, and challenging to target in remote forest areas. Sambar deer occur across a large area so there is a reservoir of other areas to recolonise from</w:t>
      </w:r>
    </w:p>
    <w:p w14:paraId="2E986E13" w14:textId="77777777" w:rsidR="00BE1D36" w:rsidRDefault="00BE1D36" w:rsidP="006670D2">
      <w:pPr>
        <w:pStyle w:val="PullOutBoxBullet"/>
      </w:pPr>
      <w:r>
        <w:t>Deer deterrents (urine pots, sensor light). This control has been evaluated as poor because trials on the Bogong Highplains show they are only effective for a short-time period as deer become acclimatised. This control may be useful for a small area or site with high concentrations of extremely threatened species.</w:t>
      </w:r>
    </w:p>
    <w:p w14:paraId="28C39C15" w14:textId="13AFB963"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237</w:t>
      </w:r>
      <w:r w:rsidR="000B6788" w:rsidRPr="00B846FE">
        <w:rPr>
          <w:bCs/>
          <w:noProof/>
        </w:rPr>
        <w:fldChar w:fldCharType="end"/>
      </w:r>
      <w:r w:rsidRPr="00FF310C">
        <w:t>. Sticky Wattle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BE1D36" w14:paraId="4D0D050B"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7347888C"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1A4E6889"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720C08B2" w14:textId="77777777" w:rsidTr="00B45E4E">
        <w:tc>
          <w:tcPr>
            <w:tcW w:w="2268" w:type="dxa"/>
            <w:tcBorders>
              <w:top w:val="single" w:sz="8" w:space="0" w:color="CDDC29" w:themeColor="text2"/>
              <w:left w:val="nil"/>
              <w:bottom w:val="single" w:sz="8" w:space="0" w:color="CDDC29" w:themeColor="text2"/>
              <w:right w:val="nil"/>
            </w:tcBorders>
            <w:hideMark/>
          </w:tcPr>
          <w:p w14:paraId="07875675" w14:textId="34A39434" w:rsidR="00BE1D36" w:rsidRDefault="00ED7738"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6E0C89B6" w14:textId="77777777" w:rsidR="00BE1D36" w:rsidRDefault="00BE1D36" w:rsidP="00B45E4E">
            <w:pPr>
              <w:pStyle w:val="BodyText"/>
            </w:pPr>
            <w:r>
              <w:t>Not required for this hazard.</w:t>
            </w:r>
          </w:p>
        </w:tc>
      </w:tr>
      <w:tr w:rsidR="00BE1D36" w14:paraId="3CAD07CE" w14:textId="77777777" w:rsidTr="00B45E4E">
        <w:tc>
          <w:tcPr>
            <w:tcW w:w="2268" w:type="dxa"/>
            <w:tcBorders>
              <w:top w:val="single" w:sz="8" w:space="0" w:color="CDDC29" w:themeColor="text2"/>
              <w:left w:val="nil"/>
              <w:bottom w:val="single" w:sz="8" w:space="0" w:color="CDDC29" w:themeColor="text2"/>
              <w:right w:val="nil"/>
            </w:tcBorders>
            <w:hideMark/>
          </w:tcPr>
          <w:p w14:paraId="5E40829E" w14:textId="692A2E29" w:rsidR="00BE1D36" w:rsidRDefault="00ED7738"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6BDFD265" w14:textId="15A96EF8" w:rsidR="00BE1D36" w:rsidRDefault="00BE1D36" w:rsidP="006670D2">
            <w:pPr>
              <w:pStyle w:val="PullOutBoxBullet"/>
            </w:pPr>
            <w:r>
              <w:t>Investigate feasible options to manage impacts of deer on important populations</w:t>
            </w:r>
            <w:r w:rsidR="00ED7738">
              <w:t>; and</w:t>
            </w:r>
          </w:p>
          <w:p w14:paraId="04975538" w14:textId="5BB46A89" w:rsidR="00BE1D36" w:rsidRDefault="00BE1D36" w:rsidP="006670D2">
            <w:pPr>
              <w:pStyle w:val="PullOutBoxBullet"/>
            </w:pPr>
            <w:r>
              <w:t xml:space="preserve">Include important populations of this </w:t>
            </w:r>
            <w:r w:rsidR="001D3902">
              <w:t>species</w:t>
            </w:r>
            <w:r>
              <w:t xml:space="preserve"> in assets to be targeted during regional deer control programs</w:t>
            </w:r>
            <w:r w:rsidR="00ED7738">
              <w:t>.</w:t>
            </w:r>
          </w:p>
        </w:tc>
      </w:tr>
    </w:tbl>
    <w:p w14:paraId="55114818" w14:textId="77777777" w:rsidR="00BE1D36" w:rsidRDefault="00BE1D36" w:rsidP="007E5EBF">
      <w:pPr>
        <w:pStyle w:val="Heading5"/>
        <w:rPr>
          <w:sz w:val="18"/>
          <w:szCs w:val="18"/>
        </w:rPr>
      </w:pPr>
      <w:r>
        <w:t xml:space="preserve">Native browsers and grazers </w:t>
      </w:r>
    </w:p>
    <w:p w14:paraId="1307ADE4" w14:textId="42F9B169" w:rsidR="00BE1D36" w:rsidRDefault="00BE1D36" w:rsidP="00BE1D36">
      <w:pPr>
        <w:pStyle w:val="BodyText"/>
      </w:pPr>
      <w:r>
        <w:t xml:space="preserve">Post-harvest regeneration from seed is targeted by the </w:t>
      </w:r>
      <w:r w:rsidR="00371DC8">
        <w:t>Black-tailed</w:t>
      </w:r>
      <w:r>
        <w:t xml:space="preserve"> Wallaby which prefer viscid wattles. Black-tailed Wallaby browsing damage occurs in both plantation and native forestry operations and following fire, with the possibility of impacting 100% of the </w:t>
      </w:r>
      <w:r w:rsidR="001D3902">
        <w:t>species’</w:t>
      </w:r>
      <w:r>
        <w:t xml:space="preserve"> populations. This hazard can lead to reduced or failed recruitment, browsing impacts and direct mortality. </w:t>
      </w:r>
    </w:p>
    <w:p w14:paraId="28A6D042" w14:textId="77777777" w:rsidR="00BE1D36" w:rsidRDefault="00BE1D36" w:rsidP="00BE1D36">
      <w:pPr>
        <w:pStyle w:val="BodyText"/>
      </w:pPr>
      <w:r>
        <w:t>Current controls for this hazard include:</w:t>
      </w:r>
    </w:p>
    <w:p w14:paraId="229031F2" w14:textId="12390C13" w:rsidR="00BE1D36" w:rsidRDefault="00BE1D36" w:rsidP="006670D2">
      <w:pPr>
        <w:pStyle w:val="PullOutBoxBullet"/>
      </w:pPr>
      <w:r>
        <w:t>Control of wallabies for post-</w:t>
      </w:r>
      <w:r w:rsidR="003B3D54">
        <w:t>timber harvesting</w:t>
      </w:r>
      <w:r>
        <w:t xml:space="preserve"> regeneration. This control has been evaluated as poor; it is not used at a scale likely to be effective and has raised animal welfare concerns.</w:t>
      </w:r>
    </w:p>
    <w:p w14:paraId="10D8CCB6" w14:textId="07B4BD82"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238</w:t>
      </w:r>
      <w:r w:rsidR="000B6788" w:rsidRPr="00B846FE">
        <w:rPr>
          <w:bCs/>
          <w:noProof/>
        </w:rPr>
        <w:fldChar w:fldCharType="end"/>
      </w:r>
      <w:r w:rsidRPr="00FF310C">
        <w:t>. Sticky Wattle protection requirements and recommendations for native browsers and grazers</w:t>
      </w:r>
    </w:p>
    <w:tbl>
      <w:tblPr>
        <w:tblStyle w:val="TableGrid"/>
        <w:tblW w:w="0" w:type="auto"/>
        <w:tblLook w:val="04A0" w:firstRow="1" w:lastRow="0" w:firstColumn="1" w:lastColumn="0" w:noHBand="0" w:noVBand="1"/>
      </w:tblPr>
      <w:tblGrid>
        <w:gridCol w:w="2268"/>
        <w:gridCol w:w="7371"/>
      </w:tblGrid>
      <w:tr w:rsidR="00BE1D36" w14:paraId="0059F811"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683213A5"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64287D40"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0682D587" w14:textId="77777777" w:rsidTr="00B45E4E">
        <w:tc>
          <w:tcPr>
            <w:tcW w:w="2268" w:type="dxa"/>
            <w:tcBorders>
              <w:top w:val="single" w:sz="8" w:space="0" w:color="CDDC29" w:themeColor="text2"/>
              <w:left w:val="nil"/>
              <w:bottom w:val="single" w:sz="8" w:space="0" w:color="CDDC29" w:themeColor="text2"/>
              <w:right w:val="nil"/>
            </w:tcBorders>
            <w:hideMark/>
          </w:tcPr>
          <w:p w14:paraId="168E424D" w14:textId="3190DCD7" w:rsidR="00BE1D36" w:rsidRDefault="00ED7738"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6A923832" w14:textId="77777777" w:rsidR="00BE1D36" w:rsidRDefault="00BE1D36" w:rsidP="00B45E4E">
            <w:pPr>
              <w:pStyle w:val="BodyText"/>
            </w:pPr>
            <w:r>
              <w:t>Not required for this hazard.</w:t>
            </w:r>
          </w:p>
        </w:tc>
      </w:tr>
      <w:tr w:rsidR="00BE1D36" w14:paraId="29994A59" w14:textId="77777777" w:rsidTr="00B45E4E">
        <w:tc>
          <w:tcPr>
            <w:tcW w:w="2268" w:type="dxa"/>
            <w:tcBorders>
              <w:top w:val="single" w:sz="8" w:space="0" w:color="CDDC29" w:themeColor="text2"/>
              <w:left w:val="nil"/>
              <w:bottom w:val="single" w:sz="8" w:space="0" w:color="CDDC29" w:themeColor="text2"/>
              <w:right w:val="nil"/>
            </w:tcBorders>
            <w:hideMark/>
          </w:tcPr>
          <w:p w14:paraId="7666C0BD" w14:textId="349B2635" w:rsidR="00BE1D36" w:rsidRDefault="00ED7738"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5EFCF6EA" w14:textId="77777777" w:rsidR="00BE1D36" w:rsidRDefault="00BE1D36" w:rsidP="006670D2">
            <w:pPr>
              <w:pStyle w:val="PullOutBoxBullet"/>
            </w:pPr>
            <w:r>
              <w:t>Investigate feasible options to manage impacts of Swamp Wallabies on important populations.</w:t>
            </w:r>
          </w:p>
        </w:tc>
      </w:tr>
    </w:tbl>
    <w:p w14:paraId="7F207991" w14:textId="77777777" w:rsidR="002D190A" w:rsidRDefault="002D190A">
      <w:pPr>
        <w:rPr>
          <w:b/>
          <w:bCs/>
          <w:i/>
          <w:iCs/>
          <w:color w:val="00B2A9" w:themeColor="accent1"/>
          <w:kern w:val="20"/>
          <w:sz w:val="24"/>
          <w:szCs w:val="28"/>
          <w:highlight w:val="lightGray"/>
        </w:rPr>
      </w:pPr>
      <w:r>
        <w:rPr>
          <w:highlight w:val="lightGray"/>
        </w:rPr>
        <w:br w:type="page"/>
      </w:r>
    </w:p>
    <w:p w14:paraId="78C5FBEA" w14:textId="1B7C0034" w:rsidR="00BE1D36" w:rsidRPr="002D190A" w:rsidRDefault="00BE1D36" w:rsidP="00171F18">
      <w:pPr>
        <w:pStyle w:val="Heading2"/>
        <w:ind w:left="0"/>
        <w:rPr>
          <w:rFonts w:asciiTheme="minorHAnsi" w:hAnsiTheme="minorHAnsi"/>
          <w:i/>
          <w:iCs/>
        </w:rPr>
      </w:pPr>
      <w:bookmarkStart w:id="970" w:name="_Toc113271072"/>
      <w:r w:rsidRPr="002D190A">
        <w:t xml:space="preserve">Tall Plume-grass </w:t>
      </w:r>
      <w:r w:rsidRPr="005F7D8C">
        <w:rPr>
          <w:i/>
          <w:iCs/>
        </w:rPr>
        <w:t>(Dichelachne robusta)</w:t>
      </w:r>
      <w:bookmarkEnd w:id="970"/>
    </w:p>
    <w:p w14:paraId="5E5E3A11" w14:textId="35627FFD" w:rsidR="00BE1D36" w:rsidRDefault="00BE1D36" w:rsidP="00BE1D36">
      <w:pPr>
        <w:pStyle w:val="BodyText"/>
      </w:pPr>
      <w:r>
        <w:t xml:space="preserve">The Tall Plume-grass was listed as Vulnerable in Victoria under the FFG Act in May 2021. The </w:t>
      </w:r>
      <w:r w:rsidR="001D3902">
        <w:t>species</w:t>
      </w:r>
      <w:r>
        <w:t xml:space="preserve"> has VBA points in the East Gippsland (100% of VBA points) RFA region. </w:t>
      </w:r>
      <w:r>
        <w:rPr>
          <w:rStyle w:val="BodyTextChar"/>
        </w:rPr>
        <w:t>Permanent protections are recommended to address any hazards identified at a significant or high risk, and all</w:t>
      </w:r>
      <w:r>
        <w:t xml:space="preserve"> hazards rated a medium risk or higher will be considered in future management planning.</w:t>
      </w:r>
    </w:p>
    <w:p w14:paraId="5FE673F8" w14:textId="77777777" w:rsidR="00BE1D36" w:rsidRDefault="00BE1D36" w:rsidP="007E5EBF">
      <w:pPr>
        <w:pStyle w:val="Heading3"/>
      </w:pPr>
      <w:r>
        <w:t>Risk Assessment</w:t>
      </w:r>
    </w:p>
    <w:p w14:paraId="26FBCA1C" w14:textId="5A8E86C2"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239</w:t>
      </w:r>
      <w:r w:rsidR="000B6788" w:rsidRPr="00B846FE">
        <w:rPr>
          <w:bCs/>
          <w:noProof/>
        </w:rPr>
        <w:fldChar w:fldCharType="end"/>
      </w:r>
      <w:r w:rsidRPr="00FF310C">
        <w:t>. Tall Plume-grass risk ratings in East Gippsland RFA region:</w:t>
      </w:r>
    </w:p>
    <w:tbl>
      <w:tblPr>
        <w:tblStyle w:val="TableGrid"/>
        <w:tblW w:w="9639" w:type="dxa"/>
        <w:tblLook w:val="04A0" w:firstRow="1" w:lastRow="0" w:firstColumn="1" w:lastColumn="0" w:noHBand="0" w:noVBand="1"/>
      </w:tblPr>
      <w:tblGrid>
        <w:gridCol w:w="2409"/>
        <w:gridCol w:w="2410"/>
        <w:gridCol w:w="2410"/>
        <w:gridCol w:w="2410"/>
      </w:tblGrid>
      <w:tr w:rsidR="00BE1D36" w14:paraId="5E8B784B"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09" w:type="dxa"/>
            <w:tcBorders>
              <w:top w:val="single" w:sz="8" w:space="0" w:color="CDDC29" w:themeColor="text2"/>
              <w:left w:val="nil"/>
              <w:bottom w:val="single" w:sz="8" w:space="0" w:color="CDDC29" w:themeColor="text2"/>
              <w:right w:val="nil"/>
            </w:tcBorders>
            <w:vAlign w:val="center"/>
          </w:tcPr>
          <w:p w14:paraId="248565EC" w14:textId="77777777" w:rsidR="00BE1D36" w:rsidRDefault="00BE1D36" w:rsidP="006670D2">
            <w:pPr>
              <w:pStyle w:val="CaptionImageorFigure"/>
            </w:pPr>
          </w:p>
        </w:tc>
        <w:tc>
          <w:tcPr>
            <w:tcW w:w="2410" w:type="dxa"/>
            <w:tcBorders>
              <w:top w:val="single" w:sz="8" w:space="0" w:color="CDDC29" w:themeColor="text2"/>
              <w:left w:val="nil"/>
              <w:bottom w:val="single" w:sz="8" w:space="0" w:color="CDDC29" w:themeColor="text2"/>
              <w:right w:val="nil"/>
            </w:tcBorders>
            <w:vAlign w:val="center"/>
            <w:hideMark/>
          </w:tcPr>
          <w:p w14:paraId="2CA3C8BB"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Drought</w:t>
            </w:r>
          </w:p>
        </w:tc>
        <w:tc>
          <w:tcPr>
            <w:tcW w:w="2410" w:type="dxa"/>
            <w:tcBorders>
              <w:top w:val="single" w:sz="8" w:space="0" w:color="CDDC29" w:themeColor="text2"/>
              <w:left w:val="nil"/>
              <w:bottom w:val="single" w:sz="8" w:space="0" w:color="CDDC29" w:themeColor="text2"/>
              <w:right w:val="nil"/>
            </w:tcBorders>
            <w:vAlign w:val="center"/>
            <w:hideMark/>
          </w:tcPr>
          <w:p w14:paraId="2258780A" w14:textId="685C324C" w:rsidR="00BE1D36" w:rsidRDefault="005D1677"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BE1D36">
              <w:t>orestry operations</w:t>
            </w:r>
          </w:p>
        </w:tc>
        <w:tc>
          <w:tcPr>
            <w:tcW w:w="2410" w:type="dxa"/>
            <w:tcBorders>
              <w:top w:val="single" w:sz="8" w:space="0" w:color="CDDC29" w:themeColor="text2"/>
              <w:left w:val="nil"/>
              <w:bottom w:val="single" w:sz="8" w:space="0" w:color="CDDC29" w:themeColor="text2"/>
              <w:right w:val="nil"/>
            </w:tcBorders>
            <w:vAlign w:val="center"/>
            <w:hideMark/>
          </w:tcPr>
          <w:p w14:paraId="3701E3C3"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Native browsers and grazers</w:t>
            </w:r>
          </w:p>
        </w:tc>
      </w:tr>
      <w:tr w:rsidR="00BE1D36" w14:paraId="033D90CD" w14:textId="77777777" w:rsidTr="00BE1D36">
        <w:tc>
          <w:tcPr>
            <w:tcW w:w="2409" w:type="dxa"/>
            <w:tcBorders>
              <w:top w:val="single" w:sz="8" w:space="0" w:color="CDDC29" w:themeColor="text2"/>
              <w:left w:val="nil"/>
              <w:bottom w:val="single" w:sz="8" w:space="0" w:color="CDDC29" w:themeColor="text2"/>
              <w:right w:val="nil"/>
            </w:tcBorders>
            <w:vAlign w:val="center"/>
            <w:hideMark/>
          </w:tcPr>
          <w:p w14:paraId="2792C7E3" w14:textId="77777777" w:rsidR="00BE1D36" w:rsidRDefault="00BE1D36">
            <w:pPr>
              <w:pStyle w:val="BodyText"/>
              <w:jc w:val="center"/>
            </w:pPr>
            <w:r>
              <w:t>Consequence</w:t>
            </w:r>
          </w:p>
        </w:tc>
        <w:tc>
          <w:tcPr>
            <w:tcW w:w="2410" w:type="dxa"/>
            <w:tcBorders>
              <w:top w:val="single" w:sz="8" w:space="0" w:color="CDDC29" w:themeColor="text2"/>
              <w:left w:val="nil"/>
              <w:bottom w:val="single" w:sz="8" w:space="0" w:color="CDDC29" w:themeColor="text2"/>
              <w:right w:val="nil"/>
            </w:tcBorders>
            <w:vAlign w:val="center"/>
            <w:hideMark/>
          </w:tcPr>
          <w:p w14:paraId="450B25DB" w14:textId="77777777" w:rsidR="00BE1D36" w:rsidRDefault="00BE1D36">
            <w:pPr>
              <w:pStyle w:val="BodyText"/>
              <w:jc w:val="center"/>
            </w:pPr>
            <w:r>
              <w:t>Moderate</w:t>
            </w:r>
          </w:p>
        </w:tc>
        <w:tc>
          <w:tcPr>
            <w:tcW w:w="2410" w:type="dxa"/>
            <w:tcBorders>
              <w:top w:val="single" w:sz="8" w:space="0" w:color="CDDC29" w:themeColor="text2"/>
              <w:left w:val="nil"/>
              <w:bottom w:val="single" w:sz="8" w:space="0" w:color="CDDC29" w:themeColor="text2"/>
              <w:right w:val="nil"/>
            </w:tcBorders>
            <w:vAlign w:val="center"/>
            <w:hideMark/>
          </w:tcPr>
          <w:p w14:paraId="57B82CF5" w14:textId="77777777" w:rsidR="00BE1D36" w:rsidRDefault="00BE1D36">
            <w:pPr>
              <w:pStyle w:val="BodyText"/>
              <w:jc w:val="center"/>
            </w:pPr>
            <w:r>
              <w:t>Moderate</w:t>
            </w:r>
          </w:p>
        </w:tc>
        <w:tc>
          <w:tcPr>
            <w:tcW w:w="2410" w:type="dxa"/>
            <w:tcBorders>
              <w:top w:val="single" w:sz="8" w:space="0" w:color="CDDC29" w:themeColor="text2"/>
              <w:left w:val="nil"/>
              <w:bottom w:val="single" w:sz="8" w:space="0" w:color="CDDC29" w:themeColor="text2"/>
              <w:right w:val="nil"/>
            </w:tcBorders>
            <w:vAlign w:val="center"/>
            <w:hideMark/>
          </w:tcPr>
          <w:p w14:paraId="4FA18A25" w14:textId="77777777" w:rsidR="00BE1D36" w:rsidRDefault="00BE1D36">
            <w:pPr>
              <w:pStyle w:val="BodyText"/>
              <w:jc w:val="center"/>
            </w:pPr>
            <w:r>
              <w:t>Major</w:t>
            </w:r>
          </w:p>
        </w:tc>
      </w:tr>
      <w:tr w:rsidR="00BE1D36" w14:paraId="5F0DAA40" w14:textId="77777777" w:rsidTr="00BE1D36">
        <w:tc>
          <w:tcPr>
            <w:tcW w:w="2409" w:type="dxa"/>
            <w:tcBorders>
              <w:top w:val="single" w:sz="8" w:space="0" w:color="CDDC29" w:themeColor="text2"/>
              <w:left w:val="nil"/>
              <w:bottom w:val="single" w:sz="8" w:space="0" w:color="CDDC29" w:themeColor="text2"/>
              <w:right w:val="nil"/>
            </w:tcBorders>
            <w:vAlign w:val="center"/>
            <w:hideMark/>
          </w:tcPr>
          <w:p w14:paraId="6BE8B667" w14:textId="77777777" w:rsidR="00BE1D36" w:rsidRDefault="00BE1D36">
            <w:pPr>
              <w:pStyle w:val="BodyText"/>
              <w:jc w:val="center"/>
            </w:pPr>
            <w:r>
              <w:t>Likelihood</w:t>
            </w:r>
          </w:p>
        </w:tc>
        <w:tc>
          <w:tcPr>
            <w:tcW w:w="2410" w:type="dxa"/>
            <w:tcBorders>
              <w:top w:val="single" w:sz="8" w:space="0" w:color="CDDC29" w:themeColor="text2"/>
              <w:left w:val="nil"/>
              <w:bottom w:val="single" w:sz="8" w:space="0" w:color="CDDC29" w:themeColor="text2"/>
              <w:right w:val="nil"/>
            </w:tcBorders>
            <w:vAlign w:val="center"/>
            <w:hideMark/>
          </w:tcPr>
          <w:p w14:paraId="59AA7485" w14:textId="77777777" w:rsidR="00BE1D36" w:rsidRDefault="00BE1D36">
            <w:pPr>
              <w:pStyle w:val="BodyText"/>
              <w:jc w:val="center"/>
            </w:pPr>
            <w:r>
              <w:t>Possible</w:t>
            </w:r>
          </w:p>
        </w:tc>
        <w:tc>
          <w:tcPr>
            <w:tcW w:w="2410" w:type="dxa"/>
            <w:tcBorders>
              <w:top w:val="single" w:sz="8" w:space="0" w:color="CDDC29" w:themeColor="text2"/>
              <w:left w:val="nil"/>
              <w:bottom w:val="single" w:sz="8" w:space="0" w:color="CDDC29" w:themeColor="text2"/>
              <w:right w:val="nil"/>
            </w:tcBorders>
            <w:vAlign w:val="center"/>
            <w:hideMark/>
          </w:tcPr>
          <w:p w14:paraId="7B4500D5" w14:textId="77777777" w:rsidR="00BE1D36" w:rsidRDefault="00BE1D36">
            <w:pPr>
              <w:pStyle w:val="BodyText"/>
              <w:jc w:val="center"/>
            </w:pPr>
            <w:r>
              <w:t>Possible</w:t>
            </w:r>
          </w:p>
        </w:tc>
        <w:tc>
          <w:tcPr>
            <w:tcW w:w="2410" w:type="dxa"/>
            <w:tcBorders>
              <w:top w:val="single" w:sz="8" w:space="0" w:color="CDDC29" w:themeColor="text2"/>
              <w:left w:val="nil"/>
              <w:bottom w:val="single" w:sz="8" w:space="0" w:color="CDDC29" w:themeColor="text2"/>
              <w:right w:val="nil"/>
            </w:tcBorders>
            <w:vAlign w:val="center"/>
            <w:hideMark/>
          </w:tcPr>
          <w:p w14:paraId="213DE883" w14:textId="77777777" w:rsidR="00BE1D36" w:rsidRDefault="00BE1D36">
            <w:pPr>
              <w:pStyle w:val="BodyText"/>
              <w:jc w:val="center"/>
            </w:pPr>
            <w:r>
              <w:t>Unlikely</w:t>
            </w:r>
          </w:p>
        </w:tc>
      </w:tr>
      <w:tr w:rsidR="00BE1D36" w14:paraId="352AD947" w14:textId="77777777" w:rsidTr="00BE1D36">
        <w:tc>
          <w:tcPr>
            <w:tcW w:w="2409" w:type="dxa"/>
            <w:tcBorders>
              <w:top w:val="single" w:sz="8" w:space="0" w:color="CDDC29" w:themeColor="text2"/>
              <w:left w:val="nil"/>
              <w:bottom w:val="single" w:sz="8" w:space="0" w:color="CDDC29" w:themeColor="text2"/>
              <w:right w:val="nil"/>
            </w:tcBorders>
            <w:vAlign w:val="center"/>
            <w:hideMark/>
          </w:tcPr>
          <w:p w14:paraId="2A495017" w14:textId="77777777" w:rsidR="00BE1D36" w:rsidRDefault="00BE1D36">
            <w:pPr>
              <w:pStyle w:val="BodyText"/>
              <w:jc w:val="center"/>
            </w:pPr>
            <w:r>
              <w:t>Overall risk rating</w:t>
            </w:r>
          </w:p>
        </w:tc>
        <w:tc>
          <w:tcPr>
            <w:tcW w:w="2410" w:type="dxa"/>
            <w:tcBorders>
              <w:top w:val="single" w:sz="8" w:space="0" w:color="CDDC29" w:themeColor="text2"/>
              <w:left w:val="nil"/>
              <w:bottom w:val="single" w:sz="8" w:space="0" w:color="CDDC29" w:themeColor="text2"/>
              <w:right w:val="nil"/>
            </w:tcBorders>
            <w:shd w:val="clear" w:color="auto" w:fill="FFFF00"/>
            <w:vAlign w:val="center"/>
            <w:hideMark/>
          </w:tcPr>
          <w:p w14:paraId="599238FA" w14:textId="77777777" w:rsidR="00BE1D36" w:rsidRDefault="00BE1D36">
            <w:pPr>
              <w:pStyle w:val="BodyText"/>
              <w:jc w:val="center"/>
            </w:pPr>
            <w:r>
              <w:t>Medium</w:t>
            </w:r>
          </w:p>
        </w:tc>
        <w:tc>
          <w:tcPr>
            <w:tcW w:w="2410" w:type="dxa"/>
            <w:tcBorders>
              <w:top w:val="single" w:sz="8" w:space="0" w:color="CDDC29" w:themeColor="text2"/>
              <w:left w:val="nil"/>
              <w:bottom w:val="single" w:sz="8" w:space="0" w:color="CDDC29" w:themeColor="text2"/>
              <w:right w:val="nil"/>
            </w:tcBorders>
            <w:shd w:val="clear" w:color="auto" w:fill="FFFF00"/>
            <w:vAlign w:val="center"/>
            <w:hideMark/>
          </w:tcPr>
          <w:p w14:paraId="59A0B89E" w14:textId="77777777" w:rsidR="00BE1D36" w:rsidRDefault="00BE1D36">
            <w:pPr>
              <w:pStyle w:val="BodyText"/>
              <w:jc w:val="center"/>
            </w:pPr>
            <w:r>
              <w:t>Medium</w:t>
            </w:r>
          </w:p>
        </w:tc>
        <w:tc>
          <w:tcPr>
            <w:tcW w:w="2410" w:type="dxa"/>
            <w:tcBorders>
              <w:top w:val="single" w:sz="8" w:space="0" w:color="CDDC29" w:themeColor="text2"/>
              <w:left w:val="nil"/>
              <w:bottom w:val="single" w:sz="8" w:space="0" w:color="CDDC29" w:themeColor="text2"/>
              <w:right w:val="nil"/>
            </w:tcBorders>
            <w:shd w:val="clear" w:color="auto" w:fill="FFFF00"/>
            <w:vAlign w:val="center"/>
            <w:hideMark/>
          </w:tcPr>
          <w:p w14:paraId="05D77186" w14:textId="77777777" w:rsidR="00BE1D36" w:rsidRDefault="00BE1D36">
            <w:pPr>
              <w:pStyle w:val="BodyText"/>
              <w:jc w:val="center"/>
            </w:pPr>
            <w:r>
              <w:t>Medium</w:t>
            </w:r>
          </w:p>
        </w:tc>
      </w:tr>
    </w:tbl>
    <w:p w14:paraId="47DE4A17" w14:textId="77777777" w:rsidR="00BE1D36" w:rsidRDefault="00BE1D36" w:rsidP="007E5EBF">
      <w:pPr>
        <w:pStyle w:val="Heading3"/>
      </w:pPr>
      <w:r>
        <w:t>Climate change</w:t>
      </w:r>
    </w:p>
    <w:p w14:paraId="35CD3144" w14:textId="77777777" w:rsidR="00BE1D36" w:rsidRDefault="00BE1D36" w:rsidP="007E5EBF">
      <w:pPr>
        <w:pStyle w:val="Heading5"/>
      </w:pPr>
      <w:r>
        <w:t>Drought</w:t>
      </w:r>
    </w:p>
    <w:p w14:paraId="1BE7E089" w14:textId="65AE4790" w:rsidR="00BE1D36" w:rsidRDefault="00BE1D36" w:rsidP="00BE1D36">
      <w:pPr>
        <w:pStyle w:val="BodyText"/>
      </w:pPr>
      <w:r>
        <w:rPr>
          <w:rStyle w:val="normaltextrun"/>
        </w:rPr>
        <w:t xml:space="preserve">The </w:t>
      </w:r>
      <w:r w:rsidR="001D3902">
        <w:rPr>
          <w:rStyle w:val="normaltextrun"/>
        </w:rPr>
        <w:t>species</w:t>
      </w:r>
      <w:r>
        <w:rPr>
          <w:rStyle w:val="normaltextrun"/>
        </w:rPr>
        <w:t xml:space="preserve"> is likely to be moderately drought tolerant once established, however recruitment may be severely impacted by drought.</w:t>
      </w:r>
      <w:r>
        <w:t xml:space="preserve"> Only 75% of the locations are likely impacted, because one site is in a damper area and could be buffered in the 20-year time frame.</w:t>
      </w:r>
      <w:r>
        <w:rPr>
          <w:rStyle w:val="normaltextrun"/>
        </w:rPr>
        <w:t xml:space="preserve"> Fire, mechanical disturbance and/or grazing may increase the </w:t>
      </w:r>
      <w:r w:rsidR="001D3902">
        <w:rPr>
          <w:rStyle w:val="normaltextrun"/>
        </w:rPr>
        <w:t>species’</w:t>
      </w:r>
      <w:r>
        <w:rPr>
          <w:rStyle w:val="normaltextrun"/>
        </w:rPr>
        <w:t xml:space="preserve"> reliance on recruitment and therefore increase susceptibility to drought impacts. This hazard may lead to direct mortality or reduced recruitment.</w:t>
      </w:r>
    </w:p>
    <w:p w14:paraId="299DB1A7" w14:textId="0E2907D3" w:rsidR="00BE1D36" w:rsidRDefault="00BE1D36" w:rsidP="00BE1D36">
      <w:pPr>
        <w:pStyle w:val="BodyText"/>
      </w:pPr>
      <w:r>
        <w:t xml:space="preserve">Current control measures for this hazard are strategic in nature and are not considered effective in managing the risk to this </w:t>
      </w:r>
      <w:r w:rsidR="001D3902">
        <w:t>species</w:t>
      </w:r>
      <w:r>
        <w:t xml:space="preserve"> at the scale relevant to its conservation at this stage.</w:t>
      </w:r>
    </w:p>
    <w:p w14:paraId="21B50AE4" w14:textId="51B2977A"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240</w:t>
      </w:r>
      <w:r w:rsidR="000B6788" w:rsidRPr="00B846FE">
        <w:rPr>
          <w:bCs/>
          <w:noProof/>
        </w:rPr>
        <w:fldChar w:fldCharType="end"/>
      </w:r>
      <w:r w:rsidRPr="00FF310C">
        <w:t>. Tall Plume-grass protection requirements and recommendations for drought</w:t>
      </w:r>
    </w:p>
    <w:tbl>
      <w:tblPr>
        <w:tblStyle w:val="TableGrid"/>
        <w:tblW w:w="0" w:type="auto"/>
        <w:tblLook w:val="04A0" w:firstRow="1" w:lastRow="0" w:firstColumn="1" w:lastColumn="0" w:noHBand="0" w:noVBand="1"/>
      </w:tblPr>
      <w:tblGrid>
        <w:gridCol w:w="2268"/>
        <w:gridCol w:w="7371"/>
      </w:tblGrid>
      <w:tr w:rsidR="00BE1D36" w14:paraId="30B1F176"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96FA1A6"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0A992876"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48955295" w14:textId="77777777" w:rsidTr="00B45E4E">
        <w:tc>
          <w:tcPr>
            <w:tcW w:w="2268" w:type="dxa"/>
            <w:tcBorders>
              <w:top w:val="single" w:sz="8" w:space="0" w:color="CDDC29" w:themeColor="text2"/>
              <w:left w:val="nil"/>
              <w:bottom w:val="single" w:sz="8" w:space="0" w:color="CDDC29" w:themeColor="text2"/>
              <w:right w:val="nil"/>
            </w:tcBorders>
            <w:hideMark/>
          </w:tcPr>
          <w:p w14:paraId="3589175B" w14:textId="378B62D4" w:rsidR="00BE1D36" w:rsidRDefault="00ED7738"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6751CF94" w14:textId="77777777" w:rsidR="00BE1D36" w:rsidRDefault="00BE1D36" w:rsidP="00B45E4E">
            <w:pPr>
              <w:pStyle w:val="BodyText"/>
            </w:pPr>
            <w:r>
              <w:t>Not required for this hazard based on the overall risk level of medium, and because it is a longer-term threat.</w:t>
            </w:r>
          </w:p>
        </w:tc>
      </w:tr>
      <w:tr w:rsidR="00BE1D36" w14:paraId="4F5BF883" w14:textId="77777777" w:rsidTr="00B45E4E">
        <w:tc>
          <w:tcPr>
            <w:tcW w:w="2268" w:type="dxa"/>
            <w:tcBorders>
              <w:top w:val="single" w:sz="8" w:space="0" w:color="CDDC29" w:themeColor="text2"/>
              <w:left w:val="nil"/>
              <w:bottom w:val="single" w:sz="8" w:space="0" w:color="CDDC29" w:themeColor="text2"/>
              <w:right w:val="nil"/>
            </w:tcBorders>
            <w:hideMark/>
          </w:tcPr>
          <w:p w14:paraId="5EAABA51" w14:textId="6EF806A6" w:rsidR="00BE1D36" w:rsidRDefault="00ED7738" w:rsidP="00B45E4E">
            <w:pPr>
              <w:pStyle w:val="BodyText"/>
            </w:pPr>
            <w:r>
              <w:t>Poten</w:t>
            </w:r>
            <w:r w:rsidR="00E448AD">
              <w:t>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56BAAC90" w14:textId="5E8FD342" w:rsidR="00BE1D36" w:rsidRDefault="00BE1D36" w:rsidP="006670D2">
            <w:pPr>
              <w:pStyle w:val="PullOutBoxBullet"/>
            </w:pPr>
            <w:r>
              <w:t>Maintain seed collection representative of the species range</w:t>
            </w:r>
            <w:r w:rsidR="00E448AD">
              <w:t>; and</w:t>
            </w:r>
          </w:p>
          <w:p w14:paraId="527AE2CF" w14:textId="2EF59575" w:rsidR="00BE1D36" w:rsidRDefault="00BE1D36" w:rsidP="006670D2">
            <w:pPr>
              <w:pStyle w:val="PullOutBoxBullet"/>
            </w:pPr>
            <w:r>
              <w:t xml:space="preserve">Consider options to conserve this </w:t>
            </w:r>
            <w:r w:rsidR="001D3902">
              <w:t>species</w:t>
            </w:r>
            <w:r>
              <w:t xml:space="preserve"> under climate change, including protection of refuges, maintenance of hydrological regimes, translocation to more secure sites and gene mixing to improve its adaptability</w:t>
            </w:r>
            <w:r w:rsidR="00E448AD">
              <w:t>.</w:t>
            </w:r>
          </w:p>
        </w:tc>
      </w:tr>
    </w:tbl>
    <w:p w14:paraId="1659A736" w14:textId="77777777" w:rsidR="00BE1D36" w:rsidRDefault="00BE1D36" w:rsidP="007E5EBF">
      <w:pPr>
        <w:pStyle w:val="Heading3"/>
      </w:pPr>
      <w:r>
        <w:t>Forestry operations</w:t>
      </w:r>
    </w:p>
    <w:p w14:paraId="0870927F" w14:textId="63743B14" w:rsidR="00BE1D36" w:rsidRDefault="005D1677" w:rsidP="007E5EBF">
      <w:pPr>
        <w:pStyle w:val="Heading5"/>
      </w:pPr>
      <w:r>
        <w:t>F</w:t>
      </w:r>
      <w:r w:rsidR="00BE1D36">
        <w:t>orestry operations</w:t>
      </w:r>
    </w:p>
    <w:p w14:paraId="61B0B760" w14:textId="4C720775" w:rsidR="00BE1D36" w:rsidRDefault="00C649E0" w:rsidP="00BE1D36">
      <w:pPr>
        <w:pStyle w:val="BodyText"/>
      </w:pPr>
      <w:r w:rsidRPr="00FD57DB">
        <w:t>Based on the 2015 net harvest area layer</w:t>
      </w:r>
      <w:r w:rsidR="00DF7BDF" w:rsidRPr="00FD57DB">
        <w:t>,</w:t>
      </w:r>
      <w:r w:rsidRPr="00FD57DB">
        <w:t xml:space="preserve"> 43% of the </w:t>
      </w:r>
      <w:r w:rsidR="001D3902">
        <w:t>species’</w:t>
      </w:r>
      <w:r w:rsidRPr="00FD57DB">
        <w:t xml:space="preserve"> VBA points are in merchantable areas. Using the revised operable area layer, this is reduced to 19%. </w:t>
      </w:r>
      <w:r w:rsidR="00BE1D36">
        <w:rPr>
          <w:rStyle w:val="normaltextrun"/>
        </w:rPr>
        <w:t xml:space="preserve">Due to the rarity of the </w:t>
      </w:r>
      <w:r w:rsidR="001D3902">
        <w:rPr>
          <w:rStyle w:val="normaltextrun"/>
        </w:rPr>
        <w:t>species</w:t>
      </w:r>
      <w:r w:rsidR="00BE1D36">
        <w:rPr>
          <w:rStyle w:val="normaltextrun"/>
        </w:rPr>
        <w:t>, it is particularly vulnerable to stochastic events, such as mechanical damage from forest roading and harvest</w:t>
      </w:r>
      <w:r w:rsidR="00FA78B7">
        <w:rPr>
          <w:rStyle w:val="normaltextrun"/>
        </w:rPr>
        <w:t>ing</w:t>
      </w:r>
      <w:r w:rsidR="00BE1D36">
        <w:rPr>
          <w:rStyle w:val="normaltextrun"/>
        </w:rPr>
        <w:t xml:space="preserve"> operations.</w:t>
      </w:r>
    </w:p>
    <w:p w14:paraId="5377C247" w14:textId="77777777" w:rsidR="00BE1D36" w:rsidRDefault="00BE1D36" w:rsidP="00BE1D36">
      <w:pPr>
        <w:pStyle w:val="BodyText"/>
      </w:pPr>
      <w:r>
        <w:t>Current controls for this hazard include:</w:t>
      </w:r>
    </w:p>
    <w:p w14:paraId="346506EB" w14:textId="1C3C65A8" w:rsidR="00BE1D36" w:rsidRDefault="00BE1D36" w:rsidP="006670D2">
      <w:pPr>
        <w:pStyle w:val="PullOutBoxBullet"/>
      </w:pPr>
      <w:r>
        <w:t xml:space="preserve">The </w:t>
      </w:r>
      <w:r>
        <w:rPr>
          <w:i/>
          <w:iCs/>
        </w:rPr>
        <w:t>Code of Practice for Timber Production 2014</w:t>
      </w:r>
      <w:r>
        <w:t xml:space="preserve">. This has been evaluated as uncontrolled as there </w:t>
      </w:r>
      <w:r w:rsidR="002D300D">
        <w:t xml:space="preserve">is </w:t>
      </w:r>
      <w:r>
        <w:t>no species-specific code prescription</w:t>
      </w:r>
      <w:r w:rsidR="002D300D">
        <w:t>,</w:t>
      </w:r>
      <w:r>
        <w:t xml:space="preserve"> and other general Code prescriptions are unlikely to provide indirect protection.</w:t>
      </w:r>
    </w:p>
    <w:p w14:paraId="22C73925" w14:textId="379213A1" w:rsidR="00BE1D36" w:rsidRDefault="00BE1D36" w:rsidP="006670D2">
      <w:pPr>
        <w:pStyle w:val="PullOutBoxBullet"/>
      </w:pPr>
      <w:r>
        <w:t xml:space="preserve">The CAR reserve system. </w:t>
      </w:r>
      <w:r w:rsidR="003809EB" w:rsidRPr="00CB51DA">
        <w:rPr>
          <w:rStyle w:val="normaltextrun"/>
        </w:rPr>
        <w:t>The effectiveness of this control for this species has been evaluated</w:t>
      </w:r>
      <w:r w:rsidR="003809EB">
        <w:t xml:space="preserve"> as </w:t>
      </w:r>
      <w:r>
        <w:t xml:space="preserve">satisfactory as 100% of the </w:t>
      </w:r>
      <w:r w:rsidR="001D3902">
        <w:t>species’</w:t>
      </w:r>
      <w:r>
        <w:t xml:space="preserve"> important populations and 56% of post-1970 VBA points are within the reserve system. However, the species is very poorly known, so more records may occur outside of the protected area network. </w:t>
      </w:r>
    </w:p>
    <w:p w14:paraId="4FE7F6C4" w14:textId="0CBF529A"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241</w:t>
      </w:r>
      <w:r w:rsidR="000B6788" w:rsidRPr="00B846FE">
        <w:rPr>
          <w:bCs/>
          <w:noProof/>
        </w:rPr>
        <w:fldChar w:fldCharType="end"/>
      </w:r>
      <w:r w:rsidRPr="00FF310C">
        <w:t>. Tall Plume-grass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BE1D36" w14:paraId="28497EE6"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0F28B22"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43D0473B"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31D45011" w14:textId="77777777" w:rsidTr="00B45E4E">
        <w:tc>
          <w:tcPr>
            <w:tcW w:w="2268" w:type="dxa"/>
            <w:tcBorders>
              <w:top w:val="single" w:sz="8" w:space="0" w:color="CDDC29" w:themeColor="text2"/>
              <w:left w:val="nil"/>
              <w:bottom w:val="single" w:sz="8" w:space="0" w:color="CDDC29" w:themeColor="text2"/>
              <w:right w:val="nil"/>
            </w:tcBorders>
            <w:hideMark/>
          </w:tcPr>
          <w:p w14:paraId="2695F694" w14:textId="2E978865" w:rsidR="00BE1D36" w:rsidRDefault="00BE1D36" w:rsidP="00B45E4E">
            <w:pPr>
              <w:pStyle w:val="BodyText"/>
            </w:pPr>
            <w:r>
              <w:t>Interim protections</w:t>
            </w:r>
            <w:r w:rsidR="00E448AD">
              <w:t xml:space="preserve"> </w:t>
            </w:r>
          </w:p>
        </w:tc>
        <w:tc>
          <w:tcPr>
            <w:tcW w:w="7371" w:type="dxa"/>
            <w:tcBorders>
              <w:top w:val="single" w:sz="8" w:space="0" w:color="CDDC29" w:themeColor="text2"/>
              <w:left w:val="nil"/>
              <w:bottom w:val="single" w:sz="8" w:space="0" w:color="CDDC29" w:themeColor="text2"/>
              <w:right w:val="nil"/>
            </w:tcBorders>
            <w:hideMark/>
          </w:tcPr>
          <w:p w14:paraId="62214802" w14:textId="77777777" w:rsidR="00BE1D36" w:rsidRDefault="00BE1D36" w:rsidP="00B45E4E">
            <w:pPr>
              <w:pStyle w:val="BodyText"/>
            </w:pPr>
            <w:r>
              <w:t>Not required for this hazard based on the overall risk level of medium.</w:t>
            </w:r>
          </w:p>
        </w:tc>
      </w:tr>
      <w:tr w:rsidR="002E31CA" w14:paraId="799B7FAB" w14:textId="77777777" w:rsidTr="00B45E4E">
        <w:tc>
          <w:tcPr>
            <w:tcW w:w="2268" w:type="dxa"/>
            <w:tcBorders>
              <w:top w:val="single" w:sz="8" w:space="0" w:color="CDDC29" w:themeColor="text2"/>
              <w:left w:val="nil"/>
              <w:bottom w:val="single" w:sz="8" w:space="0" w:color="CDDC29" w:themeColor="text2"/>
              <w:right w:val="nil"/>
            </w:tcBorders>
          </w:tcPr>
          <w:p w14:paraId="09060607" w14:textId="5D7DC63F" w:rsidR="002E31CA" w:rsidRDefault="002E31CA"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4721E002" w14:textId="307A9CEF" w:rsidR="002E31CA" w:rsidRDefault="002E31CA" w:rsidP="00B45E4E">
            <w:pPr>
              <w:pStyle w:val="BodyText"/>
            </w:pPr>
            <w:r>
              <w:t>Not required for this hazard based on the overall risk level of medium.</w:t>
            </w:r>
          </w:p>
        </w:tc>
      </w:tr>
      <w:tr w:rsidR="00BE1D36" w14:paraId="7C2D507C" w14:textId="77777777" w:rsidTr="00B45E4E">
        <w:tc>
          <w:tcPr>
            <w:tcW w:w="2268" w:type="dxa"/>
            <w:tcBorders>
              <w:top w:val="single" w:sz="8" w:space="0" w:color="CDDC29" w:themeColor="text2"/>
              <w:left w:val="nil"/>
              <w:bottom w:val="single" w:sz="8" w:space="0" w:color="CDDC29" w:themeColor="text2"/>
              <w:right w:val="nil"/>
            </w:tcBorders>
            <w:hideMark/>
          </w:tcPr>
          <w:p w14:paraId="39105FC3" w14:textId="77777777" w:rsidR="00BE1D36" w:rsidRDefault="00BE1D36" w:rsidP="00B45E4E">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44368F89" w14:textId="77777777" w:rsidR="00BE1D36" w:rsidRDefault="00BE1D36" w:rsidP="00B45E4E">
            <w:pPr>
              <w:pStyle w:val="BodyText"/>
            </w:pPr>
            <w:r>
              <w:t>Additional permanent protections may be required in the longer-term.</w:t>
            </w:r>
          </w:p>
        </w:tc>
      </w:tr>
      <w:tr w:rsidR="00BE1D36" w14:paraId="419C2A86" w14:textId="77777777" w:rsidTr="00B45E4E">
        <w:tc>
          <w:tcPr>
            <w:tcW w:w="2268" w:type="dxa"/>
            <w:tcBorders>
              <w:top w:val="single" w:sz="8" w:space="0" w:color="CDDC29" w:themeColor="text2"/>
              <w:left w:val="nil"/>
              <w:bottom w:val="single" w:sz="8" w:space="0" w:color="CDDC29" w:themeColor="text2"/>
              <w:right w:val="nil"/>
            </w:tcBorders>
            <w:hideMark/>
          </w:tcPr>
          <w:p w14:paraId="71759D74" w14:textId="42F53338" w:rsidR="00BE1D36" w:rsidRDefault="00E448AD"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48266772" w14:textId="7459DF08" w:rsidR="00BE1D36" w:rsidRDefault="00BE1D36" w:rsidP="006670D2">
            <w:pPr>
              <w:pStyle w:val="PullOutBoxBullet"/>
            </w:pPr>
            <w:r>
              <w:t xml:space="preserve">Undertake surveys and detailed mapping of populations; </w:t>
            </w:r>
            <w:r w:rsidR="00E448AD">
              <w:t>and</w:t>
            </w:r>
          </w:p>
          <w:p w14:paraId="045B6772" w14:textId="36CE2088" w:rsidR="00BE1D36" w:rsidRDefault="00BE1D36" w:rsidP="006670D2">
            <w:pPr>
              <w:pStyle w:val="PullOutBoxBullet"/>
            </w:pPr>
            <w:r>
              <w:t>Consider introducing a species-specific code prescription as part of any future Code amendments</w:t>
            </w:r>
            <w:r w:rsidR="00E448AD">
              <w:t>.</w:t>
            </w:r>
          </w:p>
        </w:tc>
      </w:tr>
    </w:tbl>
    <w:p w14:paraId="1F1833AB" w14:textId="77777777" w:rsidR="00BE1D36" w:rsidRDefault="00BE1D36" w:rsidP="007E5EBF">
      <w:pPr>
        <w:pStyle w:val="Heading3"/>
      </w:pPr>
      <w:r>
        <w:t>Invasive species</w:t>
      </w:r>
    </w:p>
    <w:p w14:paraId="7E82EA8E" w14:textId="77777777" w:rsidR="00BE1D36" w:rsidRDefault="00BE1D36" w:rsidP="007E5EBF">
      <w:pPr>
        <w:pStyle w:val="Heading5"/>
      </w:pPr>
      <w:r>
        <w:t>Native browsers and grazers</w:t>
      </w:r>
    </w:p>
    <w:p w14:paraId="7F6D35B4" w14:textId="1BF19E77" w:rsidR="00BE1D36" w:rsidRDefault="00BE1D36" w:rsidP="00BE1D36">
      <w:pPr>
        <w:pStyle w:val="BodyText"/>
      </w:pPr>
      <w:r>
        <w:t>Very small populations are susceptible to severe impacts from a single grazing event from macropods or wombats. The growth form may be susceptible to grazers pulling the whole plant out of the ground leading to direct mortality. Grazing impacts may increase susceptibility to drought impacts, which could lead to seedbank depletion, exhaustion</w:t>
      </w:r>
      <w:r w:rsidR="00DE27E1">
        <w:t>,</w:t>
      </w:r>
      <w:r>
        <w:t xml:space="preserve"> and local extinction. This hazard applies to the </w:t>
      </w:r>
      <w:r w:rsidR="001D3902">
        <w:t>species’</w:t>
      </w:r>
      <w:r>
        <w:t xml:space="preserve"> entire distribution.</w:t>
      </w:r>
    </w:p>
    <w:p w14:paraId="1BB23ECB" w14:textId="77777777" w:rsidR="00BE1D36" w:rsidRDefault="00BE1D36" w:rsidP="00BE1D36">
      <w:pPr>
        <w:pStyle w:val="BodyText"/>
      </w:pPr>
      <w:r>
        <w:t>This hazard has been evaluated as uncontrolled.</w:t>
      </w:r>
    </w:p>
    <w:p w14:paraId="201FA3BA" w14:textId="4DBB68EA"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242</w:t>
      </w:r>
      <w:r w:rsidR="000B6788" w:rsidRPr="00B846FE">
        <w:rPr>
          <w:bCs/>
          <w:noProof/>
        </w:rPr>
        <w:fldChar w:fldCharType="end"/>
      </w:r>
      <w:r w:rsidRPr="00FF310C">
        <w:t>. Tall Plume-grass protection requirements and recommendations for native browsers and grazers</w:t>
      </w:r>
    </w:p>
    <w:tbl>
      <w:tblPr>
        <w:tblStyle w:val="TableGrid"/>
        <w:tblW w:w="0" w:type="auto"/>
        <w:tblLook w:val="04A0" w:firstRow="1" w:lastRow="0" w:firstColumn="1" w:lastColumn="0" w:noHBand="0" w:noVBand="1"/>
      </w:tblPr>
      <w:tblGrid>
        <w:gridCol w:w="2268"/>
        <w:gridCol w:w="7371"/>
      </w:tblGrid>
      <w:tr w:rsidR="00BE1D36" w14:paraId="47E4B9BC"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78D8CFF6"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30AF15D1"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2D72C7ED" w14:textId="77777777" w:rsidTr="00B45E4E">
        <w:tc>
          <w:tcPr>
            <w:tcW w:w="2268" w:type="dxa"/>
            <w:tcBorders>
              <w:top w:val="single" w:sz="8" w:space="0" w:color="CDDC29" w:themeColor="text2"/>
              <w:left w:val="nil"/>
              <w:bottom w:val="single" w:sz="8" w:space="0" w:color="CDDC29" w:themeColor="text2"/>
              <w:right w:val="nil"/>
            </w:tcBorders>
            <w:hideMark/>
          </w:tcPr>
          <w:p w14:paraId="2CB62DBA" w14:textId="53BACF72" w:rsidR="00BE1D36" w:rsidRDefault="00E448AD"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6404F689" w14:textId="77777777" w:rsidR="00BE1D36" w:rsidRDefault="00BE1D36" w:rsidP="00B45E4E">
            <w:pPr>
              <w:pStyle w:val="BodyText"/>
            </w:pPr>
            <w:r>
              <w:t>Not required for this hazard based on the overall risk level of medium.</w:t>
            </w:r>
          </w:p>
        </w:tc>
      </w:tr>
      <w:tr w:rsidR="00BE1D36" w14:paraId="11C1CFA1" w14:textId="77777777" w:rsidTr="00B45E4E">
        <w:tc>
          <w:tcPr>
            <w:tcW w:w="2268" w:type="dxa"/>
            <w:tcBorders>
              <w:top w:val="single" w:sz="8" w:space="0" w:color="CDDC29" w:themeColor="text2"/>
              <w:left w:val="nil"/>
              <w:bottom w:val="single" w:sz="8" w:space="0" w:color="CDDC29" w:themeColor="text2"/>
              <w:right w:val="nil"/>
            </w:tcBorders>
            <w:hideMark/>
          </w:tcPr>
          <w:p w14:paraId="2757E304" w14:textId="24FF65BA" w:rsidR="00BE1D36" w:rsidRDefault="00E448AD"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71ACEB0A" w14:textId="5D9C45F1" w:rsidR="00BE1D36" w:rsidRDefault="0017099D" w:rsidP="006670D2">
            <w:pPr>
              <w:pStyle w:val="PullOutBoxBullet"/>
            </w:pPr>
            <w:r>
              <w:t>E</w:t>
            </w:r>
            <w:r w:rsidR="00BE1D36">
              <w:t>valuate feasibility of exclusion fencing for important populations</w:t>
            </w:r>
            <w:r w:rsidR="00B96B91">
              <w:t>.</w:t>
            </w:r>
          </w:p>
        </w:tc>
      </w:tr>
    </w:tbl>
    <w:p w14:paraId="534703AB" w14:textId="77777777" w:rsidR="00BE1D36" w:rsidRDefault="00BE1D36" w:rsidP="00BE1D36">
      <w:pPr>
        <w:pStyle w:val="ListBullet"/>
        <w:numPr>
          <w:ilvl w:val="0"/>
          <w:numId w:val="0"/>
        </w:numPr>
        <w:ind w:left="397"/>
        <w:rPr>
          <w:szCs w:val="20"/>
        </w:rPr>
      </w:pPr>
    </w:p>
    <w:p w14:paraId="3430BAFE" w14:textId="77777777" w:rsidR="00403F73" w:rsidRDefault="00403F73">
      <w:pPr>
        <w:rPr>
          <w:rFonts w:ascii="Arial" w:hAnsi="Arial"/>
          <w:b/>
          <w:bCs/>
          <w:i/>
          <w:iCs/>
          <w:color w:val="00B2A9" w:themeColor="accent1"/>
          <w:kern w:val="20"/>
          <w:sz w:val="24"/>
          <w:szCs w:val="28"/>
        </w:rPr>
      </w:pPr>
      <w:bookmarkStart w:id="971" w:name="_Toc88568484"/>
      <w:r>
        <w:br w:type="page"/>
      </w:r>
    </w:p>
    <w:p w14:paraId="66648917" w14:textId="658180A2" w:rsidR="00BE1D36" w:rsidRPr="00403F73" w:rsidRDefault="00BE1D36" w:rsidP="00171F18">
      <w:pPr>
        <w:pStyle w:val="Heading2"/>
        <w:ind w:left="0"/>
        <w:rPr>
          <w:i/>
          <w:iCs/>
        </w:rPr>
      </w:pPr>
      <w:bookmarkStart w:id="972" w:name="_Toc113271073"/>
      <w:r w:rsidRPr="00403F73">
        <w:t>Tasmanian Wax-flower </w:t>
      </w:r>
      <w:r w:rsidRPr="005F7D8C">
        <w:rPr>
          <w:i/>
          <w:iCs/>
        </w:rPr>
        <w:t>(Philotheca virgata)</w:t>
      </w:r>
      <w:bookmarkEnd w:id="971"/>
      <w:bookmarkEnd w:id="972"/>
      <w:r w:rsidRPr="005F7D8C">
        <w:rPr>
          <w:i/>
          <w:iCs/>
        </w:rPr>
        <w:t> </w:t>
      </w:r>
    </w:p>
    <w:p w14:paraId="39EC2C9E" w14:textId="64AA22EA" w:rsidR="00BE1D36" w:rsidRDefault="00BE1D36" w:rsidP="00BE1D36">
      <w:pPr>
        <w:pStyle w:val="BodyText"/>
        <w:rPr>
          <w:rFonts w:ascii="Segoe UI" w:hAnsi="Segoe UI" w:cs="Segoe UI"/>
          <w:color w:val="363534"/>
        </w:rPr>
      </w:pPr>
      <w:r>
        <w:t xml:space="preserve">The Tasmanian Wax-flower was listed as Endangered in Victoria under the FFG Act in May 2021. The </w:t>
      </w:r>
      <w:r w:rsidR="001D3902">
        <w:t>species</w:t>
      </w:r>
      <w:r>
        <w:t xml:space="preserve"> has modelled habitat in the East Gippsland (100% of modelled habitat) RFA region. </w:t>
      </w:r>
      <w:r>
        <w:rPr>
          <w:rStyle w:val="BodyTextChar"/>
        </w:rPr>
        <w:t>Permanent protections are recommended to address any hazards identified at a significant or high risk, and all</w:t>
      </w:r>
      <w:r>
        <w:t xml:space="preserve"> hazards rated a medium risk or higher will be considered in future management planning.</w:t>
      </w:r>
    </w:p>
    <w:p w14:paraId="34788D81" w14:textId="77777777" w:rsidR="00BE1D36" w:rsidRDefault="00BE1D36" w:rsidP="007E5EBF">
      <w:pPr>
        <w:pStyle w:val="Heading3"/>
      </w:pPr>
      <w:r>
        <w:t>Risk Assessment</w:t>
      </w:r>
    </w:p>
    <w:p w14:paraId="0FD95B1E" w14:textId="33C4AE69" w:rsidR="00BE1D36" w:rsidRPr="00FF310C" w:rsidRDefault="002E31CA"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243</w:t>
      </w:r>
      <w:r w:rsidR="000B6788" w:rsidRPr="00B846FE">
        <w:rPr>
          <w:bCs/>
          <w:noProof/>
        </w:rPr>
        <w:fldChar w:fldCharType="end"/>
      </w:r>
      <w:r w:rsidRPr="00FF310C">
        <w:t>. T</w:t>
      </w:r>
      <w:r w:rsidR="00BE1D36" w:rsidRPr="00FF310C">
        <w:t>asmanian Wax-flower risk ratings in East Gippsland:</w:t>
      </w:r>
    </w:p>
    <w:tbl>
      <w:tblPr>
        <w:tblStyle w:val="TableGrid"/>
        <w:tblW w:w="9780" w:type="dxa"/>
        <w:tblLook w:val="04A0" w:firstRow="1" w:lastRow="0" w:firstColumn="1" w:lastColumn="0" w:noHBand="0" w:noVBand="1"/>
      </w:tblPr>
      <w:tblGrid>
        <w:gridCol w:w="1956"/>
        <w:gridCol w:w="1956"/>
        <w:gridCol w:w="1956"/>
        <w:gridCol w:w="1956"/>
        <w:gridCol w:w="1956"/>
      </w:tblGrid>
      <w:tr w:rsidR="00BE1D36" w14:paraId="67364EDF"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56" w:type="dxa"/>
            <w:tcBorders>
              <w:top w:val="single" w:sz="8" w:space="0" w:color="CDDC29" w:themeColor="text2"/>
              <w:left w:val="nil"/>
              <w:bottom w:val="single" w:sz="8" w:space="0" w:color="CDDC29" w:themeColor="text2"/>
              <w:right w:val="nil"/>
            </w:tcBorders>
            <w:vAlign w:val="center"/>
          </w:tcPr>
          <w:p w14:paraId="20894BCB" w14:textId="77777777" w:rsidR="00BE1D36" w:rsidRDefault="00BE1D36" w:rsidP="006670D2">
            <w:pPr>
              <w:pStyle w:val="CaptionImageorFigure"/>
            </w:pPr>
          </w:p>
        </w:tc>
        <w:tc>
          <w:tcPr>
            <w:tcW w:w="1956" w:type="dxa"/>
            <w:tcBorders>
              <w:top w:val="single" w:sz="8" w:space="0" w:color="CDDC29" w:themeColor="text2"/>
              <w:left w:val="nil"/>
              <w:bottom w:val="single" w:sz="8" w:space="0" w:color="CDDC29" w:themeColor="text2"/>
              <w:right w:val="nil"/>
            </w:tcBorders>
            <w:vAlign w:val="center"/>
            <w:hideMark/>
          </w:tcPr>
          <w:p w14:paraId="4E2D5F92"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Drought; increased fire frequency and intensity</w:t>
            </w:r>
          </w:p>
        </w:tc>
        <w:tc>
          <w:tcPr>
            <w:tcW w:w="1956" w:type="dxa"/>
            <w:tcBorders>
              <w:top w:val="single" w:sz="8" w:space="0" w:color="CDDC29" w:themeColor="text2"/>
              <w:left w:val="nil"/>
              <w:bottom w:val="single" w:sz="8" w:space="0" w:color="CDDC29" w:themeColor="text2"/>
              <w:right w:val="nil"/>
            </w:tcBorders>
            <w:vAlign w:val="center"/>
            <w:hideMark/>
          </w:tcPr>
          <w:p w14:paraId="3DB8400D" w14:textId="353E118C" w:rsidR="00BE1D36" w:rsidRDefault="005D1677"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BE1D36">
              <w:t>orestry operations</w:t>
            </w:r>
          </w:p>
        </w:tc>
        <w:tc>
          <w:tcPr>
            <w:tcW w:w="1956" w:type="dxa"/>
            <w:tcBorders>
              <w:top w:val="single" w:sz="8" w:space="0" w:color="CDDC29" w:themeColor="text2"/>
              <w:left w:val="nil"/>
              <w:bottom w:val="single" w:sz="8" w:space="0" w:color="CDDC29" w:themeColor="text2"/>
              <w:right w:val="nil"/>
            </w:tcBorders>
            <w:vAlign w:val="center"/>
            <w:hideMark/>
          </w:tcPr>
          <w:p w14:paraId="607E0EA8"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rPr>
                <w:i/>
                <w:iCs/>
              </w:rPr>
            </w:pPr>
            <w:r>
              <w:t>Invasive vertebrate (deer)</w:t>
            </w:r>
          </w:p>
        </w:tc>
        <w:tc>
          <w:tcPr>
            <w:tcW w:w="1956" w:type="dxa"/>
            <w:tcBorders>
              <w:top w:val="single" w:sz="8" w:space="0" w:color="CDDC29" w:themeColor="text2"/>
              <w:left w:val="nil"/>
              <w:bottom w:val="single" w:sz="8" w:space="0" w:color="CDDC29" w:themeColor="text2"/>
              <w:right w:val="nil"/>
            </w:tcBorders>
            <w:vAlign w:val="center"/>
            <w:hideMark/>
          </w:tcPr>
          <w:p w14:paraId="5F053E5D" w14:textId="77777777" w:rsidR="00BE1D36" w:rsidRPr="00535F17"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rsidRPr="00535F17">
              <w:t>Phytophthora cinnamomi</w:t>
            </w:r>
          </w:p>
        </w:tc>
      </w:tr>
      <w:tr w:rsidR="00BE1D36" w14:paraId="70234D53" w14:textId="77777777" w:rsidTr="00BE1D36">
        <w:tc>
          <w:tcPr>
            <w:tcW w:w="1956" w:type="dxa"/>
            <w:tcBorders>
              <w:top w:val="single" w:sz="8" w:space="0" w:color="CDDC29" w:themeColor="text2"/>
              <w:left w:val="nil"/>
              <w:bottom w:val="single" w:sz="8" w:space="0" w:color="CDDC29" w:themeColor="text2"/>
              <w:right w:val="nil"/>
            </w:tcBorders>
            <w:vAlign w:val="center"/>
            <w:hideMark/>
          </w:tcPr>
          <w:p w14:paraId="297CC018" w14:textId="77777777" w:rsidR="00BE1D36" w:rsidRDefault="00BE1D36" w:rsidP="0017099D">
            <w:pPr>
              <w:pStyle w:val="BodyText"/>
              <w:jc w:val="center"/>
            </w:pPr>
            <w:r>
              <w:t>Consequence</w:t>
            </w:r>
          </w:p>
        </w:tc>
        <w:tc>
          <w:tcPr>
            <w:tcW w:w="1956" w:type="dxa"/>
            <w:tcBorders>
              <w:top w:val="single" w:sz="8" w:space="0" w:color="CDDC29" w:themeColor="text2"/>
              <w:left w:val="nil"/>
              <w:bottom w:val="single" w:sz="8" w:space="0" w:color="CDDC29" w:themeColor="text2"/>
              <w:right w:val="nil"/>
            </w:tcBorders>
            <w:vAlign w:val="center"/>
            <w:hideMark/>
          </w:tcPr>
          <w:p w14:paraId="31E20E98" w14:textId="77777777" w:rsidR="00BE1D36" w:rsidRDefault="00BE1D36" w:rsidP="0017099D">
            <w:pPr>
              <w:pStyle w:val="BodyText"/>
              <w:jc w:val="center"/>
            </w:pPr>
            <w:r>
              <w:t>Major</w:t>
            </w:r>
          </w:p>
        </w:tc>
        <w:tc>
          <w:tcPr>
            <w:tcW w:w="1956" w:type="dxa"/>
            <w:tcBorders>
              <w:top w:val="single" w:sz="8" w:space="0" w:color="CDDC29" w:themeColor="text2"/>
              <w:left w:val="nil"/>
              <w:bottom w:val="single" w:sz="8" w:space="0" w:color="CDDC29" w:themeColor="text2"/>
              <w:right w:val="nil"/>
            </w:tcBorders>
            <w:vAlign w:val="center"/>
            <w:hideMark/>
          </w:tcPr>
          <w:p w14:paraId="4856A7B3" w14:textId="77777777" w:rsidR="00BE1D36" w:rsidRDefault="00BE1D36" w:rsidP="0017099D">
            <w:pPr>
              <w:pStyle w:val="BodyText"/>
              <w:jc w:val="center"/>
            </w:pPr>
            <w:r>
              <w:t>Major</w:t>
            </w:r>
          </w:p>
        </w:tc>
        <w:tc>
          <w:tcPr>
            <w:tcW w:w="1956" w:type="dxa"/>
            <w:tcBorders>
              <w:top w:val="single" w:sz="8" w:space="0" w:color="CDDC29" w:themeColor="text2"/>
              <w:left w:val="nil"/>
              <w:bottom w:val="single" w:sz="8" w:space="0" w:color="CDDC29" w:themeColor="text2"/>
              <w:right w:val="nil"/>
            </w:tcBorders>
            <w:vAlign w:val="center"/>
            <w:hideMark/>
          </w:tcPr>
          <w:p w14:paraId="3F6C46A2" w14:textId="77777777" w:rsidR="00BE1D36" w:rsidRDefault="00BE1D36" w:rsidP="0017099D">
            <w:pPr>
              <w:pStyle w:val="BodyText"/>
              <w:jc w:val="center"/>
            </w:pPr>
            <w:r>
              <w:t>Major</w:t>
            </w:r>
          </w:p>
        </w:tc>
        <w:tc>
          <w:tcPr>
            <w:tcW w:w="1956" w:type="dxa"/>
            <w:tcBorders>
              <w:top w:val="single" w:sz="8" w:space="0" w:color="CDDC29" w:themeColor="text2"/>
              <w:left w:val="nil"/>
              <w:bottom w:val="single" w:sz="8" w:space="0" w:color="CDDC29" w:themeColor="text2"/>
              <w:right w:val="nil"/>
            </w:tcBorders>
            <w:vAlign w:val="center"/>
            <w:hideMark/>
          </w:tcPr>
          <w:p w14:paraId="37DE8F11" w14:textId="77777777" w:rsidR="00BE1D36" w:rsidRDefault="00BE1D36" w:rsidP="0017099D">
            <w:pPr>
              <w:pStyle w:val="BodyText"/>
              <w:jc w:val="center"/>
            </w:pPr>
            <w:r>
              <w:t>Major</w:t>
            </w:r>
          </w:p>
        </w:tc>
      </w:tr>
      <w:tr w:rsidR="00BE1D36" w14:paraId="534A9047" w14:textId="77777777" w:rsidTr="00BE1D36">
        <w:tc>
          <w:tcPr>
            <w:tcW w:w="1956" w:type="dxa"/>
            <w:tcBorders>
              <w:top w:val="single" w:sz="8" w:space="0" w:color="CDDC29" w:themeColor="text2"/>
              <w:left w:val="nil"/>
              <w:bottom w:val="single" w:sz="8" w:space="0" w:color="CDDC29" w:themeColor="text2"/>
              <w:right w:val="nil"/>
            </w:tcBorders>
            <w:vAlign w:val="center"/>
            <w:hideMark/>
          </w:tcPr>
          <w:p w14:paraId="155A544E" w14:textId="77777777" w:rsidR="00BE1D36" w:rsidRDefault="00BE1D36" w:rsidP="0017099D">
            <w:pPr>
              <w:pStyle w:val="BodyText"/>
              <w:jc w:val="center"/>
            </w:pPr>
            <w:r>
              <w:t>Likelihood</w:t>
            </w:r>
          </w:p>
        </w:tc>
        <w:tc>
          <w:tcPr>
            <w:tcW w:w="1956" w:type="dxa"/>
            <w:tcBorders>
              <w:top w:val="single" w:sz="8" w:space="0" w:color="CDDC29" w:themeColor="text2"/>
              <w:left w:val="nil"/>
              <w:bottom w:val="single" w:sz="8" w:space="0" w:color="CDDC29" w:themeColor="text2"/>
              <w:right w:val="nil"/>
            </w:tcBorders>
            <w:vAlign w:val="center"/>
            <w:hideMark/>
          </w:tcPr>
          <w:p w14:paraId="4560DE39" w14:textId="77777777" w:rsidR="00BE1D36" w:rsidRDefault="00BE1D36" w:rsidP="0017099D">
            <w:pPr>
              <w:pStyle w:val="BodyText"/>
              <w:jc w:val="center"/>
            </w:pPr>
            <w:r>
              <w:t>Almost certain</w:t>
            </w:r>
          </w:p>
        </w:tc>
        <w:tc>
          <w:tcPr>
            <w:tcW w:w="1956" w:type="dxa"/>
            <w:tcBorders>
              <w:top w:val="single" w:sz="8" w:space="0" w:color="CDDC29" w:themeColor="text2"/>
              <w:left w:val="nil"/>
              <w:bottom w:val="single" w:sz="8" w:space="0" w:color="CDDC29" w:themeColor="text2"/>
              <w:right w:val="nil"/>
            </w:tcBorders>
            <w:vAlign w:val="center"/>
            <w:hideMark/>
          </w:tcPr>
          <w:p w14:paraId="3039F8CA" w14:textId="77777777" w:rsidR="00BE1D36" w:rsidRDefault="00BE1D36" w:rsidP="0017099D">
            <w:pPr>
              <w:pStyle w:val="BodyText"/>
              <w:jc w:val="center"/>
            </w:pPr>
            <w:r>
              <w:t>Unlikely</w:t>
            </w:r>
          </w:p>
        </w:tc>
        <w:tc>
          <w:tcPr>
            <w:tcW w:w="1956" w:type="dxa"/>
            <w:tcBorders>
              <w:top w:val="single" w:sz="8" w:space="0" w:color="CDDC29" w:themeColor="text2"/>
              <w:left w:val="nil"/>
              <w:bottom w:val="single" w:sz="8" w:space="0" w:color="CDDC29" w:themeColor="text2"/>
              <w:right w:val="nil"/>
            </w:tcBorders>
            <w:vAlign w:val="center"/>
            <w:hideMark/>
          </w:tcPr>
          <w:p w14:paraId="3B0A2D2F" w14:textId="77777777" w:rsidR="00BE1D36" w:rsidRDefault="00BE1D36" w:rsidP="0017099D">
            <w:pPr>
              <w:pStyle w:val="BodyText"/>
              <w:jc w:val="center"/>
            </w:pPr>
            <w:r>
              <w:t>Likely</w:t>
            </w:r>
          </w:p>
        </w:tc>
        <w:tc>
          <w:tcPr>
            <w:tcW w:w="1956" w:type="dxa"/>
            <w:tcBorders>
              <w:top w:val="single" w:sz="8" w:space="0" w:color="CDDC29" w:themeColor="text2"/>
              <w:left w:val="nil"/>
              <w:bottom w:val="single" w:sz="8" w:space="0" w:color="CDDC29" w:themeColor="text2"/>
              <w:right w:val="nil"/>
            </w:tcBorders>
            <w:vAlign w:val="center"/>
            <w:hideMark/>
          </w:tcPr>
          <w:p w14:paraId="107428B6" w14:textId="77777777" w:rsidR="00BE1D36" w:rsidRDefault="00BE1D36" w:rsidP="0017099D">
            <w:pPr>
              <w:pStyle w:val="BodyText"/>
              <w:jc w:val="center"/>
            </w:pPr>
            <w:r>
              <w:t>Unlikely</w:t>
            </w:r>
          </w:p>
        </w:tc>
      </w:tr>
      <w:tr w:rsidR="00BE1D36" w14:paraId="0A8C9EA5" w14:textId="77777777" w:rsidTr="00BE1D36">
        <w:tc>
          <w:tcPr>
            <w:tcW w:w="1956" w:type="dxa"/>
            <w:tcBorders>
              <w:top w:val="single" w:sz="8" w:space="0" w:color="CDDC29" w:themeColor="text2"/>
              <w:left w:val="nil"/>
              <w:bottom w:val="single" w:sz="8" w:space="0" w:color="CDDC29" w:themeColor="text2"/>
              <w:right w:val="nil"/>
            </w:tcBorders>
            <w:vAlign w:val="center"/>
            <w:hideMark/>
          </w:tcPr>
          <w:p w14:paraId="6E8DDC8A" w14:textId="77777777" w:rsidR="00BE1D36" w:rsidRDefault="00BE1D36" w:rsidP="0017099D">
            <w:pPr>
              <w:pStyle w:val="BodyText"/>
              <w:jc w:val="center"/>
            </w:pPr>
            <w:r>
              <w:t>Overall risk rating</w:t>
            </w:r>
          </w:p>
        </w:tc>
        <w:tc>
          <w:tcPr>
            <w:tcW w:w="1956" w:type="dxa"/>
            <w:tcBorders>
              <w:top w:val="single" w:sz="8" w:space="0" w:color="CDDC29" w:themeColor="text2"/>
              <w:left w:val="nil"/>
              <w:bottom w:val="single" w:sz="8" w:space="0" w:color="CDDC29" w:themeColor="text2"/>
              <w:right w:val="nil"/>
            </w:tcBorders>
            <w:shd w:val="clear" w:color="auto" w:fill="FF0000"/>
            <w:vAlign w:val="center"/>
            <w:hideMark/>
          </w:tcPr>
          <w:p w14:paraId="535297C9" w14:textId="77777777" w:rsidR="00BE1D36" w:rsidRDefault="00BE1D36" w:rsidP="0017099D">
            <w:pPr>
              <w:pStyle w:val="BodyText"/>
              <w:jc w:val="center"/>
            </w:pPr>
            <w:r>
              <w:t>High</w:t>
            </w:r>
          </w:p>
        </w:tc>
        <w:tc>
          <w:tcPr>
            <w:tcW w:w="1956" w:type="dxa"/>
            <w:tcBorders>
              <w:top w:val="single" w:sz="8" w:space="0" w:color="CDDC29" w:themeColor="text2"/>
              <w:left w:val="nil"/>
              <w:bottom w:val="single" w:sz="8" w:space="0" w:color="CDDC29" w:themeColor="text2"/>
              <w:right w:val="nil"/>
            </w:tcBorders>
            <w:shd w:val="clear" w:color="auto" w:fill="FFFF00"/>
            <w:vAlign w:val="center"/>
            <w:hideMark/>
          </w:tcPr>
          <w:p w14:paraId="2295EB63" w14:textId="77777777" w:rsidR="00BE1D36" w:rsidRDefault="00BE1D36" w:rsidP="0017099D">
            <w:pPr>
              <w:pStyle w:val="BodyText"/>
              <w:jc w:val="center"/>
            </w:pPr>
            <w:r>
              <w:t>Medium</w:t>
            </w:r>
          </w:p>
        </w:tc>
        <w:tc>
          <w:tcPr>
            <w:tcW w:w="1956" w:type="dxa"/>
            <w:tcBorders>
              <w:top w:val="single" w:sz="8" w:space="0" w:color="CDDC29" w:themeColor="text2"/>
              <w:left w:val="nil"/>
              <w:bottom w:val="single" w:sz="8" w:space="0" w:color="CDDC29" w:themeColor="text2"/>
              <w:right w:val="nil"/>
            </w:tcBorders>
            <w:shd w:val="clear" w:color="auto" w:fill="FFC000"/>
            <w:vAlign w:val="center"/>
            <w:hideMark/>
          </w:tcPr>
          <w:p w14:paraId="6C7407FC" w14:textId="77777777" w:rsidR="00BE1D36" w:rsidRDefault="00BE1D36" w:rsidP="0017099D">
            <w:pPr>
              <w:pStyle w:val="BodyText"/>
              <w:jc w:val="center"/>
            </w:pPr>
            <w:r>
              <w:t>Significant</w:t>
            </w:r>
          </w:p>
        </w:tc>
        <w:tc>
          <w:tcPr>
            <w:tcW w:w="1956" w:type="dxa"/>
            <w:tcBorders>
              <w:top w:val="single" w:sz="8" w:space="0" w:color="CDDC29" w:themeColor="text2"/>
              <w:left w:val="nil"/>
              <w:bottom w:val="single" w:sz="8" w:space="0" w:color="CDDC29" w:themeColor="text2"/>
              <w:right w:val="nil"/>
            </w:tcBorders>
            <w:shd w:val="clear" w:color="auto" w:fill="FFFF00"/>
            <w:vAlign w:val="center"/>
            <w:hideMark/>
          </w:tcPr>
          <w:p w14:paraId="3A633247" w14:textId="77777777" w:rsidR="00BE1D36" w:rsidRDefault="00BE1D36" w:rsidP="0017099D">
            <w:pPr>
              <w:pStyle w:val="BodyText"/>
              <w:jc w:val="center"/>
            </w:pPr>
            <w:r>
              <w:t>Medium</w:t>
            </w:r>
          </w:p>
        </w:tc>
      </w:tr>
    </w:tbl>
    <w:p w14:paraId="4FAED30B" w14:textId="2EDF7217" w:rsidR="00BE1D36" w:rsidRDefault="00BE1D36" w:rsidP="007E5EBF">
      <w:pPr>
        <w:pStyle w:val="Heading3"/>
      </w:pPr>
      <w:r>
        <w:rPr>
          <w:noProof/>
        </w:rPr>
        <mc:AlternateContent>
          <mc:Choice Requires="wps">
            <w:drawing>
              <wp:anchor distT="0" distB="0" distL="114300" distR="114300" simplePos="0" relativeHeight="251658422" behindDoc="1" locked="1" layoutInCell="1" allowOverlap="1" wp14:anchorId="28341A4C" wp14:editId="594E60AB">
                <wp:simplePos x="0" y="0"/>
                <wp:positionH relativeFrom="page">
                  <wp:posOffset>359410</wp:posOffset>
                </wp:positionH>
                <wp:positionV relativeFrom="page">
                  <wp:posOffset>9071610</wp:posOffset>
                </wp:positionV>
                <wp:extent cx="6840220" cy="431800"/>
                <wp:effectExtent l="0" t="0" r="0" b="0"/>
                <wp:wrapNone/>
                <wp:docPr id="1303" name="Text Box 1303"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CAA1B"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41A4C" id="Text Box 1303" o:spid="_x0000_s1125" type="#_x0000_t202" alt="Title: Decorative Cover Shape" style="position:absolute;left:0;text-align:left;margin-left:28.3pt;margin-top:714.3pt;width:538.6pt;height:34pt;z-index:-2516580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CLdPh8gAIA&#10;AGIFAAAOAAAAAAAAAAAAAAAAAC4CAABkcnMvZTJvRG9jLnhtbFBLAQItABQABgAIAAAAIQCRaybX&#10;3QAAAA0BAAAPAAAAAAAAAAAAAAAAANoEAABkcnMvZG93bnJldi54bWxQSwUGAAAAAAQABADzAAAA&#10;5AUAAAAA&#10;" fillcolor="#201547" stroked="f" strokeweight=".5pt">
                <v:textbox inset="10mm,0,10mm,0">
                  <w:txbxContent>
                    <w:p w14:paraId="351CAA1B"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21" behindDoc="0" locked="1" layoutInCell="1" allowOverlap="1" wp14:anchorId="71E196B8" wp14:editId="3D4F7D4F">
                <wp:simplePos x="0" y="0"/>
                <wp:positionH relativeFrom="page">
                  <wp:posOffset>360045</wp:posOffset>
                </wp:positionH>
                <wp:positionV relativeFrom="page">
                  <wp:posOffset>360045</wp:posOffset>
                </wp:positionV>
                <wp:extent cx="1864995" cy="1976120"/>
                <wp:effectExtent l="0" t="0" r="0" b="0"/>
                <wp:wrapNone/>
                <wp:docPr id="104" name="Freeform: Shape 10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0D2937" id="Freeform: Shape 104" o:spid="_x0000_s1026" style="position:absolute;margin-left:28.35pt;margin-top:28.35pt;width:146.85pt;height:155.6pt;z-index:25165842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420" behindDoc="0" locked="1" layoutInCell="1" allowOverlap="1" wp14:anchorId="76600B20" wp14:editId="0C66F252">
                <wp:simplePos x="0" y="0"/>
                <wp:positionH relativeFrom="page">
                  <wp:posOffset>359410</wp:posOffset>
                </wp:positionH>
                <wp:positionV relativeFrom="page">
                  <wp:posOffset>359410</wp:posOffset>
                </wp:positionV>
                <wp:extent cx="1864995" cy="1976120"/>
                <wp:effectExtent l="0" t="0" r="0" b="0"/>
                <wp:wrapNone/>
                <wp:docPr id="105" name="Freeform: Shape 10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3FF8C6" id="Freeform: Shape 105" o:spid="_x0000_s1026" style="position:absolute;margin-left:28.3pt;margin-top:28.3pt;width:146.85pt;height:155.6pt;z-index:2516584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419" behindDoc="0" locked="1" layoutInCell="1" allowOverlap="1" wp14:anchorId="5D97B53F" wp14:editId="135F0F36">
                <wp:simplePos x="0" y="0"/>
                <wp:positionH relativeFrom="page">
                  <wp:posOffset>0</wp:posOffset>
                </wp:positionH>
                <wp:positionV relativeFrom="page">
                  <wp:align>bottom</wp:align>
                </wp:positionV>
                <wp:extent cx="3848100" cy="720090"/>
                <wp:effectExtent l="0" t="0" r="0" b="0"/>
                <wp:wrapNone/>
                <wp:docPr id="1306" name="Text Box 1306"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176E6"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7B53F" id="Text Box 1306" o:spid="_x0000_s1126" type="#_x0000_t202" style="position:absolute;left:0;text-align:left;margin-left:0;margin-top:0;width:303pt;height:56.7pt;z-index:25165841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" filled="f" stroked="f" strokeweight=".5pt">
                <v:textbox inset="20mm">
                  <w:txbxContent>
                    <w:p w14:paraId="25D176E6" w14:textId="77777777" w:rsidR="00BE1D36" w:rsidRDefault="00BE1D36" w:rsidP="00BE1D36">
                      <w:pPr>
                        <w:pStyle w:val="xWebCoverPage"/>
                      </w:pPr>
                      <w:r>
                        <w:t>delwp.vic.gov.au</w:t>
                      </w:r>
                    </w:p>
                  </w:txbxContent>
                </v:textbox>
                <w10:wrap anchorx="page" anchory="page"/>
                <w10:anchorlock/>
              </v:shape>
            </w:pict>
          </mc:Fallback>
        </mc:AlternateContent>
      </w:r>
      <w:r>
        <w:t>Climate change; Fire</w:t>
      </w:r>
    </w:p>
    <w:p w14:paraId="00E32232" w14:textId="77777777" w:rsidR="00BE1D36" w:rsidRDefault="00BE1D36" w:rsidP="007E5EBF">
      <w:pPr>
        <w:pStyle w:val="Heading5"/>
      </w:pPr>
      <w:r>
        <w:t>Drought and increased fire frequency and intensity</w:t>
      </w:r>
    </w:p>
    <w:p w14:paraId="24A3796F" w14:textId="2C7A928C" w:rsidR="00BE1D36" w:rsidRDefault="00BE1D36" w:rsidP="00BE1D36">
      <w:pPr>
        <w:pStyle w:val="BodyText"/>
      </w:pPr>
      <w:r>
        <w:t xml:space="preserve">This is a </w:t>
      </w:r>
      <w:r w:rsidR="001D3902">
        <w:t>species</w:t>
      </w:r>
      <w:r>
        <w:t xml:space="preserve"> of relatively moist, sheltered sites and as such, is likely to be particularly susceptible to </w:t>
      </w:r>
      <w:r w:rsidR="008F1BFC">
        <w:t xml:space="preserve">a </w:t>
      </w:r>
      <w:r>
        <w:t xml:space="preserve">drier climate and consequent increased fire frequency. </w:t>
      </w:r>
      <w:r>
        <w:rPr>
          <w:rStyle w:val="normaltextrun"/>
        </w:rPr>
        <w:t xml:space="preserve">The </w:t>
      </w:r>
      <w:r w:rsidR="001D3902">
        <w:rPr>
          <w:rStyle w:val="normaltextrun"/>
        </w:rPr>
        <w:t>species</w:t>
      </w:r>
      <w:r>
        <w:rPr>
          <w:rStyle w:val="normaltextrun"/>
        </w:rPr>
        <w:t xml:space="preserve"> may be at long-term risk of recruitment failure in response to repeat fire events at intervals approaching the tolerable fire interval for the </w:t>
      </w:r>
      <w:r w:rsidR="001D3902">
        <w:rPr>
          <w:rStyle w:val="normaltextrun"/>
        </w:rPr>
        <w:t>species</w:t>
      </w:r>
      <w:r>
        <w:rPr>
          <w:rStyle w:val="normaltextrun"/>
        </w:rPr>
        <w:t>.</w:t>
      </w:r>
      <w:r>
        <w:t xml:space="preserve"> If </w:t>
      </w:r>
      <w:r>
        <w:rPr>
          <w:i/>
          <w:iCs/>
        </w:rPr>
        <w:t>Phytophthora</w:t>
      </w:r>
      <w:r>
        <w:t xml:space="preserve"> is present in the </w:t>
      </w:r>
      <w:r w:rsidR="001D3902">
        <w:t>species’</w:t>
      </w:r>
      <w:r>
        <w:t xml:space="preserve"> habitat</w:t>
      </w:r>
      <w:r w:rsidR="008F1BFC">
        <w:t>,</w:t>
      </w:r>
      <w:r>
        <w:t xml:space="preserve"> its virulence and impact on the shrub is very likely to be much more severe in a climate-changed environment (Green 2016).</w:t>
      </w:r>
    </w:p>
    <w:p w14:paraId="3BAE0AC0" w14:textId="52975A38" w:rsidR="00747E72" w:rsidRDefault="00747E72" w:rsidP="00747E72">
      <w:pPr>
        <w:pStyle w:val="BodyText"/>
      </w:pPr>
      <w:r>
        <w:t xml:space="preserve">Current control measures for this hazard are strategic in nature and are not considered effective in managing the risk to this </w:t>
      </w:r>
      <w:r w:rsidR="001D3902">
        <w:t>species</w:t>
      </w:r>
      <w:r>
        <w:t xml:space="preserve"> at the scale relevant to its conservation at this stage.</w:t>
      </w:r>
    </w:p>
    <w:p w14:paraId="7AEC30AD" w14:textId="643FB170"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244</w:t>
      </w:r>
      <w:r w:rsidR="000B6788" w:rsidRPr="00B846FE">
        <w:rPr>
          <w:bCs/>
          <w:noProof/>
        </w:rPr>
        <w:fldChar w:fldCharType="end"/>
      </w:r>
      <w:r w:rsidRPr="00FF310C">
        <w:t>. Tasmanian Wax-flower protection requirements and recommendations for drought and increased fire frequency and intensity</w:t>
      </w:r>
    </w:p>
    <w:tbl>
      <w:tblPr>
        <w:tblStyle w:val="TableGrid"/>
        <w:tblW w:w="0" w:type="auto"/>
        <w:tblLook w:val="04A0" w:firstRow="1" w:lastRow="0" w:firstColumn="1" w:lastColumn="0" w:noHBand="0" w:noVBand="1"/>
      </w:tblPr>
      <w:tblGrid>
        <w:gridCol w:w="2268"/>
        <w:gridCol w:w="7371"/>
      </w:tblGrid>
      <w:tr w:rsidR="00BE1D36" w14:paraId="023518CF"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2145B23"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1F940BA"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040F5266" w14:textId="77777777" w:rsidTr="00B45E4E">
        <w:tc>
          <w:tcPr>
            <w:tcW w:w="2268" w:type="dxa"/>
            <w:tcBorders>
              <w:top w:val="single" w:sz="8" w:space="0" w:color="CDDC29" w:themeColor="text2"/>
              <w:left w:val="nil"/>
              <w:bottom w:val="single" w:sz="8" w:space="0" w:color="CDDC29" w:themeColor="text2"/>
              <w:right w:val="nil"/>
            </w:tcBorders>
            <w:hideMark/>
          </w:tcPr>
          <w:p w14:paraId="4A056CC7" w14:textId="7949F1C1" w:rsidR="00BE1D36" w:rsidRDefault="00594494"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4D2AF53F" w14:textId="77777777" w:rsidR="00BE1D36" w:rsidRDefault="00BE1D36" w:rsidP="00B45E4E">
            <w:pPr>
              <w:pStyle w:val="BodyText"/>
            </w:pPr>
            <w:r>
              <w:t>Not required for these hazards as they are longer-term threats.</w:t>
            </w:r>
          </w:p>
        </w:tc>
      </w:tr>
      <w:tr w:rsidR="00BE1D36" w14:paraId="35843869" w14:textId="77777777" w:rsidTr="00B45E4E">
        <w:tc>
          <w:tcPr>
            <w:tcW w:w="2268" w:type="dxa"/>
            <w:tcBorders>
              <w:top w:val="single" w:sz="8" w:space="0" w:color="CDDC29" w:themeColor="text2"/>
              <w:left w:val="nil"/>
              <w:bottom w:val="single" w:sz="8" w:space="0" w:color="CDDC29" w:themeColor="text2"/>
              <w:right w:val="nil"/>
            </w:tcBorders>
            <w:hideMark/>
          </w:tcPr>
          <w:p w14:paraId="2A73D764" w14:textId="2D4ED48E" w:rsidR="00BE1D36" w:rsidRDefault="00594494"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391AEAE0" w14:textId="5697774F" w:rsidR="00BE1D36" w:rsidRDefault="00BE1D36" w:rsidP="006670D2">
            <w:pPr>
              <w:pStyle w:val="PullOutBoxBullet"/>
            </w:pPr>
            <w:r>
              <w:t xml:space="preserve">Collect seed for the </w:t>
            </w:r>
            <w:r w:rsidR="005902EF">
              <w:t>VCS</w:t>
            </w:r>
            <w:r>
              <w:t xml:space="preserve"> from across the </w:t>
            </w:r>
            <w:r w:rsidR="001D3902">
              <w:t>species’</w:t>
            </w:r>
            <w:r>
              <w:t xml:space="preserve"> range as insurance against catastrophic loss</w:t>
            </w:r>
            <w:r w:rsidR="0017099D">
              <w:t>;</w:t>
            </w:r>
          </w:p>
          <w:p w14:paraId="58B15B28" w14:textId="6666296A" w:rsidR="00BE1D36" w:rsidRDefault="0017099D" w:rsidP="006670D2">
            <w:pPr>
              <w:pStyle w:val="PullOutBoxBullet"/>
            </w:pPr>
            <w:r>
              <w:t>E</w:t>
            </w:r>
            <w:r w:rsidR="00BE1D36">
              <w:t>nsure that important populations are mapped, recorded</w:t>
            </w:r>
            <w:r w:rsidR="00DE27E1">
              <w:t>,</w:t>
            </w:r>
            <w:r w:rsidR="00BE1D36">
              <w:t xml:space="preserve"> and made available for fire management planning purposes</w:t>
            </w:r>
            <w:r>
              <w:t>; and</w:t>
            </w:r>
          </w:p>
          <w:p w14:paraId="2702E7D2" w14:textId="549A9481" w:rsidR="00BE1D36" w:rsidRDefault="00BE1D36" w:rsidP="006670D2">
            <w:pPr>
              <w:pStyle w:val="PullOutBoxBullet"/>
            </w:pPr>
            <w:r>
              <w:t xml:space="preserve">Consider options to conserve this </w:t>
            </w:r>
            <w:r w:rsidR="001D3902">
              <w:t>species</w:t>
            </w:r>
            <w:r>
              <w:t xml:space="preserve"> under climate change, including protection of refuges, maintenance of hydrological regimes, translocation to more secure sites and gene mixing to improve its adaptability.</w:t>
            </w:r>
          </w:p>
        </w:tc>
      </w:tr>
    </w:tbl>
    <w:p w14:paraId="2C74D4CF" w14:textId="77777777" w:rsidR="00BE1D36" w:rsidRDefault="00BE1D36" w:rsidP="007E5EBF">
      <w:pPr>
        <w:pStyle w:val="Heading3"/>
      </w:pPr>
      <w:r>
        <w:t>Forestry operations</w:t>
      </w:r>
    </w:p>
    <w:p w14:paraId="1914D9AD" w14:textId="75F84F3A" w:rsidR="00BE1D36" w:rsidRDefault="005D1677" w:rsidP="007E5EBF">
      <w:pPr>
        <w:pStyle w:val="Heading5"/>
      </w:pPr>
      <w:r>
        <w:t>F</w:t>
      </w:r>
      <w:r w:rsidR="00BE1D36">
        <w:t>orestry operations</w:t>
      </w:r>
    </w:p>
    <w:p w14:paraId="4FEF7878" w14:textId="10932622" w:rsidR="00BE1D36" w:rsidRDefault="00BE1D36" w:rsidP="00BE1D36">
      <w:pPr>
        <w:pStyle w:val="BodyText"/>
      </w:pPr>
      <w:r>
        <w:t xml:space="preserve">The topography of the </w:t>
      </w:r>
      <w:r w:rsidR="001D3902">
        <w:t>species’</w:t>
      </w:r>
      <w:r>
        <w:t xml:space="preserve"> site suggests that </w:t>
      </w:r>
      <w:r w:rsidR="003B3D54">
        <w:t>timber harvesting</w:t>
      </w:r>
      <w:r>
        <w:t xml:space="preserve"> activity is unlikely to be within an area to cause damage to the plant, however there is a possibility of damage by felling timber and from post-</w:t>
      </w:r>
      <w:r w:rsidR="003B3D54">
        <w:t>timber harvesting</w:t>
      </w:r>
      <w:r>
        <w:t xml:space="preserve"> regeneration burns. Interaction with climate warming and drying as well as increased exposure from a reduction in the surrounding forest is likely to accelerate the drying of the site, rendering it unsuitable for occupation </w:t>
      </w:r>
      <w:r w:rsidRPr="00B6162A">
        <w:t xml:space="preserve">by the </w:t>
      </w:r>
      <w:r w:rsidR="001D3902">
        <w:t>species</w:t>
      </w:r>
      <w:r w:rsidRPr="00B6162A">
        <w:t>.</w:t>
      </w:r>
      <w:r w:rsidR="00F437E8" w:rsidRPr="00FD57DB">
        <w:t xml:space="preserve"> Based on the 2015 net harvest area layer 27% of the </w:t>
      </w:r>
      <w:r w:rsidR="001D3902">
        <w:t>species’</w:t>
      </w:r>
      <w:r w:rsidR="00F437E8" w:rsidRPr="00FD57DB">
        <w:t xml:space="preserve"> modelled habitat is in merchantable areas, however this is likely to be a sign</w:t>
      </w:r>
      <w:r w:rsidR="0041303E" w:rsidRPr="00FD57DB">
        <w:t>i</w:t>
      </w:r>
      <w:r w:rsidR="00F437E8" w:rsidRPr="00FD57DB">
        <w:t>ficant overestimate</w:t>
      </w:r>
      <w:r w:rsidR="0041303E" w:rsidRPr="00FD57DB">
        <w:t xml:space="preserve">, and this hazard is more likely to impact around 5% of the </w:t>
      </w:r>
      <w:r w:rsidR="001D3902">
        <w:t>species’</w:t>
      </w:r>
      <w:r w:rsidR="0041303E" w:rsidRPr="00FD57DB">
        <w:t xml:space="preserve"> population</w:t>
      </w:r>
      <w:r w:rsidR="00F437E8" w:rsidRPr="00FD57DB">
        <w:t>. Using the revised operable area layer</w:t>
      </w:r>
      <w:r w:rsidR="009A6652" w:rsidRPr="00FD57DB">
        <w:t>,</w:t>
      </w:r>
      <w:r w:rsidR="0041303E" w:rsidRPr="00FD57DB">
        <w:t xml:space="preserve"> </w:t>
      </w:r>
      <w:r w:rsidR="00E82D86">
        <w:t>less than 5</w:t>
      </w:r>
      <w:r w:rsidR="00F437E8" w:rsidRPr="00FD57DB">
        <w:t>%</w:t>
      </w:r>
      <w:r w:rsidR="0041303E" w:rsidRPr="00FD57DB">
        <w:t xml:space="preserve"> of the </w:t>
      </w:r>
      <w:r w:rsidR="001D3902">
        <w:t>species’</w:t>
      </w:r>
      <w:r w:rsidR="0041303E" w:rsidRPr="00FD57DB">
        <w:t xml:space="preserve"> modelled habitat</w:t>
      </w:r>
      <w:r w:rsidR="00E27AF3" w:rsidRPr="00FD57DB">
        <w:t xml:space="preserve"> is</w:t>
      </w:r>
      <w:r w:rsidR="0041303E" w:rsidRPr="00FD57DB">
        <w:t xml:space="preserve"> in merchantable areas</w:t>
      </w:r>
      <w:r w:rsidR="00F437E8" w:rsidRPr="00FD57DB">
        <w:t xml:space="preserve">. </w:t>
      </w:r>
      <w:r>
        <w:t xml:space="preserve">Populations of the </w:t>
      </w:r>
      <w:r w:rsidR="001D3902">
        <w:t>species</w:t>
      </w:r>
      <w:r>
        <w:t xml:space="preserve"> are small and geographically very restricted to three known sites, only one which is not in a National Park. </w:t>
      </w:r>
    </w:p>
    <w:p w14:paraId="30ED7D65" w14:textId="77777777" w:rsidR="00BE1D36" w:rsidRDefault="00BE1D36" w:rsidP="00BE1D36">
      <w:pPr>
        <w:pStyle w:val="BodyText"/>
      </w:pPr>
      <w:r>
        <w:t>Current controls for this hazard include:</w:t>
      </w:r>
    </w:p>
    <w:p w14:paraId="21F05174" w14:textId="6479BA45" w:rsidR="00BE1D36" w:rsidRDefault="00BE1D36" w:rsidP="006670D2">
      <w:pPr>
        <w:pStyle w:val="PullOutBoxBullet"/>
      </w:pPr>
      <w:r>
        <w:t xml:space="preserve">The </w:t>
      </w:r>
      <w:r>
        <w:rPr>
          <w:i/>
          <w:iCs/>
        </w:rPr>
        <w:t xml:space="preserve">Code of Practice for Timber Production 2014. </w:t>
      </w:r>
      <w:r>
        <w:t xml:space="preserve">This has been evaluated as satisfactory if there is strict adherence to guidelines. The known population not in Coopracambra National Park (The Three Sisters) is the only population likely to be affected by RFA activities. The site is steep and rocky, and according to the Code has (or will have) at least a 200 m buffer from </w:t>
      </w:r>
      <w:r w:rsidR="003B3D54">
        <w:t>timber harvesting</w:t>
      </w:r>
      <w:r>
        <w:t xml:space="preserve"> activities. Thus, provisions of the Code should amply protect the population during </w:t>
      </w:r>
      <w:r w:rsidR="003B3D54">
        <w:t>timber harvesting</w:t>
      </w:r>
      <w:r>
        <w:t>. But care must be exercised, should post-</w:t>
      </w:r>
      <w:r w:rsidR="003B3D54">
        <w:t>timber harvesting</w:t>
      </w:r>
      <w:r>
        <w:t xml:space="preserve"> burns be done on any nearby felled coup</w:t>
      </w:r>
      <w:r w:rsidR="009A2305">
        <w:t>e</w:t>
      </w:r>
      <w:r>
        <w:t>s, that fire is kept well clear of the</w:t>
      </w:r>
      <w:r>
        <w:rPr>
          <w:i/>
          <w:iCs/>
        </w:rPr>
        <w:t xml:space="preserve"> </w:t>
      </w:r>
      <w:r w:rsidR="001D3902">
        <w:t>species’</w:t>
      </w:r>
      <w:r>
        <w:rPr>
          <w:i/>
          <w:iCs/>
        </w:rPr>
        <w:t xml:space="preserve"> </w:t>
      </w:r>
      <w:r>
        <w:t>stand.</w:t>
      </w:r>
    </w:p>
    <w:p w14:paraId="1B7186BD" w14:textId="6F1C27DC" w:rsidR="00BE1D36" w:rsidRDefault="00BE1D36" w:rsidP="006670D2">
      <w:pPr>
        <w:pStyle w:val="PullOutBoxBullet"/>
        <w:rPr>
          <w:rFonts w:eastAsiaTheme="minorEastAsia" w:cstheme="minorBidi"/>
          <w:sz w:val="22"/>
          <w:szCs w:val="22"/>
        </w:rPr>
      </w:pPr>
      <w:r>
        <w:t xml:space="preserve">The CAR reserve system. </w:t>
      </w:r>
      <w:r w:rsidR="003809EB" w:rsidRPr="00CB51DA">
        <w:rPr>
          <w:rStyle w:val="normaltextrun"/>
        </w:rPr>
        <w:t>The effectiveness of this control for this species has been evaluated</w:t>
      </w:r>
      <w:r w:rsidR="003809EB">
        <w:t xml:space="preserve"> as </w:t>
      </w:r>
      <w:r>
        <w:t xml:space="preserve">satisfactory as 53% of the </w:t>
      </w:r>
      <w:r w:rsidR="001D3902">
        <w:t>species’</w:t>
      </w:r>
      <w:r>
        <w:t xml:space="preserve"> modelled distribution and 84% of important populations are within the reserve system.</w:t>
      </w:r>
    </w:p>
    <w:p w14:paraId="6D4AD1F4" w14:textId="733C6962"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245</w:t>
      </w:r>
      <w:r w:rsidR="000B6788" w:rsidRPr="00B846FE">
        <w:rPr>
          <w:bCs/>
          <w:noProof/>
        </w:rPr>
        <w:fldChar w:fldCharType="end"/>
      </w:r>
      <w:r w:rsidRPr="00FF310C">
        <w:t>. Tasmanian Wax-flower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BE1D36" w14:paraId="12DBC8FD"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6A6580EA"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530F73D6"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5EECCD23" w14:textId="77777777" w:rsidTr="00B45E4E">
        <w:tc>
          <w:tcPr>
            <w:tcW w:w="2268" w:type="dxa"/>
            <w:tcBorders>
              <w:top w:val="single" w:sz="8" w:space="0" w:color="CDDC29" w:themeColor="text2"/>
              <w:left w:val="nil"/>
              <w:bottom w:val="single" w:sz="8" w:space="0" w:color="CDDC29" w:themeColor="text2"/>
              <w:right w:val="nil"/>
            </w:tcBorders>
            <w:hideMark/>
          </w:tcPr>
          <w:p w14:paraId="14BA4923" w14:textId="68E6A0A3" w:rsidR="00BE1D36" w:rsidRDefault="00BE1D36" w:rsidP="00B45E4E">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4994722C" w14:textId="77777777" w:rsidR="00BE1D36" w:rsidRDefault="00BE1D36" w:rsidP="00B45E4E">
            <w:pPr>
              <w:pStyle w:val="BodyText"/>
            </w:pPr>
            <w:r>
              <w:t>Not required for this hazard based on the overall risk level of medium.</w:t>
            </w:r>
          </w:p>
        </w:tc>
      </w:tr>
      <w:tr w:rsidR="00A97C1A" w14:paraId="7BF12FE9" w14:textId="77777777" w:rsidTr="00B45E4E">
        <w:tc>
          <w:tcPr>
            <w:tcW w:w="2268" w:type="dxa"/>
            <w:tcBorders>
              <w:top w:val="single" w:sz="8" w:space="0" w:color="CDDC29" w:themeColor="text2"/>
              <w:left w:val="nil"/>
              <w:bottom w:val="single" w:sz="8" w:space="0" w:color="CDDC29" w:themeColor="text2"/>
              <w:right w:val="nil"/>
            </w:tcBorders>
          </w:tcPr>
          <w:p w14:paraId="2013482D" w14:textId="0737789E" w:rsidR="00A97C1A" w:rsidRDefault="00A97C1A"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1EC4B8C5" w14:textId="7DF98816" w:rsidR="00A97C1A" w:rsidRDefault="00A97C1A" w:rsidP="00B45E4E">
            <w:pPr>
              <w:pStyle w:val="BodyText"/>
            </w:pPr>
            <w:r>
              <w:t>Not required for this hazard based on the overall risk level of medium.</w:t>
            </w:r>
          </w:p>
        </w:tc>
      </w:tr>
      <w:tr w:rsidR="00BE1D36" w14:paraId="4905F6FB" w14:textId="77777777" w:rsidTr="00B45E4E">
        <w:tc>
          <w:tcPr>
            <w:tcW w:w="2268" w:type="dxa"/>
            <w:tcBorders>
              <w:top w:val="single" w:sz="8" w:space="0" w:color="CDDC29" w:themeColor="text2"/>
              <w:left w:val="nil"/>
              <w:bottom w:val="single" w:sz="8" w:space="0" w:color="CDDC29" w:themeColor="text2"/>
              <w:right w:val="nil"/>
            </w:tcBorders>
            <w:hideMark/>
          </w:tcPr>
          <w:p w14:paraId="3D8698AC" w14:textId="77777777" w:rsidR="00BE1D36" w:rsidRDefault="00BE1D36" w:rsidP="00B45E4E">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6F9BD9F8" w14:textId="77777777" w:rsidR="00BE1D36" w:rsidRDefault="00BE1D36" w:rsidP="00B45E4E">
            <w:pPr>
              <w:pStyle w:val="BodyText"/>
            </w:pPr>
            <w:r>
              <w:t>Additional permanent protections may be required in the longer-term.</w:t>
            </w:r>
          </w:p>
        </w:tc>
      </w:tr>
      <w:tr w:rsidR="00BE1D36" w14:paraId="79955F36" w14:textId="77777777" w:rsidTr="00B45E4E">
        <w:tc>
          <w:tcPr>
            <w:tcW w:w="2268" w:type="dxa"/>
            <w:tcBorders>
              <w:top w:val="single" w:sz="8" w:space="0" w:color="CDDC29" w:themeColor="text2"/>
              <w:left w:val="nil"/>
              <w:bottom w:val="single" w:sz="8" w:space="0" w:color="CDDC29" w:themeColor="text2"/>
              <w:right w:val="nil"/>
            </w:tcBorders>
            <w:hideMark/>
          </w:tcPr>
          <w:p w14:paraId="04E0C6A4" w14:textId="5A2E47C9" w:rsidR="00BE1D36" w:rsidRDefault="00594494"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3E3131AF" w14:textId="1DC3181F" w:rsidR="00BE1D36" w:rsidRDefault="00BE1D36" w:rsidP="006670D2">
            <w:pPr>
              <w:pStyle w:val="PullOutBoxBullet"/>
            </w:pPr>
            <w:r>
              <w:t>Pre-</w:t>
            </w:r>
            <w:r w:rsidR="003B3D54">
              <w:t>timber harvesting</w:t>
            </w:r>
            <w:r>
              <w:t xml:space="preserve"> surveys to ensure the site is secure</w:t>
            </w:r>
            <w:r w:rsidR="005D20E5">
              <w:t>, including</w:t>
            </w:r>
            <w:r>
              <w:t xml:space="preserve"> ground truthing prior to any </w:t>
            </w:r>
            <w:r w:rsidR="003B3D54">
              <w:t>timber harvesting</w:t>
            </w:r>
            <w:r>
              <w:t xml:space="preserve"> activities to ensure site was well clear of any potential damage; </w:t>
            </w:r>
          </w:p>
          <w:p w14:paraId="004BD195" w14:textId="771CB74B" w:rsidR="00BE1D36" w:rsidRDefault="009E17E9" w:rsidP="006670D2">
            <w:pPr>
              <w:pStyle w:val="PullOutBoxBullet"/>
            </w:pPr>
            <w:r>
              <w:rPr>
                <w:i/>
              </w:rPr>
              <w:t>E</w:t>
            </w:r>
            <w:r w:rsidR="00BE1D36">
              <w:rPr>
                <w:i/>
              </w:rPr>
              <w:t>x-situ</w:t>
            </w:r>
            <w:r w:rsidR="00BE1D36">
              <w:t xml:space="preserve"> conservation measures such as seed in the </w:t>
            </w:r>
            <w:r w:rsidR="005902EF">
              <w:t>VCS</w:t>
            </w:r>
            <w:r w:rsidR="00BE1D36">
              <w:t xml:space="preserve"> (ideally from all known populations) and/or living collections of genetic diverse individuals from each population; </w:t>
            </w:r>
          </w:p>
          <w:p w14:paraId="77B3EDC8" w14:textId="0EABDE85" w:rsidR="00BE1D36" w:rsidRDefault="009E17E9" w:rsidP="006670D2">
            <w:pPr>
              <w:pStyle w:val="PullOutBoxBullet"/>
            </w:pPr>
            <w:r>
              <w:t>A</w:t>
            </w:r>
            <w:r w:rsidR="00BE1D36">
              <w:t>ttempt translocation</w:t>
            </w:r>
            <w:r w:rsidR="005D20E5">
              <w:t>s</w:t>
            </w:r>
            <w:r w:rsidR="00BE1D36">
              <w:t xml:space="preserve"> of young plants to a safe, matched site away from current threats;</w:t>
            </w:r>
          </w:p>
          <w:p w14:paraId="4CB61BC0" w14:textId="6E0E4D68" w:rsidR="00BE1D36" w:rsidRDefault="009E17E9" w:rsidP="006670D2">
            <w:pPr>
              <w:pStyle w:val="PullOutBoxBullet"/>
            </w:pPr>
            <w:r>
              <w:t>C</w:t>
            </w:r>
            <w:r w:rsidR="00BE1D36">
              <w:t>onduct targeted searches of areas modelled as likely habitat</w:t>
            </w:r>
            <w:r w:rsidR="005D20E5">
              <w:t>; and</w:t>
            </w:r>
          </w:p>
          <w:p w14:paraId="015373FD" w14:textId="799DE0B4" w:rsidR="00BE1D36" w:rsidRDefault="009E17E9" w:rsidP="006670D2">
            <w:pPr>
              <w:pStyle w:val="PullOutBoxBullet"/>
            </w:pPr>
            <w:r>
              <w:t>R</w:t>
            </w:r>
            <w:r w:rsidR="00BE1D36">
              <w:t>efine modelling to include only known accurately plotted sites to attempt to locate currently unknown populations.</w:t>
            </w:r>
          </w:p>
        </w:tc>
      </w:tr>
    </w:tbl>
    <w:p w14:paraId="7272A48F" w14:textId="754DA2E5" w:rsidR="00BE1D36" w:rsidRDefault="00BE1D36" w:rsidP="007E5EBF">
      <w:pPr>
        <w:pStyle w:val="Heading3"/>
      </w:pPr>
      <w:r>
        <w:rPr>
          <w:noProof/>
        </w:rPr>
        <mc:AlternateContent>
          <mc:Choice Requires="wps">
            <w:drawing>
              <wp:anchor distT="0" distB="0" distL="114300" distR="114300" simplePos="0" relativeHeight="251658418" behindDoc="1" locked="1" layoutInCell="1" allowOverlap="1" wp14:anchorId="20111E03" wp14:editId="22BE303F">
                <wp:simplePos x="0" y="0"/>
                <wp:positionH relativeFrom="page">
                  <wp:posOffset>359410</wp:posOffset>
                </wp:positionH>
                <wp:positionV relativeFrom="page">
                  <wp:posOffset>9071610</wp:posOffset>
                </wp:positionV>
                <wp:extent cx="6840220" cy="431800"/>
                <wp:effectExtent l="0" t="0" r="0" b="0"/>
                <wp:wrapNone/>
                <wp:docPr id="353" name="Text Box 353"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CEB5F"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11E03" id="Text Box 353" o:spid="_x0000_s1127" type="#_x0000_t202" alt="Title: Decorative Cover Shape" style="position:absolute;left:0;text-align:left;margin-left:28.3pt;margin-top:714.3pt;width:538.6pt;height:34pt;z-index:-25165806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GaBKZl/AgAA&#10;YwUAAA4AAAAAAAAAAAAAAAAALgIAAGRycy9lMm9Eb2MueG1sUEsBAi0AFAAGAAgAAAAhAJFrJtfd&#10;AAAADQEAAA8AAAAAAAAAAAAAAAAA2QQAAGRycy9kb3ducmV2LnhtbFBLBQYAAAAABAAEAPMAAADj&#10;BQAAAAA=&#10;" fillcolor="#201547" stroked="f" strokeweight=".5pt">
                <v:textbox inset="10mm,0,10mm,0">
                  <w:txbxContent>
                    <w:p w14:paraId="608CEB5F"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17" behindDoc="0" locked="1" layoutInCell="1" allowOverlap="1" wp14:anchorId="4BB910B0" wp14:editId="72EEA6CE">
                <wp:simplePos x="0" y="0"/>
                <wp:positionH relativeFrom="page">
                  <wp:posOffset>360045</wp:posOffset>
                </wp:positionH>
                <wp:positionV relativeFrom="page">
                  <wp:posOffset>360045</wp:posOffset>
                </wp:positionV>
                <wp:extent cx="1864995" cy="1976120"/>
                <wp:effectExtent l="0" t="0" r="0" b="0"/>
                <wp:wrapNone/>
                <wp:docPr id="106" name="Freeform: Shape 10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41C6E12" id="Freeform: Shape 106" o:spid="_x0000_s1026" style="position:absolute;margin-left:28.35pt;margin-top:28.35pt;width:146.85pt;height:155.6pt;z-index:25165841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416" behindDoc="0" locked="1" layoutInCell="1" allowOverlap="1" wp14:anchorId="15C2013D" wp14:editId="7745FDC2">
                <wp:simplePos x="0" y="0"/>
                <wp:positionH relativeFrom="page">
                  <wp:posOffset>359410</wp:posOffset>
                </wp:positionH>
                <wp:positionV relativeFrom="page">
                  <wp:posOffset>359410</wp:posOffset>
                </wp:positionV>
                <wp:extent cx="1864995" cy="1976120"/>
                <wp:effectExtent l="0" t="0" r="0" b="0"/>
                <wp:wrapNone/>
                <wp:docPr id="107" name="Freeform: Shape 10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1B3F610" id="Freeform: Shape 107" o:spid="_x0000_s1026" style="position:absolute;margin-left:28.3pt;margin-top:28.3pt;width:146.85pt;height:155.6pt;z-index:251658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415" behindDoc="0" locked="1" layoutInCell="1" allowOverlap="1" wp14:anchorId="4EB637B5" wp14:editId="2F221EC4">
                <wp:simplePos x="0" y="0"/>
                <wp:positionH relativeFrom="page">
                  <wp:posOffset>0</wp:posOffset>
                </wp:positionH>
                <wp:positionV relativeFrom="page">
                  <wp:align>bottom</wp:align>
                </wp:positionV>
                <wp:extent cx="3848100" cy="720090"/>
                <wp:effectExtent l="0" t="0" r="0" b="0"/>
                <wp:wrapNone/>
                <wp:docPr id="366" name="Text Box 366"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03A29"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637B5" id="Text Box 366" o:spid="_x0000_s1128" type="#_x0000_t202" style="position:absolute;left:0;text-align:left;margin-left:0;margin-top:0;width:303pt;height:56.7pt;z-index:25165841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Yr7Rbm8CAAA/BQAADgAAAAAAAAAAAAAAAAAu&#10;AgAAZHJzL2Uyb0RvYy54bWxQSwECLQAUAAYACAAAACEA9MrPqNoAAAAFAQAADwAAAAAAAAAAAAAA&#10;AADJBAAAZHJzL2Rvd25yZXYueG1sUEsFBgAAAAAEAAQA8wAAANAFAAAAAA==&#10;" filled="f" stroked="f" strokeweight=".5pt">
                <v:textbox inset="20mm">
                  <w:txbxContent>
                    <w:p w14:paraId="28303A29" w14:textId="77777777" w:rsidR="00BE1D36" w:rsidRDefault="00BE1D36" w:rsidP="00BE1D36">
                      <w:pPr>
                        <w:pStyle w:val="xWebCoverPage"/>
                      </w:pPr>
                      <w:r>
                        <w:t>delwp.vic.gov.au</w:t>
                      </w:r>
                    </w:p>
                  </w:txbxContent>
                </v:textbox>
                <w10:wrap anchorx="page" anchory="page"/>
                <w10:anchorlock/>
              </v:shape>
            </w:pict>
          </mc:Fallback>
        </mc:AlternateContent>
      </w:r>
      <w:r>
        <w:t>Invasive species</w:t>
      </w:r>
    </w:p>
    <w:p w14:paraId="331FF6C3" w14:textId="77777777" w:rsidR="00BE1D36" w:rsidRDefault="00BE1D36" w:rsidP="007E5EBF">
      <w:pPr>
        <w:pStyle w:val="Heading5"/>
      </w:pPr>
      <w:r>
        <w:t>Invasive vertebrate (deer)</w:t>
      </w:r>
    </w:p>
    <w:p w14:paraId="6C4A7792" w14:textId="16D1DAE1" w:rsidR="00BE1D36" w:rsidRDefault="00BE1D36" w:rsidP="00BE1D36">
      <w:pPr>
        <w:pStyle w:val="BodyText"/>
      </w:pPr>
      <w:r>
        <w:t xml:space="preserve">Observations of related, structurally similar species suggests that the </w:t>
      </w:r>
      <w:r w:rsidR="001D3902">
        <w:t>species</w:t>
      </w:r>
      <w:r>
        <w:t xml:space="preserve"> is likely to be threatened by targeted browsing of Sambar, causing direct mortality and limiting recruitment. There is also likely to be increased destruction from antler rubbing by Sambar – potentially a more severe hazard than direct browsing. The related shrub, Shiny Nematolepis</w:t>
      </w:r>
      <w:r w:rsidR="005F1DEF">
        <w:t>,</w:t>
      </w:r>
      <w:r>
        <w:t xml:space="preserve"> is targeted by Sambar for antler rubbing, resulting in ringbarking and death to an estimated 20% of the entire population of some 400 individuals known around 2010 (Neville Walsh pers. obs.). This effect is not restricted to smaller plants of ‘browsable’ size, but rather is more severe on adult shrubs/trees. There is the potential for deer to introduce/spread likely pathogen </w:t>
      </w:r>
      <w:r>
        <w:rPr>
          <w:i/>
          <w:iCs/>
        </w:rPr>
        <w:t xml:space="preserve">Phytophthora cinnamomi. </w:t>
      </w:r>
    </w:p>
    <w:p w14:paraId="7FDA08FB" w14:textId="77777777" w:rsidR="00BE1D36" w:rsidRDefault="00BE1D36" w:rsidP="00BE1D36">
      <w:pPr>
        <w:pStyle w:val="BodyText"/>
      </w:pPr>
      <w:r>
        <w:t>Current controls for this hazard include:</w:t>
      </w:r>
    </w:p>
    <w:p w14:paraId="6A978994" w14:textId="62A2575B" w:rsidR="00BE1D36" w:rsidRDefault="00BE1D36" w:rsidP="006670D2">
      <w:pPr>
        <w:pStyle w:val="PullOutBoxBullet"/>
      </w:pPr>
      <w:r>
        <w:t>The Victorian Deer Control Strategy. This has been evaluated as poor as damage by Sambar continues to increase despite the Strategy. Being a member of the Rutaceae, risks to the Tasmanian Wax-flower are likely to be elevated relative to other species of similar stature. Other Rutaceous species known to be targeted by Sambar include Yellow-wood and Shiny Nematolepis, both threatened species in Victoria (Bilney 2013; Murphy et al. 2008)</w:t>
      </w:r>
    </w:p>
    <w:p w14:paraId="5285F178" w14:textId="69D58517"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246</w:t>
      </w:r>
      <w:r w:rsidR="000B6788" w:rsidRPr="00B846FE">
        <w:rPr>
          <w:bCs/>
          <w:noProof/>
        </w:rPr>
        <w:fldChar w:fldCharType="end"/>
      </w:r>
      <w:r w:rsidRPr="00FF310C">
        <w:t>. Tasmanian Wax-flower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BE1D36" w14:paraId="390E7677"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778D6859"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06E923C8"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50D68FA7" w14:textId="77777777" w:rsidTr="00B45E4E">
        <w:tc>
          <w:tcPr>
            <w:tcW w:w="2268" w:type="dxa"/>
            <w:tcBorders>
              <w:top w:val="single" w:sz="8" w:space="0" w:color="CDDC29" w:themeColor="text2"/>
              <w:left w:val="nil"/>
              <w:bottom w:val="single" w:sz="8" w:space="0" w:color="CDDC29" w:themeColor="text2"/>
              <w:right w:val="nil"/>
            </w:tcBorders>
            <w:hideMark/>
          </w:tcPr>
          <w:p w14:paraId="7AE37FA7" w14:textId="08FE2CE2" w:rsidR="00BE1D36" w:rsidRDefault="00594494"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04A5345D" w14:textId="6586169E" w:rsidR="00BE1D36" w:rsidRDefault="00623A33" w:rsidP="00B45E4E">
            <w:pPr>
              <w:pStyle w:val="BodyText"/>
            </w:pPr>
            <w:r w:rsidRPr="00C23B38">
              <w:t>May be required for this hazard</w:t>
            </w:r>
            <w:r>
              <w:t>. This will be addressed through the development of the action statement</w:t>
            </w:r>
            <w:r w:rsidRPr="00C23B38">
              <w:t>.</w:t>
            </w:r>
          </w:p>
        </w:tc>
      </w:tr>
      <w:tr w:rsidR="00BE1D36" w14:paraId="02444F02" w14:textId="77777777" w:rsidTr="00B45E4E">
        <w:tc>
          <w:tcPr>
            <w:tcW w:w="2268" w:type="dxa"/>
            <w:tcBorders>
              <w:top w:val="single" w:sz="8" w:space="0" w:color="CDDC29" w:themeColor="text2"/>
              <w:left w:val="nil"/>
              <w:bottom w:val="single" w:sz="8" w:space="0" w:color="CDDC29" w:themeColor="text2"/>
              <w:right w:val="nil"/>
            </w:tcBorders>
            <w:hideMark/>
          </w:tcPr>
          <w:p w14:paraId="2822EABA" w14:textId="6252FF7B" w:rsidR="00BE1D36" w:rsidRDefault="00594494"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5E93A78D" w14:textId="784FC635" w:rsidR="00BE1D36" w:rsidRDefault="00BE1D36" w:rsidP="006670D2">
            <w:pPr>
              <w:pStyle w:val="PullOutBoxBullet"/>
              <w:rPr>
                <w:rFonts w:ascii="Arial" w:hAnsi="Arial"/>
                <w:color w:val="363534"/>
              </w:rPr>
            </w:pPr>
            <w:r>
              <w:t>Deer control such as fencing, shooting</w:t>
            </w:r>
            <w:r w:rsidR="00DE27E1">
              <w:t>,</w:t>
            </w:r>
            <w:r>
              <w:t xml:space="preserve"> and baiting. Fencing is an extreme response and probably difficult to implement given site conditions, but can be used if damage is evident and significant; </w:t>
            </w:r>
          </w:p>
          <w:p w14:paraId="618FBF16" w14:textId="58C2D580" w:rsidR="00BE1D36" w:rsidRDefault="0017099D" w:rsidP="006670D2">
            <w:pPr>
              <w:pStyle w:val="PullOutBoxBullet"/>
              <w:rPr>
                <w:rFonts w:ascii="Arial" w:hAnsi="Arial"/>
                <w:color w:val="363534"/>
              </w:rPr>
            </w:pPr>
            <w:r>
              <w:rPr>
                <w:i/>
                <w:iCs/>
              </w:rPr>
              <w:t>E</w:t>
            </w:r>
            <w:r w:rsidR="00BE1D36">
              <w:rPr>
                <w:i/>
                <w:iCs/>
              </w:rPr>
              <w:t>x-situ</w:t>
            </w:r>
            <w:r w:rsidR="00BE1D36">
              <w:t xml:space="preserve"> conservation measures such as seed in the </w:t>
            </w:r>
            <w:r w:rsidR="005902EF">
              <w:t>VCS</w:t>
            </w:r>
            <w:r w:rsidR="00BE1D36">
              <w:t xml:space="preserve"> (ideally from all known populations) and/or living collections of genetic diverse individuals from each population; </w:t>
            </w:r>
          </w:p>
          <w:p w14:paraId="62A29A4A" w14:textId="6A8B47A0" w:rsidR="00BE1D36" w:rsidRDefault="0017099D" w:rsidP="006670D2">
            <w:pPr>
              <w:pStyle w:val="PullOutBoxBullet"/>
              <w:rPr>
                <w:rFonts w:ascii="Arial" w:hAnsi="Arial"/>
                <w:color w:val="363534"/>
              </w:rPr>
            </w:pPr>
            <w:r>
              <w:t>A</w:t>
            </w:r>
            <w:r w:rsidR="00BE1D36">
              <w:t>ttempt translocation of young plants to a safe, matched site away from current threats;</w:t>
            </w:r>
          </w:p>
          <w:p w14:paraId="1305E6EC" w14:textId="2398C949" w:rsidR="00BE1D36" w:rsidRDefault="0017099D" w:rsidP="006670D2">
            <w:pPr>
              <w:pStyle w:val="PullOutBoxBullet"/>
            </w:pPr>
            <w:r>
              <w:t>C</w:t>
            </w:r>
            <w:r w:rsidR="00BE1D36">
              <w:t>onduct targeted searches to sites modelled as likely habitat</w:t>
            </w:r>
            <w:r>
              <w:t>;</w:t>
            </w:r>
            <w:r w:rsidR="00BE1D36">
              <w:t xml:space="preserve"> and </w:t>
            </w:r>
          </w:p>
          <w:p w14:paraId="64789DA2" w14:textId="2BC62B44" w:rsidR="00BE1D36" w:rsidRDefault="0017099D" w:rsidP="006670D2">
            <w:pPr>
              <w:pStyle w:val="PullOutBoxBullet"/>
            </w:pPr>
            <w:r>
              <w:t>R</w:t>
            </w:r>
            <w:r w:rsidR="00BE1D36">
              <w:t>efine modelling to include only known accurately plotted sites to attempt to locate currently unknown populations.</w:t>
            </w:r>
          </w:p>
        </w:tc>
      </w:tr>
    </w:tbl>
    <w:p w14:paraId="1197BC92" w14:textId="04FBC0BC" w:rsidR="00BE1D36" w:rsidRDefault="00BE1D36" w:rsidP="007E5EBF">
      <w:pPr>
        <w:pStyle w:val="Heading3"/>
      </w:pPr>
      <w:r>
        <w:rPr>
          <w:noProof/>
        </w:rPr>
        <mc:AlternateContent>
          <mc:Choice Requires="wps">
            <w:drawing>
              <wp:anchor distT="0" distB="0" distL="114300" distR="114300" simplePos="0" relativeHeight="251658426" behindDoc="1" locked="1" layoutInCell="1" allowOverlap="1" wp14:anchorId="3F83FD96" wp14:editId="0888D90F">
                <wp:simplePos x="0" y="0"/>
                <wp:positionH relativeFrom="page">
                  <wp:posOffset>359410</wp:posOffset>
                </wp:positionH>
                <wp:positionV relativeFrom="page">
                  <wp:posOffset>9071610</wp:posOffset>
                </wp:positionV>
                <wp:extent cx="6840220" cy="431800"/>
                <wp:effectExtent l="0" t="0" r="0" b="0"/>
                <wp:wrapNone/>
                <wp:docPr id="1308" name="Text Box 1308"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5379D"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FD96" id="Text Box 1308" o:spid="_x0000_s1129" type="#_x0000_t202" alt="Title: Decorative Cover Shape" style="position:absolute;left:0;text-align:left;margin-left:28.3pt;margin-top:714.3pt;width:538.6pt;height:34pt;z-index:-2516580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DS31T/gAIA&#10;AGMFAAAOAAAAAAAAAAAAAAAAAC4CAABkcnMvZTJvRG9jLnhtbFBLAQItABQABgAIAAAAIQCRaybX&#10;3QAAAA0BAAAPAAAAAAAAAAAAAAAAANoEAABkcnMvZG93bnJldi54bWxQSwUGAAAAAAQABADzAAAA&#10;5AUAAAAA&#10;" fillcolor="#201547" stroked="f" strokeweight=".5pt">
                <v:textbox inset="10mm,0,10mm,0">
                  <w:txbxContent>
                    <w:p w14:paraId="2DD5379D"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25" behindDoc="0" locked="1" layoutInCell="1" allowOverlap="1" wp14:anchorId="45A42D5F" wp14:editId="24ED744C">
                <wp:simplePos x="0" y="0"/>
                <wp:positionH relativeFrom="page">
                  <wp:posOffset>360045</wp:posOffset>
                </wp:positionH>
                <wp:positionV relativeFrom="page">
                  <wp:posOffset>360045</wp:posOffset>
                </wp:positionV>
                <wp:extent cx="1864995" cy="1976120"/>
                <wp:effectExtent l="0" t="0" r="0" b="0"/>
                <wp:wrapNone/>
                <wp:docPr id="108" name="Freeform: Shape 1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E58F19E" id="Freeform: Shape 108" o:spid="_x0000_s1026" style="position:absolute;margin-left:28.35pt;margin-top:28.35pt;width:146.85pt;height:155.6pt;z-index:25165842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424" behindDoc="0" locked="1" layoutInCell="1" allowOverlap="1" wp14:anchorId="466D7319" wp14:editId="38635198">
                <wp:simplePos x="0" y="0"/>
                <wp:positionH relativeFrom="page">
                  <wp:posOffset>359410</wp:posOffset>
                </wp:positionH>
                <wp:positionV relativeFrom="page">
                  <wp:posOffset>359410</wp:posOffset>
                </wp:positionV>
                <wp:extent cx="1864995" cy="1976120"/>
                <wp:effectExtent l="0" t="0" r="0" b="0"/>
                <wp:wrapNone/>
                <wp:docPr id="109" name="Freeform: Shape 10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4F80104" id="Freeform: Shape 109" o:spid="_x0000_s1026" style="position:absolute;margin-left:28.3pt;margin-top:28.3pt;width:146.85pt;height:155.6pt;z-index:2516584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423" behindDoc="0" locked="1" layoutInCell="1" allowOverlap="1" wp14:anchorId="6FE55AE6" wp14:editId="7929A5B2">
                <wp:simplePos x="0" y="0"/>
                <wp:positionH relativeFrom="page">
                  <wp:posOffset>0</wp:posOffset>
                </wp:positionH>
                <wp:positionV relativeFrom="page">
                  <wp:align>bottom</wp:align>
                </wp:positionV>
                <wp:extent cx="3848100" cy="720090"/>
                <wp:effectExtent l="0" t="0" r="0" b="0"/>
                <wp:wrapNone/>
                <wp:docPr id="1311" name="Text Box 1311"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B8DFB"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55AE6" id="Text Box 1311" o:spid="_x0000_s1130" type="#_x0000_t202" style="position:absolute;left:0;text-align:left;margin-left:0;margin-top:0;width:303pt;height:56.7pt;z-index:25165842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ipuMVm8CAAA/BQAADgAAAAAAAAAAAAAAAAAu&#10;AgAAZHJzL2Uyb0RvYy54bWxQSwECLQAUAAYACAAAACEA9MrPqNoAAAAFAQAADwAAAAAAAAAAAAAA&#10;AADJBAAAZHJzL2Rvd25yZXYueG1sUEsFBgAAAAAEAAQA8wAAANAFAAAAAA==&#10;" filled="f" stroked="f" strokeweight=".5pt">
                <v:textbox inset="20mm">
                  <w:txbxContent>
                    <w:p w14:paraId="4A3B8DFB" w14:textId="77777777" w:rsidR="00BE1D36" w:rsidRDefault="00BE1D36" w:rsidP="00BE1D36">
                      <w:pPr>
                        <w:pStyle w:val="xWebCoverPage"/>
                      </w:pPr>
                      <w:r>
                        <w:t>delwp.vic.gov.au</w:t>
                      </w:r>
                    </w:p>
                  </w:txbxContent>
                </v:textbox>
                <w10:wrap anchorx="page" anchory="page"/>
                <w10:anchorlock/>
              </v:shape>
            </w:pict>
          </mc:Fallback>
        </mc:AlternateContent>
      </w:r>
      <w:r>
        <w:t>Population dynamics</w:t>
      </w:r>
    </w:p>
    <w:p w14:paraId="0529F367" w14:textId="77777777" w:rsidR="00BE1D36" w:rsidRDefault="00BE1D36" w:rsidP="007E5EBF">
      <w:pPr>
        <w:pStyle w:val="Heading5"/>
      </w:pPr>
      <w:r>
        <w:t>Phytophthora cinnamomi</w:t>
      </w:r>
    </w:p>
    <w:p w14:paraId="356B700A" w14:textId="5DAC9719" w:rsidR="00BE1D36" w:rsidRDefault="00BE1D36" w:rsidP="00BE1D36">
      <w:pPr>
        <w:pStyle w:val="BodyText"/>
      </w:pPr>
      <w:r>
        <w:rPr>
          <w:i/>
          <w:iCs/>
        </w:rPr>
        <w:t>Phytophthora cinnamomi</w:t>
      </w:r>
      <w:r>
        <w:t xml:space="preserve"> can cause root rot in the root systems of host species, resulting in direct mortality as well as damage to root systems. The </w:t>
      </w:r>
      <w:r w:rsidR="001D3902">
        <w:t>species</w:t>
      </w:r>
      <w:r>
        <w:rPr>
          <w:i/>
          <w:iCs/>
        </w:rPr>
        <w:t xml:space="preserve"> </w:t>
      </w:r>
      <w:r>
        <w:t xml:space="preserve">is known to be hosts to </w:t>
      </w:r>
      <w:r>
        <w:rPr>
          <w:i/>
          <w:iCs/>
        </w:rPr>
        <w:t xml:space="preserve">P. cinnamomi </w:t>
      </w:r>
      <w:r>
        <w:t xml:space="preserve">in Tasmania, and if </w:t>
      </w:r>
      <w:r>
        <w:rPr>
          <w:i/>
          <w:iCs/>
        </w:rPr>
        <w:t>Phytophthera</w:t>
      </w:r>
      <w:r>
        <w:t xml:space="preserve"> (either </w:t>
      </w:r>
      <w:r>
        <w:rPr>
          <w:i/>
          <w:iCs/>
        </w:rPr>
        <w:t>P. cinnamomi</w:t>
      </w:r>
      <w:r>
        <w:t xml:space="preserve"> or other species yet to be determined) is shown to be present in the habitat of the Tasmanian Wax-flower, its virulence and impact on the shrub is very likely to be much more severe in a climate-changed environment (Green 2016). Other closely related members of the Rutaceae (e.g.</w:t>
      </w:r>
      <w:r w:rsidR="00DE27E1">
        <w:t>,</w:t>
      </w:r>
      <w:r>
        <w:t xml:space="preserve"> </w:t>
      </w:r>
      <w:r>
        <w:rPr>
          <w:i/>
          <w:iCs/>
        </w:rPr>
        <w:t xml:space="preserve">Phebalium </w:t>
      </w:r>
      <w:r>
        <w:t xml:space="preserve">spp.) have been shown to be highly susceptible to </w:t>
      </w:r>
      <w:r>
        <w:rPr>
          <w:i/>
          <w:iCs/>
        </w:rPr>
        <w:t xml:space="preserve">Phytophthera </w:t>
      </w:r>
      <w:r>
        <w:t xml:space="preserve">infection (Wan et al. 2019). This hazard has the potential to extend across 5% of the </w:t>
      </w:r>
      <w:r w:rsidR="001D3902">
        <w:t>species’</w:t>
      </w:r>
      <w:r>
        <w:t xml:space="preserve"> population. While susceptibility is high, the likelihood of spread of the pathogen to occupied sites in uncertain, although deer are potential vectors of the soil-borne spores. As long as sites remain relatively unstressed by drought, even if </w:t>
      </w:r>
      <w:r>
        <w:rPr>
          <w:i/>
          <w:iCs/>
        </w:rPr>
        <w:t xml:space="preserve">Phytophthora </w:t>
      </w:r>
      <w:r>
        <w:t>is present, mortality may not be inevitable.</w:t>
      </w:r>
    </w:p>
    <w:p w14:paraId="75B5FD41" w14:textId="77777777" w:rsidR="00BE1D36" w:rsidRDefault="00BE1D36" w:rsidP="00BE1D36">
      <w:pPr>
        <w:pStyle w:val="BodyText"/>
      </w:pPr>
      <w:r>
        <w:t>Current controls for this hazard include:</w:t>
      </w:r>
    </w:p>
    <w:p w14:paraId="61C1ADB5" w14:textId="0BCA081C" w:rsidR="00BE1D36" w:rsidRDefault="00BE1D36" w:rsidP="006670D2">
      <w:pPr>
        <w:pStyle w:val="PullOutBoxBullet"/>
      </w:pPr>
      <w:r>
        <w:t xml:space="preserve">No specific control measures are in place, but disease management occurs in some Parks and Reserves. This has been evaluated as poor because as far as is known there are no provisions to limit the spread of </w:t>
      </w:r>
      <w:r w:rsidRPr="60664A41">
        <w:rPr>
          <w:i/>
          <w:iCs/>
        </w:rPr>
        <w:t>P. cinnamomi</w:t>
      </w:r>
      <w:r>
        <w:t xml:space="preserve"> in habitat areas for the </w:t>
      </w:r>
      <w:r w:rsidR="001D3902">
        <w:t>species</w:t>
      </w:r>
      <w:r>
        <w:t xml:space="preserve">. The spread of </w:t>
      </w:r>
      <w:r w:rsidRPr="60664A41">
        <w:rPr>
          <w:i/>
          <w:iCs/>
        </w:rPr>
        <w:t xml:space="preserve">P. cinnamomi </w:t>
      </w:r>
      <w:r>
        <w:t>from infected sites into parks and reserves, including roadsides, is under the control of a state or local government authority and is a listed Threatening Process under Victoria’s Flora and Fauna Guarantee Act 1988.</w:t>
      </w:r>
    </w:p>
    <w:p w14:paraId="2B1AEA86" w14:textId="77777777" w:rsidR="00DF5F85" w:rsidRDefault="00DF5F85">
      <w:pPr>
        <w:rPr>
          <w:b/>
          <w:bCs/>
          <w:sz w:val="16"/>
        </w:rPr>
      </w:pPr>
      <w:r>
        <w:br w:type="page"/>
      </w:r>
    </w:p>
    <w:p w14:paraId="5E31E5C6" w14:textId="406E9651"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247</w:t>
      </w:r>
      <w:r w:rsidR="000B6788" w:rsidRPr="00B846FE">
        <w:rPr>
          <w:bCs/>
          <w:noProof/>
        </w:rPr>
        <w:fldChar w:fldCharType="end"/>
      </w:r>
      <w:r w:rsidRPr="00FF310C">
        <w:t xml:space="preserve">. Tasmanian Wax-flower protection requirements and recommendations for </w:t>
      </w:r>
      <w:r w:rsidRPr="00FF310C">
        <w:rPr>
          <w:i/>
        </w:rPr>
        <w:t>Phytophthora cinnamomi</w:t>
      </w:r>
    </w:p>
    <w:tbl>
      <w:tblPr>
        <w:tblStyle w:val="TableGrid"/>
        <w:tblW w:w="0" w:type="auto"/>
        <w:tblLook w:val="04A0" w:firstRow="1" w:lastRow="0" w:firstColumn="1" w:lastColumn="0" w:noHBand="0" w:noVBand="1"/>
      </w:tblPr>
      <w:tblGrid>
        <w:gridCol w:w="2268"/>
        <w:gridCol w:w="7371"/>
      </w:tblGrid>
      <w:tr w:rsidR="00BE1D36" w14:paraId="19454C7B"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B48C1C9"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13F023A"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778440A1" w14:textId="77777777" w:rsidTr="00B45E4E">
        <w:tc>
          <w:tcPr>
            <w:tcW w:w="2268" w:type="dxa"/>
            <w:tcBorders>
              <w:top w:val="single" w:sz="8" w:space="0" w:color="CDDC29" w:themeColor="text2"/>
              <w:left w:val="nil"/>
              <w:bottom w:val="single" w:sz="8" w:space="0" w:color="CDDC29" w:themeColor="text2"/>
              <w:right w:val="nil"/>
            </w:tcBorders>
            <w:hideMark/>
          </w:tcPr>
          <w:p w14:paraId="1293C342" w14:textId="458572A1" w:rsidR="00BE1D36" w:rsidRDefault="00594494"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49B673C6" w14:textId="77777777" w:rsidR="00BE1D36" w:rsidRDefault="00BE1D36" w:rsidP="00B45E4E">
            <w:pPr>
              <w:pStyle w:val="BodyText"/>
            </w:pPr>
            <w:r>
              <w:t>Not required for this hazard based on the overall risk level of medium.</w:t>
            </w:r>
          </w:p>
        </w:tc>
      </w:tr>
      <w:tr w:rsidR="00BE1D36" w14:paraId="2A0D3B39" w14:textId="77777777" w:rsidTr="00B45E4E">
        <w:tc>
          <w:tcPr>
            <w:tcW w:w="2268" w:type="dxa"/>
            <w:tcBorders>
              <w:top w:val="single" w:sz="8" w:space="0" w:color="CDDC29" w:themeColor="text2"/>
              <w:left w:val="nil"/>
              <w:bottom w:val="single" w:sz="8" w:space="0" w:color="CDDC29" w:themeColor="text2"/>
              <w:right w:val="nil"/>
            </w:tcBorders>
            <w:hideMark/>
          </w:tcPr>
          <w:p w14:paraId="2F91F4C1" w14:textId="1DC1D70D" w:rsidR="00BE1D36" w:rsidRDefault="00594494"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0D675C9E" w14:textId="3063CB04" w:rsidR="00BE1D36" w:rsidRDefault="00BE1D36" w:rsidP="006670D2">
            <w:pPr>
              <w:pStyle w:val="PullOutBoxBullet"/>
            </w:pPr>
            <w:r>
              <w:rPr>
                <w:i/>
                <w:iCs/>
              </w:rPr>
              <w:t>Ex-situ</w:t>
            </w:r>
            <w:r>
              <w:t xml:space="preserve"> conservation measures such as seed in </w:t>
            </w:r>
            <w:r w:rsidR="005902EF">
              <w:t>VCS</w:t>
            </w:r>
            <w:r>
              <w:t xml:space="preserve"> (ideally from all known populations) and/or living collections of genetic diverse individuals from each population;</w:t>
            </w:r>
          </w:p>
          <w:p w14:paraId="5158DE55" w14:textId="2E7B8CC1" w:rsidR="00BE1D36" w:rsidRDefault="002A782B" w:rsidP="006670D2">
            <w:pPr>
              <w:pStyle w:val="PullOutBoxBullet"/>
            </w:pPr>
            <w:r>
              <w:t>A</w:t>
            </w:r>
            <w:r w:rsidR="00BE1D36">
              <w:t xml:space="preserve">ttempt translocation of young plants to a safe, matched site away from current threats; </w:t>
            </w:r>
          </w:p>
          <w:p w14:paraId="595640EA" w14:textId="26658A46" w:rsidR="00BE1D36" w:rsidRDefault="002A782B" w:rsidP="006670D2">
            <w:pPr>
              <w:pStyle w:val="PullOutBoxBullet"/>
            </w:pPr>
            <w:r>
              <w:t>C</w:t>
            </w:r>
            <w:r w:rsidR="00BE1D36">
              <w:t xml:space="preserve">onduct targeted searches to sites modelled as likely habitat and refine modelling to include only known accurately plotted sites to attempt to locate currently unknown populations; </w:t>
            </w:r>
            <w:r>
              <w:t>and</w:t>
            </w:r>
          </w:p>
          <w:p w14:paraId="5D052946" w14:textId="56DD07CC" w:rsidR="00BE1D36" w:rsidRDefault="002A782B" w:rsidP="006670D2">
            <w:pPr>
              <w:pStyle w:val="PullOutBoxBullet"/>
            </w:pPr>
            <w:r>
              <w:t>E</w:t>
            </w:r>
            <w:r w:rsidR="00BE1D36">
              <w:t xml:space="preserve">nsure drainage from tracks is away from stands of the </w:t>
            </w:r>
            <w:r w:rsidR="001D3902">
              <w:t>species</w:t>
            </w:r>
            <w:r w:rsidR="00BE1D36">
              <w:t>; and close attention to vehicle hygiene procedures (thorough washing of tyres etc. prior to entering subject areas).</w:t>
            </w:r>
          </w:p>
        </w:tc>
      </w:tr>
    </w:tbl>
    <w:p w14:paraId="58A5B68C" w14:textId="77777777" w:rsidR="00BE1D36" w:rsidRDefault="00BE1D36" w:rsidP="00BE1D36">
      <w:pPr>
        <w:rPr>
          <w:rFonts w:cs="Times New Roman"/>
          <w:lang w:eastAsia="en-US"/>
        </w:rPr>
      </w:pPr>
    </w:p>
    <w:p w14:paraId="250FDE58" w14:textId="77777777" w:rsidR="00DF5F85" w:rsidRDefault="00DF5F85">
      <w:pPr>
        <w:rPr>
          <w:rFonts w:ascii="Arial" w:hAnsi="Arial"/>
          <w:b/>
          <w:bCs/>
          <w:i/>
          <w:iCs/>
          <w:color w:val="00B2A9" w:themeColor="accent1"/>
          <w:kern w:val="20"/>
          <w:sz w:val="24"/>
          <w:szCs w:val="28"/>
        </w:rPr>
      </w:pPr>
      <w:bookmarkStart w:id="973" w:name="_Toc88568485"/>
      <w:r>
        <w:br w:type="page"/>
      </w:r>
    </w:p>
    <w:p w14:paraId="68590594" w14:textId="42A3E834" w:rsidR="00BE1D36" w:rsidRPr="00DF5F85" w:rsidRDefault="00BE1D36" w:rsidP="00171F18">
      <w:pPr>
        <w:pStyle w:val="Heading2"/>
        <w:ind w:left="0"/>
        <w:rPr>
          <w:i/>
          <w:iCs/>
        </w:rPr>
      </w:pPr>
      <w:bookmarkStart w:id="974" w:name="_Toc113271074"/>
      <w:r w:rsidRPr="00DF5F85">
        <w:t>Tree Geebung </w:t>
      </w:r>
      <w:r w:rsidRPr="00F67DF8">
        <w:rPr>
          <w:i/>
          <w:iCs/>
        </w:rPr>
        <w:t>(Persoonia arborea)</w:t>
      </w:r>
      <w:bookmarkEnd w:id="973"/>
      <w:bookmarkEnd w:id="974"/>
      <w:r w:rsidRPr="00DF5F85">
        <w:t> </w:t>
      </w:r>
    </w:p>
    <w:p w14:paraId="3A37EE1C" w14:textId="0AFB2700" w:rsidR="00BE1D36" w:rsidRDefault="00BE1D36" w:rsidP="00BE1D36">
      <w:pPr>
        <w:pStyle w:val="BodyText"/>
      </w:pPr>
      <w:r>
        <w:rPr>
          <w:rFonts w:ascii="Arial" w:hAnsi="Arial"/>
          <w:color w:val="363534"/>
        </w:rPr>
        <w:t>The Tree Geebung</w:t>
      </w:r>
      <w:r>
        <w:t xml:space="preserve"> was listed as Endangered in Australia under the FFG Act in May 2021. The </w:t>
      </w:r>
      <w:r w:rsidR="001D3902">
        <w:t>species</w:t>
      </w:r>
      <w:r>
        <w:t xml:space="preserve"> has modelled habitat in the Central Highlands (100% of modelled habitat) RFA region. </w:t>
      </w:r>
      <w:r>
        <w:rPr>
          <w:rStyle w:val="BodyTextChar"/>
        </w:rPr>
        <w:t>Permanent protections are recommended to address any hazards identified at a significant or high risk, and all</w:t>
      </w:r>
      <w:r>
        <w:t xml:space="preserve"> hazards rated a medium risk or higher will be considered in future management planning.</w:t>
      </w:r>
    </w:p>
    <w:p w14:paraId="0EB67EDE" w14:textId="77777777" w:rsidR="00BE1D36" w:rsidRDefault="00BE1D36" w:rsidP="007E5EBF">
      <w:pPr>
        <w:pStyle w:val="Heading3"/>
      </w:pPr>
      <w:r>
        <w:t>Risk Assessment</w:t>
      </w:r>
    </w:p>
    <w:p w14:paraId="0A2DC432" w14:textId="75614945" w:rsidR="00BE1D36" w:rsidRPr="00FF310C" w:rsidRDefault="00BE1D36" w:rsidP="006670D2">
      <w:pPr>
        <w:pStyle w:val="Caption"/>
        <w:rPr>
          <w:rFonts w:ascii="Segoe UI" w:hAnsi="Segoe UI" w:cs="Segoe UI"/>
          <w:color w:val="363534"/>
        </w:rPr>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248</w:t>
      </w:r>
      <w:r w:rsidR="000B6788" w:rsidRPr="00B846FE">
        <w:rPr>
          <w:bCs/>
          <w:noProof/>
        </w:rPr>
        <w:fldChar w:fldCharType="end"/>
      </w:r>
      <w:r w:rsidRPr="00FF310C">
        <w:t>. Tree Geebung risk ratings in the Central Highlands RFA</w:t>
      </w:r>
      <w:r w:rsidR="009B3219">
        <w:t xml:space="preserve"> region</w:t>
      </w:r>
      <w:r w:rsidRPr="00FF310C">
        <w:t>:</w:t>
      </w:r>
    </w:p>
    <w:tbl>
      <w:tblPr>
        <w:tblStyle w:val="TableGrid"/>
        <w:tblW w:w="9795" w:type="dxa"/>
        <w:tblLayout w:type="fixed"/>
        <w:tblLook w:val="04A0" w:firstRow="1" w:lastRow="0" w:firstColumn="1" w:lastColumn="0" w:noHBand="0" w:noVBand="1"/>
      </w:tblPr>
      <w:tblGrid>
        <w:gridCol w:w="1559"/>
        <w:gridCol w:w="1705"/>
        <w:gridCol w:w="1633"/>
        <w:gridCol w:w="1632"/>
        <w:gridCol w:w="1633"/>
        <w:gridCol w:w="1633"/>
      </w:tblGrid>
      <w:tr w:rsidR="00BE1D36" w14:paraId="409EAD01"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60" w:type="dxa"/>
            <w:tcBorders>
              <w:top w:val="single" w:sz="8" w:space="0" w:color="CDDC29" w:themeColor="text2"/>
              <w:left w:val="nil"/>
              <w:bottom w:val="single" w:sz="8" w:space="0" w:color="CDDC29" w:themeColor="text2"/>
              <w:right w:val="nil"/>
            </w:tcBorders>
            <w:vAlign w:val="center"/>
          </w:tcPr>
          <w:p w14:paraId="18CC78D3" w14:textId="77777777" w:rsidR="00BE1D36" w:rsidRDefault="00BE1D36" w:rsidP="006670D2">
            <w:pPr>
              <w:pStyle w:val="CaptionImageorFigure"/>
            </w:pPr>
          </w:p>
        </w:tc>
        <w:tc>
          <w:tcPr>
            <w:tcW w:w="1705" w:type="dxa"/>
            <w:tcBorders>
              <w:top w:val="single" w:sz="8" w:space="0" w:color="CDDC29" w:themeColor="text2"/>
              <w:left w:val="nil"/>
              <w:bottom w:val="single" w:sz="8" w:space="0" w:color="CDDC29" w:themeColor="text2"/>
              <w:right w:val="nil"/>
            </w:tcBorders>
            <w:vAlign w:val="center"/>
            <w:hideMark/>
          </w:tcPr>
          <w:p w14:paraId="7743F524"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633" w:type="dxa"/>
            <w:tcBorders>
              <w:top w:val="single" w:sz="8" w:space="0" w:color="CDDC29" w:themeColor="text2"/>
              <w:left w:val="nil"/>
              <w:bottom w:val="single" w:sz="8" w:space="0" w:color="CDDC29" w:themeColor="text2"/>
              <w:right w:val="nil"/>
            </w:tcBorders>
            <w:vAlign w:val="center"/>
            <w:hideMark/>
          </w:tcPr>
          <w:p w14:paraId="052052A7"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Forestry operations</w:t>
            </w:r>
          </w:p>
        </w:tc>
        <w:tc>
          <w:tcPr>
            <w:tcW w:w="1632" w:type="dxa"/>
            <w:tcBorders>
              <w:top w:val="single" w:sz="8" w:space="0" w:color="CDDC29" w:themeColor="text2"/>
              <w:left w:val="nil"/>
              <w:bottom w:val="single" w:sz="8" w:space="0" w:color="CDDC29" w:themeColor="text2"/>
              <w:right w:val="nil"/>
            </w:tcBorders>
            <w:vAlign w:val="center"/>
            <w:hideMark/>
          </w:tcPr>
          <w:p w14:paraId="440F8BC9"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invertebrate</w:t>
            </w:r>
          </w:p>
        </w:tc>
        <w:tc>
          <w:tcPr>
            <w:tcW w:w="1633" w:type="dxa"/>
            <w:tcBorders>
              <w:top w:val="single" w:sz="8" w:space="0" w:color="CDDC29" w:themeColor="text2"/>
              <w:left w:val="nil"/>
              <w:bottom w:val="single" w:sz="8" w:space="0" w:color="CDDC29" w:themeColor="text2"/>
              <w:right w:val="nil"/>
            </w:tcBorders>
            <w:vAlign w:val="center"/>
            <w:hideMark/>
          </w:tcPr>
          <w:p w14:paraId="237283ED"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c>
          <w:tcPr>
            <w:tcW w:w="1633" w:type="dxa"/>
            <w:tcBorders>
              <w:top w:val="single" w:sz="8" w:space="0" w:color="CDDC29" w:themeColor="text2"/>
              <w:left w:val="nil"/>
              <w:bottom w:val="single" w:sz="8" w:space="0" w:color="CDDC29" w:themeColor="text2"/>
              <w:right w:val="nil"/>
            </w:tcBorders>
            <w:vAlign w:val="center"/>
            <w:hideMark/>
          </w:tcPr>
          <w:p w14:paraId="7B3BCFC5"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(rodents)</w:t>
            </w:r>
          </w:p>
        </w:tc>
      </w:tr>
      <w:tr w:rsidR="00BE1D36" w14:paraId="7F0693F2" w14:textId="77777777" w:rsidTr="00BE1D36">
        <w:tc>
          <w:tcPr>
            <w:tcW w:w="1560" w:type="dxa"/>
            <w:tcBorders>
              <w:top w:val="single" w:sz="8" w:space="0" w:color="CDDC29" w:themeColor="text2"/>
              <w:left w:val="nil"/>
              <w:bottom w:val="single" w:sz="8" w:space="0" w:color="CDDC29" w:themeColor="text2"/>
              <w:right w:val="nil"/>
            </w:tcBorders>
            <w:vAlign w:val="center"/>
            <w:hideMark/>
          </w:tcPr>
          <w:p w14:paraId="225FE3B2" w14:textId="77777777" w:rsidR="00BE1D36" w:rsidRDefault="00BE1D36">
            <w:pPr>
              <w:pStyle w:val="BodyText"/>
              <w:jc w:val="center"/>
            </w:pPr>
            <w:r>
              <w:t>Consequence</w:t>
            </w:r>
          </w:p>
        </w:tc>
        <w:tc>
          <w:tcPr>
            <w:tcW w:w="1705" w:type="dxa"/>
            <w:tcBorders>
              <w:top w:val="single" w:sz="8" w:space="0" w:color="CDDC29" w:themeColor="text2"/>
              <w:left w:val="nil"/>
              <w:bottom w:val="single" w:sz="8" w:space="0" w:color="CDDC29" w:themeColor="text2"/>
              <w:right w:val="nil"/>
            </w:tcBorders>
            <w:vAlign w:val="center"/>
            <w:hideMark/>
          </w:tcPr>
          <w:p w14:paraId="53AEDF75" w14:textId="77777777" w:rsidR="00BE1D36" w:rsidRDefault="00BE1D36">
            <w:pPr>
              <w:pStyle w:val="BodyText"/>
              <w:jc w:val="center"/>
            </w:pPr>
            <w:r>
              <w:t>Extreme</w:t>
            </w:r>
          </w:p>
        </w:tc>
        <w:tc>
          <w:tcPr>
            <w:tcW w:w="1633" w:type="dxa"/>
            <w:tcBorders>
              <w:top w:val="single" w:sz="8" w:space="0" w:color="CDDC29" w:themeColor="text2"/>
              <w:left w:val="nil"/>
              <w:bottom w:val="single" w:sz="8" w:space="0" w:color="CDDC29" w:themeColor="text2"/>
              <w:right w:val="nil"/>
            </w:tcBorders>
            <w:vAlign w:val="center"/>
            <w:hideMark/>
          </w:tcPr>
          <w:p w14:paraId="76BF6364" w14:textId="77777777" w:rsidR="00BE1D36" w:rsidRDefault="00BE1D36">
            <w:pPr>
              <w:pStyle w:val="BodyText"/>
              <w:jc w:val="center"/>
            </w:pPr>
            <w:r>
              <w:t>Moderate</w:t>
            </w:r>
          </w:p>
        </w:tc>
        <w:tc>
          <w:tcPr>
            <w:tcW w:w="1632" w:type="dxa"/>
            <w:tcBorders>
              <w:top w:val="single" w:sz="8" w:space="0" w:color="CDDC29" w:themeColor="text2"/>
              <w:left w:val="nil"/>
              <w:bottom w:val="single" w:sz="8" w:space="0" w:color="CDDC29" w:themeColor="text2"/>
              <w:right w:val="nil"/>
            </w:tcBorders>
            <w:vAlign w:val="center"/>
            <w:hideMark/>
          </w:tcPr>
          <w:p w14:paraId="2754F601" w14:textId="77777777" w:rsidR="00BE1D36" w:rsidRDefault="00BE1D36">
            <w:pPr>
              <w:pStyle w:val="BodyText"/>
              <w:jc w:val="center"/>
            </w:pPr>
            <w:r>
              <w:t>Moderate</w:t>
            </w:r>
          </w:p>
        </w:tc>
        <w:tc>
          <w:tcPr>
            <w:tcW w:w="1633" w:type="dxa"/>
            <w:tcBorders>
              <w:top w:val="single" w:sz="8" w:space="0" w:color="CDDC29" w:themeColor="text2"/>
              <w:left w:val="nil"/>
              <w:bottom w:val="single" w:sz="8" w:space="0" w:color="CDDC29" w:themeColor="text2"/>
              <w:right w:val="nil"/>
            </w:tcBorders>
            <w:vAlign w:val="center"/>
            <w:hideMark/>
          </w:tcPr>
          <w:p w14:paraId="016E55D1" w14:textId="77777777" w:rsidR="00BE1D36" w:rsidRDefault="00BE1D36">
            <w:pPr>
              <w:pStyle w:val="BodyText"/>
              <w:jc w:val="center"/>
            </w:pPr>
            <w:r>
              <w:t>Major</w:t>
            </w:r>
          </w:p>
        </w:tc>
        <w:tc>
          <w:tcPr>
            <w:tcW w:w="1633" w:type="dxa"/>
            <w:tcBorders>
              <w:top w:val="single" w:sz="8" w:space="0" w:color="CDDC29" w:themeColor="text2"/>
              <w:left w:val="nil"/>
              <w:bottom w:val="single" w:sz="8" w:space="0" w:color="CDDC29" w:themeColor="text2"/>
              <w:right w:val="nil"/>
            </w:tcBorders>
            <w:vAlign w:val="center"/>
            <w:hideMark/>
          </w:tcPr>
          <w:p w14:paraId="00DED10D" w14:textId="77777777" w:rsidR="00BE1D36" w:rsidRDefault="00BE1D36">
            <w:pPr>
              <w:pStyle w:val="BodyText"/>
              <w:jc w:val="center"/>
            </w:pPr>
            <w:r>
              <w:t>Minor</w:t>
            </w:r>
          </w:p>
        </w:tc>
      </w:tr>
      <w:tr w:rsidR="00BE1D36" w14:paraId="66EC1E9C" w14:textId="77777777" w:rsidTr="00BE1D36">
        <w:tc>
          <w:tcPr>
            <w:tcW w:w="1560" w:type="dxa"/>
            <w:tcBorders>
              <w:top w:val="single" w:sz="8" w:space="0" w:color="CDDC29" w:themeColor="text2"/>
              <w:left w:val="nil"/>
              <w:bottom w:val="single" w:sz="8" w:space="0" w:color="CDDC29" w:themeColor="text2"/>
              <w:right w:val="nil"/>
            </w:tcBorders>
            <w:vAlign w:val="center"/>
            <w:hideMark/>
          </w:tcPr>
          <w:p w14:paraId="3A66A768" w14:textId="77777777" w:rsidR="00BE1D36" w:rsidRDefault="00BE1D36">
            <w:pPr>
              <w:pStyle w:val="BodyText"/>
              <w:jc w:val="center"/>
            </w:pPr>
            <w:r>
              <w:t>Likelihood</w:t>
            </w:r>
          </w:p>
        </w:tc>
        <w:tc>
          <w:tcPr>
            <w:tcW w:w="1705" w:type="dxa"/>
            <w:tcBorders>
              <w:top w:val="single" w:sz="8" w:space="0" w:color="CDDC29" w:themeColor="text2"/>
              <w:left w:val="nil"/>
              <w:bottom w:val="single" w:sz="8" w:space="0" w:color="CDDC29" w:themeColor="text2"/>
              <w:right w:val="nil"/>
            </w:tcBorders>
            <w:vAlign w:val="center"/>
            <w:hideMark/>
          </w:tcPr>
          <w:p w14:paraId="0F310F16" w14:textId="77777777" w:rsidR="00BE1D36" w:rsidRDefault="00BE1D36">
            <w:pPr>
              <w:pStyle w:val="BodyText"/>
              <w:jc w:val="center"/>
            </w:pPr>
            <w:r>
              <w:t>Possible</w:t>
            </w:r>
          </w:p>
        </w:tc>
        <w:tc>
          <w:tcPr>
            <w:tcW w:w="1633" w:type="dxa"/>
            <w:tcBorders>
              <w:top w:val="single" w:sz="8" w:space="0" w:color="CDDC29" w:themeColor="text2"/>
              <w:left w:val="nil"/>
              <w:bottom w:val="single" w:sz="8" w:space="0" w:color="CDDC29" w:themeColor="text2"/>
              <w:right w:val="nil"/>
            </w:tcBorders>
            <w:vAlign w:val="center"/>
            <w:hideMark/>
          </w:tcPr>
          <w:p w14:paraId="681C6B59" w14:textId="77777777" w:rsidR="00BE1D36" w:rsidRDefault="00BE1D36">
            <w:pPr>
              <w:pStyle w:val="BodyText"/>
              <w:jc w:val="center"/>
            </w:pPr>
            <w:r>
              <w:t>Possible</w:t>
            </w:r>
          </w:p>
        </w:tc>
        <w:tc>
          <w:tcPr>
            <w:tcW w:w="1632" w:type="dxa"/>
            <w:tcBorders>
              <w:top w:val="single" w:sz="8" w:space="0" w:color="CDDC29" w:themeColor="text2"/>
              <w:left w:val="nil"/>
              <w:bottom w:val="single" w:sz="8" w:space="0" w:color="CDDC29" w:themeColor="text2"/>
              <w:right w:val="nil"/>
            </w:tcBorders>
            <w:vAlign w:val="center"/>
            <w:hideMark/>
          </w:tcPr>
          <w:p w14:paraId="254F238E" w14:textId="77777777" w:rsidR="00BE1D36" w:rsidRDefault="00BE1D36">
            <w:pPr>
              <w:pStyle w:val="BodyText"/>
              <w:jc w:val="center"/>
            </w:pPr>
            <w:r>
              <w:t>Rare</w:t>
            </w:r>
          </w:p>
        </w:tc>
        <w:tc>
          <w:tcPr>
            <w:tcW w:w="1633" w:type="dxa"/>
            <w:tcBorders>
              <w:top w:val="single" w:sz="8" w:space="0" w:color="CDDC29" w:themeColor="text2"/>
              <w:left w:val="nil"/>
              <w:bottom w:val="single" w:sz="8" w:space="0" w:color="CDDC29" w:themeColor="text2"/>
              <w:right w:val="nil"/>
            </w:tcBorders>
            <w:vAlign w:val="center"/>
            <w:hideMark/>
          </w:tcPr>
          <w:p w14:paraId="6813B97A" w14:textId="77777777" w:rsidR="00BE1D36" w:rsidRDefault="00BE1D36">
            <w:pPr>
              <w:pStyle w:val="BodyText"/>
              <w:jc w:val="center"/>
            </w:pPr>
            <w:r>
              <w:t>Possible</w:t>
            </w:r>
          </w:p>
        </w:tc>
        <w:tc>
          <w:tcPr>
            <w:tcW w:w="1633" w:type="dxa"/>
            <w:tcBorders>
              <w:top w:val="single" w:sz="8" w:space="0" w:color="CDDC29" w:themeColor="text2"/>
              <w:left w:val="nil"/>
              <w:bottom w:val="single" w:sz="8" w:space="0" w:color="CDDC29" w:themeColor="text2"/>
              <w:right w:val="nil"/>
            </w:tcBorders>
            <w:vAlign w:val="center"/>
            <w:hideMark/>
          </w:tcPr>
          <w:p w14:paraId="57BF74AE" w14:textId="77777777" w:rsidR="00BE1D36" w:rsidRDefault="00BE1D36">
            <w:pPr>
              <w:pStyle w:val="BodyText"/>
              <w:jc w:val="center"/>
            </w:pPr>
            <w:r>
              <w:t>Possible</w:t>
            </w:r>
          </w:p>
        </w:tc>
      </w:tr>
      <w:tr w:rsidR="00BE1D36" w14:paraId="5225D98E" w14:textId="77777777" w:rsidTr="00BE1D36">
        <w:tc>
          <w:tcPr>
            <w:tcW w:w="1560" w:type="dxa"/>
            <w:tcBorders>
              <w:top w:val="single" w:sz="8" w:space="0" w:color="CDDC29" w:themeColor="text2"/>
              <w:left w:val="nil"/>
              <w:bottom w:val="single" w:sz="8" w:space="0" w:color="CDDC29" w:themeColor="text2"/>
              <w:right w:val="nil"/>
            </w:tcBorders>
            <w:vAlign w:val="center"/>
            <w:hideMark/>
          </w:tcPr>
          <w:p w14:paraId="0B5F39FD" w14:textId="77777777" w:rsidR="00BE1D36" w:rsidRDefault="00BE1D36">
            <w:pPr>
              <w:pStyle w:val="BodyText"/>
              <w:jc w:val="center"/>
            </w:pPr>
            <w:r>
              <w:t>Overall risk rating</w:t>
            </w:r>
          </w:p>
        </w:tc>
        <w:tc>
          <w:tcPr>
            <w:tcW w:w="1705" w:type="dxa"/>
            <w:tcBorders>
              <w:top w:val="single" w:sz="8" w:space="0" w:color="CDDC29" w:themeColor="text2"/>
              <w:left w:val="nil"/>
              <w:bottom w:val="single" w:sz="8" w:space="0" w:color="CDDC29" w:themeColor="text2"/>
              <w:right w:val="nil"/>
            </w:tcBorders>
            <w:shd w:val="clear" w:color="auto" w:fill="FF0000"/>
            <w:vAlign w:val="center"/>
            <w:hideMark/>
          </w:tcPr>
          <w:p w14:paraId="5F40674A" w14:textId="77777777" w:rsidR="00BE1D36" w:rsidRDefault="00BE1D36">
            <w:pPr>
              <w:pStyle w:val="BodyText"/>
              <w:jc w:val="center"/>
            </w:pPr>
            <w:r>
              <w:t>High</w:t>
            </w:r>
          </w:p>
        </w:tc>
        <w:tc>
          <w:tcPr>
            <w:tcW w:w="1633" w:type="dxa"/>
            <w:tcBorders>
              <w:top w:val="single" w:sz="8" w:space="0" w:color="CDDC29" w:themeColor="text2"/>
              <w:left w:val="nil"/>
              <w:bottom w:val="single" w:sz="8" w:space="0" w:color="CDDC29" w:themeColor="text2"/>
              <w:right w:val="nil"/>
            </w:tcBorders>
            <w:shd w:val="clear" w:color="auto" w:fill="FFFF00"/>
            <w:vAlign w:val="center"/>
            <w:hideMark/>
          </w:tcPr>
          <w:p w14:paraId="44C76D8E" w14:textId="77777777" w:rsidR="00BE1D36" w:rsidRDefault="00BE1D36">
            <w:pPr>
              <w:pStyle w:val="BodyText"/>
              <w:jc w:val="center"/>
            </w:pPr>
            <w:r>
              <w:t>Medium</w:t>
            </w:r>
          </w:p>
        </w:tc>
        <w:tc>
          <w:tcPr>
            <w:tcW w:w="1632" w:type="dxa"/>
            <w:tcBorders>
              <w:top w:val="single" w:sz="8" w:space="0" w:color="CDDC29" w:themeColor="text2"/>
              <w:left w:val="nil"/>
              <w:bottom w:val="single" w:sz="8" w:space="0" w:color="CDDC29" w:themeColor="text2"/>
              <w:right w:val="nil"/>
            </w:tcBorders>
            <w:shd w:val="clear" w:color="auto" w:fill="92D050"/>
            <w:vAlign w:val="center"/>
            <w:hideMark/>
          </w:tcPr>
          <w:p w14:paraId="31C2BB1A" w14:textId="77777777" w:rsidR="00BE1D36" w:rsidRDefault="00BE1D36">
            <w:pPr>
              <w:pStyle w:val="BodyText"/>
              <w:jc w:val="center"/>
            </w:pPr>
            <w:r>
              <w:t>Low</w:t>
            </w:r>
          </w:p>
        </w:tc>
        <w:tc>
          <w:tcPr>
            <w:tcW w:w="1633" w:type="dxa"/>
            <w:tcBorders>
              <w:top w:val="single" w:sz="8" w:space="0" w:color="CDDC29" w:themeColor="text2"/>
              <w:left w:val="nil"/>
              <w:bottom w:val="single" w:sz="8" w:space="0" w:color="CDDC29" w:themeColor="text2"/>
              <w:right w:val="nil"/>
            </w:tcBorders>
            <w:shd w:val="clear" w:color="auto" w:fill="FFC000"/>
            <w:vAlign w:val="center"/>
            <w:hideMark/>
          </w:tcPr>
          <w:p w14:paraId="1690981C" w14:textId="77777777" w:rsidR="00BE1D36" w:rsidRDefault="00BE1D36">
            <w:pPr>
              <w:pStyle w:val="BodyText"/>
              <w:jc w:val="center"/>
            </w:pPr>
            <w:r>
              <w:t>Significant</w:t>
            </w:r>
          </w:p>
        </w:tc>
        <w:tc>
          <w:tcPr>
            <w:tcW w:w="1633" w:type="dxa"/>
            <w:tcBorders>
              <w:top w:val="single" w:sz="8" w:space="0" w:color="CDDC29" w:themeColor="text2"/>
              <w:left w:val="nil"/>
              <w:bottom w:val="single" w:sz="8" w:space="0" w:color="CDDC29" w:themeColor="text2"/>
              <w:right w:val="nil"/>
            </w:tcBorders>
            <w:shd w:val="clear" w:color="auto" w:fill="FFFF00"/>
            <w:vAlign w:val="center"/>
            <w:hideMark/>
          </w:tcPr>
          <w:p w14:paraId="44281E79" w14:textId="77777777" w:rsidR="00BE1D36" w:rsidRDefault="00BE1D36">
            <w:pPr>
              <w:pStyle w:val="BodyText"/>
              <w:jc w:val="center"/>
            </w:pPr>
            <w:r>
              <w:t>Medium</w:t>
            </w:r>
          </w:p>
        </w:tc>
      </w:tr>
    </w:tbl>
    <w:p w14:paraId="1117EF03" w14:textId="77777777" w:rsidR="00BE1D36" w:rsidRDefault="00BE1D36" w:rsidP="00BE1D36">
      <w:pPr>
        <w:spacing w:line="240" w:lineRule="auto"/>
        <w:textAlignment w:val="baseline"/>
        <w:rPr>
          <w:rFonts w:ascii="Arial" w:hAnsi="Arial"/>
          <w:b/>
          <w:bCs/>
          <w:i/>
          <w:iCs/>
          <w:color w:val="808080" w:themeColor="background1" w:themeShade="80"/>
          <w:sz w:val="16"/>
          <w:szCs w:val="16"/>
        </w:rPr>
      </w:pPr>
    </w:p>
    <w:p w14:paraId="5E38F212" w14:textId="77777777" w:rsidR="00BE1D36" w:rsidRDefault="00BE1D36" w:rsidP="007E5EBF">
      <w:pPr>
        <w:pStyle w:val="Heading3"/>
      </w:pPr>
      <w:r>
        <w:t>Fire</w:t>
      </w:r>
    </w:p>
    <w:p w14:paraId="49AB8E48" w14:textId="77777777" w:rsidR="00BE1D36" w:rsidRDefault="00BE1D36" w:rsidP="007E5EBF">
      <w:pPr>
        <w:pStyle w:val="Heading5"/>
      </w:pPr>
      <w:r>
        <w:t>Increased fire frequency and intensity</w:t>
      </w:r>
    </w:p>
    <w:p w14:paraId="557E2FA7" w14:textId="619FF9EE" w:rsidR="00BE1D36" w:rsidRDefault="00BE1D36" w:rsidP="00BE1D36">
      <w:pPr>
        <w:pStyle w:val="BodyText"/>
      </w:pPr>
      <w:r>
        <w:t xml:space="preserve">Future decline of the </w:t>
      </w:r>
      <w:r w:rsidR="001D3902">
        <w:t>species</w:t>
      </w:r>
      <w:r>
        <w:t xml:space="preserve"> is based on a continuing decline in numbers and habitat, based on current and projected elevated bushfire frequencies below the tolerable fire interval for the </w:t>
      </w:r>
      <w:r w:rsidR="001D3902">
        <w:t>species</w:t>
      </w:r>
      <w:r>
        <w:t xml:space="preserve"> </w:t>
      </w:r>
      <w:r w:rsidR="006B121E">
        <w:t>because of</w:t>
      </w:r>
      <w:r>
        <w:t xml:space="preserve"> climate change. Frequent disturbance that removes older specimens may lead to a diminished soil seed bank and subsequent longer-term decline in abundance. The scale of the 2019-20 bushfires indicate that an event is possible despite no historic precedent. Climatic change and fire events can also favour the growth of some invasive weeds. </w:t>
      </w:r>
      <w:r w:rsidR="002B0991" w:rsidRPr="00915D82">
        <w:t xml:space="preserve">Current forestry operations and management practices in the wet forest parts of the </w:t>
      </w:r>
      <w:r w:rsidR="001D3902">
        <w:t>species’</w:t>
      </w:r>
      <w:r w:rsidR="002B0991" w:rsidRPr="00915D82">
        <w:t xml:space="preserve"> distribution may also increase the risks and exacerbate the effects of bushfires (e.g. Furlaud et al. 2021). However, the strength of this relationship is contested within the scientific community (e.g. </w:t>
      </w:r>
      <w:r w:rsidR="002642A6">
        <w:t>Keenan</w:t>
      </w:r>
      <w:r w:rsidR="002B0991" w:rsidRPr="00915D82">
        <w:t xml:space="preserve"> et al</w:t>
      </w:r>
      <w:r w:rsidR="004228B0">
        <w:t>.</w:t>
      </w:r>
      <w:r w:rsidR="002B0991" w:rsidRPr="00915D82">
        <w:t xml:space="preserve"> 2021), and the extent of this effect may be less significant in the face of mega fires driven primarily by extreme heat and drought caused by human-induced climate-change (e.g. Bowman et al. 2021).</w:t>
      </w:r>
      <w:r w:rsidR="002B0991">
        <w:t xml:space="preserve"> </w:t>
      </w:r>
      <w:r>
        <w:t xml:space="preserve">Whilst bushfires pose an immediate risk, it may take another 30-50 years before climate change causes very serious impacts to this </w:t>
      </w:r>
      <w:r w:rsidR="001D3902">
        <w:t>species</w:t>
      </w:r>
      <w:r w:rsidR="002B0991">
        <w:t>.</w:t>
      </w:r>
      <w:r>
        <w:t xml:space="preserve"> </w:t>
      </w:r>
    </w:p>
    <w:p w14:paraId="64F70F27" w14:textId="77777777" w:rsidR="00BE1D36" w:rsidRDefault="00BE1D36" w:rsidP="00BE1D36">
      <w:pPr>
        <w:pStyle w:val="BodyText"/>
      </w:pPr>
      <w:r>
        <w:t xml:space="preserve">Current controls for this risk include: </w:t>
      </w:r>
    </w:p>
    <w:p w14:paraId="750D442D" w14:textId="5FE49E54" w:rsidR="00BE1D36" w:rsidRDefault="00BE1D36" w:rsidP="006670D2">
      <w:pPr>
        <w:pStyle w:val="PullOutBoxBullet"/>
      </w:pPr>
      <w:r>
        <w:t>Planned burning. This control is considered ineffective in this case as the species’ habitat is generally not suitable for planned burning. Strategic fuel</w:t>
      </w:r>
      <w:r w:rsidR="00DF761D">
        <w:t xml:space="preserve"> </w:t>
      </w:r>
      <w:r>
        <w:t>breaks and associated backburning may however provide valuable protection in some cases for this species and its habitat from severe bushfires.</w:t>
      </w:r>
    </w:p>
    <w:p w14:paraId="18FD599A" w14:textId="15425E23" w:rsidR="00BE1D36" w:rsidRDefault="00BE1D36" w:rsidP="006670D2">
      <w:pPr>
        <w:pStyle w:val="PullOutBoxBullet"/>
      </w:pPr>
      <w:r>
        <w:t>Bushfire suppression. Th</w:t>
      </w:r>
      <w:r w:rsidR="008845CE">
        <w:t>e</w:t>
      </w:r>
      <w:r>
        <w:t xml:space="preserve"> risk</w:t>
      </w:r>
      <w:r w:rsidR="008845CE">
        <w:t xml:space="preserve"> to this species</w:t>
      </w:r>
      <w:r>
        <w:t xml:space="preserve"> is not effectively controlled; the scale and intensity of recent bushfires means that, despite the frameworks and available resources, emergency response does not always </w:t>
      </w:r>
      <w:r w:rsidR="002F367D">
        <w:t>mitigate</w:t>
      </w:r>
      <w:r>
        <w:t xml:space="preserve"> impacts on </w:t>
      </w:r>
      <w:r w:rsidR="002B62F2">
        <w:t>this species.</w:t>
      </w:r>
    </w:p>
    <w:p w14:paraId="4A63281C" w14:textId="3C51BC02" w:rsidR="00BE1D36" w:rsidRDefault="00BE1D36" w:rsidP="006670D2">
      <w:pPr>
        <w:pStyle w:val="PullOutBoxBullet"/>
      </w:pPr>
      <w:r>
        <w:t xml:space="preserve">Insurance collections. This has been evaluated as poor as this </w:t>
      </w:r>
      <w:r w:rsidR="001D3902">
        <w:t>species</w:t>
      </w:r>
      <w:r>
        <w:t xml:space="preserve"> is represented in the </w:t>
      </w:r>
      <w:r w:rsidR="005902EF">
        <w:t xml:space="preserve">VCS </w:t>
      </w:r>
      <w:r>
        <w:t>only by a single collection from Mt. Donna Buang Road.</w:t>
      </w:r>
    </w:p>
    <w:p w14:paraId="590698BB" w14:textId="77777777" w:rsidR="00BE1D36" w:rsidRDefault="00BE1D36" w:rsidP="00BE1D36">
      <w:pPr>
        <w:rPr>
          <w:b/>
          <w:bCs/>
          <w:sz w:val="16"/>
        </w:rPr>
      </w:pPr>
      <w:r>
        <w:rPr>
          <w:color w:val="auto"/>
        </w:rPr>
        <w:br w:type="page"/>
      </w:r>
    </w:p>
    <w:p w14:paraId="6D1E209D" w14:textId="56B1ABD5"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249</w:t>
      </w:r>
      <w:r w:rsidR="000B6788" w:rsidRPr="00B846FE">
        <w:rPr>
          <w:bCs/>
          <w:noProof/>
        </w:rPr>
        <w:fldChar w:fldCharType="end"/>
      </w:r>
      <w:r w:rsidRPr="00FF310C">
        <w:t>. Tree Geebung protection requirements and recommendations for increased fire frequency and intensity</w:t>
      </w:r>
    </w:p>
    <w:tbl>
      <w:tblPr>
        <w:tblStyle w:val="TableGrid"/>
        <w:tblW w:w="0" w:type="auto"/>
        <w:tblLook w:val="04A0" w:firstRow="1" w:lastRow="0" w:firstColumn="1" w:lastColumn="0" w:noHBand="0" w:noVBand="1"/>
      </w:tblPr>
      <w:tblGrid>
        <w:gridCol w:w="2268"/>
        <w:gridCol w:w="7371"/>
      </w:tblGrid>
      <w:tr w:rsidR="00BE1D36" w14:paraId="5FB55A64"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7D60958"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2931346F"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2482CCCF" w14:textId="77777777" w:rsidTr="00B45E4E">
        <w:tc>
          <w:tcPr>
            <w:tcW w:w="2268" w:type="dxa"/>
            <w:tcBorders>
              <w:top w:val="single" w:sz="8" w:space="0" w:color="CDDC29" w:themeColor="text2"/>
              <w:left w:val="nil"/>
              <w:bottom w:val="single" w:sz="8" w:space="0" w:color="CDDC29" w:themeColor="text2"/>
              <w:right w:val="nil"/>
            </w:tcBorders>
            <w:hideMark/>
          </w:tcPr>
          <w:p w14:paraId="4B59A6E3" w14:textId="48434084" w:rsidR="00BE1D36" w:rsidRDefault="003133CD"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49643645" w14:textId="77777777" w:rsidR="00BE1D36" w:rsidRDefault="00BE1D36" w:rsidP="00B45E4E">
            <w:pPr>
              <w:pStyle w:val="BodyText"/>
            </w:pPr>
            <w:r>
              <w:t>Not required for this hazard as the risk is longer-term.</w:t>
            </w:r>
          </w:p>
        </w:tc>
      </w:tr>
      <w:tr w:rsidR="00BE1D36" w14:paraId="1CCDD498" w14:textId="77777777" w:rsidTr="00B45E4E">
        <w:tc>
          <w:tcPr>
            <w:tcW w:w="2268" w:type="dxa"/>
            <w:tcBorders>
              <w:top w:val="single" w:sz="8" w:space="0" w:color="CDDC29" w:themeColor="text2"/>
              <w:left w:val="nil"/>
              <w:bottom w:val="single" w:sz="8" w:space="0" w:color="CDDC29" w:themeColor="text2"/>
              <w:right w:val="nil"/>
            </w:tcBorders>
            <w:hideMark/>
          </w:tcPr>
          <w:p w14:paraId="67C703C5" w14:textId="01105C26" w:rsidR="00BE1D36" w:rsidRDefault="003133CD"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58E89068" w14:textId="5208FFF8" w:rsidR="00BE1D36" w:rsidRDefault="00BE1D36" w:rsidP="006670D2">
            <w:pPr>
              <w:pStyle w:val="PullOutBoxBullet"/>
            </w:pPr>
            <w:r>
              <w:t xml:space="preserve">Collect seed for the </w:t>
            </w:r>
            <w:r w:rsidR="005902EF">
              <w:t>VCS</w:t>
            </w:r>
            <w:r>
              <w:t xml:space="preserve"> from across the </w:t>
            </w:r>
            <w:r w:rsidR="001D3902">
              <w:t>species’</w:t>
            </w:r>
            <w:r>
              <w:t xml:space="preserve"> range as insurance against catastrophic loss</w:t>
            </w:r>
            <w:r w:rsidR="003133CD">
              <w:t>; and</w:t>
            </w:r>
          </w:p>
          <w:p w14:paraId="6CF8B893" w14:textId="2C8C94B0" w:rsidR="00BE1D36" w:rsidRDefault="003133CD" w:rsidP="006670D2">
            <w:pPr>
              <w:pStyle w:val="PullOutBoxBullet"/>
            </w:pPr>
            <w:r>
              <w:t>E</w:t>
            </w:r>
            <w:r w:rsidR="00BE1D36">
              <w:t>nsure that important populations are mapped, recorded</w:t>
            </w:r>
            <w:r w:rsidR="006B121E">
              <w:t>,</w:t>
            </w:r>
            <w:r w:rsidR="00BE1D36">
              <w:t xml:space="preserve"> and made available for fire management planning purposes</w:t>
            </w:r>
            <w:r w:rsidR="00943EDA">
              <w:t>.</w:t>
            </w:r>
          </w:p>
        </w:tc>
      </w:tr>
    </w:tbl>
    <w:p w14:paraId="1F6181FE" w14:textId="77777777" w:rsidR="00BE1D36" w:rsidRDefault="00BE1D36" w:rsidP="007E5EBF">
      <w:pPr>
        <w:pStyle w:val="Heading3"/>
      </w:pPr>
      <w:r>
        <w:t>Forestry operations</w:t>
      </w:r>
    </w:p>
    <w:p w14:paraId="7AC4BEA4" w14:textId="16E6A5D1" w:rsidR="00BE1D36" w:rsidRDefault="005D1677" w:rsidP="007E5EBF">
      <w:pPr>
        <w:pStyle w:val="Heading5"/>
      </w:pPr>
      <w:r>
        <w:t>F</w:t>
      </w:r>
      <w:r w:rsidR="00BE1D36">
        <w:t>orestry operations, salvage harvesting and roading</w:t>
      </w:r>
    </w:p>
    <w:p w14:paraId="68D2A3D2" w14:textId="362C9B7D" w:rsidR="00BE1D36" w:rsidRPr="00A64373" w:rsidRDefault="00BE1D36" w:rsidP="00BE1D36">
      <w:pPr>
        <w:pStyle w:val="BodyText"/>
      </w:pPr>
      <w:r w:rsidRPr="00A64373">
        <w:t xml:space="preserve">Disturbance from timber harvesting and associated roading and forest regeneration </w:t>
      </w:r>
      <w:r w:rsidR="00C803B7" w:rsidRPr="00B6162A">
        <w:t>practise</w:t>
      </w:r>
      <w:r w:rsidRPr="00B846FE">
        <w:t xml:space="preserve">s is likely to occur in parts of its range, with approximately 24% of the </w:t>
      </w:r>
      <w:r w:rsidR="001D3902">
        <w:t>species’</w:t>
      </w:r>
      <w:r w:rsidRPr="00B846FE">
        <w:t xml:space="preserve"> modelled distribution in merchantable areas</w:t>
      </w:r>
      <w:r w:rsidR="0089656F" w:rsidRPr="00291BDC">
        <w:t xml:space="preserve"> b</w:t>
      </w:r>
      <w:r w:rsidR="0041303E" w:rsidRPr="00FD57DB">
        <w:t xml:space="preserve">ased on the 2015 net harvest area layer. Using the revised operable area layer, this is reduced to </w:t>
      </w:r>
      <w:r w:rsidR="0089656F" w:rsidRPr="00FD57DB">
        <w:t>9</w:t>
      </w:r>
      <w:r w:rsidR="0041303E" w:rsidRPr="00FD57DB">
        <w:t xml:space="preserve">%. </w:t>
      </w:r>
    </w:p>
    <w:p w14:paraId="73E38E12" w14:textId="5C0FC4A1" w:rsidR="00BE1D36" w:rsidRPr="00915D82" w:rsidRDefault="004432E8" w:rsidP="00BE1D36">
      <w:pPr>
        <w:pStyle w:val="BodyText"/>
      </w:pPr>
      <w:r w:rsidRPr="00915D82">
        <w:t xml:space="preserve">While </w:t>
      </w:r>
      <w:r w:rsidR="00AC4A34">
        <w:t>it is understood</w:t>
      </w:r>
      <w:r w:rsidRPr="00915D82">
        <w:t xml:space="preserve"> that VicForests has adopted alternative harvesting practices, clear-fell forestry operations are thought to eliminate most of the mature resident plants within </w:t>
      </w:r>
      <w:r w:rsidR="00AC4A34">
        <w:t>a</w:t>
      </w:r>
      <w:r w:rsidRPr="00915D82">
        <w:t xml:space="preserve"> harvested coupe</w:t>
      </w:r>
      <w:r>
        <w:t xml:space="preserve">. </w:t>
      </w:r>
      <w:r w:rsidR="00BE1D36" w:rsidRPr="00915D82">
        <w:t>Anecdotal information indicates that regeneration following timber harvesting is variable</w:t>
      </w:r>
      <w:r w:rsidR="00D97773">
        <w:t>,</w:t>
      </w:r>
      <w:r w:rsidR="00BE1D36" w:rsidRPr="00915D82">
        <w:t xml:space="preserve"> although prolific germination has been observed in some circumstances; the reasons for this are not known. Spatial analysis of likely habitat for Tree Geebung on all land tenures indicates that 44% occurs within the </w:t>
      </w:r>
      <w:r w:rsidR="00836B9A">
        <w:t>CAR</w:t>
      </w:r>
      <w:r w:rsidR="00BE1D36" w:rsidRPr="00915D82">
        <w:t xml:space="preserve"> reserve system, including parks, reserves</w:t>
      </w:r>
      <w:r w:rsidR="006B121E" w:rsidRPr="00915D82">
        <w:t>,</w:t>
      </w:r>
      <w:r w:rsidR="00BE1D36" w:rsidRPr="00915D82">
        <w:t xml:space="preserve"> and special protection zones in </w:t>
      </w:r>
      <w:r w:rsidR="00AE11C2" w:rsidRPr="00611E69">
        <w:t>State Forest</w:t>
      </w:r>
      <w:r w:rsidR="00BE1D36" w:rsidRPr="00915D82">
        <w:t xml:space="preserve">. Further areas </w:t>
      </w:r>
      <w:r w:rsidR="00D97773">
        <w:t xml:space="preserve">are </w:t>
      </w:r>
      <w:r w:rsidR="00BE1D36" w:rsidRPr="00915D82">
        <w:t xml:space="preserve">excluded from harvesting </w:t>
      </w:r>
      <w:r w:rsidR="00261FF0">
        <w:t>as s</w:t>
      </w:r>
      <w:r w:rsidR="00261FF0" w:rsidRPr="00915D82">
        <w:t xml:space="preserve">pecies-specific protections for </w:t>
      </w:r>
      <w:r w:rsidR="00261FF0">
        <w:t xml:space="preserve">the </w:t>
      </w:r>
      <w:r w:rsidR="001D3902">
        <w:t>species</w:t>
      </w:r>
      <w:r w:rsidR="00261FF0" w:rsidRPr="00915D82">
        <w:t xml:space="preserve"> are included in the Code</w:t>
      </w:r>
      <w:r w:rsidR="00BE1D36" w:rsidRPr="00915D82">
        <w:t xml:space="preserve">. </w:t>
      </w:r>
      <w:bookmarkStart w:id="975" w:name="_Hlk65230840"/>
      <w:r w:rsidR="00BE1D36" w:rsidRPr="00915D82">
        <w:t xml:space="preserve">In recent years, modified harvesting and forest regeneration </w:t>
      </w:r>
      <w:r w:rsidR="00C803B7" w:rsidRPr="00915D82">
        <w:t>practise</w:t>
      </w:r>
      <w:r w:rsidR="00BE1D36" w:rsidRPr="00915D82">
        <w:t>s have been implemented in native forest that are designed to further mitigate the potential threat from forestry operations to threatened species and their habitats.</w:t>
      </w:r>
      <w:bookmarkEnd w:id="975"/>
    </w:p>
    <w:p w14:paraId="7BCE401F" w14:textId="77777777" w:rsidR="00BE1D36" w:rsidRPr="00A64373" w:rsidRDefault="00BE1D36" w:rsidP="00BE1D36">
      <w:pPr>
        <w:pStyle w:val="BodyText"/>
      </w:pPr>
      <w:r w:rsidRPr="00A64373">
        <w:t>Salvage harvesting following bushfire may interrupt the post-fire recovery of this species, although seedling recruitment can be prolific following disturbance, so any impacts might be relatively modest. Forestry operations including road construction may play a role in the establishment and spread of weeds.</w:t>
      </w:r>
    </w:p>
    <w:p w14:paraId="327EE192" w14:textId="77777777" w:rsidR="00BE1D36" w:rsidRPr="00A64373" w:rsidRDefault="00BE1D36" w:rsidP="00BE1D36">
      <w:pPr>
        <w:pStyle w:val="BodyText"/>
      </w:pPr>
      <w:r w:rsidRPr="00A64373">
        <w:t>Current controls for this hazard include:</w:t>
      </w:r>
    </w:p>
    <w:p w14:paraId="48A05EB4" w14:textId="77777777" w:rsidR="00BE1D36" w:rsidRPr="00A64373" w:rsidRDefault="00BE1D36" w:rsidP="006670D2">
      <w:pPr>
        <w:pStyle w:val="PullOutBoxBullet"/>
      </w:pPr>
      <w:r w:rsidRPr="00A64373">
        <w:t xml:space="preserve">The </w:t>
      </w:r>
      <w:r w:rsidRPr="00A64373">
        <w:rPr>
          <w:i/>
        </w:rPr>
        <w:t>Code of Practice for Timber Production 2014</w:t>
      </w:r>
      <w:r w:rsidRPr="00A64373">
        <w:t>. This has been evaluated as poor because while mature individuals are generally protected from harvesting, they may be killed during the subsequent regeneration burning operations.</w:t>
      </w:r>
    </w:p>
    <w:p w14:paraId="4B5DEFDD" w14:textId="42D19508" w:rsidR="00434369" w:rsidRDefault="00BE1D36" w:rsidP="006670D2">
      <w:pPr>
        <w:pStyle w:val="PullOutBoxBullet"/>
      </w:pPr>
      <w:r w:rsidRPr="00A64373">
        <w:t xml:space="preserve">The CAR reserve system. </w:t>
      </w:r>
      <w:r w:rsidR="003809EB" w:rsidRPr="00A64373">
        <w:rPr>
          <w:rStyle w:val="normaltextrun"/>
        </w:rPr>
        <w:t>The effectiveness of this control for this species has been evaluated</w:t>
      </w:r>
      <w:r w:rsidR="003809EB" w:rsidRPr="00A64373">
        <w:t xml:space="preserve"> as </w:t>
      </w:r>
      <w:r w:rsidRPr="00A64373">
        <w:t xml:space="preserve">poor to satisfactory as 54% of the </w:t>
      </w:r>
      <w:r w:rsidR="001D3902">
        <w:t>species’</w:t>
      </w:r>
      <w:r w:rsidRPr="00A64373">
        <w:t xml:space="preserve"> modelled distribution and 52% of important populations are within the reserve system.</w:t>
      </w:r>
    </w:p>
    <w:p w14:paraId="6DC7CE45" w14:textId="079F2DDC"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250</w:t>
      </w:r>
      <w:r w:rsidR="000B6788" w:rsidRPr="00B846FE">
        <w:rPr>
          <w:bCs/>
          <w:noProof/>
        </w:rPr>
        <w:fldChar w:fldCharType="end"/>
      </w:r>
      <w:r w:rsidRPr="00FF310C">
        <w:t>. Tree Geebung protection requirements and recommendations for forestry operations, salvage harvesting and roading.</w:t>
      </w:r>
    </w:p>
    <w:tbl>
      <w:tblPr>
        <w:tblStyle w:val="TableGrid"/>
        <w:tblW w:w="0" w:type="auto"/>
        <w:tblLook w:val="04A0" w:firstRow="1" w:lastRow="0" w:firstColumn="1" w:lastColumn="0" w:noHBand="0" w:noVBand="1"/>
      </w:tblPr>
      <w:tblGrid>
        <w:gridCol w:w="2268"/>
        <w:gridCol w:w="7371"/>
      </w:tblGrid>
      <w:tr w:rsidR="00BE1D36" w14:paraId="07AA5BBF"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254116DE"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4D170868"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726764DB" w14:textId="77777777" w:rsidTr="00B45E4E">
        <w:tc>
          <w:tcPr>
            <w:tcW w:w="2268" w:type="dxa"/>
            <w:tcBorders>
              <w:top w:val="single" w:sz="8" w:space="0" w:color="CDDC29" w:themeColor="text2"/>
              <w:left w:val="nil"/>
              <w:bottom w:val="single" w:sz="8" w:space="0" w:color="CDDC29" w:themeColor="text2"/>
              <w:right w:val="nil"/>
            </w:tcBorders>
            <w:hideMark/>
          </w:tcPr>
          <w:p w14:paraId="2D8E5952" w14:textId="6E40A8CD" w:rsidR="00BE1D36" w:rsidRDefault="00BE1D36" w:rsidP="00B45E4E">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49057BB3" w14:textId="20889BDE" w:rsidR="00BE1D36" w:rsidRDefault="00A97C1A" w:rsidP="00B45E4E">
            <w:pPr>
              <w:pStyle w:val="BodyText"/>
            </w:pPr>
            <w:r>
              <w:t>Not required for this hazard based on the overall risk level of medium.</w:t>
            </w:r>
          </w:p>
        </w:tc>
      </w:tr>
      <w:tr w:rsidR="00A97C1A" w14:paraId="4134D3B6" w14:textId="77777777" w:rsidTr="00B45E4E">
        <w:tc>
          <w:tcPr>
            <w:tcW w:w="2268" w:type="dxa"/>
            <w:tcBorders>
              <w:top w:val="single" w:sz="8" w:space="0" w:color="CDDC29" w:themeColor="text2"/>
              <w:left w:val="nil"/>
              <w:bottom w:val="single" w:sz="8" w:space="0" w:color="CDDC29" w:themeColor="text2"/>
              <w:right w:val="nil"/>
            </w:tcBorders>
          </w:tcPr>
          <w:p w14:paraId="087C26A8" w14:textId="22AAC529" w:rsidR="00A97C1A" w:rsidRDefault="00A97C1A"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1DE3A4C5" w14:textId="33D05C41" w:rsidR="00A97C1A" w:rsidRDefault="00684F4B" w:rsidP="006670D2">
            <w:pPr>
              <w:pStyle w:val="PullOutBoxBullet"/>
            </w:pPr>
            <w:r>
              <w:t>Investigate feasible options to improve survival of mature individuals throughout the harvesting and regeneration operations</w:t>
            </w:r>
            <w:r w:rsidR="00A97C1A">
              <w:t>.</w:t>
            </w:r>
          </w:p>
        </w:tc>
      </w:tr>
      <w:tr w:rsidR="00BE1D36" w14:paraId="7DBCCF02" w14:textId="77777777" w:rsidTr="00B45E4E">
        <w:tc>
          <w:tcPr>
            <w:tcW w:w="2268" w:type="dxa"/>
            <w:tcBorders>
              <w:top w:val="single" w:sz="8" w:space="0" w:color="CDDC29" w:themeColor="text2"/>
              <w:left w:val="nil"/>
              <w:bottom w:val="single" w:sz="8" w:space="0" w:color="CDDC29" w:themeColor="text2"/>
              <w:right w:val="nil"/>
            </w:tcBorders>
            <w:hideMark/>
          </w:tcPr>
          <w:p w14:paraId="039515CE" w14:textId="77777777" w:rsidR="00BE1D36" w:rsidRDefault="00BE1D36" w:rsidP="00B45E4E">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09723736" w14:textId="77777777" w:rsidR="00BE1D36" w:rsidRDefault="00BE1D36" w:rsidP="00B45E4E">
            <w:pPr>
              <w:pStyle w:val="BodyText"/>
            </w:pPr>
            <w:r>
              <w:t>Additional permanent protections may be required in the longer-term.</w:t>
            </w:r>
          </w:p>
        </w:tc>
      </w:tr>
      <w:tr w:rsidR="00BE1D36" w14:paraId="4DBE634B" w14:textId="77777777" w:rsidTr="00B45E4E">
        <w:tc>
          <w:tcPr>
            <w:tcW w:w="2268" w:type="dxa"/>
            <w:tcBorders>
              <w:top w:val="single" w:sz="8" w:space="0" w:color="CDDC29" w:themeColor="text2"/>
              <w:left w:val="nil"/>
              <w:bottom w:val="single" w:sz="8" w:space="0" w:color="CDDC29" w:themeColor="text2"/>
              <w:right w:val="nil"/>
            </w:tcBorders>
            <w:hideMark/>
          </w:tcPr>
          <w:p w14:paraId="4F5E6900" w14:textId="5B7003D3" w:rsidR="00BE1D36" w:rsidRDefault="003133CD"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73EF06C7" w14:textId="4B63895F" w:rsidR="00BE1D36" w:rsidRDefault="00BE1D36" w:rsidP="006670D2">
            <w:pPr>
              <w:pStyle w:val="PullOutBoxBullet"/>
            </w:pPr>
            <w:r>
              <w:t>Clarify current Code prescription</w:t>
            </w:r>
            <w:r w:rsidR="002A782B">
              <w:t>;</w:t>
            </w:r>
            <w:r w:rsidR="00F444A1">
              <w:t xml:space="preserve"> and</w:t>
            </w:r>
          </w:p>
          <w:p w14:paraId="4D303718" w14:textId="63490A4F" w:rsidR="00BE1D36" w:rsidRDefault="002A782B" w:rsidP="006670D2">
            <w:pPr>
              <w:pStyle w:val="PullOutBoxBullet"/>
            </w:pPr>
            <w:r>
              <w:t>E</w:t>
            </w:r>
            <w:r w:rsidR="00BE1D36">
              <w:t>nsure adequate pre-harvest surveys and monitoring of survival of mature individuals</w:t>
            </w:r>
            <w:r>
              <w:t>.</w:t>
            </w:r>
          </w:p>
        </w:tc>
      </w:tr>
    </w:tbl>
    <w:p w14:paraId="1BF40A57" w14:textId="036F0655" w:rsidR="00BE1D36" w:rsidRDefault="00BE1D36" w:rsidP="007E5EBF">
      <w:pPr>
        <w:pStyle w:val="Heading3"/>
      </w:pPr>
      <w:r>
        <w:rPr>
          <w:noProof/>
        </w:rPr>
        <mc:AlternateContent>
          <mc:Choice Requires="wps">
            <w:drawing>
              <wp:anchor distT="0" distB="0" distL="114300" distR="114300" simplePos="0" relativeHeight="251658430" behindDoc="1" locked="1" layoutInCell="1" allowOverlap="1" wp14:anchorId="4CDD1B12" wp14:editId="677EB83E">
                <wp:simplePos x="0" y="0"/>
                <wp:positionH relativeFrom="page">
                  <wp:posOffset>359410</wp:posOffset>
                </wp:positionH>
                <wp:positionV relativeFrom="page">
                  <wp:posOffset>9071610</wp:posOffset>
                </wp:positionV>
                <wp:extent cx="6840220" cy="431800"/>
                <wp:effectExtent l="0" t="0" r="0" b="0"/>
                <wp:wrapNone/>
                <wp:docPr id="1720" name="Text Box 1720"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15B2D"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1B12" id="Text Box 1720" o:spid="_x0000_s1131" type="#_x0000_t202" alt="Title: Decorative Cover Shape" style="position:absolute;left:0;text-align:left;margin-left:28.3pt;margin-top:714.3pt;width:538.6pt;height:34pt;z-index:-2516580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AOPNNVgAIA&#10;AGMFAAAOAAAAAAAAAAAAAAAAAC4CAABkcnMvZTJvRG9jLnhtbFBLAQItABQABgAIAAAAIQCRaybX&#10;3QAAAA0BAAAPAAAAAAAAAAAAAAAAANoEAABkcnMvZG93bnJldi54bWxQSwUGAAAAAAQABADzAAAA&#10;5AUAAAAA&#10;" fillcolor="#201547" stroked="f" strokeweight=".5pt">
                <v:textbox inset="10mm,0,10mm,0">
                  <w:txbxContent>
                    <w:p w14:paraId="6E015B2D"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29" behindDoc="0" locked="1" layoutInCell="1" allowOverlap="1" wp14:anchorId="59646292" wp14:editId="65661F22">
                <wp:simplePos x="0" y="0"/>
                <wp:positionH relativeFrom="page">
                  <wp:posOffset>360045</wp:posOffset>
                </wp:positionH>
                <wp:positionV relativeFrom="page">
                  <wp:posOffset>360045</wp:posOffset>
                </wp:positionV>
                <wp:extent cx="1864995" cy="1976120"/>
                <wp:effectExtent l="0" t="0" r="0" b="0"/>
                <wp:wrapNone/>
                <wp:docPr id="110" name="Freeform: Shape 1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732C98B" id="Freeform: Shape 110" o:spid="_x0000_s1026" style="position:absolute;margin-left:28.35pt;margin-top:28.35pt;width:146.85pt;height:155.6pt;z-index:2516584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428" behindDoc="0" locked="1" layoutInCell="1" allowOverlap="1" wp14:anchorId="7B265D7E" wp14:editId="09F5FF67">
                <wp:simplePos x="0" y="0"/>
                <wp:positionH relativeFrom="page">
                  <wp:posOffset>359410</wp:posOffset>
                </wp:positionH>
                <wp:positionV relativeFrom="page">
                  <wp:posOffset>359410</wp:posOffset>
                </wp:positionV>
                <wp:extent cx="1864995" cy="1976120"/>
                <wp:effectExtent l="0" t="0" r="0" b="0"/>
                <wp:wrapNone/>
                <wp:docPr id="112" name="Freeform: Shape 1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4121DE3" id="Freeform: Shape 112" o:spid="_x0000_s1026" style="position:absolute;margin-left:28.3pt;margin-top:28.3pt;width:146.85pt;height:155.6pt;z-index:2516584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427" behindDoc="0" locked="1" layoutInCell="1" allowOverlap="1" wp14:anchorId="09DD9E8B" wp14:editId="36D35E1D">
                <wp:simplePos x="0" y="0"/>
                <wp:positionH relativeFrom="page">
                  <wp:posOffset>0</wp:posOffset>
                </wp:positionH>
                <wp:positionV relativeFrom="page">
                  <wp:align>bottom</wp:align>
                </wp:positionV>
                <wp:extent cx="3848100" cy="720090"/>
                <wp:effectExtent l="0" t="0" r="0" b="0"/>
                <wp:wrapNone/>
                <wp:docPr id="1723" name="Text Box 1723"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80FAA"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D9E8B" id="Text Box 1723" o:spid="_x0000_s1132" type="#_x0000_t202" style="position:absolute;left:0;text-align:left;margin-left:0;margin-top:0;width:303pt;height:56.7pt;z-index:25165842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7XqX928CAAA/BQAADgAAAAAAAAAAAAAAAAAu&#10;AgAAZHJzL2Uyb0RvYy54bWxQSwECLQAUAAYACAAAACEA9MrPqNoAAAAFAQAADwAAAAAAAAAAAAAA&#10;AADJBAAAZHJzL2Rvd25yZXYueG1sUEsFBgAAAAAEAAQA8wAAANAFAAAAAA==&#10;" filled="f" stroked="f" strokeweight=".5pt">
                <v:textbox inset="20mm">
                  <w:txbxContent>
                    <w:p w14:paraId="20A80FAA" w14:textId="77777777" w:rsidR="00BE1D36" w:rsidRDefault="00BE1D36" w:rsidP="00BE1D36">
                      <w:pPr>
                        <w:pStyle w:val="xWebCoverPage"/>
                      </w:pPr>
                      <w:r>
                        <w:t>delwp.vic.gov.au</w:t>
                      </w:r>
                    </w:p>
                  </w:txbxContent>
                </v:textbox>
                <w10:wrap anchorx="page" anchory="page"/>
                <w10:anchorlock/>
              </v:shape>
            </w:pict>
          </mc:Fallback>
        </mc:AlternateContent>
      </w:r>
      <w:r>
        <w:t>Invasive species</w:t>
      </w:r>
    </w:p>
    <w:p w14:paraId="7C3D7A21" w14:textId="77777777" w:rsidR="00BE1D36" w:rsidRDefault="00BE1D36" w:rsidP="007E5EBF">
      <w:pPr>
        <w:pStyle w:val="Heading5"/>
      </w:pPr>
      <w:r>
        <w:t>Invasive invertebrate</w:t>
      </w:r>
    </w:p>
    <w:p w14:paraId="5D832B9D" w14:textId="641BCD38" w:rsidR="00BE1D36" w:rsidRDefault="00BE1D36" w:rsidP="00BE1D36">
      <w:pPr>
        <w:pStyle w:val="BodyText"/>
      </w:pPr>
      <w:r>
        <w:t>Larvae of micro-wasps have been observed to eat the developing embryos</w:t>
      </w:r>
      <w:r w:rsidR="0045439A">
        <w:t>, with</w:t>
      </w:r>
      <w:r>
        <w:t xml:space="preserve"> up to 80% of seed </w:t>
      </w:r>
      <w:r w:rsidR="00BA6405">
        <w:t xml:space="preserve">possibly being </w:t>
      </w:r>
      <w:r>
        <w:t>destroyed in this manner</w:t>
      </w:r>
      <w:r w:rsidR="001936C4">
        <w:t>. C</w:t>
      </w:r>
      <w:r>
        <w:t>limate change could increase the magnitude of this threat significantly. The risk assessment considers that a major shift in conditions that favour an invasive invertebrate that predates Tree Geebung seed would have a significant impact on the species’ long-term persistence, but not on short-term survivorship of individual plants. No plant losses are expected to result from the impact</w:t>
      </w:r>
      <w:r w:rsidR="001936C4">
        <w:t>,</w:t>
      </w:r>
      <w:r>
        <w:t xml:space="preserve"> and there would be available time to research and deploy some form of invertebrate management program possibly including biological control. The risk would escalate however, if a large-scale disturbance event destroyed existing mature plants and therefore exposed the population to much higher extinction risk, but this risk would be at a longer timeframe than 20-years. Invertebrate outbreaks that have decimated native species have been documented in recent years, usually in relation to eucalypts (Hoffman et al. 2019), and some local outbreaks of leaf-eating insects are known of anecdotally (on River Red-gum (</w:t>
      </w:r>
      <w:r>
        <w:rPr>
          <w:i/>
          <w:iCs/>
        </w:rPr>
        <w:t>Eucalyptus camaldulensis</w:t>
      </w:r>
      <w:r>
        <w:t xml:space="preserve">) in Melbourne’s outer northern suburbs) that are assumed to be associated with climate change, but possibly act synergistically with other disturbances such as altered hydrology. This hazard possibly extends across all the </w:t>
      </w:r>
      <w:r w:rsidR="001D3902">
        <w:t>species’</w:t>
      </w:r>
      <w:r>
        <w:t xml:space="preserve"> distribution.  </w:t>
      </w:r>
    </w:p>
    <w:p w14:paraId="0C2D07F8" w14:textId="77777777" w:rsidR="00BE1D36" w:rsidRDefault="00BE1D36" w:rsidP="00BE1D36">
      <w:pPr>
        <w:pStyle w:val="BodyText"/>
        <w:rPr>
          <w:color w:val="363534"/>
        </w:rPr>
      </w:pPr>
      <w:r>
        <w:rPr>
          <w:color w:val="363534"/>
        </w:rPr>
        <w:t>Current controls for this hazard include:</w:t>
      </w:r>
    </w:p>
    <w:p w14:paraId="36977815" w14:textId="1A4E3C10" w:rsidR="00BE1D36" w:rsidRDefault="00BE1D36" w:rsidP="006670D2">
      <w:pPr>
        <w:pStyle w:val="PullOutBoxBullet"/>
        <w:rPr>
          <w:rFonts w:ascii="Arial" w:hAnsi="Arial"/>
          <w:color w:val="363534"/>
        </w:rPr>
      </w:pPr>
      <w:r>
        <w:t xml:space="preserve">The Victorian Conservation Seedbank. This has been evaluated as poor as the Tree Geebung is present in the </w:t>
      </w:r>
      <w:r w:rsidR="005902EF">
        <w:t>VCS</w:t>
      </w:r>
      <w:r>
        <w:t xml:space="preserve"> by only a single collection from Mt. Donna Buang Road. </w:t>
      </w:r>
    </w:p>
    <w:p w14:paraId="6BE67FF0" w14:textId="0F7845CC"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251</w:t>
      </w:r>
      <w:r w:rsidR="000B6788" w:rsidRPr="00B846FE">
        <w:rPr>
          <w:bCs/>
          <w:noProof/>
        </w:rPr>
        <w:fldChar w:fldCharType="end"/>
      </w:r>
      <w:r w:rsidRPr="00FF310C">
        <w:t>. Tree Geebung protection requirements and recommendations for invasive invertebrates</w:t>
      </w:r>
    </w:p>
    <w:tbl>
      <w:tblPr>
        <w:tblStyle w:val="TableGrid"/>
        <w:tblW w:w="0" w:type="auto"/>
        <w:tblLook w:val="04A0" w:firstRow="1" w:lastRow="0" w:firstColumn="1" w:lastColumn="0" w:noHBand="0" w:noVBand="1"/>
      </w:tblPr>
      <w:tblGrid>
        <w:gridCol w:w="2268"/>
        <w:gridCol w:w="7371"/>
      </w:tblGrid>
      <w:tr w:rsidR="00BE1D36" w14:paraId="04519147"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04C710E1"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63DF306C"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6A4DA276" w14:textId="77777777" w:rsidTr="00B45E4E">
        <w:tc>
          <w:tcPr>
            <w:tcW w:w="2268" w:type="dxa"/>
            <w:tcBorders>
              <w:top w:val="single" w:sz="8" w:space="0" w:color="CDDC29" w:themeColor="text2"/>
              <w:left w:val="nil"/>
              <w:bottom w:val="single" w:sz="8" w:space="0" w:color="CDDC29" w:themeColor="text2"/>
              <w:right w:val="nil"/>
            </w:tcBorders>
            <w:hideMark/>
          </w:tcPr>
          <w:p w14:paraId="483F15CD" w14:textId="4662EBE2" w:rsidR="00BE1D36" w:rsidRDefault="003133CD"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37343E7A" w14:textId="77777777" w:rsidR="00BE1D36" w:rsidRDefault="00BE1D36" w:rsidP="00B45E4E">
            <w:pPr>
              <w:pStyle w:val="BodyText"/>
            </w:pPr>
            <w:r>
              <w:t>Not required for this hazard based on the overall risk level.</w:t>
            </w:r>
          </w:p>
        </w:tc>
      </w:tr>
      <w:tr w:rsidR="00BE1D36" w14:paraId="660C499C" w14:textId="77777777" w:rsidTr="00B45E4E">
        <w:tc>
          <w:tcPr>
            <w:tcW w:w="2268" w:type="dxa"/>
            <w:tcBorders>
              <w:top w:val="single" w:sz="8" w:space="0" w:color="CDDC29" w:themeColor="text2"/>
              <w:left w:val="nil"/>
              <w:bottom w:val="single" w:sz="8" w:space="0" w:color="CDDC29" w:themeColor="text2"/>
              <w:right w:val="nil"/>
            </w:tcBorders>
            <w:hideMark/>
          </w:tcPr>
          <w:p w14:paraId="22432721" w14:textId="713243B5" w:rsidR="00BE1D36" w:rsidRDefault="003133CD"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0540E213" w14:textId="1E48AC37" w:rsidR="00BE1D36" w:rsidRDefault="00BE1D36" w:rsidP="006670D2">
            <w:pPr>
              <w:pStyle w:val="PullOutBoxBullet"/>
            </w:pPr>
            <w:r>
              <w:t xml:space="preserve">Evaluate likely severity of insect attack on this </w:t>
            </w:r>
            <w:r w:rsidR="001D3902">
              <w:t>species</w:t>
            </w:r>
            <w:r w:rsidR="003133CD">
              <w:t>; and</w:t>
            </w:r>
          </w:p>
          <w:p w14:paraId="252DB883" w14:textId="70250F10" w:rsidR="00BE1D36" w:rsidRDefault="00BE1D36" w:rsidP="006670D2">
            <w:pPr>
              <w:pStyle w:val="PullOutBoxBullet"/>
            </w:pPr>
            <w:r>
              <w:t>If significant, identify and evaluate feasible options to mitigate impacts</w:t>
            </w:r>
            <w:r w:rsidR="00FD03DD">
              <w:t>.</w:t>
            </w:r>
          </w:p>
        </w:tc>
      </w:tr>
    </w:tbl>
    <w:p w14:paraId="0070E594" w14:textId="2CD7D756" w:rsidR="00BE1D36" w:rsidRDefault="00BE1D36" w:rsidP="007E5EBF">
      <w:pPr>
        <w:pStyle w:val="Heading5"/>
        <w:rPr>
          <w:sz w:val="18"/>
          <w:szCs w:val="18"/>
        </w:rPr>
      </w:pPr>
      <w:r>
        <w:t>Invasive vertebrate (</w:t>
      </w:r>
      <w:r>
        <w:rPr>
          <w:noProof/>
          <w:sz w:val="18"/>
          <w:szCs w:val="18"/>
        </w:rPr>
        <mc:AlternateContent>
          <mc:Choice Requires="wps">
            <w:drawing>
              <wp:anchor distT="0" distB="0" distL="114300" distR="114300" simplePos="0" relativeHeight="251658434" behindDoc="1" locked="1" layoutInCell="1" allowOverlap="1" wp14:anchorId="1617E00A" wp14:editId="74C7B781">
                <wp:simplePos x="0" y="0"/>
                <wp:positionH relativeFrom="page">
                  <wp:posOffset>359410</wp:posOffset>
                </wp:positionH>
                <wp:positionV relativeFrom="page">
                  <wp:posOffset>9071610</wp:posOffset>
                </wp:positionV>
                <wp:extent cx="6840220" cy="431800"/>
                <wp:effectExtent l="0" t="0" r="0" b="0"/>
                <wp:wrapNone/>
                <wp:docPr id="113" name="Text Box 113"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D5949"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7E00A" id="Text Box 113" o:spid="_x0000_s1133" type="#_x0000_t202" alt="Title: Decorative Cover Shape" style="position:absolute;left:0;text-align:left;margin-left:28.3pt;margin-top:714.3pt;width:538.6pt;height:34pt;z-index:-2516580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LpirjN/AgAA&#10;YwUAAA4AAAAAAAAAAAAAAAAALgIAAGRycy9lMm9Eb2MueG1sUEsBAi0AFAAGAAgAAAAhAJFrJtfd&#10;AAAADQEAAA8AAAAAAAAAAAAAAAAA2QQAAGRycy9kb3ducmV2LnhtbFBLBQYAAAAABAAEAPMAAADj&#10;BQAAAAA=&#10;" fillcolor="#201547" stroked="f" strokeweight=".5pt">
                <v:textbox inset="10mm,0,10mm,0">
                  <w:txbxContent>
                    <w:p w14:paraId="0F5D5949"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sz w:val="18"/>
          <w:szCs w:val="18"/>
        </w:rPr>
        <mc:AlternateContent>
          <mc:Choice Requires="wps">
            <w:drawing>
              <wp:anchor distT="0" distB="0" distL="114300" distR="114300" simplePos="0" relativeHeight="251658433" behindDoc="0" locked="1" layoutInCell="1" allowOverlap="1" wp14:anchorId="2CFA932F" wp14:editId="351161FA">
                <wp:simplePos x="0" y="0"/>
                <wp:positionH relativeFrom="page">
                  <wp:posOffset>360045</wp:posOffset>
                </wp:positionH>
                <wp:positionV relativeFrom="page">
                  <wp:posOffset>360045</wp:posOffset>
                </wp:positionV>
                <wp:extent cx="1864995" cy="1976120"/>
                <wp:effectExtent l="0" t="0" r="0" b="0"/>
                <wp:wrapNone/>
                <wp:docPr id="115" name="Freeform: Shape 11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833CF4" id="Freeform: Shape 115" o:spid="_x0000_s1026" style="position:absolute;margin-left:28.35pt;margin-top:28.35pt;width:146.85pt;height:155.6pt;z-index:2516584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sz w:val="18"/>
          <w:szCs w:val="18"/>
        </w:rPr>
        <mc:AlternateContent>
          <mc:Choice Requires="wps">
            <w:drawing>
              <wp:anchor distT="0" distB="0" distL="114300" distR="114300" simplePos="0" relativeHeight="251658432" behindDoc="0" locked="1" layoutInCell="1" allowOverlap="1" wp14:anchorId="23ED4AB7" wp14:editId="1DB47CC4">
                <wp:simplePos x="0" y="0"/>
                <wp:positionH relativeFrom="page">
                  <wp:posOffset>359410</wp:posOffset>
                </wp:positionH>
                <wp:positionV relativeFrom="page">
                  <wp:posOffset>359410</wp:posOffset>
                </wp:positionV>
                <wp:extent cx="1864995" cy="1976120"/>
                <wp:effectExtent l="0" t="0" r="0" b="0"/>
                <wp:wrapNone/>
                <wp:docPr id="116" name="Freeform: Shape 11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9E07592" id="Freeform: Shape 116" o:spid="_x0000_s1026" style="position:absolute;margin-left:28.3pt;margin-top:28.3pt;width:146.85pt;height:155.6pt;z-index:251658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sz w:val="18"/>
          <w:szCs w:val="18"/>
        </w:rPr>
        <mc:AlternateContent>
          <mc:Choice Requires="wps">
            <w:drawing>
              <wp:anchor distT="0" distB="0" distL="114300" distR="114300" simplePos="0" relativeHeight="251658431" behindDoc="0" locked="1" layoutInCell="1" allowOverlap="1" wp14:anchorId="615823BF" wp14:editId="24A82CD9">
                <wp:simplePos x="0" y="0"/>
                <wp:positionH relativeFrom="page">
                  <wp:posOffset>0</wp:posOffset>
                </wp:positionH>
                <wp:positionV relativeFrom="page">
                  <wp:align>bottom</wp:align>
                </wp:positionV>
                <wp:extent cx="3848100" cy="720090"/>
                <wp:effectExtent l="0" t="0" r="0" b="0"/>
                <wp:wrapNone/>
                <wp:docPr id="117" name="Text Box 117"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B81BB"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823BF" id="Text Box 117" o:spid="_x0000_s1134" type="#_x0000_t202" style="position:absolute;left:0;text-align:left;margin-left:0;margin-top:0;width:303pt;height:56.7pt;z-index:25165843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WtA2Jm8CAAA/BQAADgAAAAAAAAAAAAAAAAAu&#10;AgAAZHJzL2Uyb0RvYy54bWxQSwECLQAUAAYACAAAACEA9MrPqNoAAAAFAQAADwAAAAAAAAAAAAAA&#10;AADJBAAAZHJzL2Rvd25yZXYueG1sUEsFBgAAAAAEAAQA8wAAANAFAAAAAA==&#10;" filled="f" stroked="f" strokeweight=".5pt">
                <v:textbox inset="20mm">
                  <w:txbxContent>
                    <w:p w14:paraId="56DB81BB" w14:textId="77777777" w:rsidR="00BE1D36" w:rsidRDefault="00BE1D36" w:rsidP="00BE1D36">
                      <w:pPr>
                        <w:pStyle w:val="xWebCoverPage"/>
                      </w:pPr>
                      <w:r>
                        <w:t>delwp.vic.gov.au</w:t>
                      </w:r>
                    </w:p>
                  </w:txbxContent>
                </v:textbox>
                <w10:wrap anchorx="page" anchory="page"/>
                <w10:anchorlock/>
              </v:shape>
            </w:pict>
          </mc:Fallback>
        </mc:AlternateContent>
      </w:r>
      <w:r>
        <w:t>deer)</w:t>
      </w:r>
    </w:p>
    <w:p w14:paraId="06241491" w14:textId="4FDE4F6D" w:rsidR="00BE1D36" w:rsidRDefault="00BE1D36" w:rsidP="00BE1D36">
      <w:pPr>
        <w:pStyle w:val="BodyText"/>
      </w:pPr>
      <w:r>
        <w:t xml:space="preserve">Field observations indicate that Sambar may pose a threat to this </w:t>
      </w:r>
      <w:r w:rsidR="001D3902">
        <w:t>species</w:t>
      </w:r>
      <w:r>
        <w:t xml:space="preserve"> due to de-barking </w:t>
      </w:r>
      <w:r w:rsidR="006B121E">
        <w:t>because of</w:t>
      </w:r>
      <w:r>
        <w:t xml:space="preserve"> antler rubbing</w:t>
      </w:r>
      <w:r w:rsidR="00015410">
        <w:t xml:space="preserve">, </w:t>
      </w:r>
      <w:r>
        <w:t>and some plants show signs of browsing, probably by deer, although the overall impact is relatively low (Tolsma et al. 2012). Bilney (2013) demonstrates the level of impact Sambar can have on preferred target plants, which</w:t>
      </w:r>
      <w:r w:rsidR="00BB7121">
        <w:t xml:space="preserve"> may</w:t>
      </w:r>
      <w:r>
        <w:t xml:space="preserve"> interact with </w:t>
      </w:r>
      <w:r w:rsidR="003B3D54">
        <w:t>timber harvesting</w:t>
      </w:r>
      <w:r>
        <w:t xml:space="preserve"> and bushfire where these expose Tree Geebung saplings to browsing and antler rubbing disturbances. The attention given to Tree Geebung by Sambar should not be downplayed for its significance at the local scale</w:t>
      </w:r>
      <w:r w:rsidR="00BB7121">
        <w:t>,</w:t>
      </w:r>
      <w:r>
        <w:t xml:space="preserve"> where cumulative impacts of the disturbance may result in tree decline or regeneration failure. Unmanaged deer populations pose the greatest threat as the level of impact deer have on Tree Geebung is likely to reflect population densities. Sambar are present in relatively high numbers across the </w:t>
      </w:r>
      <w:r w:rsidR="001D3902">
        <w:t>species’</w:t>
      </w:r>
      <w:r>
        <w:t xml:space="preserve"> range. </w:t>
      </w:r>
    </w:p>
    <w:p w14:paraId="3135C230" w14:textId="77777777" w:rsidR="00BE1D36" w:rsidRDefault="00BE1D36" w:rsidP="00BE1D36">
      <w:pPr>
        <w:pStyle w:val="BodyText"/>
      </w:pPr>
      <w:r>
        <w:t>Current controls for this hazard include:</w:t>
      </w:r>
    </w:p>
    <w:p w14:paraId="7C32CB3C" w14:textId="575DDD44" w:rsidR="00BE1D36" w:rsidRPr="00B25B89" w:rsidRDefault="00BE1D36" w:rsidP="006670D2">
      <w:pPr>
        <w:pStyle w:val="PullOutBoxBullet"/>
        <w:rPr>
          <w:sz w:val="16"/>
        </w:rPr>
      </w:pPr>
      <w:r>
        <w:t xml:space="preserve">The Victorian Deer Control Strategy. This has been evaluated as poor as deer are very difficult to control at landscape-scales and the current efforts in the Central Highlands and West Gippsland region do not appear to be reducing the populations by any significant amount. </w:t>
      </w:r>
    </w:p>
    <w:p w14:paraId="43ABC77D" w14:textId="2F4023D9"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252</w:t>
      </w:r>
      <w:r w:rsidR="000B6788" w:rsidRPr="00B846FE">
        <w:rPr>
          <w:bCs/>
          <w:noProof/>
        </w:rPr>
        <w:fldChar w:fldCharType="end"/>
      </w:r>
      <w:r w:rsidRPr="00FF310C">
        <w:t>. Tree Geebung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BE1D36" w14:paraId="573232E1"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010E8A4"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13B9BA71"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19E7D5C7" w14:textId="77777777" w:rsidTr="00B45E4E">
        <w:tc>
          <w:tcPr>
            <w:tcW w:w="2268" w:type="dxa"/>
            <w:tcBorders>
              <w:top w:val="single" w:sz="8" w:space="0" w:color="CDDC29" w:themeColor="text2"/>
              <w:left w:val="nil"/>
              <w:bottom w:val="single" w:sz="8" w:space="0" w:color="CDDC29" w:themeColor="text2"/>
              <w:right w:val="nil"/>
            </w:tcBorders>
            <w:hideMark/>
          </w:tcPr>
          <w:p w14:paraId="3BD6B390" w14:textId="46FE4E26" w:rsidR="00BE1D36" w:rsidRDefault="00FD03DD"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36B35C47" w14:textId="77777777" w:rsidR="00BE1D36" w:rsidRDefault="00BE1D36" w:rsidP="00B45E4E">
            <w:pPr>
              <w:pStyle w:val="BodyText"/>
            </w:pPr>
            <w:r>
              <w:t>Not required for this hazard as it is a longer-term threat.</w:t>
            </w:r>
          </w:p>
        </w:tc>
      </w:tr>
      <w:tr w:rsidR="00BE1D36" w14:paraId="1AD834F2" w14:textId="77777777" w:rsidTr="00B45E4E">
        <w:tc>
          <w:tcPr>
            <w:tcW w:w="2268" w:type="dxa"/>
            <w:tcBorders>
              <w:top w:val="single" w:sz="8" w:space="0" w:color="CDDC29" w:themeColor="text2"/>
              <w:left w:val="nil"/>
              <w:bottom w:val="single" w:sz="8" w:space="0" w:color="CDDC29" w:themeColor="text2"/>
              <w:right w:val="nil"/>
            </w:tcBorders>
            <w:hideMark/>
          </w:tcPr>
          <w:p w14:paraId="6E6B492B" w14:textId="14AC4A59" w:rsidR="00BE1D36" w:rsidRDefault="00FD03DD"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24E2F5C7" w14:textId="0C8B9D9F" w:rsidR="00BE1D36" w:rsidRDefault="00BE1D36" w:rsidP="006670D2">
            <w:pPr>
              <w:pStyle w:val="PullOutBoxBullet"/>
            </w:pPr>
            <w:r>
              <w:t>Include important Tree Geebung populations as assets to be protected when designing and implementing deer control programs</w:t>
            </w:r>
            <w:r w:rsidR="00FD03DD">
              <w:t>; and</w:t>
            </w:r>
          </w:p>
          <w:p w14:paraId="31FB9036" w14:textId="30ACF566" w:rsidR="00BE1D36" w:rsidRDefault="00FD03DD" w:rsidP="006670D2">
            <w:pPr>
              <w:pStyle w:val="PullOutBoxBullet"/>
            </w:pPr>
            <w:r>
              <w:t>M</w:t>
            </w:r>
            <w:r w:rsidR="00BE1D36">
              <w:t>onitor the impact of deer at Tree Geebung sites</w:t>
            </w:r>
            <w:r>
              <w:t>.</w:t>
            </w:r>
          </w:p>
        </w:tc>
      </w:tr>
    </w:tbl>
    <w:p w14:paraId="7373ECC5" w14:textId="77777777" w:rsidR="00BE1D36" w:rsidRDefault="00BE1D36" w:rsidP="007E5EBF">
      <w:pPr>
        <w:pStyle w:val="Heading5"/>
        <w:rPr>
          <w:sz w:val="18"/>
          <w:szCs w:val="18"/>
        </w:rPr>
      </w:pPr>
      <w:r>
        <w:t>Invasive vertebrate (rodents)</w:t>
      </w:r>
    </w:p>
    <w:p w14:paraId="414F3EFF" w14:textId="41DECB75" w:rsidR="00BE1D36" w:rsidRDefault="00BE1D36" w:rsidP="00BE1D36">
      <w:pPr>
        <w:pStyle w:val="BodyText"/>
      </w:pPr>
      <w:r>
        <w:t xml:space="preserve">Tree Geebung may be threatened by herbivory by rodents, probably </w:t>
      </w:r>
      <w:r w:rsidR="008741F2">
        <w:t xml:space="preserve">by </w:t>
      </w:r>
      <w:r>
        <w:t xml:space="preserve">the Bush Rat </w:t>
      </w:r>
      <w:r>
        <w:rPr>
          <w:i/>
          <w:iCs/>
        </w:rPr>
        <w:t>(Rattus fuscipes</w:t>
      </w:r>
      <w:r>
        <w:t>)</w:t>
      </w:r>
      <w:r>
        <w:rPr>
          <w:i/>
          <w:iCs/>
        </w:rPr>
        <w:t>,</w:t>
      </w:r>
      <w:r>
        <w:t xml:space="preserve"> which are known to feed on the seed. It is possible that all Tree Geebung populations are potentially at risk from this threat although its severity is not clearly established. </w:t>
      </w:r>
    </w:p>
    <w:p w14:paraId="1830992D" w14:textId="77777777" w:rsidR="00BE1D36" w:rsidRDefault="00BE1D36" w:rsidP="00BE1D36">
      <w:pPr>
        <w:pStyle w:val="BodyText"/>
        <w:rPr>
          <w:rFonts w:ascii="Arial" w:hAnsi="Arial"/>
          <w:color w:val="363534"/>
        </w:rPr>
      </w:pPr>
      <w:r>
        <w:t>This hazard has been evaluated as uncontrolled.</w:t>
      </w:r>
    </w:p>
    <w:p w14:paraId="1B711357" w14:textId="29DC3FDE"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253</w:t>
      </w:r>
      <w:r w:rsidR="000B6788" w:rsidRPr="00B846FE">
        <w:rPr>
          <w:bCs/>
          <w:noProof/>
        </w:rPr>
        <w:fldChar w:fldCharType="end"/>
      </w:r>
      <w:r w:rsidRPr="00FF310C">
        <w:t>. Tree Geebung protection requirements and recommendations for invasive vertebrate (rodents)</w:t>
      </w:r>
    </w:p>
    <w:tbl>
      <w:tblPr>
        <w:tblStyle w:val="TableGrid"/>
        <w:tblW w:w="0" w:type="auto"/>
        <w:tblLook w:val="04A0" w:firstRow="1" w:lastRow="0" w:firstColumn="1" w:lastColumn="0" w:noHBand="0" w:noVBand="1"/>
      </w:tblPr>
      <w:tblGrid>
        <w:gridCol w:w="2268"/>
        <w:gridCol w:w="7371"/>
      </w:tblGrid>
      <w:tr w:rsidR="00BE1D36" w14:paraId="57688795"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BFFA8BA"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9F8C348"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17D6E68A" w14:textId="77777777" w:rsidTr="00B45E4E">
        <w:tc>
          <w:tcPr>
            <w:tcW w:w="2268" w:type="dxa"/>
            <w:tcBorders>
              <w:top w:val="single" w:sz="8" w:space="0" w:color="CDDC29" w:themeColor="text2"/>
              <w:left w:val="nil"/>
              <w:bottom w:val="single" w:sz="8" w:space="0" w:color="CDDC29" w:themeColor="text2"/>
              <w:right w:val="nil"/>
            </w:tcBorders>
            <w:hideMark/>
          </w:tcPr>
          <w:p w14:paraId="602644A8" w14:textId="55577768" w:rsidR="00BE1D36" w:rsidRDefault="00FD03DD"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3724BF97" w14:textId="77777777" w:rsidR="00BE1D36" w:rsidRDefault="00BE1D36" w:rsidP="00B45E4E">
            <w:pPr>
              <w:pStyle w:val="BodyText"/>
            </w:pPr>
            <w:r>
              <w:t>Not required for this hazard based on the overall risk level of medium.</w:t>
            </w:r>
          </w:p>
        </w:tc>
      </w:tr>
      <w:tr w:rsidR="00BE1D36" w14:paraId="11340003" w14:textId="77777777" w:rsidTr="00B45E4E">
        <w:tc>
          <w:tcPr>
            <w:tcW w:w="2268" w:type="dxa"/>
            <w:tcBorders>
              <w:top w:val="single" w:sz="8" w:space="0" w:color="CDDC29" w:themeColor="text2"/>
              <w:left w:val="nil"/>
              <w:bottom w:val="single" w:sz="8" w:space="0" w:color="CDDC29" w:themeColor="text2"/>
              <w:right w:val="nil"/>
            </w:tcBorders>
            <w:hideMark/>
          </w:tcPr>
          <w:p w14:paraId="5755308F" w14:textId="1BB33DA1" w:rsidR="00BE1D36" w:rsidRDefault="00FD03DD"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7A34C1C0" w14:textId="0FD5DCC5" w:rsidR="00BE1D36" w:rsidRDefault="00BE1D36" w:rsidP="006670D2">
            <w:pPr>
              <w:pStyle w:val="PullOutBoxBullet"/>
            </w:pPr>
            <w:r>
              <w:t xml:space="preserve">Evaluate likely severity of rodent herbivory on this </w:t>
            </w:r>
            <w:r w:rsidR="001D3902">
              <w:t>species</w:t>
            </w:r>
            <w:r w:rsidR="00FD03DD">
              <w:t>; and</w:t>
            </w:r>
          </w:p>
          <w:p w14:paraId="54F9E0DA" w14:textId="77777777" w:rsidR="00BE1D36" w:rsidRDefault="00BE1D36" w:rsidP="006670D2">
            <w:pPr>
              <w:pStyle w:val="PullOutBoxBullet"/>
            </w:pPr>
            <w:r>
              <w:t>If significant, identify and evaluate feasible options to mitigate impacts</w:t>
            </w:r>
          </w:p>
        </w:tc>
      </w:tr>
    </w:tbl>
    <w:p w14:paraId="12F12D63" w14:textId="77777777" w:rsidR="00BE1D36" w:rsidRDefault="00BE1D36" w:rsidP="00BE1D36">
      <w:r>
        <w:rPr>
          <w:color w:val="auto"/>
        </w:rPr>
        <w:br w:type="page"/>
      </w:r>
    </w:p>
    <w:p w14:paraId="7B0A997D" w14:textId="13FC81EC" w:rsidR="00BE1D36" w:rsidRPr="004528E0" w:rsidRDefault="00545729" w:rsidP="00171F18">
      <w:pPr>
        <w:pStyle w:val="Heading2"/>
        <w:ind w:left="0"/>
        <w:rPr>
          <w:i/>
          <w:iCs/>
        </w:rPr>
      </w:pPr>
      <w:bookmarkStart w:id="976" w:name="_Toc88568487"/>
      <w:bookmarkStart w:id="977" w:name="_Toc113271075"/>
      <w:r>
        <w:t>Tullach</w:t>
      </w:r>
      <w:r w:rsidR="00BE1D36" w:rsidRPr="004528E0">
        <w:t xml:space="preserve"> Ard Grevillea </w:t>
      </w:r>
      <w:r w:rsidR="00BE1D36" w:rsidRPr="00F67DF8">
        <w:rPr>
          <w:i/>
          <w:iCs/>
        </w:rPr>
        <w:t>(Grevillea polychroma)</w:t>
      </w:r>
      <w:bookmarkEnd w:id="976"/>
      <w:bookmarkEnd w:id="977"/>
      <w:r w:rsidR="00BE1D36" w:rsidRPr="00F67DF8">
        <w:rPr>
          <w:i/>
          <w:iCs/>
        </w:rPr>
        <w:t> </w:t>
      </w:r>
    </w:p>
    <w:p w14:paraId="60AF5482" w14:textId="3405CA9C" w:rsidR="00BE1D36" w:rsidRDefault="00BE1D36" w:rsidP="00BE1D36">
      <w:pPr>
        <w:pStyle w:val="BodyText"/>
        <w:rPr>
          <w:rFonts w:ascii="Segoe UI" w:hAnsi="Segoe UI" w:cs="Segoe UI"/>
          <w:color w:val="363534"/>
        </w:rPr>
      </w:pPr>
      <w:r>
        <w:t xml:space="preserve">The Tullach Ard Grevillea was listed as Endangered in Australia under the FFG Act in May 2021. The </w:t>
      </w:r>
      <w:r w:rsidR="001D3902">
        <w:t>species</w:t>
      </w:r>
      <w:r>
        <w:t xml:space="preserve"> has modelled habitat in the East Gippsland (62% of modelled habitat) and Gippsland (38% of modelled habitat) RFA regions.</w:t>
      </w:r>
      <w:r>
        <w:rPr>
          <w:rStyle w:val="BodyTextChar"/>
        </w:rPr>
        <w:t xml:space="preserve"> Permanent protections are recommended to address any hazards identified at a significant or high risk, and all</w:t>
      </w:r>
      <w:r>
        <w:t xml:space="preserve"> hazards rated a medium risk or higher will be considered in future management planning.</w:t>
      </w:r>
    </w:p>
    <w:p w14:paraId="4149E20F" w14:textId="77777777" w:rsidR="00BE1D36" w:rsidRDefault="00BE1D36" w:rsidP="007E5EBF">
      <w:pPr>
        <w:pStyle w:val="Heading3"/>
      </w:pPr>
      <w:r>
        <w:t>Risk Assessment</w:t>
      </w:r>
    </w:p>
    <w:p w14:paraId="4A722354" w14:textId="66216BFA" w:rsidR="00BE1D36" w:rsidRPr="00FF310C" w:rsidRDefault="00BE1D36" w:rsidP="006670D2">
      <w:pPr>
        <w:pStyle w:val="Caption"/>
      </w:pPr>
      <w:r w:rsidRPr="00FF310C">
        <w:t xml:space="preserve">Table </w:t>
      </w:r>
      <w:r w:rsidRPr="00B846FE">
        <w:rPr>
          <w:bCs/>
        </w:rPr>
        <w:fldChar w:fldCharType="begin"/>
      </w:r>
      <w:r w:rsidRPr="00FF310C">
        <w:instrText>SEQ Table \* ARABIC</w:instrText>
      </w:r>
      <w:r w:rsidRPr="00B846FE">
        <w:rPr>
          <w:bCs/>
        </w:rPr>
        <w:fldChar w:fldCharType="separate"/>
      </w:r>
      <w:r w:rsidR="00692F0D">
        <w:rPr>
          <w:noProof/>
        </w:rPr>
        <w:t>254</w:t>
      </w:r>
      <w:r w:rsidRPr="00B846FE">
        <w:rPr>
          <w:bCs/>
        </w:rPr>
        <w:fldChar w:fldCharType="end"/>
      </w:r>
      <w:r w:rsidRPr="00FF310C">
        <w:t xml:space="preserve">. Tullach Ard Grevillea risk ratings in the East Gippsland RFA </w:t>
      </w:r>
      <w:r w:rsidR="009B3219">
        <w:t>r</w:t>
      </w:r>
      <w:r w:rsidRPr="00FF310C">
        <w:t>egion:</w:t>
      </w:r>
    </w:p>
    <w:tbl>
      <w:tblPr>
        <w:tblStyle w:val="TableGrid"/>
        <w:tblW w:w="6804" w:type="dxa"/>
        <w:tblLook w:val="04A0" w:firstRow="1" w:lastRow="0" w:firstColumn="1" w:lastColumn="0" w:noHBand="0" w:noVBand="1"/>
      </w:tblPr>
      <w:tblGrid>
        <w:gridCol w:w="2268"/>
        <w:gridCol w:w="2268"/>
        <w:gridCol w:w="2268"/>
      </w:tblGrid>
      <w:tr w:rsidR="00BE1D36" w14:paraId="549FC284"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tcPr>
          <w:p w14:paraId="17C22B1B" w14:textId="77777777" w:rsidR="00BE1D36" w:rsidRDefault="00BE1D36" w:rsidP="006670D2">
            <w:pPr>
              <w:pStyle w:val="CaptionImageorFigure"/>
            </w:pPr>
          </w:p>
        </w:tc>
        <w:tc>
          <w:tcPr>
            <w:tcW w:w="2268" w:type="dxa"/>
            <w:tcBorders>
              <w:top w:val="single" w:sz="8" w:space="0" w:color="CDDC29" w:themeColor="text2"/>
              <w:left w:val="nil"/>
              <w:bottom w:val="single" w:sz="8" w:space="0" w:color="CDDC29" w:themeColor="text2"/>
              <w:right w:val="nil"/>
            </w:tcBorders>
            <w:vAlign w:val="center"/>
            <w:hideMark/>
          </w:tcPr>
          <w:p w14:paraId="0EFC5944"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Bushfire</w:t>
            </w:r>
          </w:p>
        </w:tc>
        <w:tc>
          <w:tcPr>
            <w:tcW w:w="2268" w:type="dxa"/>
            <w:tcBorders>
              <w:top w:val="single" w:sz="8" w:space="0" w:color="CDDC29" w:themeColor="text2"/>
              <w:left w:val="nil"/>
              <w:bottom w:val="single" w:sz="8" w:space="0" w:color="CDDC29" w:themeColor="text2"/>
              <w:right w:val="nil"/>
            </w:tcBorders>
            <w:vAlign w:val="center"/>
            <w:hideMark/>
          </w:tcPr>
          <w:p w14:paraId="01F950DC" w14:textId="2B2C2A95" w:rsidR="00BE1D36" w:rsidRDefault="005D1677"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BE1D36">
              <w:t>orestry operations</w:t>
            </w:r>
          </w:p>
        </w:tc>
      </w:tr>
      <w:tr w:rsidR="00BE1D36" w14:paraId="5F033F9C" w14:textId="77777777" w:rsidTr="00BE1D36">
        <w:tc>
          <w:tcPr>
            <w:tcW w:w="2268" w:type="dxa"/>
            <w:tcBorders>
              <w:top w:val="single" w:sz="8" w:space="0" w:color="CDDC29" w:themeColor="text2"/>
              <w:left w:val="nil"/>
              <w:bottom w:val="single" w:sz="8" w:space="0" w:color="CDDC29" w:themeColor="text2"/>
              <w:right w:val="nil"/>
            </w:tcBorders>
            <w:vAlign w:val="center"/>
            <w:hideMark/>
          </w:tcPr>
          <w:p w14:paraId="0FF61D72" w14:textId="77777777" w:rsidR="00BE1D36" w:rsidRDefault="00BE1D36">
            <w:pPr>
              <w:pStyle w:val="BodyText"/>
              <w:jc w:val="center"/>
            </w:pPr>
            <w:r>
              <w:t>Consequence</w:t>
            </w:r>
          </w:p>
        </w:tc>
        <w:tc>
          <w:tcPr>
            <w:tcW w:w="2268" w:type="dxa"/>
            <w:tcBorders>
              <w:top w:val="single" w:sz="8" w:space="0" w:color="CDDC29" w:themeColor="text2"/>
              <w:left w:val="nil"/>
              <w:bottom w:val="single" w:sz="8" w:space="0" w:color="CDDC29" w:themeColor="text2"/>
              <w:right w:val="nil"/>
            </w:tcBorders>
            <w:vAlign w:val="center"/>
            <w:hideMark/>
          </w:tcPr>
          <w:p w14:paraId="6FD46093" w14:textId="77777777" w:rsidR="00BE1D36" w:rsidRDefault="00BE1D36">
            <w:pPr>
              <w:pStyle w:val="BodyText"/>
              <w:jc w:val="center"/>
            </w:pPr>
            <w:r>
              <w:t>Extreme</w:t>
            </w:r>
          </w:p>
        </w:tc>
        <w:tc>
          <w:tcPr>
            <w:tcW w:w="2268" w:type="dxa"/>
            <w:tcBorders>
              <w:top w:val="single" w:sz="8" w:space="0" w:color="CDDC29" w:themeColor="text2"/>
              <w:left w:val="nil"/>
              <w:bottom w:val="single" w:sz="8" w:space="0" w:color="CDDC29" w:themeColor="text2"/>
              <w:right w:val="nil"/>
            </w:tcBorders>
            <w:vAlign w:val="center"/>
            <w:hideMark/>
          </w:tcPr>
          <w:p w14:paraId="4189D027" w14:textId="77777777" w:rsidR="00BE1D36" w:rsidRDefault="00BE1D36">
            <w:pPr>
              <w:pStyle w:val="BodyText"/>
              <w:jc w:val="center"/>
            </w:pPr>
            <w:r>
              <w:t>Major</w:t>
            </w:r>
          </w:p>
        </w:tc>
      </w:tr>
      <w:tr w:rsidR="00BE1D36" w14:paraId="1EB11486" w14:textId="77777777" w:rsidTr="00BE1D36">
        <w:tc>
          <w:tcPr>
            <w:tcW w:w="2268" w:type="dxa"/>
            <w:tcBorders>
              <w:top w:val="single" w:sz="8" w:space="0" w:color="CDDC29" w:themeColor="text2"/>
              <w:left w:val="nil"/>
              <w:bottom w:val="single" w:sz="8" w:space="0" w:color="CDDC29" w:themeColor="text2"/>
              <w:right w:val="nil"/>
            </w:tcBorders>
            <w:vAlign w:val="center"/>
            <w:hideMark/>
          </w:tcPr>
          <w:p w14:paraId="1AAC1C8A" w14:textId="77777777" w:rsidR="00BE1D36" w:rsidRDefault="00BE1D36">
            <w:pPr>
              <w:pStyle w:val="BodyText"/>
              <w:jc w:val="center"/>
            </w:pPr>
            <w:r>
              <w:t>Likelihood</w:t>
            </w:r>
          </w:p>
        </w:tc>
        <w:tc>
          <w:tcPr>
            <w:tcW w:w="2268" w:type="dxa"/>
            <w:tcBorders>
              <w:top w:val="single" w:sz="8" w:space="0" w:color="CDDC29" w:themeColor="text2"/>
              <w:left w:val="nil"/>
              <w:bottom w:val="single" w:sz="8" w:space="0" w:color="CDDC29" w:themeColor="text2"/>
              <w:right w:val="nil"/>
            </w:tcBorders>
            <w:vAlign w:val="center"/>
            <w:hideMark/>
          </w:tcPr>
          <w:p w14:paraId="57CF9DF1" w14:textId="77777777" w:rsidR="00BE1D36" w:rsidRDefault="00BE1D36">
            <w:pPr>
              <w:pStyle w:val="BodyText"/>
              <w:jc w:val="center"/>
            </w:pPr>
            <w:r>
              <w:t>Rare</w:t>
            </w:r>
          </w:p>
        </w:tc>
        <w:tc>
          <w:tcPr>
            <w:tcW w:w="2268" w:type="dxa"/>
            <w:tcBorders>
              <w:top w:val="single" w:sz="8" w:space="0" w:color="CDDC29" w:themeColor="text2"/>
              <w:left w:val="nil"/>
              <w:bottom w:val="single" w:sz="8" w:space="0" w:color="CDDC29" w:themeColor="text2"/>
              <w:right w:val="nil"/>
            </w:tcBorders>
            <w:vAlign w:val="center"/>
            <w:hideMark/>
          </w:tcPr>
          <w:p w14:paraId="52EB0F26" w14:textId="77777777" w:rsidR="00BE1D36" w:rsidRDefault="00BE1D36">
            <w:pPr>
              <w:pStyle w:val="BodyText"/>
              <w:jc w:val="center"/>
            </w:pPr>
            <w:r>
              <w:t>Possible</w:t>
            </w:r>
          </w:p>
        </w:tc>
      </w:tr>
      <w:tr w:rsidR="00BE1D36" w14:paraId="13DE3E28" w14:textId="77777777" w:rsidTr="00BE1D36">
        <w:tc>
          <w:tcPr>
            <w:tcW w:w="2268" w:type="dxa"/>
            <w:tcBorders>
              <w:top w:val="single" w:sz="8" w:space="0" w:color="CDDC29" w:themeColor="text2"/>
              <w:left w:val="nil"/>
              <w:bottom w:val="single" w:sz="8" w:space="0" w:color="CDDC29" w:themeColor="text2"/>
              <w:right w:val="nil"/>
            </w:tcBorders>
            <w:vAlign w:val="center"/>
            <w:hideMark/>
          </w:tcPr>
          <w:p w14:paraId="0A6D2BDB" w14:textId="77777777" w:rsidR="00BE1D36" w:rsidRDefault="00BE1D36">
            <w:pPr>
              <w:pStyle w:val="BodyText"/>
              <w:jc w:val="center"/>
            </w:pPr>
            <w:r>
              <w:t>Overall risk rating</w:t>
            </w:r>
          </w:p>
        </w:tc>
        <w:tc>
          <w:tcPr>
            <w:tcW w:w="2268" w:type="dxa"/>
            <w:tcBorders>
              <w:top w:val="single" w:sz="8" w:space="0" w:color="CDDC29" w:themeColor="text2"/>
              <w:left w:val="nil"/>
              <w:bottom w:val="single" w:sz="8" w:space="0" w:color="CDDC29" w:themeColor="text2"/>
              <w:right w:val="nil"/>
            </w:tcBorders>
            <w:shd w:val="clear" w:color="auto" w:fill="FFC000"/>
            <w:vAlign w:val="center"/>
            <w:hideMark/>
          </w:tcPr>
          <w:p w14:paraId="19381580" w14:textId="77777777" w:rsidR="00BE1D36" w:rsidRDefault="00BE1D36">
            <w:pPr>
              <w:pStyle w:val="BodyText"/>
              <w:jc w:val="center"/>
            </w:pPr>
            <w:r>
              <w:t>Significant</w:t>
            </w:r>
          </w:p>
        </w:tc>
        <w:tc>
          <w:tcPr>
            <w:tcW w:w="2268" w:type="dxa"/>
            <w:tcBorders>
              <w:top w:val="single" w:sz="8" w:space="0" w:color="CDDC29" w:themeColor="text2"/>
              <w:left w:val="nil"/>
              <w:bottom w:val="single" w:sz="8" w:space="0" w:color="CDDC29" w:themeColor="text2"/>
              <w:right w:val="nil"/>
            </w:tcBorders>
            <w:shd w:val="clear" w:color="auto" w:fill="FFC000"/>
            <w:vAlign w:val="center"/>
            <w:hideMark/>
          </w:tcPr>
          <w:p w14:paraId="179D9809" w14:textId="77777777" w:rsidR="00BE1D36" w:rsidRDefault="00BE1D36">
            <w:pPr>
              <w:pStyle w:val="BodyText"/>
              <w:jc w:val="center"/>
            </w:pPr>
            <w:r>
              <w:t>Significant</w:t>
            </w:r>
          </w:p>
        </w:tc>
      </w:tr>
    </w:tbl>
    <w:p w14:paraId="50033070" w14:textId="0414D40B" w:rsidR="00BE1D36" w:rsidRPr="00FF310C" w:rsidRDefault="00BE1D36" w:rsidP="006670D2">
      <w:pPr>
        <w:pStyle w:val="Caption"/>
      </w:pPr>
      <w:r w:rsidRPr="00FF310C">
        <w:t xml:space="preserve">Table </w:t>
      </w:r>
      <w:r w:rsidRPr="00B846FE">
        <w:rPr>
          <w:bCs/>
        </w:rPr>
        <w:fldChar w:fldCharType="begin"/>
      </w:r>
      <w:r w:rsidRPr="00FF310C">
        <w:instrText>SEQ Table \* ARABIC</w:instrText>
      </w:r>
      <w:r w:rsidRPr="00B846FE">
        <w:rPr>
          <w:bCs/>
        </w:rPr>
        <w:fldChar w:fldCharType="separate"/>
      </w:r>
      <w:r w:rsidR="00692F0D">
        <w:rPr>
          <w:noProof/>
        </w:rPr>
        <w:t>255</w:t>
      </w:r>
      <w:r w:rsidRPr="00B846FE">
        <w:rPr>
          <w:bCs/>
        </w:rPr>
        <w:fldChar w:fldCharType="end"/>
      </w:r>
      <w:r w:rsidRPr="00FF310C">
        <w:t xml:space="preserve">. Tullach Ard Grevillea risk ratings in the Gippsland RFA </w:t>
      </w:r>
      <w:r w:rsidR="009B3219">
        <w:t>r</w:t>
      </w:r>
      <w:r w:rsidRPr="00FF310C">
        <w:t>egion:</w:t>
      </w:r>
    </w:p>
    <w:tbl>
      <w:tblPr>
        <w:tblStyle w:val="TableGrid"/>
        <w:tblW w:w="6804" w:type="dxa"/>
        <w:tblLook w:val="04A0" w:firstRow="1" w:lastRow="0" w:firstColumn="1" w:lastColumn="0" w:noHBand="0" w:noVBand="1"/>
      </w:tblPr>
      <w:tblGrid>
        <w:gridCol w:w="2268"/>
        <w:gridCol w:w="2268"/>
        <w:gridCol w:w="2268"/>
      </w:tblGrid>
      <w:tr w:rsidR="00BE1D36" w14:paraId="5248DE10"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tcPr>
          <w:p w14:paraId="25662376" w14:textId="77777777" w:rsidR="00BE1D36" w:rsidRDefault="00BE1D36" w:rsidP="006670D2">
            <w:pPr>
              <w:pStyle w:val="CaptionImageorFigure"/>
            </w:pPr>
          </w:p>
        </w:tc>
        <w:tc>
          <w:tcPr>
            <w:tcW w:w="2268" w:type="dxa"/>
            <w:tcBorders>
              <w:top w:val="single" w:sz="8" w:space="0" w:color="CDDC29" w:themeColor="text2"/>
              <w:left w:val="nil"/>
              <w:bottom w:val="single" w:sz="8" w:space="0" w:color="CDDC29" w:themeColor="text2"/>
              <w:right w:val="nil"/>
            </w:tcBorders>
            <w:vAlign w:val="center"/>
            <w:hideMark/>
          </w:tcPr>
          <w:p w14:paraId="5A6B397C"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Bushfire</w:t>
            </w:r>
          </w:p>
        </w:tc>
        <w:tc>
          <w:tcPr>
            <w:tcW w:w="2268" w:type="dxa"/>
            <w:tcBorders>
              <w:top w:val="single" w:sz="8" w:space="0" w:color="CDDC29" w:themeColor="text2"/>
              <w:left w:val="nil"/>
              <w:bottom w:val="single" w:sz="8" w:space="0" w:color="CDDC29" w:themeColor="text2"/>
              <w:right w:val="nil"/>
            </w:tcBorders>
            <w:vAlign w:val="center"/>
            <w:hideMark/>
          </w:tcPr>
          <w:p w14:paraId="5E893F29" w14:textId="4E3B7E5D" w:rsidR="00BE1D36" w:rsidRDefault="005D1677"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BE1D36">
              <w:t>orestry operations</w:t>
            </w:r>
          </w:p>
        </w:tc>
      </w:tr>
      <w:tr w:rsidR="00BE1D36" w14:paraId="115E041B" w14:textId="77777777" w:rsidTr="00BE1D36">
        <w:tc>
          <w:tcPr>
            <w:tcW w:w="2268" w:type="dxa"/>
            <w:tcBorders>
              <w:top w:val="single" w:sz="8" w:space="0" w:color="CDDC29" w:themeColor="text2"/>
              <w:left w:val="nil"/>
              <w:bottom w:val="single" w:sz="8" w:space="0" w:color="CDDC29" w:themeColor="text2"/>
              <w:right w:val="nil"/>
            </w:tcBorders>
            <w:vAlign w:val="center"/>
            <w:hideMark/>
          </w:tcPr>
          <w:p w14:paraId="507BE14E" w14:textId="77777777" w:rsidR="00BE1D36" w:rsidRDefault="00BE1D36">
            <w:pPr>
              <w:pStyle w:val="BodyText"/>
              <w:jc w:val="center"/>
            </w:pPr>
            <w:r>
              <w:t>Consequence</w:t>
            </w:r>
          </w:p>
        </w:tc>
        <w:tc>
          <w:tcPr>
            <w:tcW w:w="2268" w:type="dxa"/>
            <w:tcBorders>
              <w:top w:val="single" w:sz="8" w:space="0" w:color="CDDC29" w:themeColor="text2"/>
              <w:left w:val="nil"/>
              <w:bottom w:val="single" w:sz="8" w:space="0" w:color="CDDC29" w:themeColor="text2"/>
              <w:right w:val="nil"/>
            </w:tcBorders>
            <w:vAlign w:val="center"/>
            <w:hideMark/>
          </w:tcPr>
          <w:p w14:paraId="3B7F50D7" w14:textId="77777777" w:rsidR="00BE1D36" w:rsidRDefault="00BE1D36">
            <w:pPr>
              <w:pStyle w:val="BodyText"/>
              <w:jc w:val="center"/>
            </w:pPr>
            <w:r>
              <w:t>Extreme</w:t>
            </w:r>
          </w:p>
        </w:tc>
        <w:tc>
          <w:tcPr>
            <w:tcW w:w="2268" w:type="dxa"/>
            <w:tcBorders>
              <w:top w:val="single" w:sz="8" w:space="0" w:color="CDDC29" w:themeColor="text2"/>
              <w:left w:val="nil"/>
              <w:bottom w:val="single" w:sz="8" w:space="0" w:color="CDDC29" w:themeColor="text2"/>
              <w:right w:val="nil"/>
            </w:tcBorders>
            <w:vAlign w:val="center"/>
            <w:hideMark/>
          </w:tcPr>
          <w:p w14:paraId="1E4D2A57" w14:textId="77777777" w:rsidR="00BE1D36" w:rsidRDefault="00BE1D36">
            <w:pPr>
              <w:pStyle w:val="BodyText"/>
              <w:jc w:val="center"/>
            </w:pPr>
            <w:r>
              <w:t>Major</w:t>
            </w:r>
          </w:p>
        </w:tc>
      </w:tr>
      <w:tr w:rsidR="00BE1D36" w14:paraId="40EB5FA4" w14:textId="77777777" w:rsidTr="00BE1D36">
        <w:tc>
          <w:tcPr>
            <w:tcW w:w="2268" w:type="dxa"/>
            <w:tcBorders>
              <w:top w:val="single" w:sz="8" w:space="0" w:color="CDDC29" w:themeColor="text2"/>
              <w:left w:val="nil"/>
              <w:bottom w:val="single" w:sz="8" w:space="0" w:color="CDDC29" w:themeColor="text2"/>
              <w:right w:val="nil"/>
            </w:tcBorders>
            <w:vAlign w:val="center"/>
            <w:hideMark/>
          </w:tcPr>
          <w:p w14:paraId="5ED031A2" w14:textId="77777777" w:rsidR="00BE1D36" w:rsidRDefault="00BE1D36">
            <w:pPr>
              <w:pStyle w:val="BodyText"/>
              <w:jc w:val="center"/>
            </w:pPr>
            <w:r>
              <w:t>Likelihood</w:t>
            </w:r>
          </w:p>
        </w:tc>
        <w:tc>
          <w:tcPr>
            <w:tcW w:w="2268" w:type="dxa"/>
            <w:tcBorders>
              <w:top w:val="single" w:sz="8" w:space="0" w:color="CDDC29" w:themeColor="text2"/>
              <w:left w:val="nil"/>
              <w:bottom w:val="single" w:sz="8" w:space="0" w:color="CDDC29" w:themeColor="text2"/>
              <w:right w:val="nil"/>
            </w:tcBorders>
            <w:vAlign w:val="center"/>
            <w:hideMark/>
          </w:tcPr>
          <w:p w14:paraId="740D0C09" w14:textId="77777777" w:rsidR="00BE1D36" w:rsidRDefault="00BE1D36">
            <w:pPr>
              <w:pStyle w:val="BodyText"/>
              <w:jc w:val="center"/>
            </w:pPr>
            <w:r>
              <w:t>Rare</w:t>
            </w:r>
          </w:p>
        </w:tc>
        <w:tc>
          <w:tcPr>
            <w:tcW w:w="2268" w:type="dxa"/>
            <w:tcBorders>
              <w:top w:val="single" w:sz="8" w:space="0" w:color="CDDC29" w:themeColor="text2"/>
              <w:left w:val="nil"/>
              <w:bottom w:val="single" w:sz="8" w:space="0" w:color="CDDC29" w:themeColor="text2"/>
              <w:right w:val="nil"/>
            </w:tcBorders>
            <w:vAlign w:val="center"/>
            <w:hideMark/>
          </w:tcPr>
          <w:p w14:paraId="33939C99" w14:textId="77777777" w:rsidR="00BE1D36" w:rsidRDefault="00BE1D36">
            <w:pPr>
              <w:pStyle w:val="BodyText"/>
              <w:jc w:val="center"/>
            </w:pPr>
            <w:r>
              <w:t>Unlikely</w:t>
            </w:r>
          </w:p>
        </w:tc>
      </w:tr>
      <w:tr w:rsidR="00BE1D36" w14:paraId="499FE474" w14:textId="77777777" w:rsidTr="00BE1D36">
        <w:tc>
          <w:tcPr>
            <w:tcW w:w="2268" w:type="dxa"/>
            <w:tcBorders>
              <w:top w:val="single" w:sz="8" w:space="0" w:color="CDDC29" w:themeColor="text2"/>
              <w:left w:val="nil"/>
              <w:bottom w:val="single" w:sz="8" w:space="0" w:color="CDDC29" w:themeColor="text2"/>
              <w:right w:val="nil"/>
            </w:tcBorders>
            <w:vAlign w:val="center"/>
            <w:hideMark/>
          </w:tcPr>
          <w:p w14:paraId="20C0EA0D" w14:textId="77777777" w:rsidR="00BE1D36" w:rsidRDefault="00BE1D36">
            <w:pPr>
              <w:pStyle w:val="BodyText"/>
              <w:jc w:val="center"/>
            </w:pPr>
            <w:r>
              <w:t>Overall risk rating</w:t>
            </w:r>
          </w:p>
        </w:tc>
        <w:tc>
          <w:tcPr>
            <w:tcW w:w="2268" w:type="dxa"/>
            <w:tcBorders>
              <w:top w:val="single" w:sz="8" w:space="0" w:color="CDDC29" w:themeColor="text2"/>
              <w:left w:val="nil"/>
              <w:bottom w:val="single" w:sz="8" w:space="0" w:color="CDDC29" w:themeColor="text2"/>
              <w:right w:val="nil"/>
            </w:tcBorders>
            <w:shd w:val="clear" w:color="auto" w:fill="FFC000"/>
            <w:vAlign w:val="center"/>
            <w:hideMark/>
          </w:tcPr>
          <w:p w14:paraId="23DFB58A" w14:textId="77777777" w:rsidR="00BE1D36" w:rsidRDefault="00BE1D36">
            <w:pPr>
              <w:pStyle w:val="BodyText"/>
              <w:jc w:val="center"/>
            </w:pPr>
            <w:r>
              <w:t>Significant</w:t>
            </w:r>
          </w:p>
        </w:tc>
        <w:tc>
          <w:tcPr>
            <w:tcW w:w="2268" w:type="dxa"/>
            <w:tcBorders>
              <w:top w:val="single" w:sz="8" w:space="0" w:color="CDDC29" w:themeColor="text2"/>
              <w:left w:val="nil"/>
              <w:bottom w:val="single" w:sz="8" w:space="0" w:color="CDDC29" w:themeColor="text2"/>
              <w:right w:val="nil"/>
            </w:tcBorders>
            <w:shd w:val="clear" w:color="auto" w:fill="FFFF00"/>
            <w:vAlign w:val="center"/>
            <w:hideMark/>
          </w:tcPr>
          <w:p w14:paraId="5844272E" w14:textId="77777777" w:rsidR="00BE1D36" w:rsidRDefault="00BE1D36">
            <w:pPr>
              <w:pStyle w:val="BodyText"/>
              <w:jc w:val="center"/>
            </w:pPr>
            <w:r>
              <w:t>Medium</w:t>
            </w:r>
          </w:p>
        </w:tc>
      </w:tr>
    </w:tbl>
    <w:p w14:paraId="160C20B1" w14:textId="76F3AA97" w:rsidR="00BE1D36" w:rsidRDefault="00BE1D36" w:rsidP="007E5EBF">
      <w:pPr>
        <w:pStyle w:val="Heading3"/>
      </w:pPr>
      <w:r>
        <w:rPr>
          <w:noProof/>
        </w:rPr>
        <mc:AlternateContent>
          <mc:Choice Requires="wps">
            <w:drawing>
              <wp:anchor distT="0" distB="0" distL="114300" distR="114300" simplePos="0" relativeHeight="251658448" behindDoc="1" locked="1" layoutInCell="1" allowOverlap="1" wp14:anchorId="0D604B5A" wp14:editId="0BF5FCE6">
                <wp:simplePos x="0" y="0"/>
                <wp:positionH relativeFrom="page">
                  <wp:posOffset>359410</wp:posOffset>
                </wp:positionH>
                <wp:positionV relativeFrom="page">
                  <wp:posOffset>9071610</wp:posOffset>
                </wp:positionV>
                <wp:extent cx="6840220" cy="431800"/>
                <wp:effectExtent l="0" t="0" r="0" b="0"/>
                <wp:wrapNone/>
                <wp:docPr id="1508" name="Text Box 1508"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CDE5B"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04B5A" id="Text Box 1508" o:spid="_x0000_s1135" type="#_x0000_t202" alt="Title: Decorative Cover Shape" style="position:absolute;left:0;text-align:left;margin-left:28.3pt;margin-top:714.3pt;width:538.6pt;height:34pt;z-index:-2516580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" fillcolor="#201547" stroked="f" strokeweight=".5pt">
                <v:textbox inset="10mm,0,10mm,0">
                  <w:txbxContent>
                    <w:p w14:paraId="0AACDE5B"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46" behindDoc="0" locked="1" layoutInCell="1" allowOverlap="1" wp14:anchorId="423783ED" wp14:editId="343BC39D">
                <wp:simplePos x="0" y="0"/>
                <wp:positionH relativeFrom="page">
                  <wp:posOffset>360045</wp:posOffset>
                </wp:positionH>
                <wp:positionV relativeFrom="page">
                  <wp:posOffset>360045</wp:posOffset>
                </wp:positionV>
                <wp:extent cx="1864995" cy="1976120"/>
                <wp:effectExtent l="0" t="0" r="0" b="0"/>
                <wp:wrapNone/>
                <wp:docPr id="1510" name="Freeform: Shape 15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E5A1D57" id="Freeform: Shape 1510" o:spid="_x0000_s1026" style="position:absolute;margin-left:28.35pt;margin-top:28.35pt;width:146.85pt;height:155.6pt;z-index:2516584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444" behindDoc="0" locked="1" layoutInCell="1" allowOverlap="1" wp14:anchorId="66CCF8D5" wp14:editId="4A526296">
                <wp:simplePos x="0" y="0"/>
                <wp:positionH relativeFrom="page">
                  <wp:posOffset>359410</wp:posOffset>
                </wp:positionH>
                <wp:positionV relativeFrom="page">
                  <wp:posOffset>359410</wp:posOffset>
                </wp:positionV>
                <wp:extent cx="1864995" cy="1976120"/>
                <wp:effectExtent l="0" t="0" r="0" b="0"/>
                <wp:wrapNone/>
                <wp:docPr id="1512" name="Freeform: Shape 15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A60F40D" id="Freeform: Shape 1512" o:spid="_x0000_s1026" style="position:absolute;margin-left:28.3pt;margin-top:28.3pt;width:146.85pt;height:155.6pt;z-index:2516584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443" behindDoc="0" locked="1" layoutInCell="1" allowOverlap="1" wp14:anchorId="6072E622" wp14:editId="1B3883DC">
                <wp:simplePos x="0" y="0"/>
                <wp:positionH relativeFrom="page">
                  <wp:posOffset>0</wp:posOffset>
                </wp:positionH>
                <wp:positionV relativeFrom="page">
                  <wp:align>bottom</wp:align>
                </wp:positionV>
                <wp:extent cx="3848100" cy="720090"/>
                <wp:effectExtent l="0" t="0" r="0" b="0"/>
                <wp:wrapNone/>
                <wp:docPr id="1513" name="Text Box 1513"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8DD1B"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2E622" id="Text Box 1513" o:spid="_x0000_s1136" type="#_x0000_t202" style="position:absolute;left:0;text-align:left;margin-left:0;margin-top:0;width:303pt;height:56.7pt;z-index:25165844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" filled="f" stroked="f" strokeweight=".5pt">
                <v:textbox inset="20mm">
                  <w:txbxContent>
                    <w:p w14:paraId="7E08DD1B" w14:textId="77777777" w:rsidR="00BE1D36" w:rsidRDefault="00BE1D36" w:rsidP="00BE1D36">
                      <w:pPr>
                        <w:pStyle w:val="xWebCoverPage"/>
                      </w:pPr>
                      <w:r>
                        <w:t>delwp.vic.gov.au</w:t>
                      </w:r>
                    </w:p>
                  </w:txbxContent>
                </v:textbox>
                <w10:wrap anchorx="page" anchory="page"/>
                <w10:anchorlock/>
              </v:shape>
            </w:pict>
          </mc:Fallback>
        </mc:AlternateContent>
      </w:r>
      <w:r>
        <w:rPr>
          <w:noProof/>
        </w:rPr>
        <mc:AlternateContent>
          <mc:Choice Requires="wps">
            <w:drawing>
              <wp:anchor distT="0" distB="0" distL="114300" distR="114300" simplePos="0" relativeHeight="251658454" behindDoc="1" locked="1" layoutInCell="1" allowOverlap="1" wp14:anchorId="32F38FA0" wp14:editId="66BFCBED">
                <wp:simplePos x="0" y="0"/>
                <wp:positionH relativeFrom="page">
                  <wp:posOffset>359410</wp:posOffset>
                </wp:positionH>
                <wp:positionV relativeFrom="page">
                  <wp:posOffset>9071610</wp:posOffset>
                </wp:positionV>
                <wp:extent cx="6840220" cy="431800"/>
                <wp:effectExtent l="0" t="0" r="0" b="0"/>
                <wp:wrapNone/>
                <wp:docPr id="373" name="Text Box 373"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CDD51"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38FA0" id="Text Box 373" o:spid="_x0000_s1137" type="#_x0000_t202" alt="Title: Decorative Cover Shape" style="position:absolute;left:0;text-align:left;margin-left:28.3pt;margin-top:714.3pt;width:538.6pt;height:34pt;z-index:-25165802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A4QxB7gAIA&#10;AGMFAAAOAAAAAAAAAAAAAAAAAC4CAABkcnMvZTJvRG9jLnhtbFBLAQItABQABgAIAAAAIQCRaybX&#10;3QAAAA0BAAAPAAAAAAAAAAAAAAAAANoEAABkcnMvZG93bnJldi54bWxQSwUGAAAAAAQABADzAAAA&#10;5AUAAAAA&#10;" fillcolor="#201547" stroked="f" strokeweight=".5pt">
                <v:textbox inset="10mm,0,10mm,0">
                  <w:txbxContent>
                    <w:p w14:paraId="591CDD51"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53" behindDoc="0" locked="1" layoutInCell="1" allowOverlap="1" wp14:anchorId="44D9CED5" wp14:editId="6C86D987">
                <wp:simplePos x="0" y="0"/>
                <wp:positionH relativeFrom="page">
                  <wp:posOffset>360045</wp:posOffset>
                </wp:positionH>
                <wp:positionV relativeFrom="page">
                  <wp:posOffset>360045</wp:posOffset>
                </wp:positionV>
                <wp:extent cx="1864995" cy="1976120"/>
                <wp:effectExtent l="0" t="0" r="0" b="0"/>
                <wp:wrapNone/>
                <wp:docPr id="374" name="Freeform: Shape 37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8F73BB6" id="Freeform: Shape 374" o:spid="_x0000_s1026" style="position:absolute;margin-left:28.35pt;margin-top:28.35pt;width:146.85pt;height:155.6pt;z-index:2516584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452" behindDoc="0" locked="1" layoutInCell="1" allowOverlap="1" wp14:anchorId="72E095D2" wp14:editId="6F2427E8">
                <wp:simplePos x="0" y="0"/>
                <wp:positionH relativeFrom="page">
                  <wp:posOffset>359410</wp:posOffset>
                </wp:positionH>
                <wp:positionV relativeFrom="page">
                  <wp:posOffset>359410</wp:posOffset>
                </wp:positionV>
                <wp:extent cx="1864995" cy="1976120"/>
                <wp:effectExtent l="0" t="0" r="0" b="0"/>
                <wp:wrapNone/>
                <wp:docPr id="375" name="Freeform: Shape 3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802BAED" id="Freeform: Shape 375" o:spid="_x0000_s1026" style="position:absolute;margin-left:28.3pt;margin-top:28.3pt;width:146.85pt;height:155.6pt;z-index:2516584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450" behindDoc="0" locked="1" layoutInCell="1" allowOverlap="1" wp14:anchorId="2CE08E54" wp14:editId="2F2B69F6">
                <wp:simplePos x="0" y="0"/>
                <wp:positionH relativeFrom="page">
                  <wp:posOffset>0</wp:posOffset>
                </wp:positionH>
                <wp:positionV relativeFrom="page">
                  <wp:align>bottom</wp:align>
                </wp:positionV>
                <wp:extent cx="3848100" cy="720090"/>
                <wp:effectExtent l="0" t="0" r="0" b="0"/>
                <wp:wrapNone/>
                <wp:docPr id="376" name="Text Box 376"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D5BBD"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08E54" id="Text Box 376" o:spid="_x0000_s1138" type="#_x0000_t202" style="position:absolute;left:0;text-align:left;margin-left:0;margin-top:0;width:303pt;height:56.7pt;z-index:25165845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" filled="f" stroked="f" strokeweight=".5pt">
                <v:textbox inset="20mm">
                  <w:txbxContent>
                    <w:p w14:paraId="571D5BBD" w14:textId="77777777" w:rsidR="00BE1D36" w:rsidRDefault="00BE1D36" w:rsidP="00BE1D36">
                      <w:pPr>
                        <w:pStyle w:val="xWebCoverPage"/>
                      </w:pPr>
                      <w:r>
                        <w:t>delwp.vic.gov.au</w:t>
                      </w:r>
                    </w:p>
                  </w:txbxContent>
                </v:textbox>
                <w10:wrap anchorx="page" anchory="page"/>
                <w10:anchorlock/>
              </v:shape>
            </w:pict>
          </mc:Fallback>
        </mc:AlternateContent>
      </w:r>
      <w:r>
        <w:t>Fire</w:t>
      </w:r>
    </w:p>
    <w:p w14:paraId="6A4EE503" w14:textId="77777777" w:rsidR="00BE1D36" w:rsidRDefault="00BE1D36" w:rsidP="007E5EBF">
      <w:pPr>
        <w:pStyle w:val="Heading5"/>
      </w:pPr>
      <w:r>
        <w:t>Bushfire</w:t>
      </w:r>
    </w:p>
    <w:p w14:paraId="6FB4A590" w14:textId="2A45D9C6" w:rsidR="00BE1D36" w:rsidRDefault="00BE1D36" w:rsidP="00BE1D36">
      <w:pPr>
        <w:pStyle w:val="BodyText"/>
      </w:pPr>
      <w:r>
        <w:t xml:space="preserve">Bushfires are likely to result in significant population changes, cause plant death of mature individuals and trigger a germination/recruitment pulse. 93% of modelled habitat and post-1970 VBA records and 97% of important populations of the </w:t>
      </w:r>
      <w:r w:rsidR="001D3902">
        <w:t>species</w:t>
      </w:r>
      <w:r>
        <w:t xml:space="preserve"> have been affected by bushfires since 2000. Habitat loss may occur from bushfires if the fire regime results in colonisation or dominance by other taxa at the site (likely to be indigenous species), or if the frequency of fire eliminates Tullach Ard Grevillea by preventing successful recruitment and replenishment of the propagule bank. Strong interactions with other hazards are likely, including climate change, deer browsing/trampling and forestry operations due to the pressure these have on natural recruitment processes that may result in local extinction of sub-populations. Temperate extremes and altered weather and temperature patterns could have strong effects on seedling and mature plant mortality/survivorship, pollinator populations, flowering</w:t>
      </w:r>
      <w:r w:rsidR="006B121E">
        <w:t>,</w:t>
      </w:r>
      <w:r>
        <w:t xml:space="preserve"> and seed-set, and invertebrate populations (e.g., Grevillea Leaf Skeletoniser or other currently present invertebrate taxa that become more significant threats over time). The 2019-20 bushfires give a clear indication of the potential for a significant event to occur that would have extreme consequences. </w:t>
      </w:r>
    </w:p>
    <w:p w14:paraId="004080B9" w14:textId="77777777" w:rsidR="00BE1D36" w:rsidRDefault="00BE1D36" w:rsidP="00BE1D36">
      <w:pPr>
        <w:pStyle w:val="BodyText"/>
      </w:pPr>
      <w:r>
        <w:t>Current controls for this hazard include:</w:t>
      </w:r>
    </w:p>
    <w:p w14:paraId="4596F2FA" w14:textId="72756897" w:rsidR="00BE1D36" w:rsidRDefault="00BE1D36" w:rsidP="006670D2">
      <w:pPr>
        <w:pStyle w:val="PullOutBoxBullet"/>
      </w:pPr>
      <w:r>
        <w:t xml:space="preserve">Bushfire suppression. </w:t>
      </w:r>
      <w:r w:rsidR="00AE1994" w:rsidRPr="00C80E90">
        <w:t xml:space="preserve">This has been evaluated as uncontrolled. The species occurs in remote areas that are difficult to access. It is not clear that protection of this </w:t>
      </w:r>
      <w:r w:rsidR="001D3902">
        <w:t>species</w:t>
      </w:r>
      <w:r w:rsidR="00AE1994" w:rsidRPr="00C80E90">
        <w:t xml:space="preserve"> is considered in emergency planning arrangements for bushfires that reach these areas.</w:t>
      </w:r>
    </w:p>
    <w:p w14:paraId="4AF43C62" w14:textId="30742B2B" w:rsidR="00BE1D36" w:rsidRDefault="00BE1D36" w:rsidP="006670D2">
      <w:pPr>
        <w:pStyle w:val="PullOutBoxBullet"/>
      </w:pPr>
      <w:r>
        <w:t xml:space="preserve">Victorian Conservation Seedbank. This has been evaluated as uncontrolled as Tullach Ard Grevillea is not present in the </w:t>
      </w:r>
      <w:r w:rsidR="4E3D3140">
        <w:t>VCS</w:t>
      </w:r>
      <w:r>
        <w:t xml:space="preserve">. The </w:t>
      </w:r>
      <w:r w:rsidR="001D3902">
        <w:t>species’</w:t>
      </w:r>
      <w:r>
        <w:t xml:space="preserve"> Victorian genetic diversity must be conserved to mitigate the risk of further disturbances that could degrade or eliminate discrete sub-populations. Protecting genetic diversity will be critical to maximising its evolutionary potential (Sgro et al. 2011).</w:t>
      </w:r>
    </w:p>
    <w:p w14:paraId="2F550FD9" w14:textId="77777777" w:rsidR="003F7F1D" w:rsidRDefault="003F7F1D">
      <w:pPr>
        <w:rPr>
          <w:b/>
          <w:sz w:val="16"/>
          <w:szCs w:val="16"/>
        </w:rPr>
      </w:pPr>
      <w:r>
        <w:br w:type="page"/>
      </w:r>
    </w:p>
    <w:p w14:paraId="16BD627B" w14:textId="0B642C0E"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256</w:t>
      </w:r>
      <w:r w:rsidR="000B6788" w:rsidRPr="00B846FE">
        <w:rPr>
          <w:bCs/>
          <w:noProof/>
        </w:rPr>
        <w:fldChar w:fldCharType="end"/>
      </w:r>
      <w:r w:rsidRPr="00FF310C">
        <w:t>. Tullach Ard Grevillea protection requirements and recommendations for bushfire</w:t>
      </w:r>
    </w:p>
    <w:tbl>
      <w:tblPr>
        <w:tblStyle w:val="TableGrid"/>
        <w:tblW w:w="0" w:type="auto"/>
        <w:tblLook w:val="04A0" w:firstRow="1" w:lastRow="0" w:firstColumn="1" w:lastColumn="0" w:noHBand="0" w:noVBand="1"/>
      </w:tblPr>
      <w:tblGrid>
        <w:gridCol w:w="2268"/>
        <w:gridCol w:w="7371"/>
      </w:tblGrid>
      <w:tr w:rsidR="00BE1D36" w14:paraId="28A1B22A"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7A77CB37"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60BC0892"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54D81B5C" w14:textId="77777777" w:rsidTr="00B45E4E">
        <w:tc>
          <w:tcPr>
            <w:tcW w:w="2268" w:type="dxa"/>
            <w:tcBorders>
              <w:top w:val="single" w:sz="8" w:space="0" w:color="CDDC29" w:themeColor="text2"/>
              <w:left w:val="nil"/>
              <w:bottom w:val="single" w:sz="8" w:space="0" w:color="CDDC29" w:themeColor="text2"/>
              <w:right w:val="nil"/>
            </w:tcBorders>
            <w:hideMark/>
          </w:tcPr>
          <w:p w14:paraId="5E3CC907" w14:textId="099C33E2" w:rsidR="00BE1D36" w:rsidRDefault="00EC3116"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5CF8EE3A" w14:textId="2F964900" w:rsidR="00BE1D36" w:rsidRDefault="00623A33" w:rsidP="00B45E4E">
            <w:pPr>
              <w:pStyle w:val="BodyText"/>
            </w:pPr>
            <w:r w:rsidRPr="00C23B38">
              <w:t>May be required for this hazard</w:t>
            </w:r>
            <w:r>
              <w:t>. This will be addressed through the development of the action statement</w:t>
            </w:r>
            <w:r w:rsidRPr="00C23B38">
              <w:t>.</w:t>
            </w:r>
          </w:p>
        </w:tc>
      </w:tr>
      <w:tr w:rsidR="00BE1D36" w14:paraId="242ED541" w14:textId="77777777" w:rsidTr="00B45E4E">
        <w:tc>
          <w:tcPr>
            <w:tcW w:w="2268" w:type="dxa"/>
            <w:tcBorders>
              <w:top w:val="single" w:sz="8" w:space="0" w:color="CDDC29" w:themeColor="text2"/>
              <w:left w:val="nil"/>
              <w:bottom w:val="single" w:sz="8" w:space="0" w:color="CDDC29" w:themeColor="text2"/>
              <w:right w:val="nil"/>
            </w:tcBorders>
            <w:hideMark/>
          </w:tcPr>
          <w:p w14:paraId="5A73D0A4" w14:textId="7E643C99" w:rsidR="00BE1D36" w:rsidRDefault="00EC3116"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2817F6FA" w14:textId="61B57A9C" w:rsidR="00BE1D36" w:rsidRDefault="00BE1D36" w:rsidP="006670D2">
            <w:pPr>
              <w:pStyle w:val="PullOutBoxBullet"/>
            </w:pPr>
            <w:r>
              <w:t xml:space="preserve">Conduct research into the fire ecology and population structure of the </w:t>
            </w:r>
            <w:r w:rsidR="001D3902">
              <w:t>species</w:t>
            </w:r>
            <w:r>
              <w:t xml:space="preserve"> across the population</w:t>
            </w:r>
            <w:r w:rsidR="002A782B">
              <w:t>;</w:t>
            </w:r>
            <w:r>
              <w:t xml:space="preserve"> </w:t>
            </w:r>
          </w:p>
          <w:p w14:paraId="3A6A8EAA" w14:textId="29EC7EBD" w:rsidR="00BE1D36" w:rsidRDefault="002A782B" w:rsidP="006670D2">
            <w:pPr>
              <w:pStyle w:val="PullOutBoxBullet"/>
            </w:pPr>
            <w:r>
              <w:t>I</w:t>
            </w:r>
            <w:r w:rsidR="00BE1D36">
              <w:t>dentify any site-specific opportunities to enhance bushfire management at important populations where fire has recently occurred</w:t>
            </w:r>
            <w:r>
              <w:t>; and</w:t>
            </w:r>
          </w:p>
          <w:p w14:paraId="24EFF24A" w14:textId="32208393" w:rsidR="00BE1D36" w:rsidRDefault="002A782B" w:rsidP="006670D2">
            <w:pPr>
              <w:pStyle w:val="PullOutBoxBullet"/>
            </w:pPr>
            <w:r>
              <w:t>C</w:t>
            </w:r>
            <w:r w:rsidR="00BE1D36">
              <w:t xml:space="preserve">ollect seed for the </w:t>
            </w:r>
            <w:r w:rsidR="005902EF">
              <w:t>VCS</w:t>
            </w:r>
            <w:r w:rsidR="00BE1D36">
              <w:t xml:space="preserve"> from across the </w:t>
            </w:r>
            <w:r w:rsidR="001D3902">
              <w:t>species’</w:t>
            </w:r>
            <w:r w:rsidR="00BE1D36">
              <w:t xml:space="preserve"> range.</w:t>
            </w:r>
          </w:p>
        </w:tc>
      </w:tr>
    </w:tbl>
    <w:p w14:paraId="33B7E652" w14:textId="77777777" w:rsidR="00BE1D36" w:rsidRDefault="00BE1D36" w:rsidP="007E5EBF">
      <w:pPr>
        <w:pStyle w:val="Heading3"/>
      </w:pPr>
      <w:r>
        <w:t>Forestry operations</w:t>
      </w:r>
    </w:p>
    <w:p w14:paraId="310BAB1C" w14:textId="1F395B5D" w:rsidR="00BE1D36" w:rsidRDefault="005D1677" w:rsidP="007E5EBF">
      <w:pPr>
        <w:pStyle w:val="Heading5"/>
      </w:pPr>
      <w:r>
        <w:t>F</w:t>
      </w:r>
      <w:r w:rsidR="00BE1D36">
        <w:t>orestry operations</w:t>
      </w:r>
    </w:p>
    <w:p w14:paraId="27B02A6A" w14:textId="70350870" w:rsidR="00BE1D36" w:rsidRDefault="00BE1D36" w:rsidP="00BE1D36">
      <w:pPr>
        <w:pStyle w:val="BodyText"/>
      </w:pPr>
      <w:r>
        <w:t xml:space="preserve">The </w:t>
      </w:r>
      <w:r w:rsidR="001D3902">
        <w:t>species</w:t>
      </w:r>
      <w:r>
        <w:t xml:space="preserve"> is impacted by forestry operations due to vegetation and soil disturbance by heavy machinery during harvesting and the subsequent impact of regeneration</w:t>
      </w:r>
      <w:r w:rsidR="00BB22BA">
        <w:t xml:space="preserve">. </w:t>
      </w:r>
      <w:r>
        <w:t xml:space="preserve">Given the </w:t>
      </w:r>
      <w:r w:rsidR="001D3902">
        <w:t>species</w:t>
      </w:r>
      <w:r>
        <w:t xml:space="preserve"> is likely to be an obligate seeder, the magnitude of impacts sustained through forestry operations are likely to increase when stochastic disturbance events occur that disrupt episodic recruitment processes. These disturbances disrupt natural regeneration processes by preventing successful seedling recruitment and the replenishment of a local propagule bank (even if this is a naturally short-lived propagule bank). Forestry</w:t>
      </w:r>
      <w:r w:rsidR="007C068D">
        <w:t xml:space="preserve"> operations</w:t>
      </w:r>
      <w:r>
        <w:t xml:space="preserve"> also interact strongly with climate change hazards where they act to promote a suite of relatively resilient (usually common) species to colonise and dominate the habitat of Tullach Ard Grevillea following local disturbances. Other hazards that are likely to interact with forestry operations include deer browsing and trampling given the riparian habitat of the </w:t>
      </w:r>
      <w:r w:rsidR="001D3902">
        <w:t>species</w:t>
      </w:r>
      <w:r>
        <w:t xml:space="preserve"> and tendency for deer to frequent the habitat, disease such as </w:t>
      </w:r>
      <w:r>
        <w:rPr>
          <w:i/>
          <w:iCs/>
        </w:rPr>
        <w:t>Phytophthora</w:t>
      </w:r>
      <w:r>
        <w:t xml:space="preserve"> spread via soil borne on forestry machinery</w:t>
      </w:r>
      <w:r w:rsidR="00DF7ABC">
        <w:t xml:space="preserve"> (</w:t>
      </w:r>
      <w:r w:rsidR="00DF7ABC" w:rsidRPr="00915D82">
        <w:t>however vehicle hygiene practices are required during forestry operations to limit pathogen spread)</w:t>
      </w:r>
      <w:r>
        <w:t xml:space="preserve">, and roading where roads are constructed across waterways that support the </w:t>
      </w:r>
      <w:r w:rsidR="001D3902">
        <w:t>species</w:t>
      </w:r>
      <w:r>
        <w:t xml:space="preserve">. Forestry operations could cause a major reduction in population size and the </w:t>
      </w:r>
      <w:r w:rsidR="001D3902">
        <w:t>species</w:t>
      </w:r>
      <w:r>
        <w:t xml:space="preserve"> may be threatened with extinction at a discrete sub-population within the East Gippsland RFA</w:t>
      </w:r>
      <w:r w:rsidR="009B3219">
        <w:t xml:space="preserve"> region</w:t>
      </w:r>
      <w:r>
        <w:t xml:space="preserve">, although it is likely that impacts will not affect all of the sub-population assuming there are plants located in riparian habitats and that waterway buffers are applied under the Code. Despite the </w:t>
      </w:r>
      <w:r w:rsidR="001D3902">
        <w:t>species’</w:t>
      </w:r>
      <w:r>
        <w:t xml:space="preserve"> rarity, it is at risk of population decline from forestry operations in the East Gippsland RFA</w:t>
      </w:r>
      <w:r w:rsidR="009B3219">
        <w:t xml:space="preserve"> region</w:t>
      </w:r>
      <w:r>
        <w:t xml:space="preserve"> because there are currently no prescriptions that apply if it is observed/recorded within a coupe proposed for </w:t>
      </w:r>
      <w:r w:rsidR="003B3D54">
        <w:t>timber harvesting</w:t>
      </w:r>
      <w:r>
        <w:t xml:space="preserve">. It is also therefore not a target for FPSP searches, and the detection probabilities for this </w:t>
      </w:r>
      <w:r w:rsidR="001D3902">
        <w:t>species</w:t>
      </w:r>
      <w:r>
        <w:t xml:space="preserve"> may not be considered when selecting coupes for survey.</w:t>
      </w:r>
    </w:p>
    <w:p w14:paraId="2C57E4CC" w14:textId="12863567" w:rsidR="00BE1D36" w:rsidRDefault="00E640E7" w:rsidP="00BE1D36">
      <w:pPr>
        <w:pStyle w:val="BodyText"/>
      </w:pPr>
      <w:r w:rsidRPr="00FD57DB">
        <w:t>Based on the 2015 net harvest area layer</w:t>
      </w:r>
      <w:r w:rsidR="00785FEC" w:rsidRPr="00FD57DB">
        <w:t>,</w:t>
      </w:r>
      <w:r w:rsidRPr="00FD57DB">
        <w:t xml:space="preserve"> approximately 14% of the </w:t>
      </w:r>
      <w:r w:rsidR="001D3902">
        <w:t>species’</w:t>
      </w:r>
      <w:r w:rsidRPr="00FD57DB">
        <w:t xml:space="preserve"> modelled habitat in the East Gippsland and Gippsland RFA</w:t>
      </w:r>
      <w:r w:rsidR="009B3219">
        <w:t xml:space="preserve"> region</w:t>
      </w:r>
      <w:r w:rsidR="00E27C74" w:rsidRPr="00FD57DB">
        <w:t xml:space="preserve">s is </w:t>
      </w:r>
      <w:r w:rsidRPr="00FD57DB">
        <w:t xml:space="preserve">in merchantable areas. Using the revised operable area layer, this is reduced to 5%. </w:t>
      </w:r>
      <w:r w:rsidR="00BE1D36" w:rsidRPr="00B6162A">
        <w:t xml:space="preserve">It </w:t>
      </w:r>
      <w:r w:rsidR="00BE1D36">
        <w:t xml:space="preserve">is possible that forestry impacts coincide with areas affected by 2019-20 bushfire, where the impacts would be extreme. </w:t>
      </w:r>
    </w:p>
    <w:p w14:paraId="42F13A1B" w14:textId="77777777" w:rsidR="00BE1D36" w:rsidRDefault="00BE1D36" w:rsidP="00BE1D36">
      <w:pPr>
        <w:pStyle w:val="BodyText"/>
      </w:pPr>
      <w:r>
        <w:t>Current controls for this hazard include:</w:t>
      </w:r>
    </w:p>
    <w:p w14:paraId="3B4EE90A" w14:textId="16730CA7" w:rsidR="00BE1D36" w:rsidRDefault="00BE1D36" w:rsidP="006670D2">
      <w:pPr>
        <w:pStyle w:val="PullOutBoxBullet"/>
      </w:pPr>
      <w:r>
        <w:t>The</w:t>
      </w:r>
      <w:r>
        <w:rPr>
          <w:i/>
          <w:iCs/>
        </w:rPr>
        <w:t xml:space="preserve"> Code of Practice for Timber Production 2014</w:t>
      </w:r>
      <w:r>
        <w:t>. This has been evaluated as uncontrolled in the East Gippsland RFA</w:t>
      </w:r>
      <w:r w:rsidR="009B3219">
        <w:t xml:space="preserve"> region</w:t>
      </w:r>
      <w:r>
        <w:t xml:space="preserve"> as there are currently no </w:t>
      </w:r>
      <w:r w:rsidR="00FE4679">
        <w:t xml:space="preserve">species specific </w:t>
      </w:r>
      <w:r>
        <w:t>prescriptions that apply. They have been evaluated as poor in the Gippsland RFA</w:t>
      </w:r>
      <w:r w:rsidR="009B3219">
        <w:t xml:space="preserve"> region</w:t>
      </w:r>
      <w:r>
        <w:t xml:space="preserve"> as the </w:t>
      </w:r>
      <w:r w:rsidR="001D3902">
        <w:t>species</w:t>
      </w:r>
      <w:r>
        <w:t xml:space="preserve"> has only been recorded once from FPSP surveys and no information is available on whether the SMZ was applied or if the coupe was ever </w:t>
      </w:r>
      <w:r w:rsidR="0021400A">
        <w:t>harvested</w:t>
      </w:r>
      <w:r>
        <w:t>, so this control has not been demonstrated to be effective. Detections of target flora taxa within the RFA</w:t>
      </w:r>
      <w:r w:rsidR="009B3219">
        <w:t xml:space="preserve"> region</w:t>
      </w:r>
      <w:r>
        <w:t xml:space="preserve"> where a prescription applies does not guarantee that all plants will be buffered from </w:t>
      </w:r>
      <w:r w:rsidR="003B3D54">
        <w:t>timber harvesting</w:t>
      </w:r>
      <w:r>
        <w:t xml:space="preserve"> disturbances. </w:t>
      </w:r>
    </w:p>
    <w:p w14:paraId="5D4EE632" w14:textId="5074F183" w:rsidR="00BE1D36" w:rsidRDefault="00BE1D36" w:rsidP="006670D2">
      <w:pPr>
        <w:pStyle w:val="PullOutBoxBullet"/>
        <w:rPr>
          <w:rFonts w:eastAsiaTheme="minorEastAsia" w:cstheme="minorBidi"/>
          <w:sz w:val="22"/>
          <w:szCs w:val="22"/>
        </w:rPr>
      </w:pPr>
      <w:r>
        <w:t xml:space="preserve">The CAR reserve system. </w:t>
      </w:r>
      <w:r w:rsidR="003809EB" w:rsidRPr="00CB51DA">
        <w:rPr>
          <w:rStyle w:val="normaltextrun"/>
        </w:rPr>
        <w:t>The effectiveness of this control for this species has been evaluated</w:t>
      </w:r>
      <w:r w:rsidR="003809EB">
        <w:t xml:space="preserve"> as </w:t>
      </w:r>
      <w:r>
        <w:t xml:space="preserve">satisfactory as 66% of the </w:t>
      </w:r>
      <w:r w:rsidR="001D3902">
        <w:t>species’</w:t>
      </w:r>
      <w:r>
        <w:t xml:space="preserve"> modelled distribution and 63% of important populations are within the reserve system.</w:t>
      </w:r>
    </w:p>
    <w:p w14:paraId="36E1E388" w14:textId="77777777" w:rsidR="00BE1D36" w:rsidRDefault="00BE1D36" w:rsidP="00BE1D36">
      <w:pPr>
        <w:rPr>
          <w:b/>
          <w:bCs/>
          <w:sz w:val="16"/>
        </w:rPr>
      </w:pPr>
      <w:r>
        <w:rPr>
          <w:color w:val="auto"/>
        </w:rPr>
        <w:br w:type="page"/>
      </w:r>
    </w:p>
    <w:p w14:paraId="12E2AA4E" w14:textId="73916F55"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257</w:t>
      </w:r>
      <w:r w:rsidR="000B6788" w:rsidRPr="00B846FE">
        <w:rPr>
          <w:bCs/>
          <w:noProof/>
        </w:rPr>
        <w:fldChar w:fldCharType="end"/>
      </w:r>
      <w:r w:rsidRPr="00FF310C">
        <w:t>. Tullach Ard Grevillea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BE1D36" w14:paraId="502FB956"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CAC3A45"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16442AEE"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1774BF59" w14:textId="77777777" w:rsidTr="00B45E4E">
        <w:tc>
          <w:tcPr>
            <w:tcW w:w="2268" w:type="dxa"/>
            <w:tcBorders>
              <w:top w:val="single" w:sz="8" w:space="0" w:color="CDDC29" w:themeColor="text2"/>
              <w:left w:val="nil"/>
              <w:bottom w:val="single" w:sz="8" w:space="0" w:color="CDDC29" w:themeColor="text2"/>
              <w:right w:val="nil"/>
            </w:tcBorders>
            <w:hideMark/>
          </w:tcPr>
          <w:p w14:paraId="51E60004" w14:textId="70FA33D2" w:rsidR="00BE1D36" w:rsidRDefault="00BE1D36" w:rsidP="00B45E4E">
            <w:pPr>
              <w:pStyle w:val="BodyText"/>
            </w:pPr>
            <w:r>
              <w:t>Interim protections</w:t>
            </w:r>
            <w:r w:rsidR="00EC3116">
              <w:t xml:space="preserve"> </w:t>
            </w:r>
          </w:p>
        </w:tc>
        <w:tc>
          <w:tcPr>
            <w:tcW w:w="7371" w:type="dxa"/>
            <w:tcBorders>
              <w:top w:val="single" w:sz="8" w:space="0" w:color="CDDC29" w:themeColor="text2"/>
              <w:left w:val="nil"/>
              <w:bottom w:val="single" w:sz="8" w:space="0" w:color="CDDC29" w:themeColor="text2"/>
              <w:right w:val="nil"/>
            </w:tcBorders>
            <w:hideMark/>
          </w:tcPr>
          <w:p w14:paraId="7F9B893E" w14:textId="19DAC371" w:rsidR="00BE1D36" w:rsidRDefault="00BE1D36" w:rsidP="00B45E4E">
            <w:pPr>
              <w:pStyle w:val="BodyText"/>
            </w:pPr>
            <w:r>
              <w:rPr>
                <w:rFonts w:eastAsia="Calibri"/>
              </w:rPr>
              <w:t>Within the East Gippsland RFA</w:t>
            </w:r>
            <w:r w:rsidR="009B3219">
              <w:rPr>
                <w:rFonts w:eastAsia="Calibri"/>
              </w:rPr>
              <w:t xml:space="preserve"> region</w:t>
            </w:r>
            <w:r>
              <w:rPr>
                <w:rFonts w:eastAsia="Calibri"/>
              </w:rPr>
              <w:t>, the Secretary will establish Special Management Zone(s) over individual or collections of post-1970 VBA records (</w:t>
            </w:r>
            <w:r w:rsidR="0058098D">
              <w:rPr>
                <w:rFonts w:eastAsia="Calibri"/>
              </w:rPr>
              <w:t>records with an accuracy of 100 m or better</w:t>
            </w:r>
            <w:r>
              <w:rPr>
                <w:rFonts w:eastAsia="Calibri"/>
              </w:rPr>
              <w:t>) with the following conditions:</w:t>
            </w:r>
          </w:p>
          <w:p w14:paraId="0CED1007" w14:textId="0EBD1AD0" w:rsidR="00BE1D36" w:rsidRDefault="00BE1D36" w:rsidP="006670D2">
            <w:pPr>
              <w:pStyle w:val="PullOutBoxBullet"/>
            </w:pPr>
            <w:r>
              <w:t>The managing authority is required to apply a management area of 200 m radius over individual or collections of post-1970 VBA records (</w:t>
            </w:r>
            <w:r w:rsidR="0058098D">
              <w:t>records with an accuracy of 100 m or better</w:t>
            </w:r>
            <w:r>
              <w:t>). Conduct a site inspection and detailed planning in consultation with the Department to ensure the species is adequately protected during timber harvesting operations</w:t>
            </w:r>
            <w:r w:rsidR="00872AB5">
              <w:t xml:space="preserve"> (See Map 6a).</w:t>
            </w:r>
          </w:p>
          <w:p w14:paraId="7D8CA3CC" w14:textId="357A3832" w:rsidR="00BE1D36" w:rsidRDefault="00BE1D36" w:rsidP="00B45E4E">
            <w:pPr>
              <w:spacing w:line="240" w:lineRule="auto"/>
              <w:textAlignment w:val="baseline"/>
            </w:pPr>
            <w:bookmarkStart w:id="978" w:name="_Toc88147029"/>
            <w:bookmarkStart w:id="979" w:name="_Toc88725312"/>
            <w:r>
              <w:t>This hazard does not require interim protections in the Gippsland RFA</w:t>
            </w:r>
            <w:r w:rsidR="009B3219">
              <w:t xml:space="preserve"> region</w:t>
            </w:r>
            <w:r>
              <w:t xml:space="preserve"> based on the overall medium risk level. </w:t>
            </w:r>
          </w:p>
        </w:tc>
      </w:tr>
      <w:tr w:rsidR="0019679E" w14:paraId="4C1D4002" w14:textId="77777777" w:rsidTr="00B45E4E">
        <w:tc>
          <w:tcPr>
            <w:tcW w:w="2268" w:type="dxa"/>
            <w:tcBorders>
              <w:top w:val="single" w:sz="8" w:space="0" w:color="CDDC29" w:themeColor="text2"/>
              <w:left w:val="nil"/>
              <w:bottom w:val="single" w:sz="8" w:space="0" w:color="CDDC29" w:themeColor="text2"/>
              <w:right w:val="nil"/>
            </w:tcBorders>
          </w:tcPr>
          <w:p w14:paraId="5773810C" w14:textId="192D67C4" w:rsidR="0019679E" w:rsidRDefault="0019679E"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7D3CECB3" w14:textId="77777777" w:rsidR="00454D5E" w:rsidRPr="00E31362" w:rsidRDefault="00454D5E" w:rsidP="006670D2">
            <w:pPr>
              <w:pStyle w:val="PullOutBoxBullet"/>
            </w:pPr>
            <w:r w:rsidRPr="00E31362">
              <w:t>Comprehensively search likely habitat and map important populations; and</w:t>
            </w:r>
          </w:p>
          <w:p w14:paraId="052A8AD8" w14:textId="51EF03C9" w:rsidR="0019679E" w:rsidRDefault="00454D5E" w:rsidP="006670D2">
            <w:pPr>
              <w:pStyle w:val="PullOutBoxBullet"/>
            </w:pPr>
            <w:r w:rsidRPr="00E31362">
              <w:t>Establish monitoring sites and collect baseline data.</w:t>
            </w:r>
          </w:p>
        </w:tc>
      </w:tr>
      <w:tr w:rsidR="00BE1D36" w14:paraId="5B92D320" w14:textId="77777777" w:rsidTr="00B45E4E">
        <w:tc>
          <w:tcPr>
            <w:tcW w:w="2268" w:type="dxa"/>
            <w:tcBorders>
              <w:top w:val="single" w:sz="8" w:space="0" w:color="CDDC29" w:themeColor="text2"/>
              <w:left w:val="nil"/>
              <w:bottom w:val="single" w:sz="8" w:space="0" w:color="CDDC29" w:themeColor="text2"/>
              <w:right w:val="nil"/>
            </w:tcBorders>
            <w:hideMark/>
          </w:tcPr>
          <w:p w14:paraId="74DD8515" w14:textId="77777777" w:rsidR="00BE1D36" w:rsidRDefault="00BE1D36" w:rsidP="00B45E4E">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714768F8" w14:textId="77777777" w:rsidR="00BE1D36" w:rsidRDefault="00BE1D36" w:rsidP="00B45E4E">
            <w:pPr>
              <w:pStyle w:val="BodyText"/>
            </w:pPr>
            <w:r>
              <w:t>Additional permanent protections may be required in the longer-term.</w:t>
            </w:r>
          </w:p>
        </w:tc>
      </w:tr>
      <w:tr w:rsidR="00BE1D36" w14:paraId="3A347452" w14:textId="77777777" w:rsidTr="00B45E4E">
        <w:tc>
          <w:tcPr>
            <w:tcW w:w="2268" w:type="dxa"/>
            <w:tcBorders>
              <w:top w:val="single" w:sz="8" w:space="0" w:color="CDDC29" w:themeColor="text2"/>
              <w:left w:val="nil"/>
              <w:bottom w:val="single" w:sz="8" w:space="0" w:color="CDDC29" w:themeColor="text2"/>
              <w:right w:val="nil"/>
            </w:tcBorders>
            <w:hideMark/>
          </w:tcPr>
          <w:p w14:paraId="2ABA5528" w14:textId="2CE040CD" w:rsidR="00BE1D36" w:rsidRDefault="0019679E"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4961B3E6" w14:textId="312D04FC" w:rsidR="00BE1D36" w:rsidRDefault="00BE1D36" w:rsidP="006670D2">
            <w:pPr>
              <w:pStyle w:val="PullOutBoxBullet"/>
            </w:pPr>
            <w:r>
              <w:t>Consider introducing a species-specific code prescription for East Gippsland as part of any future Code amendments</w:t>
            </w:r>
            <w:r w:rsidR="002A782B">
              <w:t>;</w:t>
            </w:r>
          </w:p>
          <w:p w14:paraId="443F6CA0" w14:textId="3222C44D" w:rsidR="00BE1D36" w:rsidRDefault="00BE1D36" w:rsidP="006670D2">
            <w:pPr>
              <w:pStyle w:val="PullOutBoxBullet"/>
            </w:pPr>
            <w:r>
              <w:t xml:space="preserve">Improve information the location of important populations in </w:t>
            </w:r>
            <w:r w:rsidR="00AE11C2">
              <w:t>State Forest</w:t>
            </w:r>
            <w:r>
              <w:t xml:space="preserve">; </w:t>
            </w:r>
          </w:p>
          <w:p w14:paraId="50370972" w14:textId="3CEDE010" w:rsidR="00BE1D36" w:rsidRDefault="00BE1D36" w:rsidP="006670D2">
            <w:pPr>
              <w:pStyle w:val="PullOutBoxBullet"/>
            </w:pPr>
            <w:r>
              <w:t>Monitor population size and health of individuals, and assess threats</w:t>
            </w:r>
            <w:r w:rsidR="00682BF1">
              <w:t>; and</w:t>
            </w:r>
          </w:p>
          <w:p w14:paraId="6A7233A7" w14:textId="1BA1D657" w:rsidR="00BE1D36" w:rsidRDefault="00BE1D36" w:rsidP="006670D2">
            <w:pPr>
              <w:pStyle w:val="PullOutBoxBullet"/>
            </w:pPr>
            <w:r>
              <w:t xml:space="preserve">Investigate the </w:t>
            </w:r>
            <w:r w:rsidR="001D3902">
              <w:t>species’</w:t>
            </w:r>
            <w:r>
              <w:t xml:space="preserve"> response to disturbance</w:t>
            </w:r>
            <w:r w:rsidR="0019679E">
              <w:t>.</w:t>
            </w:r>
          </w:p>
        </w:tc>
      </w:tr>
    </w:tbl>
    <w:p w14:paraId="095F41CA" w14:textId="77777777" w:rsidR="00BE1D36" w:rsidRDefault="00BE1D36" w:rsidP="00BE1D36">
      <w:pPr>
        <w:spacing w:line="240" w:lineRule="auto"/>
        <w:textAlignment w:val="baseline"/>
      </w:pPr>
    </w:p>
    <w:p w14:paraId="266B8740" w14:textId="77777777" w:rsidR="00BE1D36" w:rsidRDefault="00BE1D36" w:rsidP="00BE1D36">
      <w:pPr>
        <w:rPr>
          <w:rFonts w:cs="Times New Roman"/>
          <w:lang w:eastAsia="en-US"/>
        </w:rPr>
      </w:pPr>
      <w:r>
        <w:rPr>
          <w:color w:val="auto"/>
        </w:rPr>
        <w:br w:type="page"/>
      </w:r>
    </w:p>
    <w:p w14:paraId="063063D1" w14:textId="2090EB6B" w:rsidR="00BE1D36" w:rsidRPr="004528E0" w:rsidRDefault="00BE1D36" w:rsidP="00171F18">
      <w:pPr>
        <w:pStyle w:val="Heading2"/>
        <w:ind w:left="0"/>
        <w:rPr>
          <w:i/>
          <w:iCs/>
        </w:rPr>
      </w:pPr>
      <w:bookmarkStart w:id="980" w:name="_Toc113271076"/>
      <w:r w:rsidRPr="004528E0">
        <w:t>Upright Pomaderris </w:t>
      </w:r>
      <w:r w:rsidRPr="00F67DF8">
        <w:rPr>
          <w:i/>
          <w:iCs/>
        </w:rPr>
        <w:t>(Pomaderris virgata)</w:t>
      </w:r>
      <w:bookmarkEnd w:id="978"/>
      <w:bookmarkEnd w:id="979"/>
      <w:bookmarkEnd w:id="980"/>
      <w:r w:rsidRPr="004528E0">
        <w:t> </w:t>
      </w:r>
    </w:p>
    <w:p w14:paraId="0971F9EF" w14:textId="147C87A9" w:rsidR="00BE1D36" w:rsidRDefault="00BE1D36" w:rsidP="00BE1D36">
      <w:pPr>
        <w:pStyle w:val="BodyText"/>
        <w:rPr>
          <w:rFonts w:ascii="Arial" w:hAnsi="Arial"/>
          <w:color w:val="363534"/>
        </w:rPr>
      </w:pPr>
      <w:r>
        <w:t xml:space="preserve">The Upright Pomaderris was listed as Critically Endangered in Victoria under the FFG Act in May 2021. The </w:t>
      </w:r>
      <w:r w:rsidR="001D3902">
        <w:t>species</w:t>
      </w:r>
      <w:r>
        <w:t xml:space="preserve"> has modelled habitat in the East Gippsland (100% of modelled habitat) RFA region.</w:t>
      </w:r>
      <w:r>
        <w:rPr>
          <w:rStyle w:val="BodyTextChar"/>
        </w:rPr>
        <w:t xml:space="preserve"> Permanent protections are recommended to address any hazards identified at a significant or high risk, and all</w:t>
      </w:r>
      <w:r>
        <w:t xml:space="preserve"> hazards rated a medium risk or higher will be considered in future management planning. </w:t>
      </w:r>
    </w:p>
    <w:p w14:paraId="748DF15B" w14:textId="77777777" w:rsidR="00BE1D36" w:rsidRDefault="00BE1D36" w:rsidP="007E5EBF">
      <w:pPr>
        <w:pStyle w:val="Heading3"/>
      </w:pPr>
      <w:bookmarkStart w:id="981" w:name="_Toc88725313"/>
      <w:r>
        <w:t>Risk Assessment</w:t>
      </w:r>
      <w:bookmarkEnd w:id="981"/>
    </w:p>
    <w:p w14:paraId="04711E5B" w14:textId="4B5F33BA"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258</w:t>
      </w:r>
      <w:r w:rsidR="000B6788" w:rsidRPr="00B846FE">
        <w:rPr>
          <w:bCs/>
          <w:noProof/>
        </w:rPr>
        <w:fldChar w:fldCharType="end"/>
      </w:r>
      <w:r w:rsidRPr="00FF310C">
        <w:t xml:space="preserve">. Upright Pomaderris risk ratings in </w:t>
      </w:r>
      <w:r w:rsidR="00BA6B12" w:rsidRPr="00FF310C">
        <w:t xml:space="preserve">the </w:t>
      </w:r>
      <w:r w:rsidRPr="00FF310C">
        <w:t>East Gippsland</w:t>
      </w:r>
      <w:r w:rsidR="00BA6B12" w:rsidRPr="00FF310C">
        <w:t xml:space="preserve"> RFA region</w:t>
      </w:r>
      <w:r w:rsidRPr="00FF310C">
        <w:t>:  </w:t>
      </w:r>
    </w:p>
    <w:tbl>
      <w:tblPr>
        <w:tblStyle w:val="TableGrid"/>
        <w:tblW w:w="9780" w:type="dxa"/>
        <w:tblLook w:val="04A0" w:firstRow="1" w:lastRow="0" w:firstColumn="1" w:lastColumn="0" w:noHBand="0" w:noVBand="1"/>
      </w:tblPr>
      <w:tblGrid>
        <w:gridCol w:w="1956"/>
        <w:gridCol w:w="1956"/>
        <w:gridCol w:w="1956"/>
        <w:gridCol w:w="1956"/>
        <w:gridCol w:w="1956"/>
      </w:tblGrid>
      <w:tr w:rsidR="00BE1D36" w14:paraId="5EF7C64E"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56" w:type="dxa"/>
            <w:tcBorders>
              <w:top w:val="single" w:sz="8" w:space="0" w:color="CDDC29" w:themeColor="text2"/>
              <w:left w:val="nil"/>
              <w:bottom w:val="single" w:sz="8" w:space="0" w:color="CDDC29" w:themeColor="text2"/>
              <w:right w:val="nil"/>
            </w:tcBorders>
            <w:vAlign w:val="center"/>
          </w:tcPr>
          <w:p w14:paraId="02A64AED" w14:textId="77777777" w:rsidR="00BE1D36" w:rsidRDefault="00BE1D36" w:rsidP="006670D2">
            <w:pPr>
              <w:pStyle w:val="CaptionImageorFigure"/>
            </w:pPr>
          </w:p>
        </w:tc>
        <w:tc>
          <w:tcPr>
            <w:tcW w:w="1956" w:type="dxa"/>
            <w:tcBorders>
              <w:top w:val="single" w:sz="8" w:space="0" w:color="CDDC29" w:themeColor="text2"/>
              <w:left w:val="nil"/>
              <w:bottom w:val="single" w:sz="8" w:space="0" w:color="CDDC29" w:themeColor="text2"/>
              <w:right w:val="nil"/>
            </w:tcBorders>
            <w:vAlign w:val="center"/>
            <w:hideMark/>
          </w:tcPr>
          <w:p w14:paraId="40950C9C"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 Increased fire frequency and intensity</w:t>
            </w:r>
          </w:p>
        </w:tc>
        <w:tc>
          <w:tcPr>
            <w:tcW w:w="1956" w:type="dxa"/>
            <w:tcBorders>
              <w:top w:val="single" w:sz="8" w:space="0" w:color="CDDC29" w:themeColor="text2"/>
              <w:left w:val="nil"/>
              <w:bottom w:val="single" w:sz="8" w:space="0" w:color="CDDC29" w:themeColor="text2"/>
              <w:right w:val="nil"/>
            </w:tcBorders>
            <w:vAlign w:val="center"/>
            <w:hideMark/>
          </w:tcPr>
          <w:p w14:paraId="3111A473" w14:textId="7A2B1FC1" w:rsidR="00BE1D36" w:rsidRDefault="005D1677"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BE1D36">
              <w:t>orestry operations</w:t>
            </w:r>
          </w:p>
        </w:tc>
        <w:tc>
          <w:tcPr>
            <w:tcW w:w="1956" w:type="dxa"/>
            <w:tcBorders>
              <w:top w:val="single" w:sz="8" w:space="0" w:color="CDDC29" w:themeColor="text2"/>
              <w:left w:val="nil"/>
              <w:bottom w:val="single" w:sz="8" w:space="0" w:color="CDDC29" w:themeColor="text2"/>
              <w:right w:val="nil"/>
            </w:tcBorders>
            <w:vAlign w:val="center"/>
            <w:hideMark/>
          </w:tcPr>
          <w:p w14:paraId="0CDEB037"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c>
          <w:tcPr>
            <w:tcW w:w="1956" w:type="dxa"/>
            <w:tcBorders>
              <w:top w:val="single" w:sz="8" w:space="0" w:color="CDDC29" w:themeColor="text2"/>
              <w:left w:val="nil"/>
              <w:bottom w:val="single" w:sz="8" w:space="0" w:color="CDDC29" w:themeColor="text2"/>
              <w:right w:val="nil"/>
            </w:tcBorders>
            <w:vAlign w:val="center"/>
            <w:hideMark/>
          </w:tcPr>
          <w:p w14:paraId="561AD8B0"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Small/restricted population (flora)</w:t>
            </w:r>
          </w:p>
        </w:tc>
      </w:tr>
      <w:tr w:rsidR="00BE1D36" w14:paraId="5F0DBF00" w14:textId="77777777" w:rsidTr="00BE1D36">
        <w:tc>
          <w:tcPr>
            <w:tcW w:w="1956" w:type="dxa"/>
            <w:tcBorders>
              <w:top w:val="single" w:sz="8" w:space="0" w:color="CDDC29" w:themeColor="text2"/>
              <w:left w:val="nil"/>
              <w:bottom w:val="single" w:sz="8" w:space="0" w:color="CDDC29" w:themeColor="text2"/>
              <w:right w:val="nil"/>
            </w:tcBorders>
            <w:vAlign w:val="center"/>
            <w:hideMark/>
          </w:tcPr>
          <w:p w14:paraId="627F8D87" w14:textId="77777777" w:rsidR="00BE1D36" w:rsidRDefault="00BE1D36">
            <w:pPr>
              <w:pStyle w:val="BodyText"/>
              <w:jc w:val="center"/>
            </w:pPr>
            <w:r>
              <w:t>Consequence</w:t>
            </w:r>
          </w:p>
        </w:tc>
        <w:tc>
          <w:tcPr>
            <w:tcW w:w="1956" w:type="dxa"/>
            <w:tcBorders>
              <w:top w:val="single" w:sz="8" w:space="0" w:color="CDDC29" w:themeColor="text2"/>
              <w:left w:val="nil"/>
              <w:bottom w:val="single" w:sz="8" w:space="0" w:color="CDDC29" w:themeColor="text2"/>
              <w:right w:val="nil"/>
            </w:tcBorders>
            <w:vAlign w:val="center"/>
            <w:hideMark/>
          </w:tcPr>
          <w:p w14:paraId="52656329" w14:textId="77777777" w:rsidR="00BE1D36" w:rsidRDefault="00BE1D36">
            <w:pPr>
              <w:pStyle w:val="BodyText"/>
              <w:jc w:val="center"/>
            </w:pPr>
            <w:r>
              <w:t>Major</w:t>
            </w:r>
          </w:p>
        </w:tc>
        <w:tc>
          <w:tcPr>
            <w:tcW w:w="1956" w:type="dxa"/>
            <w:tcBorders>
              <w:top w:val="single" w:sz="8" w:space="0" w:color="CDDC29" w:themeColor="text2"/>
              <w:left w:val="nil"/>
              <w:bottom w:val="single" w:sz="8" w:space="0" w:color="CDDC29" w:themeColor="text2"/>
              <w:right w:val="nil"/>
            </w:tcBorders>
            <w:vAlign w:val="center"/>
            <w:hideMark/>
          </w:tcPr>
          <w:p w14:paraId="169A040C" w14:textId="77777777" w:rsidR="00BE1D36" w:rsidRDefault="00BE1D36">
            <w:pPr>
              <w:pStyle w:val="BodyText"/>
              <w:jc w:val="center"/>
            </w:pPr>
            <w:r>
              <w:t>Moderate</w:t>
            </w:r>
          </w:p>
        </w:tc>
        <w:tc>
          <w:tcPr>
            <w:tcW w:w="1956" w:type="dxa"/>
            <w:tcBorders>
              <w:top w:val="single" w:sz="8" w:space="0" w:color="CDDC29" w:themeColor="text2"/>
              <w:left w:val="nil"/>
              <w:bottom w:val="single" w:sz="8" w:space="0" w:color="CDDC29" w:themeColor="text2"/>
              <w:right w:val="nil"/>
            </w:tcBorders>
            <w:vAlign w:val="center"/>
            <w:hideMark/>
          </w:tcPr>
          <w:p w14:paraId="2D9A0645" w14:textId="77777777" w:rsidR="00BE1D36" w:rsidRDefault="00BE1D36">
            <w:pPr>
              <w:pStyle w:val="BodyText"/>
              <w:jc w:val="center"/>
            </w:pPr>
            <w:r>
              <w:t>Major</w:t>
            </w:r>
          </w:p>
        </w:tc>
        <w:tc>
          <w:tcPr>
            <w:tcW w:w="1956" w:type="dxa"/>
            <w:tcBorders>
              <w:top w:val="single" w:sz="8" w:space="0" w:color="CDDC29" w:themeColor="text2"/>
              <w:left w:val="nil"/>
              <w:bottom w:val="single" w:sz="8" w:space="0" w:color="CDDC29" w:themeColor="text2"/>
              <w:right w:val="nil"/>
            </w:tcBorders>
            <w:vAlign w:val="center"/>
            <w:hideMark/>
          </w:tcPr>
          <w:p w14:paraId="08EF4A9B" w14:textId="77777777" w:rsidR="00BE1D36" w:rsidRDefault="00BE1D36">
            <w:pPr>
              <w:pStyle w:val="BodyText"/>
              <w:jc w:val="center"/>
            </w:pPr>
            <w:r>
              <w:t>Extreme</w:t>
            </w:r>
          </w:p>
        </w:tc>
      </w:tr>
      <w:tr w:rsidR="00BE1D36" w14:paraId="1A448047" w14:textId="77777777" w:rsidTr="00BE1D36">
        <w:tc>
          <w:tcPr>
            <w:tcW w:w="1956" w:type="dxa"/>
            <w:tcBorders>
              <w:top w:val="single" w:sz="8" w:space="0" w:color="CDDC29" w:themeColor="text2"/>
              <w:left w:val="nil"/>
              <w:bottom w:val="single" w:sz="8" w:space="0" w:color="CDDC29" w:themeColor="text2"/>
              <w:right w:val="nil"/>
            </w:tcBorders>
            <w:vAlign w:val="center"/>
            <w:hideMark/>
          </w:tcPr>
          <w:p w14:paraId="2D6540A9" w14:textId="77777777" w:rsidR="00BE1D36" w:rsidRDefault="00BE1D36">
            <w:pPr>
              <w:pStyle w:val="BodyText"/>
              <w:jc w:val="center"/>
            </w:pPr>
            <w:r>
              <w:t>Likelihood</w:t>
            </w:r>
          </w:p>
        </w:tc>
        <w:tc>
          <w:tcPr>
            <w:tcW w:w="1956" w:type="dxa"/>
            <w:tcBorders>
              <w:top w:val="single" w:sz="8" w:space="0" w:color="CDDC29" w:themeColor="text2"/>
              <w:left w:val="nil"/>
              <w:bottom w:val="single" w:sz="8" w:space="0" w:color="CDDC29" w:themeColor="text2"/>
              <w:right w:val="nil"/>
            </w:tcBorders>
            <w:vAlign w:val="center"/>
            <w:hideMark/>
          </w:tcPr>
          <w:p w14:paraId="206E6F2F" w14:textId="77777777" w:rsidR="00BE1D36" w:rsidRDefault="00BE1D36">
            <w:pPr>
              <w:pStyle w:val="BodyText"/>
              <w:jc w:val="center"/>
            </w:pPr>
            <w:r>
              <w:t>Likely</w:t>
            </w:r>
          </w:p>
        </w:tc>
        <w:tc>
          <w:tcPr>
            <w:tcW w:w="1956" w:type="dxa"/>
            <w:tcBorders>
              <w:top w:val="single" w:sz="8" w:space="0" w:color="CDDC29" w:themeColor="text2"/>
              <w:left w:val="nil"/>
              <w:bottom w:val="single" w:sz="8" w:space="0" w:color="CDDC29" w:themeColor="text2"/>
              <w:right w:val="nil"/>
            </w:tcBorders>
            <w:vAlign w:val="center"/>
            <w:hideMark/>
          </w:tcPr>
          <w:p w14:paraId="47AC251B" w14:textId="77777777" w:rsidR="00BE1D36" w:rsidRDefault="00BE1D36">
            <w:pPr>
              <w:pStyle w:val="BodyText"/>
              <w:jc w:val="center"/>
            </w:pPr>
            <w:r>
              <w:t>Possible</w:t>
            </w:r>
          </w:p>
        </w:tc>
        <w:tc>
          <w:tcPr>
            <w:tcW w:w="1956" w:type="dxa"/>
            <w:tcBorders>
              <w:top w:val="single" w:sz="8" w:space="0" w:color="CDDC29" w:themeColor="text2"/>
              <w:left w:val="nil"/>
              <w:bottom w:val="single" w:sz="8" w:space="0" w:color="CDDC29" w:themeColor="text2"/>
              <w:right w:val="nil"/>
            </w:tcBorders>
            <w:vAlign w:val="center"/>
            <w:hideMark/>
          </w:tcPr>
          <w:p w14:paraId="32185E24" w14:textId="77777777" w:rsidR="00BE1D36" w:rsidRDefault="00BE1D36">
            <w:pPr>
              <w:pStyle w:val="BodyText"/>
              <w:jc w:val="center"/>
            </w:pPr>
            <w:r>
              <w:t>Likely</w:t>
            </w:r>
          </w:p>
        </w:tc>
        <w:tc>
          <w:tcPr>
            <w:tcW w:w="1956" w:type="dxa"/>
            <w:tcBorders>
              <w:top w:val="single" w:sz="8" w:space="0" w:color="CDDC29" w:themeColor="text2"/>
              <w:left w:val="nil"/>
              <w:bottom w:val="single" w:sz="8" w:space="0" w:color="CDDC29" w:themeColor="text2"/>
              <w:right w:val="nil"/>
            </w:tcBorders>
            <w:vAlign w:val="center"/>
            <w:hideMark/>
          </w:tcPr>
          <w:p w14:paraId="6BE0630B" w14:textId="77777777" w:rsidR="00BE1D36" w:rsidRDefault="00BE1D36">
            <w:pPr>
              <w:pStyle w:val="BodyText"/>
              <w:jc w:val="center"/>
            </w:pPr>
            <w:r>
              <w:t>Almost Certain</w:t>
            </w:r>
          </w:p>
        </w:tc>
      </w:tr>
      <w:tr w:rsidR="00BE1D36" w14:paraId="7EDB5982" w14:textId="77777777" w:rsidTr="00BE1D36">
        <w:tc>
          <w:tcPr>
            <w:tcW w:w="1956" w:type="dxa"/>
            <w:tcBorders>
              <w:top w:val="single" w:sz="8" w:space="0" w:color="CDDC29" w:themeColor="text2"/>
              <w:left w:val="nil"/>
              <w:bottom w:val="single" w:sz="8" w:space="0" w:color="CDDC29" w:themeColor="text2"/>
              <w:right w:val="nil"/>
            </w:tcBorders>
            <w:vAlign w:val="center"/>
            <w:hideMark/>
          </w:tcPr>
          <w:p w14:paraId="50F9F131" w14:textId="77777777" w:rsidR="00BE1D36" w:rsidRDefault="00BE1D36">
            <w:pPr>
              <w:pStyle w:val="BodyText"/>
              <w:jc w:val="center"/>
            </w:pPr>
            <w:r>
              <w:t>Overall risk rating</w:t>
            </w:r>
          </w:p>
        </w:tc>
        <w:tc>
          <w:tcPr>
            <w:tcW w:w="1956" w:type="dxa"/>
            <w:tcBorders>
              <w:top w:val="single" w:sz="8" w:space="0" w:color="CDDC29" w:themeColor="text2"/>
              <w:left w:val="nil"/>
              <w:bottom w:val="single" w:sz="8" w:space="0" w:color="CDDC29" w:themeColor="text2"/>
              <w:right w:val="nil"/>
            </w:tcBorders>
            <w:shd w:val="clear" w:color="auto" w:fill="FF0000"/>
            <w:vAlign w:val="center"/>
            <w:hideMark/>
          </w:tcPr>
          <w:p w14:paraId="1FA6D6FE" w14:textId="77777777" w:rsidR="00BE1D36" w:rsidRDefault="00BE1D36">
            <w:pPr>
              <w:pStyle w:val="BodyText"/>
              <w:jc w:val="center"/>
            </w:pPr>
            <w:r>
              <w:t>High</w:t>
            </w:r>
          </w:p>
        </w:tc>
        <w:tc>
          <w:tcPr>
            <w:tcW w:w="1956" w:type="dxa"/>
            <w:tcBorders>
              <w:top w:val="single" w:sz="8" w:space="0" w:color="CDDC29" w:themeColor="text2"/>
              <w:left w:val="nil"/>
              <w:bottom w:val="single" w:sz="8" w:space="0" w:color="CDDC29" w:themeColor="text2"/>
              <w:right w:val="nil"/>
            </w:tcBorders>
            <w:shd w:val="clear" w:color="auto" w:fill="FFFF00"/>
            <w:vAlign w:val="center"/>
            <w:hideMark/>
          </w:tcPr>
          <w:p w14:paraId="5E92A138" w14:textId="77777777" w:rsidR="00BE1D36" w:rsidRDefault="00BE1D36">
            <w:pPr>
              <w:pStyle w:val="BodyText"/>
              <w:jc w:val="center"/>
            </w:pPr>
            <w:r>
              <w:t>Medium</w:t>
            </w:r>
          </w:p>
        </w:tc>
        <w:tc>
          <w:tcPr>
            <w:tcW w:w="1956" w:type="dxa"/>
            <w:tcBorders>
              <w:top w:val="single" w:sz="8" w:space="0" w:color="CDDC29" w:themeColor="text2"/>
              <w:left w:val="nil"/>
              <w:bottom w:val="single" w:sz="8" w:space="0" w:color="CDDC29" w:themeColor="text2"/>
              <w:right w:val="nil"/>
            </w:tcBorders>
            <w:shd w:val="clear" w:color="auto" w:fill="FF0000"/>
            <w:vAlign w:val="center"/>
            <w:hideMark/>
          </w:tcPr>
          <w:p w14:paraId="3A3FBE1B" w14:textId="77777777" w:rsidR="00BE1D36" w:rsidRDefault="00BE1D36">
            <w:pPr>
              <w:pStyle w:val="BodyText"/>
              <w:jc w:val="center"/>
            </w:pPr>
            <w:r>
              <w:t>High</w:t>
            </w:r>
          </w:p>
        </w:tc>
        <w:tc>
          <w:tcPr>
            <w:tcW w:w="1956" w:type="dxa"/>
            <w:tcBorders>
              <w:top w:val="single" w:sz="8" w:space="0" w:color="CDDC29" w:themeColor="text2"/>
              <w:left w:val="nil"/>
              <w:bottom w:val="single" w:sz="8" w:space="0" w:color="CDDC29" w:themeColor="text2"/>
              <w:right w:val="nil"/>
            </w:tcBorders>
            <w:shd w:val="clear" w:color="auto" w:fill="FF0000"/>
            <w:vAlign w:val="center"/>
            <w:hideMark/>
          </w:tcPr>
          <w:p w14:paraId="3A6CE6B4" w14:textId="77777777" w:rsidR="00BE1D36" w:rsidRDefault="00BE1D36">
            <w:pPr>
              <w:pStyle w:val="BodyText"/>
              <w:jc w:val="center"/>
            </w:pPr>
            <w:r>
              <w:t>High</w:t>
            </w:r>
          </w:p>
        </w:tc>
      </w:tr>
    </w:tbl>
    <w:p w14:paraId="4005D36D" w14:textId="77777777" w:rsidR="00BE1D36" w:rsidRDefault="00BE1D36" w:rsidP="00BE1D36">
      <w:pPr>
        <w:spacing w:line="240" w:lineRule="auto"/>
        <w:textAlignment w:val="baseline"/>
        <w:rPr>
          <w:rFonts w:ascii="Arial" w:hAnsi="Arial"/>
          <w:b/>
          <w:bCs/>
          <w:i/>
          <w:iCs/>
          <w:color w:val="808080" w:themeColor="background1" w:themeShade="80"/>
          <w:sz w:val="16"/>
          <w:szCs w:val="16"/>
        </w:rPr>
      </w:pPr>
    </w:p>
    <w:p w14:paraId="3A8CD889" w14:textId="77777777" w:rsidR="00BE1D36" w:rsidRDefault="00BE1D36" w:rsidP="007E5EBF">
      <w:pPr>
        <w:pStyle w:val="Heading3"/>
      </w:pPr>
      <w:r>
        <w:t>Climate change; Fire</w:t>
      </w:r>
    </w:p>
    <w:p w14:paraId="485BD4BD" w14:textId="77777777" w:rsidR="00BE1D36" w:rsidRDefault="00BE1D36" w:rsidP="007E5EBF">
      <w:pPr>
        <w:pStyle w:val="Heading5"/>
      </w:pPr>
      <w:r>
        <w:t>Drying climate and increased fire frequency and intensity.</w:t>
      </w:r>
    </w:p>
    <w:p w14:paraId="05FD2FC1" w14:textId="165F4756" w:rsidR="00BE1D36" w:rsidRDefault="00BE1D36" w:rsidP="00BE1D36">
      <w:pPr>
        <w:pStyle w:val="BodyText"/>
        <w:rPr>
          <w:rStyle w:val="BodyTextChar"/>
        </w:rPr>
      </w:pPr>
      <w:r>
        <w:t>Climatic warming and drying are projected to result in an increasing risk of bushfire frequency, intensity</w:t>
      </w:r>
      <w:r w:rsidR="006B121E">
        <w:t>,</w:t>
      </w:r>
      <w:r>
        <w:t xml:space="preserve"> and landscape scale. This will expose all stands of the </w:t>
      </w:r>
      <w:r w:rsidR="001D3902">
        <w:t>species</w:t>
      </w:r>
      <w:r>
        <w:t xml:space="preserve"> to the rigours of seed-based recruitment, namely recruitment failure, due to intense drought or targeted herbivory by Sambar or Black-tailed Wallaby, seedbank depletion and ex</w:t>
      </w:r>
      <w:r>
        <w:rPr>
          <w:rStyle w:val="BodyTextChar"/>
        </w:rPr>
        <w:t xml:space="preserve">haustion and the risk of local extinction. Field observation over many decades suggests that most </w:t>
      </w:r>
      <w:r>
        <w:rPr>
          <w:rStyle w:val="BodyTextChar"/>
          <w:i/>
          <w:iCs/>
        </w:rPr>
        <w:t>Pomaderris</w:t>
      </w:r>
      <w:r>
        <w:rPr>
          <w:rStyle w:val="BodyTextChar"/>
        </w:rPr>
        <w:t xml:space="preserve"> species have a fickle response to fire with most adults killed outright, a few with weak resprouting and a highly variable seed-based recruitment success. This suggests that the genus </w:t>
      </w:r>
      <w:r w:rsidR="006B121E">
        <w:rPr>
          <w:rStyle w:val="BodyTextChar"/>
        </w:rPr>
        <w:t>is</w:t>
      </w:r>
      <w:r>
        <w:rPr>
          <w:rStyle w:val="BodyTextChar"/>
        </w:rPr>
        <w:t xml:space="preserve"> operating in an environment already close to the threshold of tolerance of current fire regimes and recruitment strategies. Upright Pomaderris is a species whose response to fire is neither predictable nor reliable and may help explain the very patchy and equally unpredictable distribution of this and many similar taxa.</w:t>
      </w:r>
      <w:r w:rsidR="00F8122D">
        <w:rPr>
          <w:rStyle w:val="BodyTextChar"/>
        </w:rPr>
        <w:t xml:space="preserve"> This hazard extends across all populations of the </w:t>
      </w:r>
      <w:r w:rsidR="001D3902">
        <w:rPr>
          <w:rStyle w:val="BodyTextChar"/>
        </w:rPr>
        <w:t>species</w:t>
      </w:r>
      <w:r w:rsidR="00F8122D">
        <w:rPr>
          <w:rStyle w:val="BodyTextChar"/>
        </w:rPr>
        <w:t>.</w:t>
      </w:r>
    </w:p>
    <w:p w14:paraId="5D1DB177" w14:textId="77777777" w:rsidR="00BE1D36" w:rsidRDefault="00BE1D36" w:rsidP="00BE1D36">
      <w:pPr>
        <w:pStyle w:val="BodyText"/>
      </w:pPr>
      <w:r>
        <w:t>Current controls for this hazard include:</w:t>
      </w:r>
    </w:p>
    <w:p w14:paraId="1A880C13" w14:textId="609AD381" w:rsidR="00BE1D36" w:rsidRDefault="00BE1D36" w:rsidP="006670D2">
      <w:pPr>
        <w:pStyle w:val="PullOutBoxBullet"/>
      </w:pPr>
      <w:r>
        <w:t>Planned burning. This control may be effective in reducing the risk of severe bushfires in this species’ habitat depending on the location of the burns and the time elapsed since their implementation. Strategic fuel</w:t>
      </w:r>
      <w:r w:rsidR="00DF761D">
        <w:t xml:space="preserve"> </w:t>
      </w:r>
      <w:r>
        <w:t>breaks and associated backburning may also provide valuable protection in some cases for this species and its habitat from severe bushfires.</w:t>
      </w:r>
    </w:p>
    <w:p w14:paraId="7043FD81" w14:textId="655D3A47"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259</w:t>
      </w:r>
      <w:r w:rsidR="000B6788" w:rsidRPr="00B846FE">
        <w:rPr>
          <w:bCs/>
          <w:noProof/>
        </w:rPr>
        <w:fldChar w:fldCharType="end"/>
      </w:r>
      <w:r w:rsidRPr="00FF310C">
        <w:t xml:space="preserve">. Upright Pomaderris protection requirements and recommendations for </w:t>
      </w:r>
      <w:r w:rsidR="00F726EF">
        <w:t xml:space="preserve">drying </w:t>
      </w:r>
      <w:r w:rsidR="00534FFA">
        <w:t>climate and increased fire frequency and intensity</w:t>
      </w:r>
    </w:p>
    <w:tbl>
      <w:tblPr>
        <w:tblStyle w:val="TableGrid"/>
        <w:tblW w:w="0" w:type="auto"/>
        <w:tblLook w:val="04A0" w:firstRow="1" w:lastRow="0" w:firstColumn="1" w:lastColumn="0" w:noHBand="0" w:noVBand="1"/>
      </w:tblPr>
      <w:tblGrid>
        <w:gridCol w:w="2268"/>
        <w:gridCol w:w="7371"/>
      </w:tblGrid>
      <w:tr w:rsidR="00BE1D36" w14:paraId="4B0FE6C0"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7B613E70"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5CA54333"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6DD0857A" w14:textId="77777777" w:rsidTr="00B45E4E">
        <w:tc>
          <w:tcPr>
            <w:tcW w:w="2268" w:type="dxa"/>
            <w:tcBorders>
              <w:top w:val="single" w:sz="8" w:space="0" w:color="CDDC29" w:themeColor="text2"/>
              <w:left w:val="nil"/>
              <w:bottom w:val="single" w:sz="8" w:space="0" w:color="CDDC29" w:themeColor="text2"/>
              <w:right w:val="nil"/>
            </w:tcBorders>
            <w:hideMark/>
          </w:tcPr>
          <w:p w14:paraId="3C142AD1" w14:textId="11E56B8C" w:rsidR="00BE1D36" w:rsidRDefault="0019679E"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6CBB704F" w14:textId="77777777" w:rsidR="00BE1D36" w:rsidRDefault="00BE1D36" w:rsidP="00B45E4E">
            <w:pPr>
              <w:pStyle w:val="BodyText"/>
            </w:pPr>
            <w:r>
              <w:t>Not required for this hazard as this is a longer-term threat.</w:t>
            </w:r>
          </w:p>
        </w:tc>
      </w:tr>
      <w:tr w:rsidR="00BE1D36" w14:paraId="68561C4B" w14:textId="77777777" w:rsidTr="00B45E4E">
        <w:tc>
          <w:tcPr>
            <w:tcW w:w="2268" w:type="dxa"/>
            <w:tcBorders>
              <w:top w:val="single" w:sz="8" w:space="0" w:color="CDDC29" w:themeColor="text2"/>
              <w:left w:val="nil"/>
              <w:bottom w:val="single" w:sz="8" w:space="0" w:color="CDDC29" w:themeColor="text2"/>
              <w:right w:val="nil"/>
            </w:tcBorders>
            <w:hideMark/>
          </w:tcPr>
          <w:p w14:paraId="1692B01E" w14:textId="317CD06B" w:rsidR="00BE1D36" w:rsidRDefault="0019679E"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147B1F9B" w14:textId="7BDE1CAD" w:rsidR="00BE1D36" w:rsidRDefault="00BE1D36" w:rsidP="006670D2">
            <w:pPr>
              <w:pStyle w:val="PullOutBoxBullet"/>
            </w:pPr>
            <w:r>
              <w:t xml:space="preserve">Collect seed for the VCS from across the </w:t>
            </w:r>
            <w:r w:rsidR="001D3902">
              <w:t>species’</w:t>
            </w:r>
            <w:r>
              <w:t xml:space="preserve"> range as insurance against catastrophic loss</w:t>
            </w:r>
            <w:r w:rsidR="0019679E">
              <w:t>; and</w:t>
            </w:r>
          </w:p>
          <w:p w14:paraId="52783355" w14:textId="2383E3E7" w:rsidR="00BE1D36" w:rsidRDefault="00BE1D36" w:rsidP="006670D2">
            <w:pPr>
              <w:pStyle w:val="PullOutBoxBullet"/>
            </w:pPr>
            <w:r>
              <w:t xml:space="preserve">Consider options to conserve this </w:t>
            </w:r>
            <w:r w:rsidR="001D3902">
              <w:t>species</w:t>
            </w:r>
            <w:r>
              <w:t xml:space="preserve"> under climate change, including protection of refuges, maintenance of hydrological regimes, translocation to more secure sites and gene mixing to improve its adaptability</w:t>
            </w:r>
            <w:r w:rsidR="0019679E">
              <w:t>.</w:t>
            </w:r>
          </w:p>
        </w:tc>
      </w:tr>
    </w:tbl>
    <w:p w14:paraId="4A884FF9" w14:textId="3AED8B6B" w:rsidR="00BE1D36" w:rsidRDefault="00BE1D36" w:rsidP="007E5EBF">
      <w:pPr>
        <w:pStyle w:val="Heading3"/>
      </w:pPr>
      <w:r>
        <w:rPr>
          <w:noProof/>
        </w:rPr>
        <mc:AlternateContent>
          <mc:Choice Requires="wps">
            <w:drawing>
              <wp:anchor distT="0" distB="0" distL="114300" distR="114300" simplePos="0" relativeHeight="251658438" behindDoc="1" locked="1" layoutInCell="1" allowOverlap="1" wp14:anchorId="3DC0FBDD" wp14:editId="1741307B">
                <wp:simplePos x="0" y="0"/>
                <wp:positionH relativeFrom="page">
                  <wp:posOffset>359410</wp:posOffset>
                </wp:positionH>
                <wp:positionV relativeFrom="page">
                  <wp:posOffset>9071610</wp:posOffset>
                </wp:positionV>
                <wp:extent cx="6840220" cy="431800"/>
                <wp:effectExtent l="0" t="0" r="0" b="0"/>
                <wp:wrapNone/>
                <wp:docPr id="121" name="Text Box 121"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23D75"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0FBDD" id="Text Box 121" o:spid="_x0000_s1139" type="#_x0000_t202" alt="Title: Decorative Cover Shape" style="position:absolute;left:0;text-align:left;margin-left:28.3pt;margin-top:714.3pt;width:538.6pt;height:34pt;z-index:-2516580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CXWdl0gAIA&#10;AGMFAAAOAAAAAAAAAAAAAAAAAC4CAABkcnMvZTJvRG9jLnhtbFBLAQItABQABgAIAAAAIQCRaybX&#10;3QAAAA0BAAAPAAAAAAAAAAAAAAAAANoEAABkcnMvZG93bnJldi54bWxQSwUGAAAAAAQABADzAAAA&#10;5AUAAAAA&#10;" fillcolor="#201547" stroked="f" strokeweight=".5pt">
                <v:textbox inset="10mm,0,10mm,0">
                  <w:txbxContent>
                    <w:p w14:paraId="0E623D75"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37" behindDoc="0" locked="1" layoutInCell="1" allowOverlap="1" wp14:anchorId="2F8B34D6" wp14:editId="59ECA6EA">
                <wp:simplePos x="0" y="0"/>
                <wp:positionH relativeFrom="page">
                  <wp:posOffset>360045</wp:posOffset>
                </wp:positionH>
                <wp:positionV relativeFrom="page">
                  <wp:posOffset>360045</wp:posOffset>
                </wp:positionV>
                <wp:extent cx="1864995" cy="1976120"/>
                <wp:effectExtent l="0" t="0" r="0" b="0"/>
                <wp:wrapNone/>
                <wp:docPr id="122" name="Freeform: Shape 12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53BC1ED" id="Freeform: Shape 122" o:spid="_x0000_s1026" style="position:absolute;margin-left:28.35pt;margin-top:28.35pt;width:146.85pt;height:155.6pt;z-index:2516584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436" behindDoc="0" locked="1" layoutInCell="1" allowOverlap="1" wp14:anchorId="0A76D0A2" wp14:editId="678732E1">
                <wp:simplePos x="0" y="0"/>
                <wp:positionH relativeFrom="page">
                  <wp:posOffset>359410</wp:posOffset>
                </wp:positionH>
                <wp:positionV relativeFrom="page">
                  <wp:posOffset>359410</wp:posOffset>
                </wp:positionV>
                <wp:extent cx="1864995" cy="1976120"/>
                <wp:effectExtent l="0" t="0" r="0" b="0"/>
                <wp:wrapNone/>
                <wp:docPr id="123" name="Freeform: Shape 12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896CB34" id="Freeform: Shape 123" o:spid="_x0000_s1026" style="position:absolute;margin-left:28.3pt;margin-top:28.3pt;width:146.85pt;height:155.6pt;z-index:2516584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435" behindDoc="0" locked="1" layoutInCell="1" allowOverlap="1" wp14:anchorId="0B2E96FE" wp14:editId="32EC23F1">
                <wp:simplePos x="0" y="0"/>
                <wp:positionH relativeFrom="page">
                  <wp:posOffset>0</wp:posOffset>
                </wp:positionH>
                <wp:positionV relativeFrom="page">
                  <wp:align>bottom</wp:align>
                </wp:positionV>
                <wp:extent cx="3848100" cy="720090"/>
                <wp:effectExtent l="0" t="0" r="0" b="0"/>
                <wp:wrapNone/>
                <wp:docPr id="125" name="Text Box 125"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A50E1"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E96FE" id="Text Box 125" o:spid="_x0000_s1140" type="#_x0000_t202" style="position:absolute;left:0;text-align:left;margin-left:0;margin-top:0;width:303pt;height:56.7pt;z-index:25165843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B2w3P28CAAA/BQAADgAAAAAAAAAAAAAAAAAu&#10;AgAAZHJzL2Uyb0RvYy54bWxQSwECLQAUAAYACAAAACEA9MrPqNoAAAAFAQAADwAAAAAAAAAAAAAA&#10;AADJBAAAZHJzL2Rvd25yZXYueG1sUEsFBgAAAAAEAAQA8wAAANAFAAAAAA==&#10;" filled="f" stroked="f" strokeweight=".5pt">
                <v:textbox inset="20mm">
                  <w:txbxContent>
                    <w:p w14:paraId="48AA50E1" w14:textId="77777777" w:rsidR="00BE1D36" w:rsidRDefault="00BE1D36" w:rsidP="00BE1D36">
                      <w:pPr>
                        <w:pStyle w:val="xWebCoverPage"/>
                      </w:pPr>
                      <w:r>
                        <w:t>delwp.vic.gov.au</w:t>
                      </w:r>
                    </w:p>
                  </w:txbxContent>
                </v:textbox>
                <w10:wrap anchorx="page" anchory="page"/>
                <w10:anchorlock/>
              </v:shape>
            </w:pict>
          </mc:Fallback>
        </mc:AlternateContent>
      </w:r>
      <w:r>
        <w:t>Forestry operations</w:t>
      </w:r>
    </w:p>
    <w:p w14:paraId="6A70DE6B" w14:textId="4C5CAD2E" w:rsidR="00BE1D36" w:rsidRDefault="005D1677" w:rsidP="007E5EBF">
      <w:pPr>
        <w:pStyle w:val="Heading5"/>
      </w:pPr>
      <w:r>
        <w:t>F</w:t>
      </w:r>
      <w:r w:rsidR="00BE1D36">
        <w:t>orestry operations</w:t>
      </w:r>
    </w:p>
    <w:p w14:paraId="07119C58" w14:textId="21B2A2A1" w:rsidR="00BE1D36" w:rsidRDefault="00BE1D36" w:rsidP="00BE1D36">
      <w:pPr>
        <w:pStyle w:val="BodyText"/>
        <w:rPr>
          <w:rFonts w:ascii="Calibri" w:hAnsi="Calibri" w:cs="Calibri"/>
          <w:color w:val="000000"/>
          <w:sz w:val="22"/>
          <w:szCs w:val="22"/>
        </w:rPr>
      </w:pPr>
      <w:r>
        <w:rPr>
          <w:rFonts w:ascii="Arial" w:hAnsi="Arial"/>
          <w:color w:val="363534"/>
        </w:rPr>
        <w:t xml:space="preserve">This </w:t>
      </w:r>
      <w:r>
        <w:t xml:space="preserve">hazard relates specifically to native forest harvesting which frequently operates in forest types in which this </w:t>
      </w:r>
      <w:r w:rsidR="001D3902">
        <w:t>species</w:t>
      </w:r>
      <w:r>
        <w:t xml:space="preserve"> has been recorded, </w:t>
      </w:r>
      <w:r w:rsidR="00154876" w:rsidRPr="00154876">
        <w:t>with approximately 29</w:t>
      </w:r>
      <w:r w:rsidR="00154876" w:rsidRPr="00915D82">
        <w:rPr>
          <w:rStyle w:val="BodyTextChar"/>
        </w:rPr>
        <w:t xml:space="preserve">% of the </w:t>
      </w:r>
      <w:r w:rsidR="001D3902">
        <w:rPr>
          <w:rStyle w:val="BodyTextChar"/>
        </w:rPr>
        <w:t>species’</w:t>
      </w:r>
      <w:r w:rsidR="00154876" w:rsidRPr="00915D82">
        <w:rPr>
          <w:rStyle w:val="BodyTextChar"/>
        </w:rPr>
        <w:t xml:space="preserve"> modelled habitat in </w:t>
      </w:r>
      <w:r w:rsidR="00154876" w:rsidRPr="00B6162A">
        <w:rPr>
          <w:rStyle w:val="BodyTextChar"/>
        </w:rPr>
        <w:t>merchantable areas</w:t>
      </w:r>
      <w:r w:rsidR="00731B9D" w:rsidRPr="00B846FE">
        <w:rPr>
          <w:rStyle w:val="BodyTextChar"/>
        </w:rPr>
        <w:t xml:space="preserve"> </w:t>
      </w:r>
      <w:r w:rsidR="00731B9D" w:rsidRPr="00FD57DB">
        <w:rPr>
          <w:rStyle w:val="BodyTextChar"/>
        </w:rPr>
        <w:t>according to the 2015 net harvest area layer</w:t>
      </w:r>
      <w:r w:rsidR="00154876" w:rsidRPr="00FD57DB">
        <w:rPr>
          <w:rStyle w:val="BodyTextChar"/>
        </w:rPr>
        <w:t xml:space="preserve">. </w:t>
      </w:r>
      <w:r w:rsidR="00154876" w:rsidRPr="00B6162A">
        <w:rPr>
          <w:rStyle w:val="BodyTextChar"/>
        </w:rPr>
        <w:t>However, experts noted that due to the patchy distribution of the species, the HDM likely overestimates potential habitat</w:t>
      </w:r>
      <w:r w:rsidR="00731B9D" w:rsidRPr="00FD57DB">
        <w:rPr>
          <w:rStyle w:val="BodyTextChar"/>
        </w:rPr>
        <w:t>, and u</w:t>
      </w:r>
      <w:r w:rsidR="00731B9D" w:rsidRPr="00FD57DB">
        <w:t>sing the revised operable area layer merchantable area is reduced to 11%.</w:t>
      </w:r>
      <w:r w:rsidR="005D0868" w:rsidRPr="00FD57DB">
        <w:t xml:space="preserve"> </w:t>
      </w:r>
      <w:r w:rsidR="005D0868">
        <w:rPr>
          <w:color w:val="7030A0"/>
        </w:rPr>
        <w:t>F</w:t>
      </w:r>
      <w:r w:rsidRPr="007F43C0">
        <w:t xml:space="preserve">orestry operations, including </w:t>
      </w:r>
      <w:r w:rsidR="003B3D54" w:rsidRPr="007F43C0">
        <w:t>timber harvesting</w:t>
      </w:r>
      <w:r w:rsidRPr="007F43C0">
        <w:t>, regeneration burning or scalping and road construction and maintenance</w:t>
      </w:r>
      <w:r>
        <w:t xml:space="preserve">, are likely to result in adult mortality and reliance on recruitment from the soil-stored seedbank for population maintenance. Whenever these operations include </w:t>
      </w:r>
      <w:r w:rsidR="00795196">
        <w:t>regeneration</w:t>
      </w:r>
      <w:r>
        <w:t xml:space="preserve"> burning, the risks of recruitment failure due to targeted browsing by native or exotic herbivores, extreme drought events or, potentially, intense competition from aggressive primary native colonisers is increased. </w:t>
      </w:r>
      <w:r>
        <w:rPr>
          <w:rStyle w:val="BodyTextChar"/>
        </w:rPr>
        <w:t xml:space="preserve">Field observation over many decades suggests that most </w:t>
      </w:r>
      <w:r>
        <w:rPr>
          <w:rStyle w:val="BodyTextChar"/>
          <w:i/>
          <w:iCs/>
        </w:rPr>
        <w:t>Pomaderris</w:t>
      </w:r>
      <w:r>
        <w:rPr>
          <w:rStyle w:val="BodyTextChar"/>
        </w:rPr>
        <w:t xml:space="preserve"> species have a fickle response to fire with most adults killed outright, a few with weak resprouting and a highly variable seed-based recruitment success. This suggests that the genus </w:t>
      </w:r>
      <w:r w:rsidR="006B121E">
        <w:rPr>
          <w:rStyle w:val="BodyTextChar"/>
        </w:rPr>
        <w:t>is</w:t>
      </w:r>
      <w:r>
        <w:rPr>
          <w:rStyle w:val="BodyTextChar"/>
        </w:rPr>
        <w:t xml:space="preserve"> operating in an environment already close to the threshold of tolerance of current fire regimes and recruitment strategies. </w:t>
      </w:r>
    </w:p>
    <w:p w14:paraId="49A79DE8" w14:textId="77777777" w:rsidR="00BE1D36" w:rsidRDefault="00BE1D36" w:rsidP="00BE1D36">
      <w:pPr>
        <w:pStyle w:val="BodyText"/>
      </w:pPr>
      <w:r>
        <w:t>Current controls for this hazard include:</w:t>
      </w:r>
    </w:p>
    <w:p w14:paraId="3E61A120" w14:textId="07CCF97C" w:rsidR="00BE1D36" w:rsidRPr="005D0868" w:rsidRDefault="00BE1D36" w:rsidP="006670D2">
      <w:pPr>
        <w:pStyle w:val="PullOutBoxBullet"/>
      </w:pPr>
      <w:r>
        <w:t xml:space="preserve">The </w:t>
      </w:r>
      <w:r w:rsidRPr="005D0868">
        <w:rPr>
          <w:i/>
          <w:iCs/>
        </w:rPr>
        <w:t>Code of Practice for Timber Production 2014.</w:t>
      </w:r>
      <w:r>
        <w:t xml:space="preserve"> </w:t>
      </w:r>
      <w:r w:rsidR="00DC3C32" w:rsidRPr="005D0868">
        <w:t>This has been evaluated as poor. Because the species has a patchy distribution, it is not always likely to be targeted in pre-harvest surveys.</w:t>
      </w:r>
    </w:p>
    <w:p w14:paraId="426F2C48" w14:textId="34D00B85" w:rsidR="00BE1D36" w:rsidRDefault="00BE1D36" w:rsidP="006670D2">
      <w:pPr>
        <w:pStyle w:val="PullOutBoxBullet"/>
        <w:rPr>
          <w:rFonts w:eastAsiaTheme="minorEastAsia" w:cstheme="minorBidi"/>
          <w:sz w:val="22"/>
          <w:szCs w:val="22"/>
        </w:rPr>
      </w:pPr>
      <w:r>
        <w:t xml:space="preserve">The CAR reserve system. </w:t>
      </w:r>
      <w:r w:rsidR="003809EB" w:rsidRPr="00CB51DA">
        <w:rPr>
          <w:rStyle w:val="normaltextrun"/>
        </w:rPr>
        <w:t>The effectiveness of this control for this species has been evaluated</w:t>
      </w:r>
      <w:r w:rsidR="003809EB">
        <w:t xml:space="preserve"> as </w:t>
      </w:r>
      <w:r>
        <w:t xml:space="preserve">satisfactory as 55% of the </w:t>
      </w:r>
      <w:r w:rsidR="001D3902">
        <w:t>species’</w:t>
      </w:r>
      <w:r>
        <w:t xml:space="preserve"> modelled distribution and 88% of important populations are within the reserve system.</w:t>
      </w:r>
    </w:p>
    <w:p w14:paraId="3E028FF6" w14:textId="0AA1AC67"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260</w:t>
      </w:r>
      <w:r w:rsidR="000B6788" w:rsidRPr="00B846FE">
        <w:rPr>
          <w:bCs/>
          <w:noProof/>
        </w:rPr>
        <w:fldChar w:fldCharType="end"/>
      </w:r>
      <w:r w:rsidRPr="00FF310C">
        <w:t>. Upright Pomaderris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BE1D36" w14:paraId="2A9B8831"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0359A6FD"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2167EA7D"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4C363718" w14:textId="77777777" w:rsidTr="00B45E4E">
        <w:tc>
          <w:tcPr>
            <w:tcW w:w="2268" w:type="dxa"/>
            <w:tcBorders>
              <w:top w:val="single" w:sz="8" w:space="0" w:color="CDDC29" w:themeColor="text2"/>
              <w:left w:val="nil"/>
              <w:bottom w:val="single" w:sz="8" w:space="0" w:color="CDDC29" w:themeColor="text2"/>
              <w:right w:val="nil"/>
            </w:tcBorders>
            <w:hideMark/>
          </w:tcPr>
          <w:p w14:paraId="2BC47DEB" w14:textId="55F35C4C" w:rsidR="00BE1D36" w:rsidRDefault="00BE1D36" w:rsidP="00B45E4E">
            <w:pPr>
              <w:pStyle w:val="BodyText"/>
            </w:pPr>
            <w:r>
              <w:t>Interim protections</w:t>
            </w:r>
            <w:r w:rsidR="0019679E">
              <w:t xml:space="preserve"> </w:t>
            </w:r>
          </w:p>
        </w:tc>
        <w:tc>
          <w:tcPr>
            <w:tcW w:w="7371" w:type="dxa"/>
            <w:tcBorders>
              <w:top w:val="single" w:sz="8" w:space="0" w:color="CDDC29" w:themeColor="text2"/>
              <w:left w:val="nil"/>
              <w:bottom w:val="single" w:sz="8" w:space="0" w:color="CDDC29" w:themeColor="text2"/>
              <w:right w:val="nil"/>
            </w:tcBorders>
            <w:hideMark/>
          </w:tcPr>
          <w:p w14:paraId="2C1F6A1A" w14:textId="77777777" w:rsidR="00BE1D36" w:rsidRDefault="00BE1D36" w:rsidP="00B45E4E">
            <w:pPr>
              <w:pStyle w:val="BodyText"/>
            </w:pPr>
            <w:r>
              <w:t>Not required for this hazard based on the overall risk level of medium.</w:t>
            </w:r>
          </w:p>
        </w:tc>
      </w:tr>
      <w:tr w:rsidR="00A97C1A" w14:paraId="5F33836C" w14:textId="77777777" w:rsidTr="00B45E4E">
        <w:tc>
          <w:tcPr>
            <w:tcW w:w="2268" w:type="dxa"/>
            <w:tcBorders>
              <w:top w:val="single" w:sz="8" w:space="0" w:color="CDDC29" w:themeColor="text2"/>
              <w:left w:val="nil"/>
              <w:bottom w:val="single" w:sz="8" w:space="0" w:color="CDDC29" w:themeColor="text2"/>
              <w:right w:val="nil"/>
            </w:tcBorders>
          </w:tcPr>
          <w:p w14:paraId="72721122" w14:textId="5645A072" w:rsidR="00A97C1A" w:rsidRDefault="00A97C1A"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1D083705" w14:textId="4AEB0750" w:rsidR="00A97C1A" w:rsidRDefault="00A97C1A" w:rsidP="00B45E4E">
            <w:pPr>
              <w:pStyle w:val="BodyText"/>
            </w:pPr>
            <w:r>
              <w:t>Not required for this hazard based on the overall risk level of medium.</w:t>
            </w:r>
          </w:p>
        </w:tc>
      </w:tr>
      <w:tr w:rsidR="00A97C1A" w14:paraId="30DDEE73" w14:textId="77777777" w:rsidTr="00B45E4E">
        <w:tc>
          <w:tcPr>
            <w:tcW w:w="2268" w:type="dxa"/>
            <w:tcBorders>
              <w:top w:val="single" w:sz="8" w:space="0" w:color="CDDC29" w:themeColor="text2"/>
              <w:left w:val="nil"/>
              <w:bottom w:val="single" w:sz="8" w:space="0" w:color="CDDC29" w:themeColor="text2"/>
              <w:right w:val="nil"/>
            </w:tcBorders>
            <w:hideMark/>
          </w:tcPr>
          <w:p w14:paraId="56EC70C7" w14:textId="77777777" w:rsidR="00A97C1A" w:rsidRDefault="00A97C1A" w:rsidP="00B45E4E">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47AF730F" w14:textId="77777777" w:rsidR="00A97C1A" w:rsidRDefault="00A97C1A" w:rsidP="00B45E4E">
            <w:pPr>
              <w:pStyle w:val="BodyText"/>
            </w:pPr>
            <w:r>
              <w:t>Additional permanent protections may be required in the longer-term.</w:t>
            </w:r>
          </w:p>
        </w:tc>
      </w:tr>
      <w:tr w:rsidR="00A97C1A" w14:paraId="3B4656D5" w14:textId="77777777" w:rsidTr="00B45E4E">
        <w:tc>
          <w:tcPr>
            <w:tcW w:w="2268" w:type="dxa"/>
            <w:tcBorders>
              <w:top w:val="single" w:sz="8" w:space="0" w:color="CDDC29" w:themeColor="text2"/>
              <w:left w:val="nil"/>
              <w:bottom w:val="single" w:sz="8" w:space="0" w:color="CDDC29" w:themeColor="text2"/>
              <w:right w:val="nil"/>
            </w:tcBorders>
            <w:hideMark/>
          </w:tcPr>
          <w:p w14:paraId="4D11901D" w14:textId="2D41B418" w:rsidR="00A97C1A" w:rsidRDefault="00A97C1A" w:rsidP="00B45E4E">
            <w:pPr>
              <w:pStyle w:val="BodyText"/>
            </w:pPr>
            <w:r>
              <w:t>Potential management actions</w:t>
            </w:r>
          </w:p>
        </w:tc>
        <w:tc>
          <w:tcPr>
            <w:tcW w:w="7371" w:type="dxa"/>
            <w:tcBorders>
              <w:top w:val="single" w:sz="8" w:space="0" w:color="CDDC29" w:themeColor="text2"/>
              <w:left w:val="nil"/>
              <w:bottom w:val="single" w:sz="8" w:space="0" w:color="CDDC29" w:themeColor="text2"/>
              <w:right w:val="nil"/>
            </w:tcBorders>
            <w:hideMark/>
          </w:tcPr>
          <w:p w14:paraId="35D27650" w14:textId="4CA6C626" w:rsidR="00A97C1A" w:rsidRDefault="00A97C1A" w:rsidP="006670D2">
            <w:pPr>
              <w:pStyle w:val="PullOutBoxBullet"/>
            </w:pPr>
            <w:r>
              <w:t xml:space="preserve">Improve information the location of important populations in </w:t>
            </w:r>
            <w:r w:rsidR="00AE11C2">
              <w:t>State Forest</w:t>
            </w:r>
            <w:r>
              <w:t>;</w:t>
            </w:r>
          </w:p>
          <w:p w14:paraId="6611A35E" w14:textId="3BC426C3" w:rsidR="00A97C1A" w:rsidRDefault="00A97C1A" w:rsidP="006670D2">
            <w:pPr>
              <w:pStyle w:val="PullOutBoxBullet"/>
            </w:pPr>
            <w:r>
              <w:t>Monitor population size and health of individuals, and assess threats; and</w:t>
            </w:r>
          </w:p>
          <w:p w14:paraId="4DB531DA" w14:textId="16DE49D2" w:rsidR="00A97C1A" w:rsidRDefault="00A97C1A" w:rsidP="006670D2">
            <w:pPr>
              <w:pStyle w:val="PullOutBoxBullet"/>
            </w:pPr>
            <w:r>
              <w:t xml:space="preserve">Investigate this </w:t>
            </w:r>
            <w:r w:rsidR="001D3902">
              <w:t>species’</w:t>
            </w:r>
            <w:r>
              <w:t xml:space="preserve"> response to disturbance.</w:t>
            </w:r>
          </w:p>
        </w:tc>
      </w:tr>
    </w:tbl>
    <w:p w14:paraId="147DECAB" w14:textId="2A19AEF8" w:rsidR="00BE1D36" w:rsidRDefault="00BE1D36" w:rsidP="007E5EBF">
      <w:pPr>
        <w:pStyle w:val="Heading3"/>
      </w:pPr>
      <w:r>
        <w:rPr>
          <w:noProof/>
        </w:rPr>
        <mc:AlternateContent>
          <mc:Choice Requires="wps">
            <w:drawing>
              <wp:anchor distT="0" distB="0" distL="114300" distR="114300" simplePos="0" relativeHeight="251658442" behindDoc="1" locked="1" layoutInCell="1" allowOverlap="1" wp14:anchorId="15635456" wp14:editId="325AFAC2">
                <wp:simplePos x="0" y="0"/>
                <wp:positionH relativeFrom="page">
                  <wp:posOffset>359410</wp:posOffset>
                </wp:positionH>
                <wp:positionV relativeFrom="page">
                  <wp:posOffset>9071610</wp:posOffset>
                </wp:positionV>
                <wp:extent cx="6840220" cy="431800"/>
                <wp:effectExtent l="0" t="0" r="0" b="0"/>
                <wp:wrapNone/>
                <wp:docPr id="126" name="Text Box 126"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FD8AF"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35456" id="Text Box 126" o:spid="_x0000_s1141" type="#_x0000_t202" alt="Title: Decorative Cover Shape" style="position:absolute;left:0;text-align:left;margin-left:28.3pt;margin-top:714.3pt;width:538.6pt;height:34pt;z-index:-2516580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BLul7egAIA&#10;AGMFAAAOAAAAAAAAAAAAAAAAAC4CAABkcnMvZTJvRG9jLnhtbFBLAQItABQABgAIAAAAIQCRaybX&#10;3QAAAA0BAAAPAAAAAAAAAAAAAAAAANoEAABkcnMvZG93bnJldi54bWxQSwUGAAAAAAQABADzAAAA&#10;5AUAAAAA&#10;" fillcolor="#201547" stroked="f" strokeweight=".5pt">
                <v:textbox inset="10mm,0,10mm,0">
                  <w:txbxContent>
                    <w:p w14:paraId="5FAFD8AF"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41" behindDoc="0" locked="1" layoutInCell="1" allowOverlap="1" wp14:anchorId="1EA7145A" wp14:editId="7E2B37FE">
                <wp:simplePos x="0" y="0"/>
                <wp:positionH relativeFrom="page">
                  <wp:posOffset>360045</wp:posOffset>
                </wp:positionH>
                <wp:positionV relativeFrom="page">
                  <wp:posOffset>360045</wp:posOffset>
                </wp:positionV>
                <wp:extent cx="1864995" cy="1976120"/>
                <wp:effectExtent l="0" t="0" r="0" b="0"/>
                <wp:wrapNone/>
                <wp:docPr id="127" name="Freeform: Shape 12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2130EC2" id="Freeform: Shape 127" o:spid="_x0000_s1026" style="position:absolute;margin-left:28.35pt;margin-top:28.35pt;width:146.85pt;height:155.6pt;z-index:2516584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440" behindDoc="0" locked="1" layoutInCell="1" allowOverlap="1" wp14:anchorId="0AC48183" wp14:editId="159D09DD">
                <wp:simplePos x="0" y="0"/>
                <wp:positionH relativeFrom="page">
                  <wp:posOffset>359410</wp:posOffset>
                </wp:positionH>
                <wp:positionV relativeFrom="page">
                  <wp:posOffset>359410</wp:posOffset>
                </wp:positionV>
                <wp:extent cx="1864995" cy="1976120"/>
                <wp:effectExtent l="0" t="0" r="0" b="0"/>
                <wp:wrapNone/>
                <wp:docPr id="128" name="Freeform: Shape 12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713D2E8" id="Freeform: Shape 128" o:spid="_x0000_s1026" style="position:absolute;margin-left:28.3pt;margin-top:28.3pt;width:146.85pt;height:155.6pt;z-index:251658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439" behindDoc="0" locked="1" layoutInCell="1" allowOverlap="1" wp14:anchorId="2FA936A3" wp14:editId="7BE690B1">
                <wp:simplePos x="0" y="0"/>
                <wp:positionH relativeFrom="page">
                  <wp:posOffset>0</wp:posOffset>
                </wp:positionH>
                <wp:positionV relativeFrom="page">
                  <wp:align>bottom</wp:align>
                </wp:positionV>
                <wp:extent cx="3848100" cy="720090"/>
                <wp:effectExtent l="0" t="0" r="0" b="0"/>
                <wp:wrapNone/>
                <wp:docPr id="129" name="Text Box 129"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E195E"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936A3" id="Text Box 129" o:spid="_x0000_s1142" type="#_x0000_t202" style="position:absolute;left:0;text-align:left;margin-left:0;margin-top:0;width:303pt;height:56.7pt;z-index:25165843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YI0snm8CAAA/BQAADgAAAAAAAAAAAAAAAAAu&#10;AgAAZHJzL2Uyb0RvYy54bWxQSwECLQAUAAYACAAAACEA9MrPqNoAAAAFAQAADwAAAAAAAAAAAAAA&#10;AADJBAAAZHJzL2Rvd25yZXYueG1sUEsFBgAAAAAEAAQA8wAAANAFAAAAAA==&#10;" filled="f" stroked="f" strokeweight=".5pt">
                <v:textbox inset="20mm">
                  <w:txbxContent>
                    <w:p w14:paraId="65AE195E" w14:textId="77777777" w:rsidR="00BE1D36" w:rsidRDefault="00BE1D36" w:rsidP="00BE1D36">
                      <w:pPr>
                        <w:pStyle w:val="xWebCoverPage"/>
                      </w:pPr>
                      <w:r>
                        <w:t>delwp.vic.gov.au</w:t>
                      </w:r>
                    </w:p>
                  </w:txbxContent>
                </v:textbox>
                <w10:wrap anchorx="page" anchory="page"/>
                <w10:anchorlock/>
              </v:shape>
            </w:pict>
          </mc:Fallback>
        </mc:AlternateContent>
      </w:r>
      <w:bookmarkStart w:id="982" w:name="_Toc88725314"/>
      <w:bookmarkEnd w:id="982"/>
      <w:r>
        <w:t>Invasive species</w:t>
      </w:r>
    </w:p>
    <w:p w14:paraId="3DED13F1" w14:textId="77777777" w:rsidR="00BE1D36" w:rsidRDefault="00BE1D36" w:rsidP="007E5EBF">
      <w:pPr>
        <w:pStyle w:val="Heading5"/>
      </w:pPr>
      <w:r>
        <w:t>Invasive vertebrate (deer)</w:t>
      </w:r>
    </w:p>
    <w:p w14:paraId="4B22EAC1" w14:textId="10BEF879" w:rsidR="00BE1D36" w:rsidRDefault="00BE1D36" w:rsidP="00BE1D36">
      <w:pPr>
        <w:pStyle w:val="BodyText"/>
      </w:pPr>
      <w:r>
        <w:t>Sambar have been increasing in population density and penetration across the region</w:t>
      </w:r>
      <w:r w:rsidR="00D1185A">
        <w:t xml:space="preserve"> (Watter et al. 2020)</w:t>
      </w:r>
      <w:r>
        <w:t xml:space="preserve"> with increasing evidence of targeted browsing of a diversity of </w:t>
      </w:r>
      <w:r>
        <w:rPr>
          <w:i/>
          <w:iCs/>
        </w:rPr>
        <w:t xml:space="preserve">Pomaderris </w:t>
      </w:r>
      <w:r>
        <w:t xml:space="preserve">species. This growing list includes species in unexpectedly dry, rocky, elevated sites where Sambar had not previously been noted as active. Browsing has been observed of both mature adult plants and juvenile recruits for a variety of </w:t>
      </w:r>
      <w:r>
        <w:rPr>
          <w:i/>
          <w:iCs/>
        </w:rPr>
        <w:t>Pomaderris</w:t>
      </w:r>
      <w:r>
        <w:t xml:space="preserve"> taxa. If browsing is sustained over successive seasons the likelihood of adult mortality is substantially increased, exposing recruiting subpopulations to recruitment failure and local extinction. Prolonged or repeated browsing is also likely to reduce flowering and seedset. Small and isolated subpopulations are at particular risk of recruitment failure through targeted browsing by Sambar or Black-tailed Wallaby following intense bushfire, planned burning, post-</w:t>
      </w:r>
      <w:r w:rsidR="003B3D54">
        <w:t>timber harvesting</w:t>
      </w:r>
      <w:r>
        <w:t xml:space="preserve"> regeneration or extreme drought events. </w:t>
      </w:r>
      <w:r>
        <w:rPr>
          <w:rStyle w:val="BodyTextChar"/>
        </w:rPr>
        <w:t xml:space="preserve">Like many other </w:t>
      </w:r>
      <w:r>
        <w:rPr>
          <w:rStyle w:val="BodyTextChar"/>
          <w:i/>
          <w:iCs/>
        </w:rPr>
        <w:t>Pomaderris</w:t>
      </w:r>
      <w:r>
        <w:rPr>
          <w:rStyle w:val="BodyTextChar"/>
        </w:rPr>
        <w:t xml:space="preserve"> species, with the notable exception of Hazel Pomaderris (</w:t>
      </w:r>
      <w:r>
        <w:rPr>
          <w:rStyle w:val="BodyTextChar"/>
          <w:i/>
          <w:iCs/>
        </w:rPr>
        <w:t>Pomaderris aspera</w:t>
      </w:r>
      <w:r>
        <w:rPr>
          <w:rStyle w:val="BodyTextChar"/>
        </w:rPr>
        <w:t>), Upright Pomaderris typically</w:t>
      </w:r>
      <w:r>
        <w:rPr>
          <w:rStyle w:val="BodyTextChar"/>
          <w:i/>
          <w:iCs/>
        </w:rPr>
        <w:t xml:space="preserve"> </w:t>
      </w:r>
      <w:r>
        <w:rPr>
          <w:rStyle w:val="BodyTextChar"/>
        </w:rPr>
        <w:t xml:space="preserve">occurs in very small, isolated stands with little or no likelihood of recolonisation in the event of local extinction. The only plausible vectors of seed are ants (myrmecochory) which operate at the metre scale. </w:t>
      </w:r>
      <w:r>
        <w:t xml:space="preserve">This hazard extends across all the </w:t>
      </w:r>
      <w:r w:rsidR="001D3902">
        <w:t>species’</w:t>
      </w:r>
      <w:r>
        <w:t xml:space="preserve"> populations.</w:t>
      </w:r>
    </w:p>
    <w:p w14:paraId="1594BEAA" w14:textId="77777777" w:rsidR="00BE1D36" w:rsidRDefault="00BE1D36" w:rsidP="00BE1D36">
      <w:pPr>
        <w:pStyle w:val="BodyText"/>
      </w:pPr>
      <w:r>
        <w:t>Current controls for this hazard include:</w:t>
      </w:r>
    </w:p>
    <w:p w14:paraId="06633D5A" w14:textId="55919B9C" w:rsidR="00BE1D36" w:rsidRDefault="00BE1D36" w:rsidP="006670D2">
      <w:pPr>
        <w:pStyle w:val="PullOutBoxBullet"/>
      </w:pPr>
      <w:r>
        <w:t>Targeted deer control. This control has been evaluated as poor because targeted culling is patchy, expensive, and challenging to target in remote forest areas. Sambar deer occur across a large area so there is a reservoir of other areas to recolonise from.</w:t>
      </w:r>
      <w:r w:rsidR="00A000A4" w:rsidRPr="00A000A4">
        <w:t xml:space="preserve"> </w:t>
      </w:r>
      <w:r w:rsidR="00A000A4" w:rsidRPr="00F05594">
        <w:t xml:space="preserve">It is important to note, however, that </w:t>
      </w:r>
      <w:r w:rsidR="00A000A4" w:rsidRPr="00F05594">
        <w:rPr>
          <w:rStyle w:val="eop"/>
          <w:rFonts w:ascii="Arial" w:hAnsi="Arial"/>
          <w:color w:val="363534"/>
        </w:rPr>
        <w:t>recent deer control programs carried out throughout East Gippsland show significant advances in ground-based shooting by using thermal imaging, after-dark hunting and in some cases the use of silencers. Targeted control programs should not be considered inappropriate if program funding is sustainable and the target flora species for protection face significant threat from deer activity.</w:t>
      </w:r>
    </w:p>
    <w:p w14:paraId="28356503" w14:textId="274365ED" w:rsidR="00BE1D36" w:rsidRDefault="00BE1D36" w:rsidP="006670D2">
      <w:pPr>
        <w:pStyle w:val="PullOutBoxBullet"/>
      </w:pPr>
      <w:r>
        <w:t xml:space="preserve">Deer deterrents such as urine pots and sensor lights. These have been evaluated as poor as they have been trialled on the Bogong high-plains and found not to be particularly effective and operate only effectively for a short-time period as the Deer become accustomed to the control. They are useful for small areas with high concentrations of extremely threatened species, however there is a poor likelihood of success for this </w:t>
      </w:r>
      <w:r w:rsidR="001D3902">
        <w:t>species</w:t>
      </w:r>
      <w:r>
        <w:t>.</w:t>
      </w:r>
    </w:p>
    <w:p w14:paraId="2370EA3A" w14:textId="78029B90"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261</w:t>
      </w:r>
      <w:r w:rsidR="000B6788" w:rsidRPr="00B846FE">
        <w:rPr>
          <w:bCs/>
          <w:noProof/>
        </w:rPr>
        <w:fldChar w:fldCharType="end"/>
      </w:r>
      <w:r w:rsidRPr="00FF310C">
        <w:t>. Upright Pomaderris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BE1D36" w14:paraId="5D87BBEB"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DD66725"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653FD97F"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1281CBDE" w14:textId="77777777" w:rsidTr="00B45E4E">
        <w:tc>
          <w:tcPr>
            <w:tcW w:w="2268" w:type="dxa"/>
            <w:tcBorders>
              <w:top w:val="single" w:sz="8" w:space="0" w:color="CDDC29" w:themeColor="text2"/>
              <w:left w:val="nil"/>
              <w:bottom w:val="single" w:sz="8" w:space="0" w:color="CDDC29" w:themeColor="text2"/>
              <w:right w:val="nil"/>
            </w:tcBorders>
            <w:hideMark/>
          </w:tcPr>
          <w:p w14:paraId="3B411DF5" w14:textId="3AAF0019" w:rsidR="00BE1D36" w:rsidRDefault="00C66792"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4C2715F2" w14:textId="77777777" w:rsidR="00BE1D36" w:rsidRDefault="00BE1D36" w:rsidP="00B45E4E">
            <w:pPr>
              <w:pStyle w:val="BodyText"/>
            </w:pPr>
            <w:r>
              <w:t>Not required for this hazard as it is an ongoing hazard operating stochastically.</w:t>
            </w:r>
          </w:p>
        </w:tc>
      </w:tr>
      <w:tr w:rsidR="00BE1D36" w14:paraId="6EEFD41F" w14:textId="77777777" w:rsidTr="00B45E4E">
        <w:tc>
          <w:tcPr>
            <w:tcW w:w="2268" w:type="dxa"/>
            <w:tcBorders>
              <w:top w:val="single" w:sz="8" w:space="0" w:color="CDDC29" w:themeColor="text2"/>
              <w:left w:val="nil"/>
              <w:bottom w:val="single" w:sz="8" w:space="0" w:color="CDDC29" w:themeColor="text2"/>
              <w:right w:val="nil"/>
            </w:tcBorders>
            <w:hideMark/>
          </w:tcPr>
          <w:p w14:paraId="4893EAD7" w14:textId="78571462" w:rsidR="00BE1D36" w:rsidRDefault="00C66792"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034F5D0C" w14:textId="77777777" w:rsidR="00507017" w:rsidRPr="00FD57DB" w:rsidRDefault="00BE1D36" w:rsidP="006670D2">
            <w:pPr>
              <w:pStyle w:val="PullOutBoxBullet"/>
              <w:rPr>
                <w:rFonts w:ascii="Arial" w:hAnsi="Arial"/>
                <w:color w:val="363534"/>
              </w:rPr>
            </w:pPr>
            <w:r>
              <w:t xml:space="preserve">Monitor recruiting populations in the first two years following </w:t>
            </w:r>
            <w:r w:rsidR="003B3D54">
              <w:t>timber harvesting</w:t>
            </w:r>
            <w:r>
              <w:t xml:space="preserve">, planned burning and bushfire (these are the three events that will trigger recruitment) to see evidence of browsing by Sambar; and </w:t>
            </w:r>
          </w:p>
          <w:p w14:paraId="6DA5064E" w14:textId="1665A8E5" w:rsidR="00BE1D36" w:rsidRDefault="00507017" w:rsidP="006670D2">
            <w:pPr>
              <w:pStyle w:val="PullOutBoxBullet"/>
              <w:rPr>
                <w:rFonts w:ascii="Arial" w:hAnsi="Arial"/>
                <w:color w:val="363534"/>
              </w:rPr>
            </w:pPr>
            <w:r>
              <w:t>G</w:t>
            </w:r>
            <w:r w:rsidR="00BE1D36">
              <w:t xml:space="preserve">iven the localised nature of the </w:t>
            </w:r>
            <w:r w:rsidR="001D3902">
              <w:t>species</w:t>
            </w:r>
            <w:r w:rsidR="00BE1D36">
              <w:t>, fencing or tree-guarding a proportion of the recruits may be feasible and effective.</w:t>
            </w:r>
          </w:p>
        </w:tc>
      </w:tr>
    </w:tbl>
    <w:p w14:paraId="01A997C9" w14:textId="77777777" w:rsidR="00BE1D36" w:rsidRDefault="00BE1D36" w:rsidP="007E5EBF">
      <w:pPr>
        <w:pStyle w:val="Heading3"/>
      </w:pPr>
      <w:bookmarkStart w:id="983" w:name="_Toc88725316"/>
      <w:bookmarkStart w:id="984" w:name="_Toc88725317"/>
      <w:bookmarkStart w:id="985" w:name="_Toc88725318"/>
      <w:bookmarkStart w:id="986" w:name="_Toc88725319"/>
      <w:bookmarkStart w:id="987" w:name="_Toc88725320"/>
      <w:bookmarkStart w:id="988" w:name="_Toc88725321"/>
      <w:bookmarkStart w:id="989" w:name="_Toc88725322"/>
      <w:bookmarkStart w:id="990" w:name="_Toc88725323"/>
      <w:bookmarkStart w:id="991" w:name="_Toc88725324"/>
      <w:bookmarkStart w:id="992" w:name="_Toc88725325"/>
      <w:bookmarkStart w:id="993" w:name="_Toc88725326"/>
      <w:bookmarkStart w:id="994" w:name="_Toc88725327"/>
      <w:bookmarkStart w:id="995" w:name="_Toc88725328"/>
      <w:bookmarkStart w:id="996" w:name="_Toc88725330"/>
      <w:bookmarkStart w:id="997" w:name="_Toc88725332"/>
      <w:bookmarkStart w:id="998" w:name="_Toc88725334"/>
      <w:bookmarkStart w:id="999" w:name="_Toc88725336"/>
      <w:bookmarkStart w:id="1000" w:name="_Toc88725337"/>
      <w:bookmarkStart w:id="1001" w:name="_Toc88725338"/>
      <w:bookmarkStart w:id="1002" w:name="_Toc88725339"/>
      <w:bookmarkStart w:id="1003" w:name="_Toc88725340"/>
      <w:bookmarkStart w:id="1004" w:name="_Toc88725343"/>
      <w:bookmarkStart w:id="1005" w:name="_Toc88725344"/>
      <w:bookmarkStart w:id="1006" w:name="_Toc88725345"/>
      <w:bookmarkStart w:id="1007" w:name="_Toc88725346"/>
      <w:bookmarkStart w:id="1008" w:name="_Toc88725347"/>
      <w:bookmarkStart w:id="1009" w:name="_Toc88725348"/>
      <w:bookmarkStart w:id="1010" w:name="_Toc88725349"/>
      <w:bookmarkStart w:id="1011" w:name="_Toc88725350"/>
      <w:bookmarkStart w:id="1012" w:name="_Toc88725351"/>
      <w:bookmarkStart w:id="1013" w:name="_Toc88725352"/>
      <w:bookmarkStart w:id="1014" w:name="_Toc88725353"/>
      <w:bookmarkStart w:id="1015" w:name="_Toc88725355"/>
      <w:bookmarkStart w:id="1016" w:name="_Toc88725357"/>
      <w:bookmarkStart w:id="1017" w:name="_Toc88725359"/>
      <w:bookmarkStart w:id="1018" w:name="_Toc88725361"/>
      <w:bookmarkStart w:id="1019" w:name="_Toc88725362"/>
      <w:bookmarkStart w:id="1020" w:name="_Toc88725363"/>
      <w:bookmarkStart w:id="1021" w:name="_Toc88725364"/>
      <w:bookmarkStart w:id="1022" w:name="_Toc88725365"/>
      <w:bookmarkStart w:id="1023" w:name="_Toc88725367"/>
      <w:bookmarkStart w:id="1024" w:name="_Toc88725368"/>
      <w:bookmarkStart w:id="1025" w:name="_Toc88725370"/>
      <w:bookmarkStart w:id="1026" w:name="_Toc88725372"/>
      <w:bookmarkStart w:id="1027" w:name="_Toc88725374"/>
      <w:bookmarkStart w:id="1028" w:name="_Toc88725376"/>
      <w:bookmarkStart w:id="1029" w:name="_Toc88725377"/>
      <w:bookmarkStart w:id="1030" w:name="_Toc88725378"/>
      <w:bookmarkStart w:id="1031" w:name="_Toc88725379"/>
      <w:bookmarkStart w:id="1032" w:name="_Toc88725380"/>
      <w:bookmarkStart w:id="1033" w:name="_Toc88725381"/>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r>
        <w:t>Population dynamics</w:t>
      </w:r>
      <w:bookmarkEnd w:id="1033"/>
    </w:p>
    <w:p w14:paraId="6230AA7F" w14:textId="77777777" w:rsidR="00BE1D36" w:rsidRDefault="00BE1D36" w:rsidP="007E5EBF">
      <w:pPr>
        <w:pStyle w:val="Heading5"/>
        <w:rPr>
          <w:rFonts w:ascii="Segoe UI" w:hAnsi="Segoe UI" w:cs="Segoe UI"/>
        </w:rPr>
      </w:pPr>
      <w:r>
        <w:t>Small/restricted population (flora) </w:t>
      </w:r>
    </w:p>
    <w:p w14:paraId="0009B7FD" w14:textId="70193463" w:rsidR="00BE1D36" w:rsidRDefault="00BE1D36" w:rsidP="00BE1D36">
      <w:pPr>
        <w:pStyle w:val="BodyText"/>
      </w:pPr>
      <w:r>
        <w:t xml:space="preserve">The </w:t>
      </w:r>
      <w:r w:rsidR="001D3902">
        <w:t>species</w:t>
      </w:r>
      <w:r>
        <w:t xml:space="preserve"> is currently only known in Victoria in several dry upslope sites in remote forest between Goongerah and Bonang West north-east of Orbost. Whilst the forest habitat is not uncommon in the district, the likelihood that other occurrences occur elsewhere in the district cannot be predicted. All forest in the general vicinity of the known occurrences is state forest, with </w:t>
      </w:r>
      <w:r w:rsidR="00507017">
        <w:t>11</w:t>
      </w:r>
      <w:r>
        <w:t xml:space="preserve">% of the </w:t>
      </w:r>
      <w:r w:rsidR="001D3902">
        <w:t>species’</w:t>
      </w:r>
      <w:r>
        <w:t xml:space="preserve"> modelled habitat potentially available to timber harvesting. These occurrences are threatened by forestry operations acting synergistically with the impact of Sambar and climatic warming and drying.</w:t>
      </w:r>
    </w:p>
    <w:p w14:paraId="0FE4086E" w14:textId="77777777" w:rsidR="00BE1D36" w:rsidRDefault="00BE1D36" w:rsidP="00BE1D36">
      <w:pPr>
        <w:pStyle w:val="BodyText"/>
      </w:pPr>
      <w:r>
        <w:t>Current controls for this hazard include:</w:t>
      </w:r>
    </w:p>
    <w:p w14:paraId="3A241B2F" w14:textId="77777777" w:rsidR="00BE1D36" w:rsidRDefault="00BE1D36" w:rsidP="006670D2">
      <w:pPr>
        <w:pStyle w:val="PullOutBoxBullet"/>
      </w:pPr>
      <w:r>
        <w:t xml:space="preserve">The </w:t>
      </w:r>
      <w:r>
        <w:rPr>
          <w:i/>
          <w:iCs/>
        </w:rPr>
        <w:t>Code of Practice for Timber Production 2014</w:t>
      </w:r>
      <w:r>
        <w:t>. This has been evaluated as poor, as it is limited by the very small number of known site records for a species which has the potential to occur sporadically across much of the region.</w:t>
      </w:r>
    </w:p>
    <w:p w14:paraId="1633BC8D" w14:textId="75C489AF"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262</w:t>
      </w:r>
      <w:r w:rsidR="000B6788" w:rsidRPr="00B846FE">
        <w:rPr>
          <w:bCs/>
          <w:noProof/>
        </w:rPr>
        <w:fldChar w:fldCharType="end"/>
      </w:r>
      <w:r w:rsidRPr="00FF310C">
        <w:t>. Upright Pomaderris protection requirements and recommendations for small/restricted population (flora)</w:t>
      </w:r>
    </w:p>
    <w:tbl>
      <w:tblPr>
        <w:tblStyle w:val="TableGrid"/>
        <w:tblW w:w="0" w:type="auto"/>
        <w:tblLook w:val="04A0" w:firstRow="1" w:lastRow="0" w:firstColumn="1" w:lastColumn="0" w:noHBand="0" w:noVBand="1"/>
      </w:tblPr>
      <w:tblGrid>
        <w:gridCol w:w="2268"/>
        <w:gridCol w:w="7371"/>
      </w:tblGrid>
      <w:tr w:rsidR="00BE1D36" w14:paraId="6C261010"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9D532C1"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63090588"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60A08B0A" w14:textId="77777777" w:rsidTr="00B45E4E">
        <w:tc>
          <w:tcPr>
            <w:tcW w:w="2268" w:type="dxa"/>
            <w:tcBorders>
              <w:top w:val="single" w:sz="8" w:space="0" w:color="CDDC29" w:themeColor="text2"/>
              <w:left w:val="nil"/>
              <w:bottom w:val="single" w:sz="8" w:space="0" w:color="CDDC29" w:themeColor="text2"/>
              <w:right w:val="nil"/>
            </w:tcBorders>
            <w:hideMark/>
          </w:tcPr>
          <w:p w14:paraId="0B4337F7" w14:textId="4001127C" w:rsidR="00BE1D36" w:rsidRDefault="00C66792"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2CC6C5D7" w14:textId="6C001319" w:rsidR="00BE1D36" w:rsidRDefault="00623A33" w:rsidP="00B45E4E">
            <w:pPr>
              <w:pStyle w:val="BodyText"/>
            </w:pPr>
            <w:r w:rsidRPr="00C23B38">
              <w:t>May be required for this hazard</w:t>
            </w:r>
            <w:r>
              <w:t>. This will be addressed through the development of the action statement</w:t>
            </w:r>
            <w:r w:rsidRPr="00C23B38">
              <w:t>.</w:t>
            </w:r>
          </w:p>
        </w:tc>
      </w:tr>
      <w:tr w:rsidR="00BE1D36" w14:paraId="0BDDBECA" w14:textId="77777777" w:rsidTr="00B45E4E">
        <w:tc>
          <w:tcPr>
            <w:tcW w:w="2268" w:type="dxa"/>
            <w:tcBorders>
              <w:top w:val="single" w:sz="8" w:space="0" w:color="CDDC29" w:themeColor="text2"/>
              <w:left w:val="nil"/>
              <w:bottom w:val="single" w:sz="8" w:space="0" w:color="CDDC29" w:themeColor="text2"/>
              <w:right w:val="nil"/>
            </w:tcBorders>
            <w:hideMark/>
          </w:tcPr>
          <w:p w14:paraId="69DC558E" w14:textId="3961DFF4" w:rsidR="00BE1D36" w:rsidRDefault="00C66792"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44CB27E4" w14:textId="1E988761" w:rsidR="00BE1D36" w:rsidRDefault="00BE1D36" w:rsidP="006670D2">
            <w:pPr>
              <w:pStyle w:val="PullOutBoxBullet"/>
            </w:pPr>
            <w:r>
              <w:t xml:space="preserve">Collect seed for the VCS from across the </w:t>
            </w:r>
            <w:r w:rsidR="001D3902">
              <w:t>species’</w:t>
            </w:r>
            <w:r>
              <w:t xml:space="preserve"> range as insurance against catastrophic loss</w:t>
            </w:r>
            <w:r w:rsidR="00CB5E33">
              <w:t>; and</w:t>
            </w:r>
          </w:p>
          <w:p w14:paraId="40C6209B" w14:textId="7E1118BF" w:rsidR="00BE1D36" w:rsidRDefault="00BE1D36" w:rsidP="006670D2">
            <w:pPr>
              <w:pStyle w:val="PullOutBoxBullet"/>
              <w:rPr>
                <w:rFonts w:ascii="Arial" w:hAnsi="Arial"/>
                <w:color w:val="363534"/>
              </w:rPr>
            </w:pPr>
            <w:r>
              <w:t xml:space="preserve">Consider options to conserve this </w:t>
            </w:r>
            <w:r w:rsidR="001D3902">
              <w:t>species</w:t>
            </w:r>
            <w:r>
              <w:t xml:space="preserve"> under climate change, including protection of refuges, maintenance of hydrological regimes, translocation to more secure sites and gene mixing to improve its adaptability.</w:t>
            </w:r>
          </w:p>
        </w:tc>
      </w:tr>
    </w:tbl>
    <w:p w14:paraId="54ED151C" w14:textId="77777777" w:rsidR="00BE1D36" w:rsidRDefault="00BE1D36" w:rsidP="00BE1D36">
      <w:pPr>
        <w:pStyle w:val="ListBullet"/>
        <w:numPr>
          <w:ilvl w:val="0"/>
          <w:numId w:val="0"/>
        </w:numPr>
        <w:ind w:left="397"/>
        <w:rPr>
          <w:szCs w:val="20"/>
        </w:rPr>
      </w:pPr>
    </w:p>
    <w:p w14:paraId="264FC930" w14:textId="77777777" w:rsidR="00BE1D36" w:rsidRDefault="00BE1D36" w:rsidP="00BE1D36">
      <w:pPr>
        <w:rPr>
          <w:rFonts w:ascii="Arial" w:hAnsi="Arial"/>
          <w:color w:val="363534"/>
        </w:rPr>
      </w:pPr>
      <w:r>
        <w:rPr>
          <w:rFonts w:ascii="Arial" w:hAnsi="Arial"/>
          <w:color w:val="363534"/>
        </w:rPr>
        <w:br w:type="page"/>
      </w:r>
    </w:p>
    <w:p w14:paraId="2408860F" w14:textId="7FD01137" w:rsidR="00BE1D36" w:rsidRPr="00B040DE" w:rsidRDefault="00BE1D36" w:rsidP="00171F18">
      <w:pPr>
        <w:pStyle w:val="Heading2"/>
        <w:ind w:left="0"/>
        <w:rPr>
          <w:i/>
          <w:iCs/>
        </w:rPr>
      </w:pPr>
      <w:bookmarkStart w:id="1034" w:name="_Toc88147031"/>
      <w:bookmarkStart w:id="1035" w:name="_Toc88725382"/>
      <w:bookmarkStart w:id="1036" w:name="_Toc113271077"/>
      <w:r w:rsidRPr="00B040DE">
        <w:t>Veined Pomaderris </w:t>
      </w:r>
      <w:r w:rsidRPr="00F67DF8">
        <w:rPr>
          <w:i/>
          <w:iCs/>
        </w:rPr>
        <w:t>(Pomaderris costata)</w:t>
      </w:r>
      <w:bookmarkEnd w:id="1034"/>
      <w:bookmarkEnd w:id="1035"/>
      <w:bookmarkEnd w:id="1036"/>
      <w:r w:rsidRPr="00B040DE">
        <w:t> </w:t>
      </w:r>
    </w:p>
    <w:p w14:paraId="760BB77A" w14:textId="2725C305" w:rsidR="00BE1D36" w:rsidRDefault="00BE1D36" w:rsidP="00BE1D36">
      <w:pPr>
        <w:pStyle w:val="BodyText"/>
        <w:rPr>
          <w:rFonts w:ascii="Arial" w:hAnsi="Arial"/>
          <w:color w:val="363534"/>
        </w:rPr>
      </w:pPr>
      <w:r>
        <w:t>The Veined Pomaderris was listed as Endangered in Victoria under the FFG Act in May 2021</w:t>
      </w:r>
      <w:r w:rsidR="00507017">
        <w:t xml:space="preserve">. </w:t>
      </w:r>
      <w:r>
        <w:t xml:space="preserve">The </w:t>
      </w:r>
      <w:r w:rsidR="001D3902">
        <w:t>species</w:t>
      </w:r>
      <w:r>
        <w:t xml:space="preserve"> has modelled habitat in the East Gippsland (100% of modelled habitat) RFA region.</w:t>
      </w:r>
      <w:r>
        <w:rPr>
          <w:rStyle w:val="BodyTextChar"/>
        </w:rPr>
        <w:t xml:space="preserve"> Permanent protections are recommended to address any hazards identified at a significant or high risk, and all</w:t>
      </w:r>
      <w:r>
        <w:t xml:space="preserve"> hazards rated a medium risk or higher will be considered in future management planning.</w:t>
      </w:r>
    </w:p>
    <w:p w14:paraId="3A8AAED8" w14:textId="77777777" w:rsidR="00BE1D36" w:rsidRDefault="00BE1D36" w:rsidP="007E5EBF">
      <w:pPr>
        <w:pStyle w:val="Heading3"/>
      </w:pPr>
      <w:bookmarkStart w:id="1037" w:name="_Toc88725383"/>
      <w:r>
        <w:t>Risk Assessment</w:t>
      </w:r>
      <w:bookmarkEnd w:id="1037"/>
    </w:p>
    <w:p w14:paraId="7562611E" w14:textId="329D923F" w:rsidR="00BE1D36" w:rsidRPr="00FF310C" w:rsidRDefault="00BE1D36" w:rsidP="006670D2">
      <w:pPr>
        <w:pStyle w:val="Caption"/>
        <w:rPr>
          <w:rFonts w:ascii="Segoe UI" w:hAnsi="Segoe UI" w:cs="Segoe UI"/>
          <w:color w:val="363534"/>
        </w:rPr>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263</w:t>
      </w:r>
      <w:r w:rsidR="000B6788" w:rsidRPr="00B846FE">
        <w:rPr>
          <w:bCs/>
          <w:noProof/>
        </w:rPr>
        <w:fldChar w:fldCharType="end"/>
      </w:r>
      <w:r w:rsidRPr="00FF310C">
        <w:t>. Veined Pomaderris risk ratings in the East Gippsland RFA region:</w:t>
      </w:r>
    </w:p>
    <w:tbl>
      <w:tblPr>
        <w:tblStyle w:val="TableGrid"/>
        <w:tblW w:w="9498" w:type="dxa"/>
        <w:tblLook w:val="04A0" w:firstRow="1" w:lastRow="0" w:firstColumn="1" w:lastColumn="0" w:noHBand="0" w:noVBand="1"/>
      </w:tblPr>
      <w:tblGrid>
        <w:gridCol w:w="2374"/>
        <w:gridCol w:w="2375"/>
        <w:gridCol w:w="2374"/>
        <w:gridCol w:w="2375"/>
      </w:tblGrid>
      <w:tr w:rsidR="00BE1D36" w14:paraId="1B7AB904"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74" w:type="dxa"/>
            <w:tcBorders>
              <w:top w:val="single" w:sz="8" w:space="0" w:color="CDDC29" w:themeColor="text2"/>
              <w:left w:val="nil"/>
              <w:bottom w:val="single" w:sz="8" w:space="0" w:color="CDDC29" w:themeColor="text2"/>
              <w:right w:val="nil"/>
            </w:tcBorders>
            <w:vAlign w:val="center"/>
          </w:tcPr>
          <w:p w14:paraId="5A34B522" w14:textId="77777777" w:rsidR="00BE1D36" w:rsidRDefault="00BE1D36" w:rsidP="006670D2">
            <w:pPr>
              <w:pStyle w:val="CaptionImageorFigure"/>
            </w:pPr>
          </w:p>
        </w:tc>
        <w:tc>
          <w:tcPr>
            <w:tcW w:w="2375" w:type="dxa"/>
            <w:tcBorders>
              <w:top w:val="single" w:sz="8" w:space="0" w:color="CDDC29" w:themeColor="text2"/>
              <w:left w:val="nil"/>
              <w:bottom w:val="single" w:sz="8" w:space="0" w:color="CDDC29" w:themeColor="text2"/>
              <w:right w:val="nil"/>
            </w:tcBorders>
            <w:vAlign w:val="center"/>
            <w:hideMark/>
          </w:tcPr>
          <w:p w14:paraId="3315AF4C"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 Increased fire frequency and intensity</w:t>
            </w:r>
          </w:p>
        </w:tc>
        <w:tc>
          <w:tcPr>
            <w:tcW w:w="2374" w:type="dxa"/>
            <w:tcBorders>
              <w:top w:val="single" w:sz="8" w:space="0" w:color="CDDC29" w:themeColor="text2"/>
              <w:left w:val="nil"/>
              <w:bottom w:val="single" w:sz="8" w:space="0" w:color="CDDC29" w:themeColor="text2"/>
              <w:right w:val="nil"/>
            </w:tcBorders>
            <w:vAlign w:val="center"/>
            <w:hideMark/>
          </w:tcPr>
          <w:p w14:paraId="61F2B732" w14:textId="47072247" w:rsidR="00BE1D36" w:rsidRDefault="005D1677"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BE1D36">
              <w:t>orestry operations</w:t>
            </w:r>
          </w:p>
        </w:tc>
        <w:tc>
          <w:tcPr>
            <w:tcW w:w="2375" w:type="dxa"/>
            <w:tcBorders>
              <w:top w:val="single" w:sz="8" w:space="0" w:color="CDDC29" w:themeColor="text2"/>
              <w:left w:val="nil"/>
              <w:bottom w:val="single" w:sz="8" w:space="0" w:color="CDDC29" w:themeColor="text2"/>
              <w:right w:val="nil"/>
            </w:tcBorders>
            <w:vAlign w:val="center"/>
            <w:hideMark/>
          </w:tcPr>
          <w:p w14:paraId="376AE908"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BE1D36" w14:paraId="260C20C1" w14:textId="77777777" w:rsidTr="00BE1D36">
        <w:tc>
          <w:tcPr>
            <w:tcW w:w="2374" w:type="dxa"/>
            <w:tcBorders>
              <w:top w:val="single" w:sz="8" w:space="0" w:color="CDDC29" w:themeColor="text2"/>
              <w:left w:val="nil"/>
              <w:bottom w:val="single" w:sz="8" w:space="0" w:color="CDDC29" w:themeColor="text2"/>
              <w:right w:val="nil"/>
            </w:tcBorders>
            <w:vAlign w:val="center"/>
            <w:hideMark/>
          </w:tcPr>
          <w:p w14:paraId="4E189183" w14:textId="77777777" w:rsidR="00BE1D36" w:rsidRDefault="00BE1D36" w:rsidP="00682BF1">
            <w:pPr>
              <w:pStyle w:val="BodyText"/>
              <w:jc w:val="center"/>
            </w:pPr>
            <w:r>
              <w:t>Consequence</w:t>
            </w:r>
          </w:p>
        </w:tc>
        <w:tc>
          <w:tcPr>
            <w:tcW w:w="2375" w:type="dxa"/>
            <w:tcBorders>
              <w:top w:val="single" w:sz="8" w:space="0" w:color="CDDC29" w:themeColor="text2"/>
              <w:left w:val="nil"/>
              <w:bottom w:val="single" w:sz="8" w:space="0" w:color="CDDC29" w:themeColor="text2"/>
              <w:right w:val="nil"/>
            </w:tcBorders>
            <w:vAlign w:val="center"/>
            <w:hideMark/>
          </w:tcPr>
          <w:p w14:paraId="1F933E3C" w14:textId="77777777" w:rsidR="00BE1D36" w:rsidRDefault="00BE1D36" w:rsidP="00682BF1">
            <w:pPr>
              <w:pStyle w:val="BodyText"/>
              <w:jc w:val="center"/>
            </w:pPr>
            <w:r>
              <w:t>Major</w:t>
            </w:r>
          </w:p>
        </w:tc>
        <w:tc>
          <w:tcPr>
            <w:tcW w:w="2374" w:type="dxa"/>
            <w:tcBorders>
              <w:top w:val="single" w:sz="8" w:space="0" w:color="CDDC29" w:themeColor="text2"/>
              <w:left w:val="nil"/>
              <w:bottom w:val="single" w:sz="8" w:space="0" w:color="CDDC29" w:themeColor="text2"/>
              <w:right w:val="nil"/>
            </w:tcBorders>
            <w:vAlign w:val="center"/>
            <w:hideMark/>
          </w:tcPr>
          <w:p w14:paraId="6EC74FFF" w14:textId="77777777" w:rsidR="00BE1D36" w:rsidRDefault="00BE1D36" w:rsidP="00682BF1">
            <w:pPr>
              <w:pStyle w:val="BodyText"/>
              <w:jc w:val="center"/>
            </w:pPr>
            <w:r>
              <w:t>Moderate</w:t>
            </w:r>
          </w:p>
        </w:tc>
        <w:tc>
          <w:tcPr>
            <w:tcW w:w="2375" w:type="dxa"/>
            <w:tcBorders>
              <w:top w:val="single" w:sz="8" w:space="0" w:color="CDDC29" w:themeColor="text2"/>
              <w:left w:val="nil"/>
              <w:bottom w:val="single" w:sz="8" w:space="0" w:color="CDDC29" w:themeColor="text2"/>
              <w:right w:val="nil"/>
            </w:tcBorders>
            <w:vAlign w:val="center"/>
            <w:hideMark/>
          </w:tcPr>
          <w:p w14:paraId="6F54DF6C" w14:textId="77777777" w:rsidR="00BE1D36" w:rsidRDefault="00BE1D36" w:rsidP="00682BF1">
            <w:pPr>
              <w:pStyle w:val="BodyText"/>
              <w:jc w:val="center"/>
            </w:pPr>
            <w:r>
              <w:t>Major</w:t>
            </w:r>
          </w:p>
        </w:tc>
      </w:tr>
      <w:tr w:rsidR="00BE1D36" w14:paraId="0C2C1025" w14:textId="77777777" w:rsidTr="00BE1D36">
        <w:tc>
          <w:tcPr>
            <w:tcW w:w="2374" w:type="dxa"/>
            <w:tcBorders>
              <w:top w:val="single" w:sz="8" w:space="0" w:color="CDDC29" w:themeColor="text2"/>
              <w:left w:val="nil"/>
              <w:bottom w:val="single" w:sz="8" w:space="0" w:color="CDDC29" w:themeColor="text2"/>
              <w:right w:val="nil"/>
            </w:tcBorders>
            <w:vAlign w:val="center"/>
            <w:hideMark/>
          </w:tcPr>
          <w:p w14:paraId="3A5162F5" w14:textId="77777777" w:rsidR="00BE1D36" w:rsidRDefault="00BE1D36" w:rsidP="00682BF1">
            <w:pPr>
              <w:pStyle w:val="BodyText"/>
              <w:jc w:val="center"/>
            </w:pPr>
            <w:r>
              <w:t>Likelihood</w:t>
            </w:r>
          </w:p>
        </w:tc>
        <w:tc>
          <w:tcPr>
            <w:tcW w:w="2375" w:type="dxa"/>
            <w:tcBorders>
              <w:top w:val="single" w:sz="8" w:space="0" w:color="CDDC29" w:themeColor="text2"/>
              <w:left w:val="nil"/>
              <w:bottom w:val="single" w:sz="8" w:space="0" w:color="CDDC29" w:themeColor="text2"/>
              <w:right w:val="nil"/>
            </w:tcBorders>
            <w:vAlign w:val="center"/>
            <w:hideMark/>
          </w:tcPr>
          <w:p w14:paraId="5F4E187C" w14:textId="77777777" w:rsidR="00BE1D36" w:rsidRDefault="00BE1D36" w:rsidP="00682BF1">
            <w:pPr>
              <w:pStyle w:val="BodyText"/>
              <w:jc w:val="center"/>
            </w:pPr>
            <w:r>
              <w:t>Likely</w:t>
            </w:r>
          </w:p>
        </w:tc>
        <w:tc>
          <w:tcPr>
            <w:tcW w:w="2374" w:type="dxa"/>
            <w:tcBorders>
              <w:top w:val="single" w:sz="8" w:space="0" w:color="CDDC29" w:themeColor="text2"/>
              <w:left w:val="nil"/>
              <w:bottom w:val="single" w:sz="8" w:space="0" w:color="CDDC29" w:themeColor="text2"/>
              <w:right w:val="nil"/>
            </w:tcBorders>
            <w:vAlign w:val="center"/>
            <w:hideMark/>
          </w:tcPr>
          <w:p w14:paraId="520E31D3" w14:textId="77777777" w:rsidR="00BE1D36" w:rsidRDefault="00BE1D36" w:rsidP="00682BF1">
            <w:pPr>
              <w:pStyle w:val="BodyText"/>
              <w:jc w:val="center"/>
            </w:pPr>
            <w:r>
              <w:t>Possible</w:t>
            </w:r>
          </w:p>
        </w:tc>
        <w:tc>
          <w:tcPr>
            <w:tcW w:w="2375" w:type="dxa"/>
            <w:tcBorders>
              <w:top w:val="single" w:sz="8" w:space="0" w:color="CDDC29" w:themeColor="text2"/>
              <w:left w:val="nil"/>
              <w:bottom w:val="single" w:sz="8" w:space="0" w:color="CDDC29" w:themeColor="text2"/>
              <w:right w:val="nil"/>
            </w:tcBorders>
            <w:vAlign w:val="center"/>
            <w:hideMark/>
          </w:tcPr>
          <w:p w14:paraId="059A5142" w14:textId="77777777" w:rsidR="00BE1D36" w:rsidRDefault="00BE1D36" w:rsidP="00682BF1">
            <w:pPr>
              <w:pStyle w:val="BodyText"/>
              <w:jc w:val="center"/>
            </w:pPr>
            <w:r>
              <w:t>Likely</w:t>
            </w:r>
          </w:p>
        </w:tc>
      </w:tr>
      <w:tr w:rsidR="00BE1D36" w14:paraId="0E8A09CE" w14:textId="77777777" w:rsidTr="00BE1D36">
        <w:tc>
          <w:tcPr>
            <w:tcW w:w="2374" w:type="dxa"/>
            <w:tcBorders>
              <w:top w:val="single" w:sz="8" w:space="0" w:color="CDDC29" w:themeColor="text2"/>
              <w:left w:val="nil"/>
              <w:bottom w:val="single" w:sz="8" w:space="0" w:color="CDDC29" w:themeColor="text2"/>
              <w:right w:val="nil"/>
            </w:tcBorders>
            <w:vAlign w:val="center"/>
            <w:hideMark/>
          </w:tcPr>
          <w:p w14:paraId="117413A4" w14:textId="77777777" w:rsidR="00BE1D36" w:rsidRDefault="00BE1D36" w:rsidP="00682BF1">
            <w:pPr>
              <w:pStyle w:val="BodyText"/>
              <w:jc w:val="center"/>
            </w:pPr>
            <w:r>
              <w:t>Overall risk rating</w:t>
            </w:r>
          </w:p>
        </w:tc>
        <w:tc>
          <w:tcPr>
            <w:tcW w:w="2375" w:type="dxa"/>
            <w:tcBorders>
              <w:top w:val="single" w:sz="8" w:space="0" w:color="CDDC29" w:themeColor="text2"/>
              <w:left w:val="nil"/>
              <w:bottom w:val="single" w:sz="8" w:space="0" w:color="CDDC29" w:themeColor="text2"/>
              <w:right w:val="nil"/>
            </w:tcBorders>
            <w:shd w:val="clear" w:color="auto" w:fill="FF0000"/>
            <w:vAlign w:val="center"/>
            <w:hideMark/>
          </w:tcPr>
          <w:p w14:paraId="2D2236E6" w14:textId="77777777" w:rsidR="00BE1D36" w:rsidRDefault="00BE1D36" w:rsidP="00682BF1">
            <w:pPr>
              <w:pStyle w:val="BodyText"/>
              <w:jc w:val="center"/>
            </w:pPr>
            <w:r>
              <w:t>High</w:t>
            </w:r>
          </w:p>
        </w:tc>
        <w:tc>
          <w:tcPr>
            <w:tcW w:w="2374" w:type="dxa"/>
            <w:tcBorders>
              <w:top w:val="single" w:sz="8" w:space="0" w:color="CDDC29" w:themeColor="text2"/>
              <w:left w:val="nil"/>
              <w:bottom w:val="single" w:sz="8" w:space="0" w:color="CDDC29" w:themeColor="text2"/>
              <w:right w:val="nil"/>
            </w:tcBorders>
            <w:shd w:val="clear" w:color="auto" w:fill="FFFF00"/>
            <w:vAlign w:val="center"/>
            <w:hideMark/>
          </w:tcPr>
          <w:p w14:paraId="14A0D180" w14:textId="77777777" w:rsidR="00BE1D36" w:rsidRDefault="00BE1D36" w:rsidP="00682BF1">
            <w:pPr>
              <w:pStyle w:val="BodyText"/>
              <w:jc w:val="center"/>
            </w:pPr>
            <w:r>
              <w:t>Medium</w:t>
            </w:r>
          </w:p>
        </w:tc>
        <w:tc>
          <w:tcPr>
            <w:tcW w:w="2375" w:type="dxa"/>
            <w:tcBorders>
              <w:top w:val="single" w:sz="8" w:space="0" w:color="CDDC29" w:themeColor="text2"/>
              <w:left w:val="nil"/>
              <w:bottom w:val="single" w:sz="8" w:space="0" w:color="CDDC29" w:themeColor="text2"/>
              <w:right w:val="nil"/>
            </w:tcBorders>
            <w:shd w:val="clear" w:color="auto" w:fill="FF0000"/>
            <w:vAlign w:val="center"/>
            <w:hideMark/>
          </w:tcPr>
          <w:p w14:paraId="7891DAF6" w14:textId="77777777" w:rsidR="00BE1D36" w:rsidRDefault="00BE1D36" w:rsidP="00682BF1">
            <w:pPr>
              <w:pStyle w:val="BodyText"/>
              <w:jc w:val="center"/>
            </w:pPr>
            <w:r>
              <w:t>High</w:t>
            </w:r>
          </w:p>
        </w:tc>
      </w:tr>
    </w:tbl>
    <w:p w14:paraId="60A6CFD1" w14:textId="70B0309E" w:rsidR="00BE1D36" w:rsidRDefault="00BE1D36" w:rsidP="007E5EBF">
      <w:pPr>
        <w:pStyle w:val="Heading3"/>
      </w:pPr>
      <w:bookmarkStart w:id="1038" w:name="_Toc88725384"/>
      <w:bookmarkStart w:id="1039" w:name="_Toc88725385"/>
      <w:bookmarkStart w:id="1040" w:name="_Toc88725386"/>
      <w:bookmarkStart w:id="1041" w:name="_Toc88725387"/>
      <w:bookmarkStart w:id="1042" w:name="_Toc88725388"/>
      <w:bookmarkStart w:id="1043" w:name="_Toc88725390"/>
      <w:bookmarkStart w:id="1044" w:name="_Toc88725391"/>
      <w:bookmarkStart w:id="1045" w:name="_Toc88725392"/>
      <w:bookmarkEnd w:id="1038"/>
      <w:bookmarkEnd w:id="1039"/>
      <w:bookmarkEnd w:id="1040"/>
      <w:bookmarkEnd w:id="1041"/>
      <w:bookmarkEnd w:id="1042"/>
      <w:bookmarkEnd w:id="1043"/>
      <w:bookmarkEnd w:id="1044"/>
      <w:r>
        <w:rPr>
          <w:noProof/>
        </w:rPr>
        <mc:AlternateContent>
          <mc:Choice Requires="wps">
            <w:drawing>
              <wp:anchor distT="0" distB="0" distL="114300" distR="114300" simplePos="0" relativeHeight="251658451" behindDoc="1" locked="1" layoutInCell="1" allowOverlap="1" wp14:anchorId="715097F9" wp14:editId="1D841F44">
                <wp:simplePos x="0" y="0"/>
                <wp:positionH relativeFrom="page">
                  <wp:posOffset>359410</wp:posOffset>
                </wp:positionH>
                <wp:positionV relativeFrom="page">
                  <wp:posOffset>9071610</wp:posOffset>
                </wp:positionV>
                <wp:extent cx="6840220" cy="431800"/>
                <wp:effectExtent l="0" t="0" r="0" b="0"/>
                <wp:wrapNone/>
                <wp:docPr id="1316" name="Text Box 1316"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E8CA9"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97F9" id="Text Box 1316" o:spid="_x0000_s1143" type="#_x0000_t202" alt="Title: Decorative Cover Shape" style="position:absolute;left:0;text-align:left;margin-left:28.3pt;margin-top:714.3pt;width:538.6pt;height:34pt;z-index:-2516580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P/kI7h/AgAA&#10;YwUAAA4AAAAAAAAAAAAAAAAALgIAAGRycy9lMm9Eb2MueG1sUEsBAi0AFAAGAAgAAAAhAJFrJtfd&#10;AAAADQEAAA8AAAAAAAAAAAAAAAAA2QQAAGRycy9kb3ducmV2LnhtbFBLBQYAAAAABAAEAPMAAADj&#10;BQAAAAA=&#10;" fillcolor="#201547" stroked="f" strokeweight=".5pt">
                <v:textbox inset="10mm,0,10mm,0">
                  <w:txbxContent>
                    <w:p w14:paraId="162E8CA9"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49" behindDoc="0" locked="1" layoutInCell="1" allowOverlap="1" wp14:anchorId="3BE32C42" wp14:editId="0C92F299">
                <wp:simplePos x="0" y="0"/>
                <wp:positionH relativeFrom="page">
                  <wp:posOffset>360045</wp:posOffset>
                </wp:positionH>
                <wp:positionV relativeFrom="page">
                  <wp:posOffset>360045</wp:posOffset>
                </wp:positionV>
                <wp:extent cx="1864995" cy="1976120"/>
                <wp:effectExtent l="0" t="0" r="0" b="0"/>
                <wp:wrapNone/>
                <wp:docPr id="134" name="Freeform: Shape 13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47F9C2" id="Freeform: Shape 134" o:spid="_x0000_s1026" style="position:absolute;margin-left:28.35pt;margin-top:28.35pt;width:146.85pt;height:155.6pt;z-index:2516584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447" behindDoc="0" locked="1" layoutInCell="1" allowOverlap="1" wp14:anchorId="1525C31C" wp14:editId="2A988EB7">
                <wp:simplePos x="0" y="0"/>
                <wp:positionH relativeFrom="page">
                  <wp:posOffset>359410</wp:posOffset>
                </wp:positionH>
                <wp:positionV relativeFrom="page">
                  <wp:posOffset>359410</wp:posOffset>
                </wp:positionV>
                <wp:extent cx="1864995" cy="1976120"/>
                <wp:effectExtent l="0" t="0" r="0" b="0"/>
                <wp:wrapNone/>
                <wp:docPr id="135" name="Freeform: Shape 13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8EEAE4C" id="Freeform: Shape 135" o:spid="_x0000_s1026" style="position:absolute;margin-left:28.3pt;margin-top:28.3pt;width:146.85pt;height:155.6pt;z-index:2516584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445" behindDoc="0" locked="1" layoutInCell="1" allowOverlap="1" wp14:anchorId="64BAC88F" wp14:editId="78430A76">
                <wp:simplePos x="0" y="0"/>
                <wp:positionH relativeFrom="page">
                  <wp:posOffset>0</wp:posOffset>
                </wp:positionH>
                <wp:positionV relativeFrom="page">
                  <wp:align>bottom</wp:align>
                </wp:positionV>
                <wp:extent cx="3848100" cy="720090"/>
                <wp:effectExtent l="0" t="0" r="0" b="0"/>
                <wp:wrapNone/>
                <wp:docPr id="1319" name="Text Box 1319"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1CBE0"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AC88F" id="Text Box 1319" o:spid="_x0000_s1144" type="#_x0000_t202" style="position:absolute;left:0;text-align:left;margin-left:0;margin-top:0;width:303pt;height:56.7pt;z-index:2516584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1yeNT28CAAA/BQAADgAAAAAAAAAAAAAAAAAu&#10;AgAAZHJzL2Uyb0RvYy54bWxQSwECLQAUAAYACAAAACEA9MrPqNoAAAAFAQAADwAAAAAAAAAAAAAA&#10;AADJBAAAZHJzL2Rvd25yZXYueG1sUEsFBgAAAAAEAAQA8wAAANAFAAAAAA==&#10;" filled="f" stroked="f" strokeweight=".5pt">
                <v:textbox inset="20mm">
                  <w:txbxContent>
                    <w:p w14:paraId="5C81CBE0" w14:textId="77777777" w:rsidR="00BE1D36" w:rsidRDefault="00BE1D36" w:rsidP="00BE1D36">
                      <w:pPr>
                        <w:pStyle w:val="xWebCoverPage"/>
                      </w:pPr>
                      <w:r>
                        <w:t>delwp.vic.gov.au</w:t>
                      </w:r>
                    </w:p>
                  </w:txbxContent>
                </v:textbox>
                <w10:wrap anchorx="page" anchory="page"/>
                <w10:anchorlock/>
              </v:shape>
            </w:pict>
          </mc:Fallback>
        </mc:AlternateContent>
      </w:r>
      <w:bookmarkStart w:id="1046" w:name="_Toc88725393"/>
      <w:bookmarkStart w:id="1047" w:name="_Toc88725394"/>
      <w:bookmarkStart w:id="1048" w:name="_Toc88725395"/>
      <w:bookmarkStart w:id="1049" w:name="_Toc88725396"/>
      <w:bookmarkStart w:id="1050" w:name="_Toc88725397"/>
      <w:bookmarkStart w:id="1051" w:name="_Toc88725398"/>
      <w:bookmarkStart w:id="1052" w:name="_Toc88725399"/>
      <w:bookmarkStart w:id="1053" w:name="_Toc88725400"/>
      <w:bookmarkStart w:id="1054" w:name="_Toc88725401"/>
      <w:bookmarkStart w:id="1055" w:name="_Toc88725402"/>
      <w:bookmarkStart w:id="1056" w:name="_Toc88725403"/>
      <w:bookmarkStart w:id="1057" w:name="_Toc88725405"/>
      <w:bookmarkStart w:id="1058" w:name="_Toc88725407"/>
      <w:bookmarkStart w:id="1059" w:name="_Toc88725409"/>
      <w:bookmarkStart w:id="1060" w:name="_Toc88725411"/>
      <w:bookmarkStart w:id="1061" w:name="_Toc88725412"/>
      <w:bookmarkStart w:id="1062" w:name="_Toc88725413"/>
      <w:bookmarkStart w:id="1063" w:name="_Toc88725414"/>
      <w:bookmarkStart w:id="1064" w:name="_Toc88725415"/>
      <w:bookmarkStart w:id="1065" w:name="_Toc88725416"/>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r>
        <w:t>Climate change; Fire</w:t>
      </w:r>
      <w:bookmarkEnd w:id="1065"/>
    </w:p>
    <w:p w14:paraId="7A7F76AA" w14:textId="77777777" w:rsidR="00BE1D36" w:rsidRDefault="00BE1D36" w:rsidP="007E5EBF">
      <w:pPr>
        <w:pStyle w:val="Heading5"/>
      </w:pPr>
      <w:r>
        <w:t>Drying climate and increased fire frequency and intensity</w:t>
      </w:r>
    </w:p>
    <w:p w14:paraId="06F84DA0" w14:textId="091CEBC0" w:rsidR="00BE1D36" w:rsidRDefault="00BE1D36" w:rsidP="00BE1D36">
      <w:pPr>
        <w:pStyle w:val="BodyText"/>
      </w:pPr>
      <w:r>
        <w:t xml:space="preserve">Climatic warming and drying are projected to result in an increasing risk of bushfire frequency, intensity and landscape scale which expose all stands of </w:t>
      </w:r>
      <w:r>
        <w:rPr>
          <w:i/>
          <w:iCs/>
        </w:rPr>
        <w:t>Pomaderris</w:t>
      </w:r>
      <w:r>
        <w:t xml:space="preserve"> species to the rigours of seed-based recruitment, namely recruitment failure due to intense drought or targeted herbivory by Sambar or Black-tailed Wallaby, seedbank depletion and exhaustion and the risk of local extinction. </w:t>
      </w:r>
      <w:r>
        <w:rPr>
          <w:rStyle w:val="BodyTextChar"/>
        </w:rPr>
        <w:t xml:space="preserve">This hazard extends across all populations of the </w:t>
      </w:r>
      <w:r w:rsidR="001D3902">
        <w:rPr>
          <w:rStyle w:val="BodyTextChar"/>
        </w:rPr>
        <w:t>species</w:t>
      </w:r>
      <w:r>
        <w:rPr>
          <w:rStyle w:val="BodyTextChar"/>
        </w:rPr>
        <w:t xml:space="preserve">. </w:t>
      </w:r>
      <w:r>
        <w:t xml:space="preserve">Field observation over many decades suggests that most </w:t>
      </w:r>
      <w:r>
        <w:rPr>
          <w:i/>
          <w:iCs/>
        </w:rPr>
        <w:t>Pomaderris</w:t>
      </w:r>
      <w:r>
        <w:t xml:space="preserve"> species have a fickle response to fire with most adults killed outright, a few with weak resprouting and a highly variable seed-based recruitment success. This suggests that the genus </w:t>
      </w:r>
      <w:r w:rsidR="006B121E">
        <w:t>is</w:t>
      </w:r>
      <w:r>
        <w:t xml:space="preserve"> operating in an environment already close to the threshold of tolerance of current fire regimes and recruitment strategies. Veined Pomaderris is a species whose response to fire is neither predictable nor reliable and may help explain the very patchy and equally unpredictable distribution of this and many similar taxa.</w:t>
      </w:r>
    </w:p>
    <w:p w14:paraId="7EC69BF5" w14:textId="77777777" w:rsidR="00BE1D36" w:rsidRDefault="00BE1D36" w:rsidP="00BE1D36">
      <w:pPr>
        <w:pStyle w:val="BodyText"/>
      </w:pPr>
      <w:r>
        <w:t>Current controls for this hazard include:</w:t>
      </w:r>
    </w:p>
    <w:p w14:paraId="245A05FC" w14:textId="2EB0F7A5" w:rsidR="00BE1D36" w:rsidRDefault="00BE1D36" w:rsidP="006670D2">
      <w:pPr>
        <w:pStyle w:val="PullOutBoxBullet"/>
      </w:pPr>
      <w:r>
        <w:t>Planned burning. This control may be effective in reducing the risk of severe bushfires in this species’ habitat depending on the location of the burns and the time elapsed since their implementation. Strategic fuel</w:t>
      </w:r>
      <w:r w:rsidR="00DF761D">
        <w:t xml:space="preserve"> </w:t>
      </w:r>
      <w:r>
        <w:t>breaks and associated backburning may also provide valuable protection in some cases for this species and its habitat from severe bushfires.</w:t>
      </w:r>
    </w:p>
    <w:p w14:paraId="2CA45151" w14:textId="1B82801C" w:rsidR="00BE1D36" w:rsidRDefault="007065F7" w:rsidP="006670D2">
      <w:pPr>
        <w:pStyle w:val="PullOutBoxBullet"/>
      </w:pPr>
      <w:r w:rsidRPr="00F26BEE">
        <w:t xml:space="preserve">Values checking and strategic bushfire management planning. </w:t>
      </w:r>
      <w:r w:rsidRPr="00BB09D4">
        <w:t xml:space="preserve">The effectiveness of these measures has been evaluated as poor at mitigating risk to this species. Values checking relies on existing site records and modelled distribution, and for some </w:t>
      </w:r>
      <w:r w:rsidR="009430A5">
        <w:t>taxa</w:t>
      </w:r>
      <w:r w:rsidRPr="00BB09D4">
        <w:t xml:space="preserve"> site records are not comprehensive. Habitat modelling may also exaggerate actual distributions, particularly for poorly-know</w:t>
      </w:r>
      <w:r w:rsidR="000E687D">
        <w:t>n</w:t>
      </w:r>
      <w:r w:rsidRPr="00BB09D4">
        <w:t xml:space="preserve"> </w:t>
      </w:r>
      <w:r w:rsidR="009430A5">
        <w:t>taxa</w:t>
      </w:r>
      <w:r w:rsidR="00BE1D36">
        <w:t xml:space="preserve">.   </w:t>
      </w:r>
    </w:p>
    <w:p w14:paraId="36D04FD1" w14:textId="2E2221A2" w:rsidR="00BE1D36" w:rsidRDefault="00BE1D36" w:rsidP="006670D2">
      <w:pPr>
        <w:pStyle w:val="PullOutBoxBullet"/>
      </w:pPr>
      <w:r>
        <w:t>Bushfire suppression. Th</w:t>
      </w:r>
      <w:r w:rsidR="008845CE">
        <w:t>e risk to this species</w:t>
      </w:r>
      <w:r>
        <w:t xml:space="preserve"> is not effectively controlled; the scale and intensity of recent bushfires means that, despite the frameworks and available resources, emergency response does not always </w:t>
      </w:r>
      <w:r w:rsidR="00381DED">
        <w:t>mitigate</w:t>
      </w:r>
      <w:r>
        <w:t xml:space="preserve"> impacts on </w:t>
      </w:r>
      <w:r w:rsidR="002B62F2">
        <w:t>this species.</w:t>
      </w:r>
    </w:p>
    <w:p w14:paraId="7092D206" w14:textId="77777777" w:rsidR="00BE1D36" w:rsidRDefault="00BE1D36" w:rsidP="00BE1D36">
      <w:pPr>
        <w:rPr>
          <w:b/>
          <w:bCs/>
          <w:sz w:val="16"/>
        </w:rPr>
      </w:pPr>
      <w:r>
        <w:rPr>
          <w:color w:val="auto"/>
        </w:rPr>
        <w:br w:type="page"/>
      </w:r>
    </w:p>
    <w:p w14:paraId="4B902CDC" w14:textId="13C5F403"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264</w:t>
      </w:r>
      <w:r w:rsidR="000B6788" w:rsidRPr="00B846FE">
        <w:rPr>
          <w:bCs/>
          <w:noProof/>
        </w:rPr>
        <w:fldChar w:fldCharType="end"/>
      </w:r>
      <w:r w:rsidRPr="00FF310C">
        <w:t>. Veined Pomaderris protection requirements and recommendations for drying climate and increased fire frequency and intensity</w:t>
      </w:r>
    </w:p>
    <w:tbl>
      <w:tblPr>
        <w:tblStyle w:val="TableGrid"/>
        <w:tblW w:w="0" w:type="auto"/>
        <w:tblLook w:val="04A0" w:firstRow="1" w:lastRow="0" w:firstColumn="1" w:lastColumn="0" w:noHBand="0" w:noVBand="1"/>
      </w:tblPr>
      <w:tblGrid>
        <w:gridCol w:w="2268"/>
        <w:gridCol w:w="7371"/>
      </w:tblGrid>
      <w:tr w:rsidR="00BE1D36" w14:paraId="538E0422"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7515D759"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61F372F5"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5CEABAF6" w14:textId="77777777" w:rsidTr="00B45E4E">
        <w:tc>
          <w:tcPr>
            <w:tcW w:w="2268" w:type="dxa"/>
            <w:tcBorders>
              <w:top w:val="single" w:sz="8" w:space="0" w:color="CDDC29" w:themeColor="text2"/>
              <w:left w:val="nil"/>
              <w:bottom w:val="single" w:sz="8" w:space="0" w:color="CDDC29" w:themeColor="text2"/>
              <w:right w:val="nil"/>
            </w:tcBorders>
            <w:hideMark/>
          </w:tcPr>
          <w:p w14:paraId="0A41721C" w14:textId="03244F88" w:rsidR="00BE1D36" w:rsidRDefault="00CB5E33"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0BC342EA" w14:textId="77777777" w:rsidR="00BE1D36" w:rsidRDefault="00BE1D36" w:rsidP="00B45E4E">
            <w:pPr>
              <w:pStyle w:val="BodyText"/>
            </w:pPr>
            <w:r>
              <w:t>Not required for this hazard as this is a longer-term threat.</w:t>
            </w:r>
          </w:p>
        </w:tc>
      </w:tr>
      <w:tr w:rsidR="00BE1D36" w14:paraId="3C195258" w14:textId="77777777" w:rsidTr="00B45E4E">
        <w:tc>
          <w:tcPr>
            <w:tcW w:w="2268" w:type="dxa"/>
            <w:tcBorders>
              <w:top w:val="single" w:sz="8" w:space="0" w:color="CDDC29" w:themeColor="text2"/>
              <w:left w:val="nil"/>
              <w:bottom w:val="single" w:sz="8" w:space="0" w:color="CDDC29" w:themeColor="text2"/>
              <w:right w:val="nil"/>
            </w:tcBorders>
            <w:hideMark/>
          </w:tcPr>
          <w:p w14:paraId="64962B96" w14:textId="3E9125BF" w:rsidR="00BE1D36" w:rsidRDefault="00CB5E33"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70131532" w14:textId="1FC18A6A" w:rsidR="00BE1D36" w:rsidRDefault="00CB5E33" w:rsidP="006670D2">
            <w:pPr>
              <w:pStyle w:val="PullOutBoxBullet"/>
            </w:pPr>
            <w:r>
              <w:t>E</w:t>
            </w:r>
            <w:r w:rsidR="00BE1D36">
              <w:t>nsure that important populations are mapped, recorded</w:t>
            </w:r>
            <w:r w:rsidR="006B121E">
              <w:t>,</w:t>
            </w:r>
            <w:r w:rsidR="00BE1D36">
              <w:t xml:space="preserve"> and made available for fire management planning purposes</w:t>
            </w:r>
            <w:r>
              <w:t>; and</w:t>
            </w:r>
          </w:p>
          <w:p w14:paraId="27211B19" w14:textId="758F8EEA" w:rsidR="00BE1D36" w:rsidRDefault="00BE1D36" w:rsidP="006670D2">
            <w:pPr>
              <w:pStyle w:val="PullOutBoxBullet"/>
            </w:pPr>
            <w:r>
              <w:t xml:space="preserve">Consider options to conserve this </w:t>
            </w:r>
            <w:r w:rsidR="001D3902">
              <w:t>species</w:t>
            </w:r>
            <w:r>
              <w:t xml:space="preserve"> under climate change, including protection of refuges, maintenance of hydrological regimes, translocation to more secure sites and gene mixing to improve its adaptability.</w:t>
            </w:r>
          </w:p>
        </w:tc>
      </w:tr>
    </w:tbl>
    <w:p w14:paraId="3278BFA7" w14:textId="77777777" w:rsidR="00BE1D36" w:rsidRDefault="00BE1D36" w:rsidP="007E5EBF">
      <w:pPr>
        <w:pStyle w:val="Heading3"/>
      </w:pPr>
      <w:bookmarkStart w:id="1066" w:name="_Toc88725417"/>
      <w:bookmarkStart w:id="1067" w:name="_Toc88725418"/>
      <w:bookmarkStart w:id="1068" w:name="_Toc88725419"/>
      <w:bookmarkStart w:id="1069" w:name="_Toc88725420"/>
      <w:bookmarkStart w:id="1070" w:name="_Toc88725421"/>
      <w:bookmarkStart w:id="1071" w:name="_Toc88725422"/>
      <w:bookmarkStart w:id="1072" w:name="_Toc88725423"/>
      <w:bookmarkStart w:id="1073" w:name="_Toc88725424"/>
      <w:bookmarkStart w:id="1074" w:name="_Toc88725425"/>
      <w:bookmarkStart w:id="1075" w:name="_Toc88725426"/>
      <w:bookmarkStart w:id="1076" w:name="_Toc88725427"/>
      <w:bookmarkStart w:id="1077" w:name="_Toc88725428"/>
      <w:bookmarkStart w:id="1078" w:name="_Toc88725429"/>
      <w:bookmarkStart w:id="1079" w:name="_Toc88725430"/>
      <w:bookmarkStart w:id="1080" w:name="_Toc88725432"/>
      <w:bookmarkStart w:id="1081" w:name="_Toc88725434"/>
      <w:bookmarkStart w:id="1082" w:name="_Toc88725436"/>
      <w:bookmarkStart w:id="1083" w:name="_Toc88725438"/>
      <w:bookmarkStart w:id="1084" w:name="_Toc88725439"/>
      <w:bookmarkStart w:id="1085" w:name="_Toc88725440"/>
      <w:bookmarkStart w:id="1086" w:name="_Toc88725441"/>
      <w:bookmarkStart w:id="1087" w:name="_Toc88725442"/>
      <w:bookmarkStart w:id="1088" w:name="_Toc88725443"/>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r>
        <w:t>Forestry operations</w:t>
      </w:r>
      <w:bookmarkEnd w:id="1088"/>
    </w:p>
    <w:p w14:paraId="5D5D40A9" w14:textId="2DEA639C" w:rsidR="00BE1D36" w:rsidRDefault="00A03226" w:rsidP="00BE1D36">
      <w:pPr>
        <w:spacing w:line="240" w:lineRule="auto"/>
        <w:textAlignment w:val="baseline"/>
        <w:rPr>
          <w:rFonts w:ascii="Arial" w:hAnsi="Arial"/>
          <w:i/>
          <w:iCs/>
          <w:color w:val="363534"/>
        </w:rPr>
      </w:pPr>
      <w:r>
        <w:rPr>
          <w:rFonts w:ascii="Arial" w:hAnsi="Arial"/>
          <w:i/>
          <w:iCs/>
          <w:color w:val="363534"/>
        </w:rPr>
        <w:t>F</w:t>
      </w:r>
      <w:r w:rsidR="00BE1D36">
        <w:rPr>
          <w:rFonts w:ascii="Arial" w:hAnsi="Arial"/>
          <w:i/>
          <w:iCs/>
          <w:color w:val="363534"/>
        </w:rPr>
        <w:t>orestry operations</w:t>
      </w:r>
    </w:p>
    <w:p w14:paraId="5D8668D0" w14:textId="5827E52D" w:rsidR="00BE1D36" w:rsidRDefault="00BE1D36" w:rsidP="00BE1D36">
      <w:pPr>
        <w:pStyle w:val="BodyText"/>
      </w:pPr>
      <w:r>
        <w:rPr>
          <w:rFonts w:ascii="Arial" w:hAnsi="Arial"/>
          <w:color w:val="363534"/>
        </w:rPr>
        <w:t xml:space="preserve">This </w:t>
      </w:r>
      <w:r>
        <w:t xml:space="preserve">hazard relates specifically to native forest harvesting which frequently operates in forest types in which this </w:t>
      </w:r>
      <w:r w:rsidR="001D3902">
        <w:t>species</w:t>
      </w:r>
      <w:r>
        <w:t xml:space="preserve"> has been recorded, with approximately 19% of the </w:t>
      </w:r>
      <w:r w:rsidR="001D3902">
        <w:t>species’</w:t>
      </w:r>
      <w:r>
        <w:t xml:space="preserve"> modelled habitat in </w:t>
      </w:r>
      <w:r w:rsidRPr="00B6162A">
        <w:t>merchantable areas</w:t>
      </w:r>
      <w:r w:rsidR="007F43C0" w:rsidRPr="00FD57DB">
        <w:t xml:space="preserve"> according to the 2015 net harvest area layer. </w:t>
      </w:r>
      <w:r w:rsidR="00D94563" w:rsidRPr="00FD57DB">
        <w:t xml:space="preserve">Using the revised operable area layer, </w:t>
      </w:r>
      <w:r w:rsidR="007F43C0" w:rsidRPr="00FD57DB">
        <w:t xml:space="preserve">this reduces to </w:t>
      </w:r>
      <w:r w:rsidR="00D94563" w:rsidRPr="00FD57DB">
        <w:t>6%</w:t>
      </w:r>
      <w:r w:rsidR="007F43C0" w:rsidRPr="00FD57DB">
        <w:t>.</w:t>
      </w:r>
      <w:r w:rsidR="001E6E05" w:rsidRPr="00FD57DB">
        <w:t xml:space="preserve"> F</w:t>
      </w:r>
      <w:r w:rsidRPr="00FD57DB">
        <w:t xml:space="preserve">orestry </w:t>
      </w:r>
      <w:r>
        <w:t xml:space="preserve">operations, including </w:t>
      </w:r>
      <w:r w:rsidR="003B3D54">
        <w:t>timber harvesting</w:t>
      </w:r>
      <w:r>
        <w:t xml:space="preserve">, regeneration burning or scalping and road construction and maintenance, are likely to result in adult mortality and reliance on recruitment from the soil-stored seedbank for population maintenance. Whenever these operations include </w:t>
      </w:r>
      <w:r w:rsidR="001E6E05">
        <w:t>regeneration</w:t>
      </w:r>
      <w:r>
        <w:t xml:space="preserve"> burning, the risks of recruitment failure due to targeted browsing by native or exotic herbivores, extreme drought events or, potentially, intense competition from aggressive primary native colonisers is increased. Field observation over many decades suggests that most </w:t>
      </w:r>
      <w:r>
        <w:rPr>
          <w:i/>
          <w:iCs/>
        </w:rPr>
        <w:t xml:space="preserve">Pomaderris </w:t>
      </w:r>
      <w:r>
        <w:t xml:space="preserve">species have a fickle response to fire with most adults killed outright, a few with weak resprouting and a highly variable seed-based recruitment success. This suggests that the genus </w:t>
      </w:r>
      <w:r w:rsidR="006B121E">
        <w:t>is</w:t>
      </w:r>
      <w:r>
        <w:t xml:space="preserve"> operating in an environment already close to the threshold of tolerance of current fire regimes and recruitment strategies. The Veined Pomaderris is an example of a species whose response to fire is neither predictable nor reliable and may help explain the very patchy and equally unpredictable distribution of this and many similar species.</w:t>
      </w:r>
    </w:p>
    <w:p w14:paraId="086FD01A" w14:textId="654B4787" w:rsidR="00BE1D36" w:rsidRDefault="00BE1D36" w:rsidP="006670D2">
      <w:pPr>
        <w:pStyle w:val="PullOutBoxBullet"/>
      </w:pPr>
      <w:r>
        <w:t xml:space="preserve">The </w:t>
      </w:r>
      <w:r>
        <w:rPr>
          <w:i/>
          <w:iCs/>
        </w:rPr>
        <w:t xml:space="preserve">Code of Practice for Timber Production 2014. </w:t>
      </w:r>
      <w:r>
        <w:t xml:space="preserve">There is no species-specific prescription for this </w:t>
      </w:r>
      <w:r w:rsidR="001D3902">
        <w:t>species</w:t>
      </w:r>
      <w:r>
        <w:t xml:space="preserve"> in the Code, however it may receive some protection from other general Code prescriptions. The lack of a specific prescription leads to the effectiveness of the Code being assessed as poor for this </w:t>
      </w:r>
      <w:r w:rsidR="001D3902">
        <w:t>species</w:t>
      </w:r>
      <w:r>
        <w:t>.</w:t>
      </w:r>
    </w:p>
    <w:p w14:paraId="448F356F" w14:textId="585DEF48" w:rsidR="00BE1D36" w:rsidRPr="003F7F1D" w:rsidRDefault="00BE1D36" w:rsidP="006670D2">
      <w:pPr>
        <w:pStyle w:val="PullOutBoxBullet"/>
      </w:pPr>
      <w:r>
        <w:t xml:space="preserve">The CAR reserve system. </w:t>
      </w:r>
      <w:r w:rsidR="003809EB" w:rsidRPr="003F7F1D">
        <w:t>The effectiveness of this control for this species has been evaluated</w:t>
      </w:r>
      <w:r w:rsidR="003809EB">
        <w:t xml:space="preserve"> as </w:t>
      </w:r>
      <w:r>
        <w:t xml:space="preserve">satisfactory as 66% of the </w:t>
      </w:r>
      <w:r w:rsidR="001D3902">
        <w:t>species’</w:t>
      </w:r>
      <w:r>
        <w:t xml:space="preserve"> modelled distribution and 86% of important populations are within the reserve system.</w:t>
      </w:r>
    </w:p>
    <w:p w14:paraId="4501C1CF" w14:textId="7DAE8081"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265</w:t>
      </w:r>
      <w:r w:rsidR="000B6788" w:rsidRPr="00B846FE">
        <w:rPr>
          <w:bCs/>
          <w:noProof/>
        </w:rPr>
        <w:fldChar w:fldCharType="end"/>
      </w:r>
      <w:r w:rsidRPr="00FF310C">
        <w:t>. Veined Pomaderris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BE1D36" w14:paraId="39182A11"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6F74FDE9"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63DBA12"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521BE52A" w14:textId="77777777" w:rsidTr="00B45E4E">
        <w:tc>
          <w:tcPr>
            <w:tcW w:w="2268" w:type="dxa"/>
            <w:tcBorders>
              <w:top w:val="single" w:sz="8" w:space="0" w:color="CDDC29" w:themeColor="text2"/>
              <w:left w:val="nil"/>
              <w:bottom w:val="single" w:sz="8" w:space="0" w:color="CDDC29" w:themeColor="text2"/>
              <w:right w:val="nil"/>
            </w:tcBorders>
            <w:hideMark/>
          </w:tcPr>
          <w:p w14:paraId="6F12ACCF" w14:textId="41279D02" w:rsidR="00BE1D36" w:rsidRDefault="00BE1D36" w:rsidP="00B45E4E">
            <w:pPr>
              <w:pStyle w:val="BodyText"/>
            </w:pPr>
            <w:r>
              <w:t>Interim protections</w:t>
            </w:r>
            <w:r w:rsidR="00CB5E33">
              <w:t xml:space="preserve"> </w:t>
            </w:r>
          </w:p>
        </w:tc>
        <w:tc>
          <w:tcPr>
            <w:tcW w:w="7371" w:type="dxa"/>
            <w:tcBorders>
              <w:top w:val="single" w:sz="8" w:space="0" w:color="CDDC29" w:themeColor="text2"/>
              <w:left w:val="nil"/>
              <w:bottom w:val="single" w:sz="8" w:space="0" w:color="CDDC29" w:themeColor="text2"/>
              <w:right w:val="nil"/>
            </w:tcBorders>
            <w:hideMark/>
          </w:tcPr>
          <w:p w14:paraId="3A7C6AD9" w14:textId="77777777" w:rsidR="00BE1D36" w:rsidRDefault="00BE1D36" w:rsidP="00B45E4E">
            <w:pPr>
              <w:pStyle w:val="BodyText"/>
            </w:pPr>
            <w:r>
              <w:t>Not required for this hazard based on the overall risk level of medium.</w:t>
            </w:r>
          </w:p>
        </w:tc>
      </w:tr>
      <w:tr w:rsidR="002C67BC" w14:paraId="0D55AAFB" w14:textId="77777777" w:rsidTr="00B45E4E">
        <w:tc>
          <w:tcPr>
            <w:tcW w:w="2268" w:type="dxa"/>
            <w:tcBorders>
              <w:top w:val="single" w:sz="8" w:space="0" w:color="CDDC29" w:themeColor="text2"/>
              <w:left w:val="nil"/>
              <w:bottom w:val="single" w:sz="8" w:space="0" w:color="CDDC29" w:themeColor="text2"/>
              <w:right w:val="nil"/>
            </w:tcBorders>
          </w:tcPr>
          <w:p w14:paraId="04319B4B" w14:textId="2A8D18CE" w:rsidR="002C67BC" w:rsidRDefault="002C67BC"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7E1F2EDC" w14:textId="3D3F5188" w:rsidR="002C67BC" w:rsidRDefault="002C67BC" w:rsidP="00B45E4E">
            <w:pPr>
              <w:pStyle w:val="BodyText"/>
            </w:pPr>
            <w:r>
              <w:t>Not required for this hazard based on the overall risk level of medium.</w:t>
            </w:r>
          </w:p>
        </w:tc>
      </w:tr>
      <w:tr w:rsidR="00BE1D36" w14:paraId="3BE5CB20" w14:textId="77777777" w:rsidTr="00B45E4E">
        <w:tc>
          <w:tcPr>
            <w:tcW w:w="2268" w:type="dxa"/>
            <w:tcBorders>
              <w:top w:val="single" w:sz="8" w:space="0" w:color="CDDC29" w:themeColor="text2"/>
              <w:left w:val="nil"/>
              <w:bottom w:val="single" w:sz="8" w:space="0" w:color="CDDC29" w:themeColor="text2"/>
              <w:right w:val="nil"/>
            </w:tcBorders>
            <w:hideMark/>
          </w:tcPr>
          <w:p w14:paraId="13337066" w14:textId="77777777" w:rsidR="00BE1D36" w:rsidRDefault="00BE1D36" w:rsidP="00B45E4E">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376BC15D" w14:textId="77777777" w:rsidR="00BE1D36" w:rsidRDefault="00BE1D36" w:rsidP="00B45E4E">
            <w:pPr>
              <w:pStyle w:val="BodyText"/>
            </w:pPr>
            <w:r>
              <w:t>Additional permanent protections may be required in the longer-term.</w:t>
            </w:r>
          </w:p>
        </w:tc>
      </w:tr>
      <w:tr w:rsidR="00BE1D36" w14:paraId="1942E066" w14:textId="77777777" w:rsidTr="00B45E4E">
        <w:tc>
          <w:tcPr>
            <w:tcW w:w="2268" w:type="dxa"/>
            <w:tcBorders>
              <w:top w:val="single" w:sz="8" w:space="0" w:color="CDDC29" w:themeColor="text2"/>
              <w:left w:val="nil"/>
              <w:bottom w:val="single" w:sz="8" w:space="0" w:color="CDDC29" w:themeColor="text2"/>
              <w:right w:val="nil"/>
            </w:tcBorders>
            <w:hideMark/>
          </w:tcPr>
          <w:p w14:paraId="79AE6942" w14:textId="47FFBBDA" w:rsidR="00BE1D36" w:rsidRDefault="00CB5E33"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3308F2A0" w14:textId="5F8EF361" w:rsidR="00BE1D36" w:rsidRDefault="00BE1D36" w:rsidP="006670D2">
            <w:pPr>
              <w:pStyle w:val="PullOutBoxBullet"/>
            </w:pPr>
            <w:r>
              <w:t>Consider introducing a species-specific code prescription as part of any future Code amendments</w:t>
            </w:r>
            <w:r w:rsidR="00CB5E33">
              <w:t>;</w:t>
            </w:r>
          </w:p>
          <w:p w14:paraId="7950C275" w14:textId="0A1BBF23" w:rsidR="00BE1D36" w:rsidRDefault="00BE1D36" w:rsidP="006670D2">
            <w:pPr>
              <w:pStyle w:val="PullOutBoxBullet"/>
            </w:pPr>
            <w:r>
              <w:t xml:space="preserve">Improve information the location of important populations in </w:t>
            </w:r>
            <w:r w:rsidR="00AE11C2">
              <w:t>State Forest</w:t>
            </w:r>
            <w:r w:rsidR="00147696">
              <w:t>; and</w:t>
            </w:r>
          </w:p>
          <w:p w14:paraId="2A40F6A5" w14:textId="160EB05E" w:rsidR="00BE1D36" w:rsidRDefault="00BE1D36" w:rsidP="006670D2">
            <w:pPr>
              <w:pStyle w:val="PullOutBoxBullet"/>
            </w:pPr>
            <w:r>
              <w:t>Pre-</w:t>
            </w:r>
            <w:r w:rsidR="003B3D54">
              <w:t>timber harvesting</w:t>
            </w:r>
            <w:r>
              <w:t xml:space="preserve"> surveys which should be conducted across the region for all FFG listed threatened species, particularly those with patchy and unpredictable distributions such as the Veined Pomaderris.</w:t>
            </w:r>
          </w:p>
        </w:tc>
      </w:tr>
    </w:tbl>
    <w:p w14:paraId="35A77555" w14:textId="77777777" w:rsidR="00BE1D36" w:rsidRDefault="00BE1D36" w:rsidP="007E5EBF">
      <w:pPr>
        <w:pStyle w:val="Heading3"/>
      </w:pPr>
      <w:r>
        <w:t>Invasive species</w:t>
      </w:r>
    </w:p>
    <w:p w14:paraId="744D1445" w14:textId="77777777" w:rsidR="00BE1D36" w:rsidRDefault="00BE1D36" w:rsidP="007E5EBF">
      <w:pPr>
        <w:pStyle w:val="Heading5"/>
        <w:rPr>
          <w:rFonts w:ascii="Segoe UI" w:hAnsi="Segoe UI" w:cs="Segoe UI"/>
          <w:color w:val="363534"/>
        </w:rPr>
      </w:pPr>
      <w:r>
        <w:t>Invasive vertebrate (deer)</w:t>
      </w:r>
    </w:p>
    <w:p w14:paraId="4C0F8577" w14:textId="003D712D" w:rsidR="00BE1D36" w:rsidRDefault="00BE1D36" w:rsidP="00BE1D36">
      <w:pPr>
        <w:pStyle w:val="BodyText"/>
      </w:pPr>
      <w:r>
        <w:t xml:space="preserve">Sambar have been increasing in population density and penetration across the region </w:t>
      </w:r>
      <w:r w:rsidR="00D1185A">
        <w:t xml:space="preserve">(Watter et al. 2020) </w:t>
      </w:r>
      <w:r>
        <w:t xml:space="preserve">with increasing evidence of targeted browsing of a diversity of </w:t>
      </w:r>
      <w:r>
        <w:rPr>
          <w:i/>
          <w:iCs/>
        </w:rPr>
        <w:t>Pomaderris</w:t>
      </w:r>
      <w:r>
        <w:t xml:space="preserve"> species. This growing list includes species in unexpectedly dry, rocky, elevated sites where Sambar had not previously been noted as active. Browsing has been observed of both mature adult plants and juvenile recruits for a variety of </w:t>
      </w:r>
      <w:r>
        <w:rPr>
          <w:i/>
          <w:iCs/>
        </w:rPr>
        <w:t>Pomaderris</w:t>
      </w:r>
      <w:r>
        <w:t xml:space="preserve"> species. If browsing is sustained over successive seasons the likelihood of adult mortality is substantially increased, exposing recruiting subpopulations to recruitment failure and local extinction. Prolonged or repeated browsing is also likely to reduce flowering and seedset. Small and isolated subpopulations are at particular risk of recruitment failure through targeted browsing by Sambar or Black-tailed Wallaby following intense bushfire, planned burning, post-</w:t>
      </w:r>
      <w:r w:rsidR="003B3D54">
        <w:t>timber harvesting</w:t>
      </w:r>
      <w:r>
        <w:t xml:space="preserve"> regeneration or extreme drought events.</w:t>
      </w:r>
      <w:r>
        <w:rPr>
          <w:rFonts w:ascii="Calibri" w:hAnsi="Calibri" w:cs="Calibri"/>
          <w:color w:val="000000"/>
          <w:sz w:val="22"/>
          <w:szCs w:val="22"/>
        </w:rPr>
        <w:t xml:space="preserve"> </w:t>
      </w:r>
      <w:r>
        <w:t xml:space="preserve">Like many other </w:t>
      </w:r>
      <w:r>
        <w:rPr>
          <w:i/>
          <w:iCs/>
        </w:rPr>
        <w:t>Pomaderris</w:t>
      </w:r>
      <w:r>
        <w:t xml:space="preserve"> species, with the notable exception of Hazel Pomaderris, Veined Pomaderris</w:t>
      </w:r>
      <w:r>
        <w:rPr>
          <w:i/>
          <w:iCs/>
        </w:rPr>
        <w:t xml:space="preserve"> </w:t>
      </w:r>
      <w:r>
        <w:t xml:space="preserve">typically occurs in very small, isolated stands with little or no likelihood of recolonisation in the event of local extinction. The only plausible vectors of seed are ants (myrmecochory) which operate at the metre scale. This hazard extends across all the </w:t>
      </w:r>
      <w:r w:rsidR="001D3902">
        <w:t>species’</w:t>
      </w:r>
      <w:r>
        <w:t xml:space="preserve"> populations.</w:t>
      </w:r>
    </w:p>
    <w:p w14:paraId="0A7FFD60" w14:textId="77777777" w:rsidR="00BE1D36" w:rsidRDefault="00BE1D36" w:rsidP="00BE1D36">
      <w:pPr>
        <w:pStyle w:val="BodyText"/>
      </w:pPr>
      <w:r>
        <w:t>Current controls for this hazard include:</w:t>
      </w:r>
    </w:p>
    <w:p w14:paraId="6B2808DD" w14:textId="2FA96A18" w:rsidR="00BE1D36" w:rsidRDefault="00BE1D36" w:rsidP="006670D2">
      <w:pPr>
        <w:pStyle w:val="PullOutBoxBullet"/>
      </w:pPr>
      <w:r>
        <w:t>Targeted deer control. This control has been evaluated as poor because targeted culling is patchy, expensive, and challenging to target in remote forest areas. Sambar deer occur across a large area so there is a reservoir of other areas to recolonise from.</w:t>
      </w:r>
      <w:r w:rsidR="00A000A4" w:rsidRPr="00A000A4">
        <w:t xml:space="preserve"> </w:t>
      </w:r>
      <w:r w:rsidR="00A000A4" w:rsidRPr="00F05594">
        <w:t xml:space="preserve">It is important to note, however, that </w:t>
      </w:r>
      <w:r w:rsidR="00A000A4" w:rsidRPr="00F05594">
        <w:rPr>
          <w:rStyle w:val="eop"/>
          <w:rFonts w:ascii="Arial" w:hAnsi="Arial"/>
          <w:color w:val="363534"/>
        </w:rPr>
        <w:t>recent deer control programs carried out throughout East Gippsland show significant advances in ground-based shooting by using thermal imaging, after-dark hunting and in some cases the use of silencers. Targeted control programs should not be considered inappropriate if program funding is sustainable and the target flora species for protection face significant threat from deer activity.</w:t>
      </w:r>
    </w:p>
    <w:p w14:paraId="79E900F1" w14:textId="75687EFC" w:rsidR="00BE1D36" w:rsidRDefault="00BE1D36" w:rsidP="006670D2">
      <w:pPr>
        <w:pStyle w:val="PullOutBoxBullet"/>
      </w:pPr>
      <w:r>
        <w:t xml:space="preserve">Deer deterrents such as urine pots and sensor lights. These have been evaluated as poor as they have been trialled on the Bogong high-plains and found not to be particularly effective and operate only effectively for a short-time period as the Deer become accustomed to the control. They are useful for small areas with high concentrations of extremely threatened species, however there is a poor likelihood of success for this </w:t>
      </w:r>
      <w:r w:rsidR="001D3902">
        <w:t>species</w:t>
      </w:r>
      <w:r w:rsidR="00147696">
        <w:t>.</w:t>
      </w:r>
    </w:p>
    <w:p w14:paraId="7AD604B9" w14:textId="40D63F44"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266</w:t>
      </w:r>
      <w:r w:rsidR="000B6788" w:rsidRPr="00B846FE">
        <w:rPr>
          <w:bCs/>
          <w:noProof/>
        </w:rPr>
        <w:fldChar w:fldCharType="end"/>
      </w:r>
      <w:r w:rsidRPr="00FF310C">
        <w:t>. Veined Pomaderris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BE1D36" w14:paraId="36663E7C"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7F80320D"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40D1EDF"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0FB4E0E0" w14:textId="77777777" w:rsidTr="00B45E4E">
        <w:tc>
          <w:tcPr>
            <w:tcW w:w="2268" w:type="dxa"/>
            <w:tcBorders>
              <w:top w:val="single" w:sz="8" w:space="0" w:color="CDDC29" w:themeColor="text2"/>
              <w:left w:val="nil"/>
              <w:bottom w:val="single" w:sz="8" w:space="0" w:color="CDDC29" w:themeColor="text2"/>
              <w:right w:val="nil"/>
            </w:tcBorders>
            <w:hideMark/>
          </w:tcPr>
          <w:p w14:paraId="0B77DD10" w14:textId="6828158B" w:rsidR="00BE1D36" w:rsidRDefault="00CB5E33"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10686344" w14:textId="77777777" w:rsidR="00BE1D36" w:rsidRDefault="00BE1D36" w:rsidP="00B45E4E">
            <w:pPr>
              <w:pStyle w:val="BodyText"/>
            </w:pPr>
            <w:r>
              <w:t>Not required for this hazard as it is an ongoing hazard operating stochastically.</w:t>
            </w:r>
          </w:p>
        </w:tc>
      </w:tr>
      <w:tr w:rsidR="00BE1D36" w14:paraId="37A0DBA1" w14:textId="77777777" w:rsidTr="00B45E4E">
        <w:tc>
          <w:tcPr>
            <w:tcW w:w="2268" w:type="dxa"/>
            <w:tcBorders>
              <w:top w:val="single" w:sz="8" w:space="0" w:color="CDDC29" w:themeColor="text2"/>
              <w:left w:val="nil"/>
              <w:bottom w:val="single" w:sz="8" w:space="0" w:color="CDDC29" w:themeColor="text2"/>
              <w:right w:val="nil"/>
            </w:tcBorders>
            <w:hideMark/>
          </w:tcPr>
          <w:p w14:paraId="7BAAB14B" w14:textId="61E09A76" w:rsidR="00BE1D36" w:rsidRDefault="00CB5E33"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5E60837B" w14:textId="0F5D5936" w:rsidR="00BE1D36" w:rsidRDefault="00BE1D36" w:rsidP="006670D2">
            <w:pPr>
              <w:pStyle w:val="PullOutBoxBullet"/>
              <w:rPr>
                <w:rFonts w:ascii="Arial" w:hAnsi="Arial" w:cs="Arial"/>
                <w:color w:val="363534"/>
                <w:sz w:val="20"/>
              </w:rPr>
            </w:pPr>
            <w:r>
              <w:t xml:space="preserve">Monitoring of recruiting populations in the first two years following </w:t>
            </w:r>
            <w:r w:rsidR="003B3D54">
              <w:t>timber harvesting</w:t>
            </w:r>
            <w:r>
              <w:t xml:space="preserve">, </w:t>
            </w:r>
            <w:r w:rsidR="00CB5E33">
              <w:t>planned</w:t>
            </w:r>
            <w:r>
              <w:t xml:space="preserve"> burning and bushfire (these are the three events that will trigger recruitment) to see evidence of browsing by Sambar.</w:t>
            </w:r>
          </w:p>
        </w:tc>
      </w:tr>
    </w:tbl>
    <w:p w14:paraId="31167014" w14:textId="77777777" w:rsidR="00BE1D36" w:rsidRDefault="00BE1D36" w:rsidP="00BE1D36">
      <w:pPr>
        <w:pStyle w:val="ListBullet"/>
        <w:numPr>
          <w:ilvl w:val="0"/>
          <w:numId w:val="0"/>
        </w:numPr>
        <w:ind w:left="397"/>
        <w:rPr>
          <w:szCs w:val="20"/>
        </w:rPr>
      </w:pPr>
    </w:p>
    <w:p w14:paraId="44D678C5" w14:textId="77777777" w:rsidR="00BE1D36" w:rsidRDefault="00BE1D36" w:rsidP="00BE1D36">
      <w:pPr>
        <w:rPr>
          <w:rFonts w:ascii="Arial" w:hAnsi="Arial"/>
          <w:color w:val="363534"/>
        </w:rPr>
      </w:pPr>
      <w:r>
        <w:rPr>
          <w:rFonts w:ascii="Arial" w:hAnsi="Arial"/>
          <w:color w:val="363534"/>
        </w:rPr>
        <w:br w:type="page"/>
      </w:r>
    </w:p>
    <w:p w14:paraId="72E3FEAC" w14:textId="77777777" w:rsidR="00BE1D36" w:rsidRPr="00D53466" w:rsidRDefault="00BE1D36" w:rsidP="00171F18">
      <w:pPr>
        <w:pStyle w:val="Heading2"/>
        <w:ind w:left="0"/>
        <w:rPr>
          <w:rFonts w:asciiTheme="minorHAnsi" w:hAnsiTheme="minorHAnsi"/>
          <w:i/>
          <w:iCs/>
        </w:rPr>
      </w:pPr>
      <w:bookmarkStart w:id="1089" w:name="_Toc88724612"/>
      <w:bookmarkStart w:id="1090" w:name="_Toc113271078"/>
      <w:r w:rsidRPr="00D53466">
        <w:t xml:space="preserve">Velvety Geebung </w:t>
      </w:r>
      <w:r w:rsidRPr="00F67DF8">
        <w:rPr>
          <w:i/>
          <w:iCs/>
        </w:rPr>
        <w:t>(Persoonia subvelutina)</w:t>
      </w:r>
      <w:bookmarkEnd w:id="1089"/>
      <w:bookmarkEnd w:id="1090"/>
    </w:p>
    <w:p w14:paraId="2FADF5E9" w14:textId="590B1A30" w:rsidR="00BE1D36" w:rsidRDefault="00BE1D36" w:rsidP="00BE1D36">
      <w:pPr>
        <w:pStyle w:val="BodyText"/>
      </w:pPr>
      <w:r>
        <w:t xml:space="preserve">The Velvety Geebung was listed as Endangered in Victoria under the FFG Act in May 2021. The </w:t>
      </w:r>
      <w:r w:rsidR="001D3902">
        <w:t>species</w:t>
      </w:r>
      <w:r>
        <w:t xml:space="preserve"> </w:t>
      </w:r>
      <w:r>
        <w:rPr>
          <w:rStyle w:val="BodyTextChar"/>
        </w:rPr>
        <w:t>has VBA points in the North East (90% of VBA points) and Gippsland (10% of VBA points) RFA regions. Permanent protections are recommended to address any hazards identified at a significant or high risk, and all</w:t>
      </w:r>
      <w:r>
        <w:t xml:space="preserve"> hazards rated a medium risk or higher will be considered in future management planning. </w:t>
      </w:r>
    </w:p>
    <w:p w14:paraId="3FBFB500" w14:textId="77777777" w:rsidR="00BE1D36" w:rsidRDefault="00BE1D36" w:rsidP="007E5EBF">
      <w:pPr>
        <w:pStyle w:val="Heading3"/>
      </w:pPr>
      <w:bookmarkStart w:id="1091" w:name="_Toc88724613"/>
      <w:bookmarkStart w:id="1092" w:name="_Toc88724614"/>
      <w:bookmarkStart w:id="1093" w:name="_Toc88724615"/>
      <w:bookmarkStart w:id="1094" w:name="_Toc88724617"/>
      <w:bookmarkStart w:id="1095" w:name="_Toc88724618"/>
      <w:bookmarkStart w:id="1096" w:name="_Toc88724620"/>
      <w:bookmarkStart w:id="1097" w:name="_Toc88724621"/>
      <w:bookmarkStart w:id="1098" w:name="_Toc88724623"/>
      <w:bookmarkStart w:id="1099" w:name="_Toc88724624"/>
      <w:bookmarkStart w:id="1100" w:name="_Toc87531589"/>
      <w:bookmarkEnd w:id="1091"/>
      <w:bookmarkEnd w:id="1092"/>
      <w:bookmarkEnd w:id="1093"/>
      <w:bookmarkEnd w:id="1094"/>
      <w:bookmarkEnd w:id="1095"/>
      <w:bookmarkEnd w:id="1096"/>
      <w:bookmarkEnd w:id="1097"/>
      <w:bookmarkEnd w:id="1098"/>
      <w:r>
        <w:t>Risk Assessment</w:t>
      </w:r>
      <w:bookmarkEnd w:id="1099"/>
      <w:bookmarkEnd w:id="1100"/>
    </w:p>
    <w:p w14:paraId="388F942C" w14:textId="3A6671F9"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267</w:t>
      </w:r>
      <w:r w:rsidR="000B6788" w:rsidRPr="00B846FE">
        <w:rPr>
          <w:bCs/>
          <w:noProof/>
        </w:rPr>
        <w:fldChar w:fldCharType="end"/>
      </w:r>
      <w:r w:rsidRPr="00FF310C">
        <w:t>. Velvety Geebung risk ratings in the Gippsland and North East RFA regions:</w:t>
      </w:r>
    </w:p>
    <w:tbl>
      <w:tblPr>
        <w:tblStyle w:val="TableGrid"/>
        <w:tblW w:w="9780" w:type="dxa"/>
        <w:tblLook w:val="04A0" w:firstRow="1" w:lastRow="0" w:firstColumn="1" w:lastColumn="0" w:noHBand="0" w:noVBand="1"/>
      </w:tblPr>
      <w:tblGrid>
        <w:gridCol w:w="1956"/>
        <w:gridCol w:w="1956"/>
        <w:gridCol w:w="1956"/>
        <w:gridCol w:w="1956"/>
        <w:gridCol w:w="1956"/>
      </w:tblGrid>
      <w:tr w:rsidR="00BE1D36" w14:paraId="5B24097E"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56" w:type="dxa"/>
            <w:tcBorders>
              <w:top w:val="single" w:sz="8" w:space="0" w:color="CDDC29" w:themeColor="text2"/>
              <w:left w:val="nil"/>
              <w:bottom w:val="single" w:sz="8" w:space="0" w:color="CDDC29" w:themeColor="text2"/>
              <w:right w:val="nil"/>
            </w:tcBorders>
            <w:vAlign w:val="center"/>
          </w:tcPr>
          <w:p w14:paraId="77342749" w14:textId="77777777" w:rsidR="00BE1D36" w:rsidRDefault="00BE1D36" w:rsidP="006670D2">
            <w:pPr>
              <w:pStyle w:val="CaptionImageorFigure"/>
            </w:pPr>
          </w:p>
        </w:tc>
        <w:tc>
          <w:tcPr>
            <w:tcW w:w="1956" w:type="dxa"/>
            <w:tcBorders>
              <w:top w:val="single" w:sz="8" w:space="0" w:color="CDDC29" w:themeColor="text2"/>
              <w:left w:val="nil"/>
              <w:bottom w:val="single" w:sz="8" w:space="0" w:color="CDDC29" w:themeColor="text2"/>
              <w:right w:val="nil"/>
            </w:tcBorders>
            <w:vAlign w:val="center"/>
            <w:hideMark/>
          </w:tcPr>
          <w:p w14:paraId="26D40A6A"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956" w:type="dxa"/>
            <w:tcBorders>
              <w:top w:val="single" w:sz="8" w:space="0" w:color="CDDC29" w:themeColor="text2"/>
              <w:left w:val="nil"/>
              <w:bottom w:val="single" w:sz="8" w:space="0" w:color="CDDC29" w:themeColor="text2"/>
              <w:right w:val="nil"/>
            </w:tcBorders>
            <w:vAlign w:val="center"/>
            <w:hideMark/>
          </w:tcPr>
          <w:p w14:paraId="2FA057C1" w14:textId="1F577209" w:rsidR="00BE1D36" w:rsidRDefault="00A0322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BE1D36">
              <w:t>orestry operations</w:t>
            </w:r>
          </w:p>
        </w:tc>
        <w:tc>
          <w:tcPr>
            <w:tcW w:w="1956" w:type="dxa"/>
            <w:tcBorders>
              <w:top w:val="single" w:sz="8" w:space="0" w:color="CDDC29" w:themeColor="text2"/>
              <w:left w:val="nil"/>
              <w:bottom w:val="single" w:sz="8" w:space="0" w:color="CDDC29" w:themeColor="text2"/>
              <w:right w:val="nil"/>
            </w:tcBorders>
            <w:vAlign w:val="center"/>
            <w:hideMark/>
          </w:tcPr>
          <w:p w14:paraId="35535963"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plant (weeds)</w:t>
            </w:r>
          </w:p>
        </w:tc>
        <w:tc>
          <w:tcPr>
            <w:tcW w:w="1956" w:type="dxa"/>
            <w:tcBorders>
              <w:top w:val="single" w:sz="8" w:space="0" w:color="CDDC29" w:themeColor="text2"/>
              <w:left w:val="nil"/>
              <w:bottom w:val="single" w:sz="8" w:space="0" w:color="CDDC29" w:themeColor="text2"/>
              <w:right w:val="nil"/>
            </w:tcBorders>
            <w:vAlign w:val="center"/>
            <w:hideMark/>
          </w:tcPr>
          <w:p w14:paraId="5998EF60"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BE1D36" w14:paraId="7575F44B" w14:textId="77777777" w:rsidTr="00BE1D36">
        <w:tc>
          <w:tcPr>
            <w:tcW w:w="1956" w:type="dxa"/>
            <w:tcBorders>
              <w:top w:val="single" w:sz="8" w:space="0" w:color="CDDC29" w:themeColor="text2"/>
              <w:left w:val="nil"/>
              <w:bottom w:val="single" w:sz="8" w:space="0" w:color="CDDC29" w:themeColor="text2"/>
              <w:right w:val="nil"/>
            </w:tcBorders>
            <w:vAlign w:val="center"/>
            <w:hideMark/>
          </w:tcPr>
          <w:p w14:paraId="108D1BE4" w14:textId="77777777" w:rsidR="00BE1D36" w:rsidRDefault="00BE1D36" w:rsidP="00682BF1">
            <w:pPr>
              <w:pStyle w:val="BodyText"/>
              <w:jc w:val="center"/>
            </w:pPr>
            <w:r>
              <w:t>Consequence</w:t>
            </w:r>
          </w:p>
        </w:tc>
        <w:tc>
          <w:tcPr>
            <w:tcW w:w="1956" w:type="dxa"/>
            <w:tcBorders>
              <w:top w:val="single" w:sz="8" w:space="0" w:color="CDDC29" w:themeColor="text2"/>
              <w:left w:val="nil"/>
              <w:bottom w:val="single" w:sz="8" w:space="0" w:color="CDDC29" w:themeColor="text2"/>
              <w:right w:val="nil"/>
            </w:tcBorders>
            <w:vAlign w:val="center"/>
            <w:hideMark/>
          </w:tcPr>
          <w:p w14:paraId="1073A9A3" w14:textId="77777777" w:rsidR="00BE1D36" w:rsidRDefault="00BE1D36" w:rsidP="00682BF1">
            <w:pPr>
              <w:pStyle w:val="BodyText"/>
              <w:jc w:val="center"/>
            </w:pPr>
            <w:r>
              <w:t>Moderate</w:t>
            </w:r>
          </w:p>
        </w:tc>
        <w:tc>
          <w:tcPr>
            <w:tcW w:w="1956" w:type="dxa"/>
            <w:tcBorders>
              <w:top w:val="single" w:sz="8" w:space="0" w:color="CDDC29" w:themeColor="text2"/>
              <w:left w:val="nil"/>
              <w:bottom w:val="single" w:sz="8" w:space="0" w:color="CDDC29" w:themeColor="text2"/>
              <w:right w:val="nil"/>
            </w:tcBorders>
            <w:vAlign w:val="center"/>
            <w:hideMark/>
          </w:tcPr>
          <w:p w14:paraId="403F8158" w14:textId="77777777" w:rsidR="00BE1D36" w:rsidRDefault="00BE1D36" w:rsidP="00682BF1">
            <w:pPr>
              <w:pStyle w:val="BodyText"/>
              <w:jc w:val="center"/>
            </w:pPr>
            <w:r>
              <w:t>Minor</w:t>
            </w:r>
          </w:p>
        </w:tc>
        <w:tc>
          <w:tcPr>
            <w:tcW w:w="1956" w:type="dxa"/>
            <w:tcBorders>
              <w:top w:val="single" w:sz="8" w:space="0" w:color="CDDC29" w:themeColor="text2"/>
              <w:left w:val="nil"/>
              <w:bottom w:val="single" w:sz="8" w:space="0" w:color="CDDC29" w:themeColor="text2"/>
              <w:right w:val="nil"/>
            </w:tcBorders>
            <w:vAlign w:val="center"/>
            <w:hideMark/>
          </w:tcPr>
          <w:p w14:paraId="5F51F079" w14:textId="77777777" w:rsidR="00BE1D36" w:rsidRDefault="00BE1D36" w:rsidP="00682BF1">
            <w:pPr>
              <w:pStyle w:val="BodyText"/>
              <w:jc w:val="center"/>
            </w:pPr>
            <w:r>
              <w:t>Minor</w:t>
            </w:r>
          </w:p>
        </w:tc>
        <w:tc>
          <w:tcPr>
            <w:tcW w:w="1956" w:type="dxa"/>
            <w:tcBorders>
              <w:top w:val="single" w:sz="8" w:space="0" w:color="CDDC29" w:themeColor="text2"/>
              <w:left w:val="nil"/>
              <w:bottom w:val="single" w:sz="8" w:space="0" w:color="CDDC29" w:themeColor="text2"/>
              <w:right w:val="nil"/>
            </w:tcBorders>
            <w:vAlign w:val="center"/>
            <w:hideMark/>
          </w:tcPr>
          <w:p w14:paraId="65833430" w14:textId="77777777" w:rsidR="00BE1D36" w:rsidRDefault="00BE1D36" w:rsidP="00682BF1">
            <w:pPr>
              <w:pStyle w:val="BodyText"/>
              <w:jc w:val="center"/>
            </w:pPr>
            <w:r>
              <w:t>Minor</w:t>
            </w:r>
          </w:p>
        </w:tc>
      </w:tr>
      <w:tr w:rsidR="00BE1D36" w14:paraId="17B337E6" w14:textId="77777777" w:rsidTr="00BE1D36">
        <w:tc>
          <w:tcPr>
            <w:tcW w:w="1956" w:type="dxa"/>
            <w:tcBorders>
              <w:top w:val="single" w:sz="8" w:space="0" w:color="CDDC29" w:themeColor="text2"/>
              <w:left w:val="nil"/>
              <w:bottom w:val="single" w:sz="8" w:space="0" w:color="CDDC29" w:themeColor="text2"/>
              <w:right w:val="nil"/>
            </w:tcBorders>
            <w:vAlign w:val="center"/>
            <w:hideMark/>
          </w:tcPr>
          <w:p w14:paraId="4929DFCD" w14:textId="77777777" w:rsidR="00BE1D36" w:rsidRDefault="00BE1D36" w:rsidP="00682BF1">
            <w:pPr>
              <w:pStyle w:val="BodyText"/>
              <w:jc w:val="center"/>
            </w:pPr>
            <w:r>
              <w:t>Likelihood</w:t>
            </w:r>
          </w:p>
        </w:tc>
        <w:tc>
          <w:tcPr>
            <w:tcW w:w="1956" w:type="dxa"/>
            <w:tcBorders>
              <w:top w:val="single" w:sz="8" w:space="0" w:color="CDDC29" w:themeColor="text2"/>
              <w:left w:val="nil"/>
              <w:bottom w:val="single" w:sz="8" w:space="0" w:color="CDDC29" w:themeColor="text2"/>
              <w:right w:val="nil"/>
            </w:tcBorders>
            <w:vAlign w:val="center"/>
            <w:hideMark/>
          </w:tcPr>
          <w:p w14:paraId="667B8D5E" w14:textId="77777777" w:rsidR="00BE1D36" w:rsidRDefault="00BE1D36" w:rsidP="00682BF1">
            <w:pPr>
              <w:pStyle w:val="BodyText"/>
              <w:jc w:val="center"/>
            </w:pPr>
            <w:r>
              <w:t>Likely</w:t>
            </w:r>
          </w:p>
        </w:tc>
        <w:tc>
          <w:tcPr>
            <w:tcW w:w="1956" w:type="dxa"/>
            <w:tcBorders>
              <w:top w:val="single" w:sz="8" w:space="0" w:color="CDDC29" w:themeColor="text2"/>
              <w:left w:val="nil"/>
              <w:bottom w:val="single" w:sz="8" w:space="0" w:color="CDDC29" w:themeColor="text2"/>
              <w:right w:val="nil"/>
            </w:tcBorders>
            <w:vAlign w:val="center"/>
            <w:hideMark/>
          </w:tcPr>
          <w:p w14:paraId="2CEB3D72" w14:textId="77777777" w:rsidR="00BE1D36" w:rsidRDefault="00BE1D36" w:rsidP="00682BF1">
            <w:pPr>
              <w:pStyle w:val="BodyText"/>
              <w:jc w:val="center"/>
            </w:pPr>
            <w:r>
              <w:t>Possible</w:t>
            </w:r>
          </w:p>
        </w:tc>
        <w:tc>
          <w:tcPr>
            <w:tcW w:w="1956" w:type="dxa"/>
            <w:tcBorders>
              <w:top w:val="single" w:sz="8" w:space="0" w:color="CDDC29" w:themeColor="text2"/>
              <w:left w:val="nil"/>
              <w:bottom w:val="single" w:sz="8" w:space="0" w:color="CDDC29" w:themeColor="text2"/>
              <w:right w:val="nil"/>
            </w:tcBorders>
            <w:vAlign w:val="center"/>
            <w:hideMark/>
          </w:tcPr>
          <w:p w14:paraId="57A10046" w14:textId="77777777" w:rsidR="00BE1D36" w:rsidRDefault="00BE1D36" w:rsidP="00682BF1">
            <w:pPr>
              <w:pStyle w:val="BodyText"/>
              <w:jc w:val="center"/>
            </w:pPr>
            <w:r>
              <w:t>Likely</w:t>
            </w:r>
          </w:p>
        </w:tc>
        <w:tc>
          <w:tcPr>
            <w:tcW w:w="1956" w:type="dxa"/>
            <w:tcBorders>
              <w:top w:val="single" w:sz="8" w:space="0" w:color="CDDC29" w:themeColor="text2"/>
              <w:left w:val="nil"/>
              <w:bottom w:val="single" w:sz="8" w:space="0" w:color="CDDC29" w:themeColor="text2"/>
              <w:right w:val="nil"/>
            </w:tcBorders>
            <w:vAlign w:val="center"/>
            <w:hideMark/>
          </w:tcPr>
          <w:p w14:paraId="569470AB" w14:textId="77777777" w:rsidR="00BE1D36" w:rsidRDefault="00BE1D36" w:rsidP="00682BF1">
            <w:pPr>
              <w:pStyle w:val="BodyText"/>
              <w:jc w:val="center"/>
            </w:pPr>
            <w:r>
              <w:t>Likely</w:t>
            </w:r>
          </w:p>
        </w:tc>
      </w:tr>
      <w:tr w:rsidR="00BE1D36" w14:paraId="2CD871C8" w14:textId="77777777" w:rsidTr="00BE1D36">
        <w:tc>
          <w:tcPr>
            <w:tcW w:w="1956" w:type="dxa"/>
            <w:tcBorders>
              <w:top w:val="single" w:sz="8" w:space="0" w:color="CDDC29" w:themeColor="text2"/>
              <w:left w:val="nil"/>
              <w:bottom w:val="single" w:sz="8" w:space="0" w:color="CDDC29" w:themeColor="text2"/>
              <w:right w:val="nil"/>
            </w:tcBorders>
            <w:vAlign w:val="center"/>
            <w:hideMark/>
          </w:tcPr>
          <w:p w14:paraId="51743BFC" w14:textId="77777777" w:rsidR="00BE1D36" w:rsidRDefault="00BE1D36" w:rsidP="00682BF1">
            <w:pPr>
              <w:pStyle w:val="BodyText"/>
              <w:jc w:val="center"/>
            </w:pPr>
            <w:r>
              <w:t>Overall risk rating</w:t>
            </w:r>
          </w:p>
        </w:tc>
        <w:tc>
          <w:tcPr>
            <w:tcW w:w="1956" w:type="dxa"/>
            <w:tcBorders>
              <w:top w:val="single" w:sz="8" w:space="0" w:color="CDDC29" w:themeColor="text2"/>
              <w:left w:val="nil"/>
              <w:bottom w:val="single" w:sz="8" w:space="0" w:color="CDDC29" w:themeColor="text2"/>
              <w:right w:val="nil"/>
            </w:tcBorders>
            <w:shd w:val="clear" w:color="auto" w:fill="FFC000"/>
            <w:vAlign w:val="center"/>
            <w:hideMark/>
          </w:tcPr>
          <w:p w14:paraId="732E0CAF" w14:textId="77777777" w:rsidR="00BE1D36" w:rsidRDefault="00BE1D36" w:rsidP="00682BF1">
            <w:pPr>
              <w:pStyle w:val="BodyText"/>
              <w:jc w:val="center"/>
            </w:pPr>
            <w:r>
              <w:t>S</w:t>
            </w:r>
            <w:r>
              <w:rPr>
                <w:shd w:val="clear" w:color="auto" w:fill="FFC000"/>
              </w:rPr>
              <w:t>ignificant</w:t>
            </w:r>
          </w:p>
        </w:tc>
        <w:tc>
          <w:tcPr>
            <w:tcW w:w="1956" w:type="dxa"/>
            <w:tcBorders>
              <w:top w:val="single" w:sz="8" w:space="0" w:color="CDDC29" w:themeColor="text2"/>
              <w:left w:val="nil"/>
              <w:bottom w:val="single" w:sz="8" w:space="0" w:color="CDDC29" w:themeColor="text2"/>
              <w:right w:val="nil"/>
            </w:tcBorders>
            <w:shd w:val="clear" w:color="auto" w:fill="FFFF00"/>
            <w:vAlign w:val="center"/>
            <w:hideMark/>
          </w:tcPr>
          <w:p w14:paraId="48A9831F" w14:textId="77777777" w:rsidR="00BE1D36" w:rsidRDefault="00BE1D36" w:rsidP="00682BF1">
            <w:pPr>
              <w:pStyle w:val="BodyText"/>
              <w:jc w:val="center"/>
            </w:pPr>
            <w:r>
              <w:t>Medium</w:t>
            </w:r>
          </w:p>
        </w:tc>
        <w:tc>
          <w:tcPr>
            <w:tcW w:w="1956" w:type="dxa"/>
            <w:tcBorders>
              <w:top w:val="single" w:sz="8" w:space="0" w:color="CDDC29" w:themeColor="text2"/>
              <w:left w:val="nil"/>
              <w:bottom w:val="single" w:sz="8" w:space="0" w:color="CDDC29" w:themeColor="text2"/>
              <w:right w:val="nil"/>
            </w:tcBorders>
            <w:shd w:val="clear" w:color="auto" w:fill="FFFF00"/>
            <w:vAlign w:val="center"/>
            <w:hideMark/>
          </w:tcPr>
          <w:p w14:paraId="2A180552" w14:textId="77777777" w:rsidR="00BE1D36" w:rsidRDefault="00BE1D36" w:rsidP="00682BF1">
            <w:pPr>
              <w:pStyle w:val="BodyText"/>
              <w:jc w:val="center"/>
            </w:pPr>
            <w:r>
              <w:t>Medium</w:t>
            </w:r>
          </w:p>
        </w:tc>
        <w:tc>
          <w:tcPr>
            <w:tcW w:w="1956" w:type="dxa"/>
            <w:tcBorders>
              <w:top w:val="single" w:sz="8" w:space="0" w:color="CDDC29" w:themeColor="text2"/>
              <w:left w:val="nil"/>
              <w:bottom w:val="single" w:sz="8" w:space="0" w:color="CDDC29" w:themeColor="text2"/>
              <w:right w:val="nil"/>
            </w:tcBorders>
            <w:shd w:val="clear" w:color="auto" w:fill="FFFF00"/>
            <w:vAlign w:val="center"/>
            <w:hideMark/>
          </w:tcPr>
          <w:p w14:paraId="7690D215" w14:textId="77777777" w:rsidR="00BE1D36" w:rsidRDefault="00BE1D36" w:rsidP="00682BF1">
            <w:pPr>
              <w:pStyle w:val="BodyText"/>
              <w:jc w:val="center"/>
            </w:pPr>
            <w:r>
              <w:t>Medium</w:t>
            </w:r>
          </w:p>
        </w:tc>
      </w:tr>
    </w:tbl>
    <w:p w14:paraId="0691CCC4" w14:textId="77777777" w:rsidR="00BE1D36" w:rsidRDefault="00BE1D36" w:rsidP="007E5EBF">
      <w:pPr>
        <w:pStyle w:val="Heading3"/>
      </w:pPr>
      <w:bookmarkStart w:id="1101" w:name="_Toc88724625"/>
      <w:bookmarkStart w:id="1102" w:name="_Toc88724626"/>
      <w:bookmarkStart w:id="1103" w:name="_Toc88724627"/>
      <w:bookmarkStart w:id="1104" w:name="_Toc88724628"/>
      <w:bookmarkStart w:id="1105" w:name="_Toc88724629"/>
      <w:bookmarkStart w:id="1106" w:name="_Toc88724630"/>
      <w:bookmarkStart w:id="1107" w:name="_Toc88724631"/>
      <w:bookmarkStart w:id="1108" w:name="_Toc88724633"/>
      <w:bookmarkStart w:id="1109" w:name="_Toc88724634"/>
      <w:bookmarkStart w:id="1110" w:name="_Toc88724635"/>
      <w:bookmarkStart w:id="1111" w:name="_Toc88724636"/>
      <w:bookmarkStart w:id="1112" w:name="_Toc88724637"/>
      <w:bookmarkStart w:id="1113" w:name="_Toc88724639"/>
      <w:bookmarkStart w:id="1114" w:name="_Toc88724640"/>
      <w:bookmarkStart w:id="1115" w:name="_Toc88724641"/>
      <w:bookmarkStart w:id="1116" w:name="_Toc88724642"/>
      <w:bookmarkStart w:id="1117" w:name="_Toc88724643"/>
      <w:bookmarkStart w:id="1118" w:name="_Toc88724645"/>
      <w:bookmarkStart w:id="1119" w:name="_Toc88724646"/>
      <w:bookmarkStart w:id="1120" w:name="_Toc88724647"/>
      <w:bookmarkStart w:id="1121" w:name="_Toc88724648"/>
      <w:bookmarkStart w:id="1122" w:name="_Toc88724649"/>
      <w:bookmarkStart w:id="1123" w:name="_Toc88724651"/>
      <w:bookmarkStart w:id="1124" w:name="_Toc87531590"/>
      <w:bookmarkStart w:id="1125" w:name="_Toc88724652"/>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r>
        <w:t>Fire</w:t>
      </w:r>
      <w:bookmarkEnd w:id="1124"/>
      <w:bookmarkEnd w:id="1125"/>
    </w:p>
    <w:p w14:paraId="22693D24" w14:textId="77777777" w:rsidR="00BE1D36" w:rsidRDefault="00BE1D36" w:rsidP="007E5EBF">
      <w:pPr>
        <w:pStyle w:val="Heading5"/>
      </w:pPr>
      <w:r>
        <w:t>Increased fire frequency and intensity</w:t>
      </w:r>
    </w:p>
    <w:p w14:paraId="3A5B61EC" w14:textId="3CF850EB" w:rsidR="00BE1D36" w:rsidRDefault="00BE1D36" w:rsidP="00BE1D36">
      <w:pPr>
        <w:pStyle w:val="BodyText"/>
      </w:pPr>
      <w:r>
        <w:t xml:space="preserve">The main concern with this hazard is if there are multiple fires rather than one off events, which would breach the </w:t>
      </w:r>
      <w:r w:rsidR="001D3902">
        <w:t>species’</w:t>
      </w:r>
      <w:r>
        <w:t xml:space="preserve"> </w:t>
      </w:r>
      <w:r w:rsidR="00E57924">
        <w:t>tolerable fire interval.</w:t>
      </w:r>
      <w:r w:rsidR="00E57924" w:rsidDel="00E57924">
        <w:t xml:space="preserve"> </w:t>
      </w:r>
      <w:r>
        <w:t xml:space="preserve">This could result in direct mortality and recruitment failure as the </w:t>
      </w:r>
      <w:r w:rsidR="001D3902">
        <w:t>species</w:t>
      </w:r>
      <w:r>
        <w:t xml:space="preserve"> will not get appropriate soil seed stores to enable regeneration. Drought stress and a drying climate can increase the likelihood of the hazard, with the post-fire regeneration vulnerable to deer and blackberry. During a normal bushfire cycle where the </w:t>
      </w:r>
      <w:r w:rsidR="00E57924">
        <w:t>tolerable fire interval</w:t>
      </w:r>
      <w:r w:rsidR="00E57924" w:rsidDel="00E57924">
        <w:t xml:space="preserve"> </w:t>
      </w:r>
      <w:r>
        <w:t xml:space="preserve">is not breached, the </w:t>
      </w:r>
      <w:r w:rsidR="001D3902">
        <w:t>species</w:t>
      </w:r>
      <w:r>
        <w:t xml:space="preserve"> is usually able to respond and regenerate. This hazard has the potential to impact 100% of the </w:t>
      </w:r>
      <w:r w:rsidR="001D3902">
        <w:t>species’</w:t>
      </w:r>
      <w:r>
        <w:t xml:space="preserve"> population.</w:t>
      </w:r>
    </w:p>
    <w:p w14:paraId="5EC87E63" w14:textId="77777777" w:rsidR="00BE1D36" w:rsidRDefault="00BE1D36" w:rsidP="00BE1D36">
      <w:pPr>
        <w:pStyle w:val="BodyText"/>
      </w:pPr>
      <w:r>
        <w:t>Current controls for this hazard include:</w:t>
      </w:r>
    </w:p>
    <w:p w14:paraId="4CA58C22" w14:textId="4ABDB460" w:rsidR="00BE1D36" w:rsidRDefault="00BE1D36" w:rsidP="006670D2">
      <w:pPr>
        <w:pStyle w:val="PullOutBoxBullet"/>
      </w:pPr>
      <w:r>
        <w:t>Strategic fuel breaks. This control has been evaluated as satisfactory</w:t>
      </w:r>
      <w:r w:rsidR="002E7013">
        <w:t>.</w:t>
      </w:r>
    </w:p>
    <w:p w14:paraId="05FDCAF9" w14:textId="0AC51BE2" w:rsidR="00BE1D36" w:rsidRDefault="00BE1D36" w:rsidP="006670D2">
      <w:pPr>
        <w:pStyle w:val="PullOutBoxBullet"/>
      </w:pPr>
      <w:r>
        <w:t xml:space="preserve">Strategic Bushfire Management plans. This control has been evaluated as satisfactory. </w:t>
      </w:r>
    </w:p>
    <w:p w14:paraId="74606508" w14:textId="7FAD8B12" w:rsidR="00BE1D36" w:rsidRDefault="00BE1D36" w:rsidP="006670D2">
      <w:pPr>
        <w:pStyle w:val="PullOutBoxBullet"/>
      </w:pPr>
      <w:r>
        <w:t xml:space="preserve">Direct attack/fire suppression. </w:t>
      </w:r>
      <w:r w:rsidR="004C182B" w:rsidRPr="00181CCE">
        <w:t xml:space="preserve">This control has been evaluated as satisfactory, noting that there are limits to the effectiveness of planned burning in the type of environment that the </w:t>
      </w:r>
      <w:r w:rsidR="001D3902">
        <w:t>species</w:t>
      </w:r>
      <w:r w:rsidR="004C182B" w:rsidRPr="00181CCE">
        <w:t xml:space="preserve"> occurs in.</w:t>
      </w:r>
    </w:p>
    <w:p w14:paraId="3110D50D" w14:textId="3013BC29"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268</w:t>
      </w:r>
      <w:r w:rsidR="000B6788" w:rsidRPr="00B846FE">
        <w:rPr>
          <w:bCs/>
          <w:noProof/>
        </w:rPr>
        <w:fldChar w:fldCharType="end"/>
      </w:r>
      <w:r w:rsidRPr="00FF310C">
        <w:t>. Velvety Geebung protection requirements and recommendations for increased fire frequency and intensity</w:t>
      </w:r>
    </w:p>
    <w:tbl>
      <w:tblPr>
        <w:tblStyle w:val="TableGrid"/>
        <w:tblW w:w="0" w:type="auto"/>
        <w:tblLook w:val="04A0" w:firstRow="1" w:lastRow="0" w:firstColumn="1" w:lastColumn="0" w:noHBand="0" w:noVBand="1"/>
      </w:tblPr>
      <w:tblGrid>
        <w:gridCol w:w="2268"/>
        <w:gridCol w:w="7371"/>
      </w:tblGrid>
      <w:tr w:rsidR="00BE1D36" w14:paraId="166D6B53"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6DCA11FC"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C20EE93"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64BCC031" w14:textId="77777777" w:rsidTr="00B45E4E">
        <w:tc>
          <w:tcPr>
            <w:tcW w:w="2268" w:type="dxa"/>
            <w:tcBorders>
              <w:top w:val="single" w:sz="8" w:space="0" w:color="CDDC29" w:themeColor="text2"/>
              <w:left w:val="nil"/>
              <w:bottom w:val="single" w:sz="8" w:space="0" w:color="CDDC29" w:themeColor="text2"/>
              <w:right w:val="nil"/>
            </w:tcBorders>
            <w:hideMark/>
          </w:tcPr>
          <w:p w14:paraId="7EBB149B" w14:textId="3DC501C4" w:rsidR="00BE1D36" w:rsidRDefault="00CB5E33"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6A128D1F" w14:textId="78CF0AB6" w:rsidR="00BE1D36" w:rsidRDefault="00BE1D36" w:rsidP="00B45E4E">
            <w:pPr>
              <w:pStyle w:val="BodyText"/>
            </w:pPr>
            <w:r>
              <w:t xml:space="preserve">Collect seed for the </w:t>
            </w:r>
            <w:r w:rsidR="005902EF">
              <w:t>VCS</w:t>
            </w:r>
            <w:r>
              <w:t xml:space="preserve"> from across the </w:t>
            </w:r>
            <w:r w:rsidR="001D3902">
              <w:t>species’</w:t>
            </w:r>
            <w:r>
              <w:t xml:space="preserve"> range</w:t>
            </w:r>
            <w:r w:rsidR="00682BF1">
              <w:t>.</w:t>
            </w:r>
          </w:p>
        </w:tc>
      </w:tr>
      <w:tr w:rsidR="00BE1D36" w14:paraId="3BD8414F" w14:textId="77777777" w:rsidTr="00B45E4E">
        <w:tc>
          <w:tcPr>
            <w:tcW w:w="2268" w:type="dxa"/>
            <w:tcBorders>
              <w:top w:val="single" w:sz="8" w:space="0" w:color="CDDC29" w:themeColor="text2"/>
              <w:left w:val="nil"/>
              <w:bottom w:val="single" w:sz="8" w:space="0" w:color="CDDC29" w:themeColor="text2"/>
              <w:right w:val="nil"/>
            </w:tcBorders>
            <w:hideMark/>
          </w:tcPr>
          <w:p w14:paraId="1893EDC7" w14:textId="2CBB6011" w:rsidR="00BE1D36" w:rsidRDefault="00CB5E33"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7E15B6F8" w14:textId="20EE6170" w:rsidR="00BE1D36" w:rsidRDefault="00682BF1" w:rsidP="006670D2">
            <w:pPr>
              <w:pStyle w:val="PullOutBoxBullet"/>
            </w:pPr>
            <w:r>
              <w:t>E</w:t>
            </w:r>
            <w:r w:rsidR="00BE1D36">
              <w:t>nsure that important populations are mapped, recorded</w:t>
            </w:r>
            <w:r w:rsidR="006B121E">
              <w:t>,</w:t>
            </w:r>
            <w:r w:rsidR="00BE1D36">
              <w:t xml:space="preserve"> and made available for fire management planning purposes</w:t>
            </w:r>
            <w:r>
              <w:t>; and</w:t>
            </w:r>
          </w:p>
          <w:p w14:paraId="22193378" w14:textId="741CB6EA" w:rsidR="00BE1D36" w:rsidRDefault="00682BF1" w:rsidP="006670D2">
            <w:pPr>
              <w:pStyle w:val="PullOutBoxBullet"/>
            </w:pPr>
            <w:r>
              <w:t>E</w:t>
            </w:r>
            <w:r w:rsidR="00BE1D36">
              <w:t xml:space="preserve">valuate response to low-intensity fires within its habitat </w:t>
            </w:r>
            <w:r w:rsidR="006B121E">
              <w:t>to</w:t>
            </w:r>
            <w:r w:rsidR="00BE1D36">
              <w:t xml:space="preserve"> manage fuel loads and stimulate regeneration</w:t>
            </w:r>
            <w:r>
              <w:t>.</w:t>
            </w:r>
          </w:p>
        </w:tc>
      </w:tr>
    </w:tbl>
    <w:p w14:paraId="4132569B" w14:textId="77777777" w:rsidR="00BE1D36" w:rsidRDefault="00BE1D36" w:rsidP="007E5EBF">
      <w:pPr>
        <w:pStyle w:val="Heading3"/>
      </w:pPr>
      <w:r>
        <w:t>Forestry operations</w:t>
      </w:r>
    </w:p>
    <w:p w14:paraId="43315871" w14:textId="2A7D4F5A" w:rsidR="00BE1D36" w:rsidRDefault="00A03226" w:rsidP="007E5EBF">
      <w:pPr>
        <w:pStyle w:val="Heading5"/>
      </w:pPr>
      <w:r>
        <w:t>F</w:t>
      </w:r>
      <w:r w:rsidR="00BE1D36">
        <w:t>orestry operations</w:t>
      </w:r>
    </w:p>
    <w:p w14:paraId="571AC29D" w14:textId="0CA215D0" w:rsidR="00BE1D36" w:rsidRDefault="00BE1D36" w:rsidP="00BE1D36">
      <w:pPr>
        <w:pStyle w:val="BodyText"/>
      </w:pPr>
      <w:r>
        <w:t xml:space="preserve">Velvety Geebung is likely to be affected by forestry operations in parts of its range, including through mechanical disturbance and regeneration burning, with approximately 26% of </w:t>
      </w:r>
      <w:r w:rsidRPr="00D350A7">
        <w:t>its VBA points in merchantable areas</w:t>
      </w:r>
      <w:r w:rsidR="00EF1ACC" w:rsidRPr="00B846FE">
        <w:t xml:space="preserve"> </w:t>
      </w:r>
      <w:r w:rsidR="00EF1ACC" w:rsidRPr="00FD57DB">
        <w:t xml:space="preserve">according to the 2015 net harvest area layer. </w:t>
      </w:r>
      <w:r w:rsidR="008D54D3" w:rsidRPr="00FD57DB">
        <w:t xml:space="preserve">Using the revised operable area layer, </w:t>
      </w:r>
      <w:r w:rsidR="00EF1ACC" w:rsidRPr="00FD57DB">
        <w:t xml:space="preserve">this reduces to </w:t>
      </w:r>
      <w:r w:rsidR="008D54D3" w:rsidRPr="00FD57DB">
        <w:t>13%</w:t>
      </w:r>
      <w:r w:rsidR="00EF1ACC" w:rsidRPr="00FD57DB">
        <w:t xml:space="preserve">. </w:t>
      </w:r>
      <w:r w:rsidR="0075006B" w:rsidRPr="00D350A7">
        <w:t xml:space="preserve">Where </w:t>
      </w:r>
      <w:r w:rsidR="0075006B" w:rsidRPr="00915D82">
        <w:t>plants are not detected and appropriately buffered as per the Code, direct mortality and habitat degradation could occur due to crushing</w:t>
      </w:r>
      <w:r>
        <w:t xml:space="preserve">. All the hazards assessed are interrelated and one can lead to an increase in the other. </w:t>
      </w:r>
    </w:p>
    <w:p w14:paraId="38A8D987" w14:textId="0CABB076" w:rsidR="00BE1D36" w:rsidRDefault="00BE1D36" w:rsidP="00BE1D36">
      <w:pPr>
        <w:pStyle w:val="BodyText"/>
      </w:pPr>
      <w:r>
        <w:t xml:space="preserve">Regeneration burns are unlikely to happen too </w:t>
      </w:r>
      <w:r w:rsidR="002A083C">
        <w:t>frequently</w:t>
      </w:r>
      <w:r>
        <w:t xml:space="preserve"> over the next 10 years, and there is some evidence in former log landings of the </w:t>
      </w:r>
      <w:r w:rsidR="001D3902">
        <w:t>species</w:t>
      </w:r>
      <w:r>
        <w:t xml:space="preserve"> sprouting up within them, so they are potentially resilient to disturbance, however this would depend on the potential of bushfire impacts or other disturbance following forestry operations. There would likely be an intent to preclude harvesting and fire impacts to at least parts of the coupes, such as in gullies and stream areas where the </w:t>
      </w:r>
      <w:r w:rsidR="001D3902">
        <w:t>species</w:t>
      </w:r>
      <w:r>
        <w:t xml:space="preserve"> is more likely to occur. </w:t>
      </w:r>
      <w:r w:rsidR="00984BDA" w:rsidRPr="00915D82">
        <w:t>However, regeneration burns may impact plants if they are high intensity fires, unless the plants are retained in reasonably buffered areas where fire is excluded.</w:t>
      </w:r>
    </w:p>
    <w:p w14:paraId="40ADD760" w14:textId="77777777" w:rsidR="00BE1D36" w:rsidRDefault="00BE1D36" w:rsidP="00BE1D36">
      <w:pPr>
        <w:pStyle w:val="BodyText"/>
      </w:pPr>
      <w:r>
        <w:t>Current controls for this hazard include:</w:t>
      </w:r>
    </w:p>
    <w:p w14:paraId="682C54B7" w14:textId="40CA1D46" w:rsidR="00BE1D36" w:rsidRDefault="00BE1D36" w:rsidP="006670D2">
      <w:pPr>
        <w:pStyle w:val="PullOutBoxBullet"/>
      </w:pPr>
      <w:r>
        <w:t>Pre-Harvest surveys. This has been evaluated as satisfactory</w:t>
      </w:r>
      <w:r w:rsidR="00BC029C">
        <w:t>.</w:t>
      </w:r>
    </w:p>
    <w:p w14:paraId="07BADE54" w14:textId="7D9792AD" w:rsidR="00BE1D36" w:rsidRDefault="00BE1D36" w:rsidP="006670D2">
      <w:pPr>
        <w:pStyle w:val="PullOutBoxBullet"/>
        <w:rPr>
          <w:rStyle w:val="BodyTextChar"/>
          <w:rFonts w:cs="Arial"/>
        </w:rPr>
      </w:pPr>
      <w:r>
        <w:t xml:space="preserve">The </w:t>
      </w:r>
      <w:r>
        <w:rPr>
          <w:i/>
          <w:iCs/>
        </w:rPr>
        <w:t>Code of Practice for Timber Production 2014</w:t>
      </w:r>
      <w:r>
        <w:t xml:space="preserve">. This has been evaluated as satisfactory </w:t>
      </w:r>
      <w:r w:rsidR="00CF5995">
        <w:t>when correctly applied</w:t>
      </w:r>
      <w:r>
        <w:rPr>
          <w:rStyle w:val="BodyTextChar"/>
          <w:rFonts w:cs="Arial"/>
        </w:rPr>
        <w:t xml:space="preserve">. </w:t>
      </w:r>
      <w:r w:rsidR="00CF5995">
        <w:rPr>
          <w:rStyle w:val="BodyTextChar"/>
          <w:rFonts w:cs="Arial"/>
        </w:rPr>
        <w:t xml:space="preserve">The </w:t>
      </w:r>
      <w:r w:rsidR="001D3902">
        <w:rPr>
          <w:rStyle w:val="BodyTextChar"/>
          <w:rFonts w:cs="Arial"/>
        </w:rPr>
        <w:t>species</w:t>
      </w:r>
      <w:r>
        <w:rPr>
          <w:rStyle w:val="BodyTextChar"/>
          <w:rFonts w:cs="Arial"/>
        </w:rPr>
        <w:t xml:space="preserve"> is likely to be more abundant than current VBA records indicate</w:t>
      </w:r>
      <w:r w:rsidR="00CF5995">
        <w:rPr>
          <w:rStyle w:val="BodyTextChar"/>
          <w:rFonts w:cs="Arial"/>
        </w:rPr>
        <w:t>,</w:t>
      </w:r>
      <w:r>
        <w:rPr>
          <w:rStyle w:val="BodyTextChar"/>
          <w:rFonts w:cs="Arial"/>
        </w:rPr>
        <w:t xml:space="preserve"> so forestry can still have a notable impact if coupes aren’t surveyed and prescriptions followed.</w:t>
      </w:r>
    </w:p>
    <w:p w14:paraId="26EFFAEF" w14:textId="1D34ED5E" w:rsidR="00BE1D36" w:rsidRDefault="00BE1D36" w:rsidP="006670D2">
      <w:pPr>
        <w:pStyle w:val="PullOutBoxBullet"/>
        <w:rPr>
          <w:rFonts w:eastAsiaTheme="minorEastAsia" w:cstheme="minorBidi"/>
          <w:sz w:val="22"/>
          <w:szCs w:val="22"/>
        </w:rPr>
      </w:pPr>
      <w:r>
        <w:t xml:space="preserve">The CAR reserve system. </w:t>
      </w:r>
      <w:r w:rsidR="003809EB" w:rsidRPr="00CB51DA">
        <w:rPr>
          <w:rStyle w:val="normaltextrun"/>
        </w:rPr>
        <w:t>The effectiveness of this control for this species has been evaluated</w:t>
      </w:r>
      <w:r w:rsidR="003809EB">
        <w:t xml:space="preserve"> as </w:t>
      </w:r>
      <w:r>
        <w:t xml:space="preserve">satisfactory as 85% of the </w:t>
      </w:r>
      <w:r w:rsidR="001D3902">
        <w:t>species’</w:t>
      </w:r>
      <w:r>
        <w:t xml:space="preserve"> important populations and 56% of post-1970 VBA points are within the reserve system.</w:t>
      </w:r>
    </w:p>
    <w:p w14:paraId="5F7A6210" w14:textId="1B5CEFCA"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269</w:t>
      </w:r>
      <w:r w:rsidR="000B6788" w:rsidRPr="00B846FE">
        <w:rPr>
          <w:bCs/>
          <w:noProof/>
        </w:rPr>
        <w:fldChar w:fldCharType="end"/>
      </w:r>
      <w:r w:rsidRPr="00FF310C">
        <w:t>. Velvety Geebung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BE1D36" w14:paraId="0A414318"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7510E556"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243B192B"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19377E6C" w14:textId="77777777" w:rsidTr="00B45E4E">
        <w:tc>
          <w:tcPr>
            <w:tcW w:w="2268" w:type="dxa"/>
            <w:tcBorders>
              <w:top w:val="single" w:sz="8" w:space="0" w:color="CDDC29" w:themeColor="text2"/>
              <w:left w:val="nil"/>
              <w:bottom w:val="single" w:sz="8" w:space="0" w:color="CDDC29" w:themeColor="text2"/>
              <w:right w:val="nil"/>
            </w:tcBorders>
            <w:hideMark/>
          </w:tcPr>
          <w:p w14:paraId="04B7933D" w14:textId="34C0E6E8" w:rsidR="00BE1D36" w:rsidRDefault="00BE1D36" w:rsidP="00B45E4E">
            <w:pPr>
              <w:pStyle w:val="BodyText"/>
            </w:pPr>
            <w:r>
              <w:t>Interim protections</w:t>
            </w:r>
            <w:r w:rsidR="00CB5E33">
              <w:t xml:space="preserve"> </w:t>
            </w:r>
          </w:p>
        </w:tc>
        <w:tc>
          <w:tcPr>
            <w:tcW w:w="7371" w:type="dxa"/>
            <w:tcBorders>
              <w:top w:val="single" w:sz="8" w:space="0" w:color="CDDC29" w:themeColor="text2"/>
              <w:left w:val="nil"/>
              <w:bottom w:val="single" w:sz="8" w:space="0" w:color="CDDC29" w:themeColor="text2"/>
              <w:right w:val="nil"/>
            </w:tcBorders>
            <w:hideMark/>
          </w:tcPr>
          <w:p w14:paraId="11984263" w14:textId="77777777" w:rsidR="00BE1D36" w:rsidRDefault="00BE1D36" w:rsidP="00B45E4E">
            <w:pPr>
              <w:pStyle w:val="BodyText"/>
            </w:pPr>
            <w:r>
              <w:t>Not required for this hazard based on the overall risk level of medium.</w:t>
            </w:r>
          </w:p>
        </w:tc>
      </w:tr>
      <w:tr w:rsidR="002C67BC" w14:paraId="48434A7A" w14:textId="77777777" w:rsidTr="00B45E4E">
        <w:tc>
          <w:tcPr>
            <w:tcW w:w="2268" w:type="dxa"/>
            <w:tcBorders>
              <w:top w:val="single" w:sz="8" w:space="0" w:color="CDDC29" w:themeColor="text2"/>
              <w:left w:val="nil"/>
              <w:bottom w:val="single" w:sz="8" w:space="0" w:color="CDDC29" w:themeColor="text2"/>
              <w:right w:val="nil"/>
            </w:tcBorders>
          </w:tcPr>
          <w:p w14:paraId="76A8260C" w14:textId="3C37CA4C" w:rsidR="002C67BC" w:rsidRDefault="002C67BC"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2BC88FD9" w14:textId="468C6535" w:rsidR="002C67BC" w:rsidRDefault="002C67BC" w:rsidP="00B45E4E">
            <w:pPr>
              <w:pStyle w:val="BodyText"/>
            </w:pPr>
            <w:r>
              <w:t>Not required for this hazard based on the overall risk level of medium.</w:t>
            </w:r>
          </w:p>
        </w:tc>
      </w:tr>
      <w:tr w:rsidR="00BE1D36" w14:paraId="781D1738" w14:textId="77777777" w:rsidTr="00B45E4E">
        <w:tc>
          <w:tcPr>
            <w:tcW w:w="2268" w:type="dxa"/>
            <w:tcBorders>
              <w:top w:val="single" w:sz="8" w:space="0" w:color="CDDC29" w:themeColor="text2"/>
              <w:left w:val="nil"/>
              <w:bottom w:val="single" w:sz="8" w:space="0" w:color="CDDC29" w:themeColor="text2"/>
              <w:right w:val="nil"/>
            </w:tcBorders>
            <w:hideMark/>
          </w:tcPr>
          <w:p w14:paraId="00F9C064" w14:textId="77777777" w:rsidR="00BE1D36" w:rsidRDefault="00BE1D36" w:rsidP="00B45E4E">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085676ED" w14:textId="77777777" w:rsidR="00BE1D36" w:rsidRDefault="00BE1D36" w:rsidP="00B45E4E">
            <w:pPr>
              <w:pStyle w:val="BodyText"/>
            </w:pPr>
            <w:r>
              <w:t>Additional permanent protections may be required in the longer-term.</w:t>
            </w:r>
          </w:p>
        </w:tc>
      </w:tr>
      <w:tr w:rsidR="00BE1D36" w14:paraId="7B8B5215" w14:textId="77777777" w:rsidTr="00B45E4E">
        <w:tc>
          <w:tcPr>
            <w:tcW w:w="2268" w:type="dxa"/>
            <w:tcBorders>
              <w:top w:val="single" w:sz="8" w:space="0" w:color="CDDC29" w:themeColor="text2"/>
              <w:left w:val="nil"/>
              <w:bottom w:val="single" w:sz="8" w:space="0" w:color="CDDC29" w:themeColor="text2"/>
              <w:right w:val="nil"/>
            </w:tcBorders>
            <w:hideMark/>
          </w:tcPr>
          <w:p w14:paraId="0F10C2BC" w14:textId="5A53F883" w:rsidR="00BE1D36" w:rsidRDefault="00CB5E33"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110B5A13" w14:textId="31A50E9B" w:rsidR="00BE1D36" w:rsidRDefault="007F0D76" w:rsidP="006670D2">
            <w:pPr>
              <w:pStyle w:val="PullOutBoxBullet"/>
            </w:pPr>
            <w:r>
              <w:t>M</w:t>
            </w:r>
            <w:r w:rsidR="00BE1D36">
              <w:t xml:space="preserve">onitor the efficacy of harvesting operations to limit physical disturbance to the </w:t>
            </w:r>
            <w:r w:rsidR="001D3902">
              <w:t>species</w:t>
            </w:r>
            <w:r w:rsidR="00BE1D36">
              <w:t xml:space="preserve"> and its response to various burn regimes.</w:t>
            </w:r>
          </w:p>
        </w:tc>
      </w:tr>
    </w:tbl>
    <w:p w14:paraId="2AD8DEE6" w14:textId="77777777" w:rsidR="00BE1D36" w:rsidRDefault="00BE1D36" w:rsidP="007E5EBF">
      <w:pPr>
        <w:pStyle w:val="Heading3"/>
      </w:pPr>
      <w:r>
        <w:t>Invasive species</w:t>
      </w:r>
    </w:p>
    <w:p w14:paraId="5CEBED5A" w14:textId="77777777" w:rsidR="00BE1D36" w:rsidRDefault="00BE1D36" w:rsidP="007E5EBF">
      <w:pPr>
        <w:pStyle w:val="Heading5"/>
      </w:pPr>
      <w:r>
        <w:t>Invasive vertebrate (deer)</w:t>
      </w:r>
    </w:p>
    <w:p w14:paraId="61FD80B1" w14:textId="15EF1533" w:rsidR="00BE1D36" w:rsidRDefault="00BE1D36" w:rsidP="00BE1D36">
      <w:pPr>
        <w:pStyle w:val="BodyText"/>
      </w:pPr>
      <w:r>
        <w:t xml:space="preserve">Deer can rub and ringbark trees, killing mature plants, and supress recruitment through selectively browsing on seedlings and eating drupes, and has the possibility of impacting 100% of the </w:t>
      </w:r>
      <w:r w:rsidR="001D3902">
        <w:t>species’</w:t>
      </w:r>
      <w:r>
        <w:t xml:space="preserve"> populations. Deer are also a vector for the spread of weeds such as blackberry that outcompete the </w:t>
      </w:r>
      <w:r w:rsidR="001D3902">
        <w:t>species</w:t>
      </w:r>
      <w:r>
        <w:t>.</w:t>
      </w:r>
    </w:p>
    <w:p w14:paraId="553EEED3" w14:textId="77777777" w:rsidR="00BE1D36" w:rsidRDefault="00BE1D36" w:rsidP="00BE1D36">
      <w:pPr>
        <w:pStyle w:val="BodyText"/>
      </w:pPr>
      <w:r>
        <w:t>Current controls for this hazard include:</w:t>
      </w:r>
    </w:p>
    <w:p w14:paraId="6A5CFD66" w14:textId="77777777" w:rsidR="00BE1D36" w:rsidRDefault="00BE1D36" w:rsidP="006670D2">
      <w:pPr>
        <w:pStyle w:val="PullOutBoxBullet"/>
      </w:pPr>
      <w:r>
        <w:t>Deer control. This has been evaluated as poor due to aerial shooting being restricted to the national park and not extending into the state forest area. There is incidental activity by recreational deer hunters but not enough to supress deer populations, and access into the area is difficult.</w:t>
      </w:r>
    </w:p>
    <w:p w14:paraId="139D240C" w14:textId="47C8631A"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270</w:t>
      </w:r>
      <w:r w:rsidR="000B6788" w:rsidRPr="00B846FE">
        <w:rPr>
          <w:bCs/>
          <w:noProof/>
        </w:rPr>
        <w:fldChar w:fldCharType="end"/>
      </w:r>
      <w:r w:rsidRPr="00FF310C">
        <w:t>. Velvety Geebung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BE1D36" w14:paraId="73AB4A08"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0E7CAC6A"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5FEF1FFE"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57BBB36F" w14:textId="77777777" w:rsidTr="00B45E4E">
        <w:tc>
          <w:tcPr>
            <w:tcW w:w="2268" w:type="dxa"/>
            <w:tcBorders>
              <w:top w:val="single" w:sz="8" w:space="0" w:color="CDDC29" w:themeColor="text2"/>
              <w:left w:val="nil"/>
              <w:bottom w:val="single" w:sz="8" w:space="0" w:color="CDDC29" w:themeColor="text2"/>
              <w:right w:val="nil"/>
            </w:tcBorders>
            <w:hideMark/>
          </w:tcPr>
          <w:p w14:paraId="0D44114A" w14:textId="7E693CDC" w:rsidR="00BE1D36" w:rsidRDefault="007F0D76"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07580B71" w14:textId="77777777" w:rsidR="00BE1D36" w:rsidRDefault="00BE1D36" w:rsidP="00B45E4E">
            <w:pPr>
              <w:pStyle w:val="BodyText"/>
            </w:pPr>
            <w:r>
              <w:t>Not required for this hazard based on the overall risk level of medium.</w:t>
            </w:r>
          </w:p>
        </w:tc>
      </w:tr>
      <w:tr w:rsidR="00BE1D36" w14:paraId="694F8719" w14:textId="77777777" w:rsidTr="00B45E4E">
        <w:tc>
          <w:tcPr>
            <w:tcW w:w="2268" w:type="dxa"/>
            <w:tcBorders>
              <w:top w:val="single" w:sz="8" w:space="0" w:color="CDDC29" w:themeColor="text2"/>
              <w:left w:val="nil"/>
              <w:bottom w:val="single" w:sz="8" w:space="0" w:color="CDDC29" w:themeColor="text2"/>
              <w:right w:val="nil"/>
            </w:tcBorders>
            <w:hideMark/>
          </w:tcPr>
          <w:p w14:paraId="0B09901B" w14:textId="4DAD55D0" w:rsidR="00BE1D36" w:rsidRDefault="007F0D76"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08EA19A1" w14:textId="0DC1F0BF" w:rsidR="00BE1D36" w:rsidRDefault="00682BF1" w:rsidP="006670D2">
            <w:pPr>
              <w:pStyle w:val="PullOutBoxBullet"/>
            </w:pPr>
            <w:r>
              <w:t>E</w:t>
            </w:r>
            <w:r w:rsidR="00BE1D36">
              <w:t xml:space="preserve">xpand aerial deer control into the </w:t>
            </w:r>
            <w:r w:rsidR="001B3BDA">
              <w:t>State Forest</w:t>
            </w:r>
            <w:r>
              <w:t>; and</w:t>
            </w:r>
          </w:p>
          <w:p w14:paraId="17E5E359" w14:textId="77777777" w:rsidR="00BE1D36" w:rsidRDefault="00BE1D36" w:rsidP="006670D2">
            <w:pPr>
              <w:pStyle w:val="PullOutBoxBullet"/>
            </w:pPr>
            <w:r>
              <w:t>Conduct targeted ground-based deer culling at important populations during the rut to protect older trees, and post-fire for small plants/recruitment.</w:t>
            </w:r>
          </w:p>
        </w:tc>
      </w:tr>
    </w:tbl>
    <w:p w14:paraId="2AFECC02" w14:textId="77777777" w:rsidR="00BE1D36" w:rsidRDefault="00BE1D36" w:rsidP="007E5EBF">
      <w:pPr>
        <w:pStyle w:val="Heading5"/>
        <w:rPr>
          <w:iCs/>
          <w:sz w:val="18"/>
          <w:szCs w:val="18"/>
        </w:rPr>
      </w:pPr>
      <w:r>
        <w:t>Invasive plant (</w:t>
      </w:r>
      <w:r>
        <w:rPr>
          <w:iCs/>
        </w:rPr>
        <w:t>weeds)</w:t>
      </w:r>
    </w:p>
    <w:p w14:paraId="0BE54138" w14:textId="337A71B5" w:rsidR="00BE1D36" w:rsidRDefault="00BE1D36" w:rsidP="00BE1D36">
      <w:pPr>
        <w:pStyle w:val="BodyText"/>
      </w:pPr>
      <w:r>
        <w:t xml:space="preserve">Blackberry is the main weed that impacts on this </w:t>
      </w:r>
      <w:r w:rsidR="001D3902">
        <w:t>species</w:t>
      </w:r>
      <w:r>
        <w:t xml:space="preserve"> and has the potential to impact around 10 to 15% of the </w:t>
      </w:r>
      <w:r w:rsidR="001D3902">
        <w:t>species’</w:t>
      </w:r>
      <w:r>
        <w:t xml:space="preserve"> populations. However, this depends on disturbance history and the amount of roading in the environment. Blackberry invasion can outcompete the </w:t>
      </w:r>
      <w:r w:rsidR="001D3902">
        <w:t>species</w:t>
      </w:r>
      <w:r>
        <w:t xml:space="preserve"> and can result in habitat loss and degradation. Post-timber harvesting</w:t>
      </w:r>
      <w:r w:rsidR="0019460B">
        <w:t xml:space="preserve"> may</w:t>
      </w:r>
      <w:r>
        <w:t xml:space="preserve"> increase the amount of blackberry in the area, with areas with a history of harvesting a lot weedier due to the roading network, disturbance of soil, and log landing.</w:t>
      </w:r>
    </w:p>
    <w:p w14:paraId="7503C8AC" w14:textId="77777777" w:rsidR="00BE1D36" w:rsidRDefault="00BE1D36" w:rsidP="00BE1D36">
      <w:pPr>
        <w:pStyle w:val="BodyText"/>
      </w:pPr>
      <w:r>
        <w:t xml:space="preserve">This hazard has been evaluated as uncontrolled as there is nothing feasible available at the landscape scale. </w:t>
      </w:r>
    </w:p>
    <w:p w14:paraId="2D366BB1" w14:textId="22B60BB1"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271</w:t>
      </w:r>
      <w:r w:rsidR="000B6788" w:rsidRPr="00B846FE">
        <w:rPr>
          <w:bCs/>
          <w:noProof/>
        </w:rPr>
        <w:fldChar w:fldCharType="end"/>
      </w:r>
      <w:r w:rsidRPr="00FF310C">
        <w:t>. Velvety Geebung protection requirements and recommendations for invasive plant (weeds)</w:t>
      </w:r>
    </w:p>
    <w:tbl>
      <w:tblPr>
        <w:tblStyle w:val="TableGrid"/>
        <w:tblW w:w="0" w:type="auto"/>
        <w:tblLook w:val="04A0" w:firstRow="1" w:lastRow="0" w:firstColumn="1" w:lastColumn="0" w:noHBand="0" w:noVBand="1"/>
      </w:tblPr>
      <w:tblGrid>
        <w:gridCol w:w="2268"/>
        <w:gridCol w:w="7371"/>
      </w:tblGrid>
      <w:tr w:rsidR="00BE1D36" w14:paraId="2420C6D2"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BCE2CDC"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4F9BB94E"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1EAB142A" w14:textId="77777777" w:rsidTr="00B45E4E">
        <w:tc>
          <w:tcPr>
            <w:tcW w:w="2268" w:type="dxa"/>
            <w:tcBorders>
              <w:top w:val="single" w:sz="8" w:space="0" w:color="CDDC29" w:themeColor="text2"/>
              <w:left w:val="nil"/>
              <w:bottom w:val="single" w:sz="8" w:space="0" w:color="CDDC29" w:themeColor="text2"/>
              <w:right w:val="nil"/>
            </w:tcBorders>
            <w:hideMark/>
          </w:tcPr>
          <w:p w14:paraId="187825D5" w14:textId="25FA93A9" w:rsidR="00BE1D36" w:rsidRDefault="007F0D76"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5450110D" w14:textId="77777777" w:rsidR="00BE1D36" w:rsidRDefault="00BE1D36" w:rsidP="00B45E4E">
            <w:pPr>
              <w:pStyle w:val="BodyText"/>
            </w:pPr>
            <w:r>
              <w:t>Not required for this hazard based on the overall risk level of medium.</w:t>
            </w:r>
          </w:p>
        </w:tc>
      </w:tr>
      <w:tr w:rsidR="00BE1D36" w14:paraId="0FB6E1EC" w14:textId="77777777" w:rsidTr="00B45E4E">
        <w:tc>
          <w:tcPr>
            <w:tcW w:w="2268" w:type="dxa"/>
            <w:tcBorders>
              <w:top w:val="single" w:sz="8" w:space="0" w:color="CDDC29" w:themeColor="text2"/>
              <w:left w:val="nil"/>
              <w:bottom w:val="single" w:sz="8" w:space="0" w:color="CDDC29" w:themeColor="text2"/>
              <w:right w:val="nil"/>
            </w:tcBorders>
            <w:hideMark/>
          </w:tcPr>
          <w:p w14:paraId="1F5DA542" w14:textId="7DC236A6" w:rsidR="00BE1D36" w:rsidRDefault="007F0D76"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6699871A" w14:textId="1EB76ACE" w:rsidR="00BE1D36" w:rsidRDefault="00BE1D36" w:rsidP="006670D2">
            <w:pPr>
              <w:pStyle w:val="PullOutBoxBullet"/>
            </w:pPr>
            <w:r>
              <w:t xml:space="preserve">Consider the introduction of the Cane Leaf Beetle as a biological control for </w:t>
            </w:r>
            <w:r w:rsidR="00026AED">
              <w:t>b</w:t>
            </w:r>
            <w:r>
              <w:t>lackberry</w:t>
            </w:r>
            <w:r w:rsidR="00682BF1">
              <w:t>; and</w:t>
            </w:r>
          </w:p>
          <w:p w14:paraId="2AE0DE24" w14:textId="2BFA168D" w:rsidR="00BE1D36" w:rsidRDefault="00682BF1" w:rsidP="006670D2">
            <w:pPr>
              <w:pStyle w:val="PullOutBoxBullet"/>
            </w:pPr>
            <w:r>
              <w:t>E</w:t>
            </w:r>
            <w:r w:rsidR="00BE1D36">
              <w:t>nsure that adequate weed control is conducted following disturbance, including bushfire response, roading, fuel management and forestry operations</w:t>
            </w:r>
            <w:r>
              <w:t>.</w:t>
            </w:r>
          </w:p>
        </w:tc>
      </w:tr>
    </w:tbl>
    <w:p w14:paraId="7605E237" w14:textId="77777777" w:rsidR="00BE1D36" w:rsidRDefault="00BE1D36" w:rsidP="00BE1D36">
      <w:pPr>
        <w:pStyle w:val="ListBullet"/>
        <w:numPr>
          <w:ilvl w:val="0"/>
          <w:numId w:val="0"/>
        </w:numPr>
        <w:ind w:left="397"/>
        <w:rPr>
          <w:szCs w:val="20"/>
        </w:rPr>
      </w:pPr>
    </w:p>
    <w:p w14:paraId="5AC43CC2" w14:textId="77777777" w:rsidR="00BE1D36" w:rsidRDefault="00BE1D36" w:rsidP="00BE1D36">
      <w:r>
        <w:rPr>
          <w:color w:val="auto"/>
        </w:rPr>
        <w:br w:type="page"/>
      </w:r>
    </w:p>
    <w:p w14:paraId="355BC428" w14:textId="77777777" w:rsidR="00BE1D36" w:rsidRPr="00D53466" w:rsidRDefault="00BE1D36" w:rsidP="00171F18">
      <w:pPr>
        <w:pStyle w:val="Heading2"/>
        <w:ind w:left="0"/>
        <w:rPr>
          <w:i/>
          <w:iCs/>
        </w:rPr>
      </w:pPr>
      <w:bookmarkStart w:id="1126" w:name="_Toc88147033"/>
      <w:bookmarkStart w:id="1127" w:name="_Toc88724992"/>
      <w:bookmarkStart w:id="1128" w:name="_Toc113271079"/>
      <w:r w:rsidRPr="00D53466">
        <w:t>Violet Bladderwort</w:t>
      </w:r>
      <w:r w:rsidRPr="00F67DF8">
        <w:rPr>
          <w:i/>
          <w:iCs/>
        </w:rPr>
        <w:t> (Utricularia violacea)</w:t>
      </w:r>
      <w:bookmarkEnd w:id="1126"/>
      <w:bookmarkEnd w:id="1127"/>
      <w:bookmarkEnd w:id="1128"/>
      <w:r w:rsidRPr="00F67DF8">
        <w:rPr>
          <w:i/>
          <w:iCs/>
        </w:rPr>
        <w:t> </w:t>
      </w:r>
    </w:p>
    <w:p w14:paraId="1C80F8AB" w14:textId="08231BE7" w:rsidR="00BE1D36" w:rsidRDefault="00BE1D36" w:rsidP="00BE1D36">
      <w:pPr>
        <w:pStyle w:val="BodyText"/>
      </w:pPr>
      <w:r>
        <w:t xml:space="preserve">The Violet Bladderwort was listed as Endangered in Victoria under the FFG Act in May 2021. The </w:t>
      </w:r>
      <w:r w:rsidR="001D3902">
        <w:t>species</w:t>
      </w:r>
      <w:r>
        <w:t xml:space="preserve"> has VBA points in the West (91% of VBA points) RFA region, with 9% of VBA points occurring in non-RFA regions.</w:t>
      </w:r>
      <w:r>
        <w:rPr>
          <w:rStyle w:val="BodyTextChar"/>
        </w:rPr>
        <w:t xml:space="preserve"> Permanent protections are recommended to address any hazards identified at a significant or high risk, and all</w:t>
      </w:r>
      <w:r>
        <w:t xml:space="preserve"> hazards rated a medium risk or higher will be considered in future management planning.</w:t>
      </w:r>
    </w:p>
    <w:p w14:paraId="1AD06C33" w14:textId="77777777" w:rsidR="00BE1D36" w:rsidRDefault="00BE1D36" w:rsidP="007E5EBF">
      <w:pPr>
        <w:pStyle w:val="Heading3"/>
      </w:pPr>
      <w:bookmarkStart w:id="1129" w:name="_Toc88724993"/>
      <w:r>
        <w:t>Risk Assessment</w:t>
      </w:r>
      <w:bookmarkEnd w:id="1129"/>
    </w:p>
    <w:p w14:paraId="48D39D38" w14:textId="54849D50" w:rsidR="00BE1D36" w:rsidRPr="00FF310C" w:rsidRDefault="00BE1D36" w:rsidP="006670D2">
      <w:pPr>
        <w:pStyle w:val="Caption"/>
        <w:rPr>
          <w:rFonts w:ascii="Arial" w:hAnsi="Arial"/>
          <w:color w:val="auto"/>
        </w:rPr>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272</w:t>
      </w:r>
      <w:r w:rsidR="000B6788" w:rsidRPr="00B846FE">
        <w:rPr>
          <w:bCs/>
          <w:noProof/>
        </w:rPr>
        <w:fldChar w:fldCharType="end"/>
      </w:r>
      <w:r w:rsidRPr="00FF310C">
        <w:t>. Violet Bladderwort risk ratings in the West RFA region:</w:t>
      </w:r>
      <w:r w:rsidRPr="00FF310C">
        <w:rPr>
          <w:rFonts w:ascii="Arial" w:hAnsi="Arial"/>
          <w:color w:val="auto"/>
        </w:rPr>
        <w:t>  </w:t>
      </w:r>
    </w:p>
    <w:tbl>
      <w:tblPr>
        <w:tblStyle w:val="TableGrid"/>
        <w:tblW w:w="9801" w:type="dxa"/>
        <w:tblLook w:val="04A0" w:firstRow="1" w:lastRow="0" w:firstColumn="1" w:lastColumn="0" w:noHBand="0" w:noVBand="1"/>
      </w:tblPr>
      <w:tblGrid>
        <w:gridCol w:w="1633"/>
        <w:gridCol w:w="1633"/>
        <w:gridCol w:w="1633"/>
        <w:gridCol w:w="1634"/>
        <w:gridCol w:w="1634"/>
        <w:gridCol w:w="1634"/>
      </w:tblGrid>
      <w:tr w:rsidR="0003519D" w14:paraId="580295E6" w14:textId="1127C862"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33" w:type="dxa"/>
            <w:tcBorders>
              <w:top w:val="single" w:sz="8" w:space="0" w:color="CDDC29" w:themeColor="text2"/>
              <w:left w:val="nil"/>
              <w:bottom w:val="single" w:sz="8" w:space="0" w:color="CDDC29" w:themeColor="text2"/>
              <w:right w:val="nil"/>
            </w:tcBorders>
            <w:vAlign w:val="center"/>
          </w:tcPr>
          <w:p w14:paraId="79434C20" w14:textId="77777777" w:rsidR="0003519D" w:rsidRDefault="0003519D" w:rsidP="006670D2">
            <w:pPr>
              <w:pStyle w:val="CaptionImageorFigure"/>
            </w:pPr>
          </w:p>
        </w:tc>
        <w:tc>
          <w:tcPr>
            <w:tcW w:w="1633" w:type="dxa"/>
            <w:tcBorders>
              <w:top w:val="single" w:sz="8" w:space="0" w:color="CDDC29" w:themeColor="text2"/>
              <w:left w:val="nil"/>
              <w:bottom w:val="single" w:sz="8" w:space="0" w:color="CDDC29" w:themeColor="text2"/>
              <w:right w:val="nil"/>
            </w:tcBorders>
            <w:vAlign w:val="center"/>
            <w:hideMark/>
          </w:tcPr>
          <w:p w14:paraId="7D8404E6" w14:textId="77777777" w:rsidR="0003519D" w:rsidRDefault="0003519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w:t>
            </w:r>
          </w:p>
        </w:tc>
        <w:tc>
          <w:tcPr>
            <w:tcW w:w="1633" w:type="dxa"/>
            <w:tcBorders>
              <w:top w:val="single" w:sz="8" w:space="0" w:color="CDDC29" w:themeColor="text2"/>
              <w:left w:val="nil"/>
              <w:bottom w:val="single" w:sz="8" w:space="0" w:color="CDDC29" w:themeColor="text2"/>
              <w:right w:val="nil"/>
            </w:tcBorders>
            <w:vAlign w:val="center"/>
            <w:hideMark/>
          </w:tcPr>
          <w:p w14:paraId="4CBCDB6C" w14:textId="77777777" w:rsidR="0003519D" w:rsidRDefault="0003519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c>
          <w:tcPr>
            <w:tcW w:w="1634" w:type="dxa"/>
            <w:tcBorders>
              <w:top w:val="single" w:sz="8" w:space="0" w:color="CDDC29" w:themeColor="text2"/>
              <w:left w:val="nil"/>
              <w:bottom w:val="single" w:sz="8" w:space="0" w:color="CDDC29" w:themeColor="text2"/>
              <w:right w:val="nil"/>
            </w:tcBorders>
            <w:vAlign w:val="center"/>
            <w:hideMark/>
          </w:tcPr>
          <w:p w14:paraId="043A9F6C" w14:textId="77777777" w:rsidR="0003519D" w:rsidRDefault="0003519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Agriculture</w:t>
            </w:r>
          </w:p>
        </w:tc>
        <w:tc>
          <w:tcPr>
            <w:tcW w:w="1634" w:type="dxa"/>
            <w:tcBorders>
              <w:top w:val="single" w:sz="8" w:space="0" w:color="CDDC29" w:themeColor="text2"/>
              <w:left w:val="nil"/>
              <w:bottom w:val="single" w:sz="8" w:space="0" w:color="CDDC29" w:themeColor="text2"/>
              <w:right w:val="nil"/>
            </w:tcBorders>
            <w:vAlign w:val="center"/>
          </w:tcPr>
          <w:p w14:paraId="3E3F1498" w14:textId="084BEB71" w:rsidR="0003519D" w:rsidRDefault="0003519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Draining of water</w:t>
            </w:r>
          </w:p>
        </w:tc>
        <w:tc>
          <w:tcPr>
            <w:tcW w:w="1634" w:type="dxa"/>
            <w:tcBorders>
              <w:top w:val="single" w:sz="8" w:space="0" w:color="CDDC29" w:themeColor="text2"/>
              <w:left w:val="nil"/>
              <w:bottom w:val="single" w:sz="8" w:space="0" w:color="CDDC29" w:themeColor="text2"/>
              <w:right w:val="nil"/>
            </w:tcBorders>
            <w:vAlign w:val="center"/>
          </w:tcPr>
          <w:p w14:paraId="1505DF84" w14:textId="63941335" w:rsidR="0003519D" w:rsidRDefault="0003519D"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Infrastructure maintenance</w:t>
            </w:r>
          </w:p>
        </w:tc>
      </w:tr>
      <w:tr w:rsidR="0003519D" w14:paraId="13A1174D" w14:textId="658C3DE3" w:rsidTr="00296E0F">
        <w:tc>
          <w:tcPr>
            <w:tcW w:w="1633" w:type="dxa"/>
            <w:tcBorders>
              <w:top w:val="single" w:sz="8" w:space="0" w:color="CDDC29" w:themeColor="text2"/>
              <w:left w:val="nil"/>
              <w:bottom w:val="single" w:sz="8" w:space="0" w:color="CDDC29" w:themeColor="text2"/>
              <w:right w:val="nil"/>
            </w:tcBorders>
            <w:vAlign w:val="center"/>
            <w:hideMark/>
          </w:tcPr>
          <w:p w14:paraId="763D8413" w14:textId="77777777" w:rsidR="0003519D" w:rsidRDefault="0003519D" w:rsidP="0003519D">
            <w:pPr>
              <w:pStyle w:val="BodyText"/>
              <w:jc w:val="center"/>
            </w:pPr>
            <w:r>
              <w:t>Consequence</w:t>
            </w:r>
          </w:p>
        </w:tc>
        <w:tc>
          <w:tcPr>
            <w:tcW w:w="1633" w:type="dxa"/>
            <w:tcBorders>
              <w:top w:val="single" w:sz="8" w:space="0" w:color="CDDC29" w:themeColor="text2"/>
              <w:left w:val="nil"/>
              <w:bottom w:val="single" w:sz="8" w:space="0" w:color="CDDC29" w:themeColor="text2"/>
              <w:right w:val="nil"/>
            </w:tcBorders>
            <w:vAlign w:val="center"/>
            <w:hideMark/>
          </w:tcPr>
          <w:p w14:paraId="365E0F2B" w14:textId="77777777" w:rsidR="0003519D" w:rsidRDefault="0003519D" w:rsidP="0003519D">
            <w:pPr>
              <w:pStyle w:val="BodyText"/>
              <w:jc w:val="center"/>
            </w:pPr>
            <w:r>
              <w:t>Major</w:t>
            </w:r>
          </w:p>
        </w:tc>
        <w:tc>
          <w:tcPr>
            <w:tcW w:w="1633" w:type="dxa"/>
            <w:tcBorders>
              <w:top w:val="single" w:sz="8" w:space="0" w:color="CDDC29" w:themeColor="text2"/>
              <w:left w:val="nil"/>
              <w:bottom w:val="single" w:sz="8" w:space="0" w:color="CDDC29" w:themeColor="text2"/>
              <w:right w:val="nil"/>
            </w:tcBorders>
            <w:vAlign w:val="center"/>
            <w:hideMark/>
          </w:tcPr>
          <w:p w14:paraId="5178B505" w14:textId="77777777" w:rsidR="0003519D" w:rsidRDefault="0003519D" w:rsidP="0003519D">
            <w:pPr>
              <w:pStyle w:val="BodyText"/>
              <w:jc w:val="center"/>
            </w:pPr>
            <w:r>
              <w:t>Moderate</w:t>
            </w:r>
          </w:p>
        </w:tc>
        <w:tc>
          <w:tcPr>
            <w:tcW w:w="1634" w:type="dxa"/>
            <w:tcBorders>
              <w:top w:val="single" w:sz="8" w:space="0" w:color="CDDC29" w:themeColor="text2"/>
              <w:left w:val="nil"/>
              <w:bottom w:val="single" w:sz="8" w:space="0" w:color="CDDC29" w:themeColor="text2"/>
              <w:right w:val="nil"/>
            </w:tcBorders>
            <w:vAlign w:val="center"/>
            <w:hideMark/>
          </w:tcPr>
          <w:p w14:paraId="1EC556D6" w14:textId="77777777" w:rsidR="0003519D" w:rsidRDefault="0003519D" w:rsidP="0003519D">
            <w:pPr>
              <w:pStyle w:val="BodyText"/>
              <w:jc w:val="center"/>
            </w:pPr>
            <w:r>
              <w:t>Moderate</w:t>
            </w:r>
          </w:p>
        </w:tc>
        <w:tc>
          <w:tcPr>
            <w:tcW w:w="1634" w:type="dxa"/>
            <w:tcBorders>
              <w:top w:val="single" w:sz="8" w:space="0" w:color="CDDC29" w:themeColor="text2"/>
              <w:left w:val="nil"/>
              <w:bottom w:val="single" w:sz="8" w:space="0" w:color="CDDC29" w:themeColor="text2"/>
              <w:right w:val="nil"/>
            </w:tcBorders>
            <w:vAlign w:val="center"/>
          </w:tcPr>
          <w:p w14:paraId="502F17A4" w14:textId="42B1CB32" w:rsidR="0003519D" w:rsidRDefault="0003519D" w:rsidP="0003519D">
            <w:pPr>
              <w:pStyle w:val="BodyText"/>
              <w:jc w:val="center"/>
            </w:pPr>
            <w:r>
              <w:t>Moderate</w:t>
            </w:r>
          </w:p>
        </w:tc>
        <w:tc>
          <w:tcPr>
            <w:tcW w:w="1634" w:type="dxa"/>
            <w:tcBorders>
              <w:top w:val="single" w:sz="8" w:space="0" w:color="CDDC29" w:themeColor="text2"/>
              <w:left w:val="nil"/>
              <w:bottom w:val="single" w:sz="8" w:space="0" w:color="CDDC29" w:themeColor="text2"/>
              <w:right w:val="nil"/>
            </w:tcBorders>
            <w:vAlign w:val="center"/>
          </w:tcPr>
          <w:p w14:paraId="39AAC7D2" w14:textId="39CD0911" w:rsidR="0003519D" w:rsidRDefault="0003519D" w:rsidP="0003519D">
            <w:pPr>
              <w:pStyle w:val="BodyText"/>
              <w:jc w:val="center"/>
            </w:pPr>
            <w:r>
              <w:t>Moderate</w:t>
            </w:r>
          </w:p>
        </w:tc>
      </w:tr>
      <w:tr w:rsidR="0003519D" w14:paraId="4E8CC077" w14:textId="7CE53C11" w:rsidTr="00296E0F">
        <w:tc>
          <w:tcPr>
            <w:tcW w:w="1633" w:type="dxa"/>
            <w:tcBorders>
              <w:top w:val="single" w:sz="8" w:space="0" w:color="CDDC29" w:themeColor="text2"/>
              <w:left w:val="nil"/>
              <w:bottom w:val="single" w:sz="8" w:space="0" w:color="CDDC29" w:themeColor="text2"/>
              <w:right w:val="nil"/>
            </w:tcBorders>
            <w:vAlign w:val="center"/>
            <w:hideMark/>
          </w:tcPr>
          <w:p w14:paraId="2607AA5C" w14:textId="77777777" w:rsidR="0003519D" w:rsidRDefault="0003519D" w:rsidP="0003519D">
            <w:pPr>
              <w:pStyle w:val="BodyText"/>
              <w:jc w:val="center"/>
            </w:pPr>
            <w:r>
              <w:t>Likelihood</w:t>
            </w:r>
          </w:p>
        </w:tc>
        <w:tc>
          <w:tcPr>
            <w:tcW w:w="1633" w:type="dxa"/>
            <w:tcBorders>
              <w:top w:val="single" w:sz="8" w:space="0" w:color="CDDC29" w:themeColor="text2"/>
              <w:left w:val="nil"/>
              <w:bottom w:val="single" w:sz="8" w:space="0" w:color="CDDC29" w:themeColor="text2"/>
              <w:right w:val="nil"/>
            </w:tcBorders>
            <w:vAlign w:val="center"/>
            <w:hideMark/>
          </w:tcPr>
          <w:p w14:paraId="2274EE4F" w14:textId="77777777" w:rsidR="0003519D" w:rsidRDefault="0003519D" w:rsidP="0003519D">
            <w:pPr>
              <w:pStyle w:val="BodyText"/>
              <w:jc w:val="center"/>
            </w:pPr>
            <w:r>
              <w:t>Likely</w:t>
            </w:r>
          </w:p>
        </w:tc>
        <w:tc>
          <w:tcPr>
            <w:tcW w:w="1633" w:type="dxa"/>
            <w:tcBorders>
              <w:top w:val="single" w:sz="8" w:space="0" w:color="CDDC29" w:themeColor="text2"/>
              <w:left w:val="nil"/>
              <w:bottom w:val="single" w:sz="8" w:space="0" w:color="CDDC29" w:themeColor="text2"/>
              <w:right w:val="nil"/>
            </w:tcBorders>
            <w:vAlign w:val="center"/>
            <w:hideMark/>
          </w:tcPr>
          <w:p w14:paraId="7AE71AC5" w14:textId="77777777" w:rsidR="0003519D" w:rsidRDefault="0003519D" w:rsidP="0003519D">
            <w:pPr>
              <w:pStyle w:val="BodyText"/>
              <w:jc w:val="center"/>
            </w:pPr>
            <w:r>
              <w:t>Likely</w:t>
            </w:r>
          </w:p>
        </w:tc>
        <w:tc>
          <w:tcPr>
            <w:tcW w:w="1634" w:type="dxa"/>
            <w:tcBorders>
              <w:top w:val="single" w:sz="8" w:space="0" w:color="CDDC29" w:themeColor="text2"/>
              <w:left w:val="nil"/>
              <w:bottom w:val="single" w:sz="8" w:space="0" w:color="CDDC29" w:themeColor="text2"/>
              <w:right w:val="nil"/>
            </w:tcBorders>
            <w:vAlign w:val="center"/>
            <w:hideMark/>
          </w:tcPr>
          <w:p w14:paraId="0EFB021D" w14:textId="77777777" w:rsidR="0003519D" w:rsidRDefault="0003519D" w:rsidP="0003519D">
            <w:pPr>
              <w:pStyle w:val="BodyText"/>
              <w:jc w:val="center"/>
            </w:pPr>
            <w:r>
              <w:t>Likely</w:t>
            </w:r>
          </w:p>
        </w:tc>
        <w:tc>
          <w:tcPr>
            <w:tcW w:w="1634" w:type="dxa"/>
            <w:tcBorders>
              <w:top w:val="single" w:sz="8" w:space="0" w:color="CDDC29" w:themeColor="text2"/>
              <w:left w:val="nil"/>
              <w:bottom w:val="single" w:sz="8" w:space="0" w:color="CDDC29" w:themeColor="text2"/>
              <w:right w:val="nil"/>
            </w:tcBorders>
            <w:vAlign w:val="center"/>
          </w:tcPr>
          <w:p w14:paraId="013E401B" w14:textId="09E1AB18" w:rsidR="0003519D" w:rsidRDefault="0003519D" w:rsidP="0003519D">
            <w:pPr>
              <w:pStyle w:val="BodyText"/>
              <w:jc w:val="center"/>
            </w:pPr>
            <w:r>
              <w:t>Possible</w:t>
            </w:r>
          </w:p>
        </w:tc>
        <w:tc>
          <w:tcPr>
            <w:tcW w:w="1634" w:type="dxa"/>
            <w:tcBorders>
              <w:top w:val="single" w:sz="8" w:space="0" w:color="CDDC29" w:themeColor="text2"/>
              <w:left w:val="nil"/>
              <w:bottom w:val="single" w:sz="8" w:space="0" w:color="CDDC29" w:themeColor="text2"/>
              <w:right w:val="nil"/>
            </w:tcBorders>
            <w:vAlign w:val="center"/>
          </w:tcPr>
          <w:p w14:paraId="4C2DFCE3" w14:textId="316D69FF" w:rsidR="0003519D" w:rsidRDefault="0003519D" w:rsidP="0003519D">
            <w:pPr>
              <w:pStyle w:val="BodyText"/>
              <w:jc w:val="center"/>
            </w:pPr>
            <w:r>
              <w:t>Possible</w:t>
            </w:r>
          </w:p>
        </w:tc>
      </w:tr>
      <w:tr w:rsidR="0003519D" w14:paraId="068F5C59" w14:textId="2FDD05C0" w:rsidTr="00915D82">
        <w:tc>
          <w:tcPr>
            <w:tcW w:w="0" w:type="dxa"/>
            <w:tcBorders>
              <w:top w:val="single" w:sz="8" w:space="0" w:color="CDDC29" w:themeColor="text2"/>
              <w:left w:val="nil"/>
              <w:bottom w:val="single" w:sz="8" w:space="0" w:color="CDDC29" w:themeColor="text2"/>
              <w:right w:val="nil"/>
            </w:tcBorders>
            <w:vAlign w:val="center"/>
            <w:hideMark/>
          </w:tcPr>
          <w:p w14:paraId="08C07C56" w14:textId="77777777" w:rsidR="0003519D" w:rsidRDefault="0003519D" w:rsidP="0003519D">
            <w:pPr>
              <w:pStyle w:val="BodyText"/>
              <w:jc w:val="center"/>
            </w:pPr>
            <w:r>
              <w:t>Overall risk rating</w:t>
            </w:r>
          </w:p>
        </w:tc>
        <w:tc>
          <w:tcPr>
            <w:tcW w:w="0" w:type="dxa"/>
            <w:tcBorders>
              <w:top w:val="single" w:sz="8" w:space="0" w:color="CDDC29" w:themeColor="text2"/>
              <w:left w:val="nil"/>
              <w:bottom w:val="single" w:sz="8" w:space="0" w:color="CDDC29" w:themeColor="text2"/>
              <w:right w:val="nil"/>
            </w:tcBorders>
            <w:shd w:val="clear" w:color="auto" w:fill="FF0000"/>
            <w:vAlign w:val="center"/>
            <w:hideMark/>
          </w:tcPr>
          <w:p w14:paraId="044EEAD8" w14:textId="77777777" w:rsidR="0003519D" w:rsidRDefault="0003519D" w:rsidP="0003519D">
            <w:pPr>
              <w:pStyle w:val="BodyText"/>
              <w:jc w:val="center"/>
            </w:pPr>
            <w:r>
              <w:t>High</w:t>
            </w:r>
          </w:p>
        </w:tc>
        <w:tc>
          <w:tcPr>
            <w:tcW w:w="0" w:type="dxa"/>
            <w:tcBorders>
              <w:top w:val="single" w:sz="8" w:space="0" w:color="CDDC29" w:themeColor="text2"/>
              <w:left w:val="nil"/>
              <w:bottom w:val="single" w:sz="8" w:space="0" w:color="CDDC29" w:themeColor="text2"/>
              <w:right w:val="nil"/>
            </w:tcBorders>
            <w:shd w:val="clear" w:color="auto" w:fill="FFC000"/>
            <w:vAlign w:val="center"/>
            <w:hideMark/>
          </w:tcPr>
          <w:p w14:paraId="629422B4" w14:textId="77777777" w:rsidR="0003519D" w:rsidRDefault="0003519D" w:rsidP="0003519D">
            <w:pPr>
              <w:pStyle w:val="BodyText"/>
              <w:jc w:val="center"/>
            </w:pPr>
            <w:r>
              <w:t>Significant</w:t>
            </w:r>
          </w:p>
        </w:tc>
        <w:tc>
          <w:tcPr>
            <w:tcW w:w="0" w:type="dxa"/>
            <w:tcBorders>
              <w:top w:val="single" w:sz="8" w:space="0" w:color="CDDC29" w:themeColor="text2"/>
              <w:left w:val="nil"/>
              <w:bottom w:val="single" w:sz="8" w:space="0" w:color="CDDC29" w:themeColor="text2"/>
              <w:right w:val="nil"/>
            </w:tcBorders>
            <w:shd w:val="clear" w:color="auto" w:fill="FFC000"/>
            <w:vAlign w:val="center"/>
            <w:hideMark/>
          </w:tcPr>
          <w:p w14:paraId="6804431B" w14:textId="77777777" w:rsidR="0003519D" w:rsidRDefault="0003519D" w:rsidP="0003519D">
            <w:pPr>
              <w:pStyle w:val="BodyText"/>
              <w:jc w:val="center"/>
            </w:pPr>
            <w:r>
              <w:t>Significant</w:t>
            </w:r>
          </w:p>
        </w:tc>
        <w:tc>
          <w:tcPr>
            <w:tcW w:w="0" w:type="dxa"/>
            <w:tcBorders>
              <w:top w:val="single" w:sz="8" w:space="0" w:color="CDDC29" w:themeColor="text2"/>
              <w:left w:val="nil"/>
              <w:bottom w:val="single" w:sz="8" w:space="0" w:color="CDDC29" w:themeColor="text2"/>
              <w:right w:val="nil"/>
            </w:tcBorders>
            <w:shd w:val="clear" w:color="auto" w:fill="FFFF00"/>
            <w:vAlign w:val="center"/>
          </w:tcPr>
          <w:p w14:paraId="4D3275C2" w14:textId="4D8830E8" w:rsidR="0003519D" w:rsidRDefault="0003519D" w:rsidP="0003519D">
            <w:pPr>
              <w:pStyle w:val="BodyText"/>
              <w:jc w:val="center"/>
            </w:pPr>
            <w:r>
              <w:t>Medium</w:t>
            </w:r>
          </w:p>
        </w:tc>
        <w:tc>
          <w:tcPr>
            <w:tcW w:w="0" w:type="dxa"/>
            <w:tcBorders>
              <w:top w:val="single" w:sz="8" w:space="0" w:color="CDDC29" w:themeColor="text2"/>
              <w:left w:val="nil"/>
              <w:bottom w:val="single" w:sz="8" w:space="0" w:color="CDDC29" w:themeColor="text2"/>
              <w:right w:val="nil"/>
            </w:tcBorders>
            <w:shd w:val="clear" w:color="auto" w:fill="FFFF00"/>
            <w:vAlign w:val="center"/>
          </w:tcPr>
          <w:p w14:paraId="23DC799B" w14:textId="7CC902E1" w:rsidR="0003519D" w:rsidRDefault="0003519D" w:rsidP="0003519D">
            <w:pPr>
              <w:pStyle w:val="BodyText"/>
              <w:jc w:val="center"/>
            </w:pPr>
            <w:r>
              <w:t>Medium</w:t>
            </w:r>
          </w:p>
        </w:tc>
      </w:tr>
    </w:tbl>
    <w:p w14:paraId="37F28C97" w14:textId="77777777" w:rsidR="00BE1D36" w:rsidRDefault="00BE1D36" w:rsidP="007E5EBF">
      <w:pPr>
        <w:pStyle w:val="Heading3"/>
      </w:pPr>
      <w:r>
        <w:t>Climate Change</w:t>
      </w:r>
    </w:p>
    <w:p w14:paraId="6F085B90" w14:textId="77777777" w:rsidR="00BE1D36" w:rsidRDefault="00BE1D36" w:rsidP="007E5EBF">
      <w:pPr>
        <w:pStyle w:val="Heading5"/>
      </w:pPr>
      <w:r>
        <w:t>Drying climate</w:t>
      </w:r>
    </w:p>
    <w:p w14:paraId="2EAD93EE" w14:textId="74029DAC" w:rsidR="00BE1D36" w:rsidRDefault="00BE1D36" w:rsidP="00BE1D36">
      <w:pPr>
        <w:pStyle w:val="BodyText"/>
      </w:pPr>
      <w:r>
        <w:t xml:space="preserve">The </w:t>
      </w:r>
      <w:r w:rsidR="001D3902">
        <w:t>species</w:t>
      </w:r>
      <w:r>
        <w:t xml:space="preserve"> is threatened in the longer term by climatic drying which is projected to reduce the reliability of winter rainfall events, reducing the extent and quality of available habitat</w:t>
      </w:r>
      <w:r w:rsidR="006B121E">
        <w:t>,</w:t>
      </w:r>
      <w:r>
        <w:t xml:space="preserve"> and increasing the risk of seedbank depletion, recruitment failure and local extinction. There is a potential interaction with inappropriate fire regimes at some sites, including </w:t>
      </w:r>
      <w:r w:rsidR="002A1653">
        <w:t xml:space="preserve">through </w:t>
      </w:r>
      <w:r>
        <w:t xml:space="preserve">planned burning, because if fires are too hot and soils too dry, this could lead to combustion of organic component in soil, loss of seedbank and potentially the alteration of wetland hydrology due to combustion of peat. Reduced rainfall may also make wet habitats more accessible to draining and agricultural conversion. This hazard extends across 100% of the </w:t>
      </w:r>
      <w:r w:rsidR="001D3902">
        <w:t>species’</w:t>
      </w:r>
      <w:r>
        <w:t xml:space="preserve"> habitat.</w:t>
      </w:r>
    </w:p>
    <w:p w14:paraId="5410EB99" w14:textId="5EFF370C" w:rsidR="00BE1D36" w:rsidRDefault="00BE1D36" w:rsidP="00BE1D36">
      <w:pPr>
        <w:pStyle w:val="BodyText"/>
      </w:pPr>
      <w:r>
        <w:t xml:space="preserve">Current control measures for this hazard are strategic in nature and are not considered effective in managing the risk to this </w:t>
      </w:r>
      <w:r w:rsidR="001D3902">
        <w:t>species</w:t>
      </w:r>
      <w:r>
        <w:t xml:space="preserve"> at the scale relevant to its conservation at this stage.</w:t>
      </w:r>
    </w:p>
    <w:p w14:paraId="282B3A21" w14:textId="7CB6477F"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273</w:t>
      </w:r>
      <w:r w:rsidR="000B6788" w:rsidRPr="00B846FE">
        <w:rPr>
          <w:bCs/>
          <w:noProof/>
        </w:rPr>
        <w:fldChar w:fldCharType="end"/>
      </w:r>
      <w:r w:rsidRPr="00FF310C">
        <w:t>. Violet Bladderwort protection requirements and recommendations for drying climate</w:t>
      </w:r>
    </w:p>
    <w:tbl>
      <w:tblPr>
        <w:tblStyle w:val="TableGrid"/>
        <w:tblW w:w="0" w:type="auto"/>
        <w:tblLook w:val="04A0" w:firstRow="1" w:lastRow="0" w:firstColumn="1" w:lastColumn="0" w:noHBand="0" w:noVBand="1"/>
      </w:tblPr>
      <w:tblGrid>
        <w:gridCol w:w="2268"/>
        <w:gridCol w:w="7371"/>
      </w:tblGrid>
      <w:tr w:rsidR="00BE1D36" w14:paraId="7373C109"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D61CCE5"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4BFE3CEA"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1FB4B129" w14:textId="77777777" w:rsidTr="00B45E4E">
        <w:tc>
          <w:tcPr>
            <w:tcW w:w="2268" w:type="dxa"/>
            <w:tcBorders>
              <w:top w:val="single" w:sz="8" w:space="0" w:color="CDDC29" w:themeColor="text2"/>
              <w:left w:val="nil"/>
              <w:bottom w:val="single" w:sz="8" w:space="0" w:color="CDDC29" w:themeColor="text2"/>
              <w:right w:val="nil"/>
            </w:tcBorders>
            <w:hideMark/>
          </w:tcPr>
          <w:p w14:paraId="3AC162EB" w14:textId="7D8914E8" w:rsidR="00BE1D36" w:rsidRDefault="00C32AC6"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27FC9389" w14:textId="77777777" w:rsidR="00BE1D36" w:rsidRDefault="00BE1D36" w:rsidP="00B45E4E">
            <w:pPr>
              <w:pStyle w:val="BodyText"/>
            </w:pPr>
            <w:r>
              <w:t>Not required for this hazard as it is a longer-term threat.</w:t>
            </w:r>
          </w:p>
        </w:tc>
      </w:tr>
      <w:tr w:rsidR="00BE1D36" w14:paraId="2B0DD3E6" w14:textId="77777777" w:rsidTr="00B45E4E">
        <w:tc>
          <w:tcPr>
            <w:tcW w:w="2268" w:type="dxa"/>
            <w:tcBorders>
              <w:top w:val="single" w:sz="8" w:space="0" w:color="CDDC29" w:themeColor="text2"/>
              <w:left w:val="nil"/>
              <w:bottom w:val="single" w:sz="8" w:space="0" w:color="CDDC29" w:themeColor="text2"/>
              <w:right w:val="nil"/>
            </w:tcBorders>
            <w:hideMark/>
          </w:tcPr>
          <w:p w14:paraId="267B8790" w14:textId="4303DF0F" w:rsidR="00BE1D36" w:rsidRDefault="00C32AC6"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6C0C6FB5" w14:textId="77777777" w:rsidR="00BE1D36" w:rsidRDefault="00BE1D36" w:rsidP="006670D2">
            <w:pPr>
              <w:pStyle w:val="PullOutBoxBullet"/>
            </w:pPr>
            <w:r>
              <w:t xml:space="preserve">Establish </w:t>
            </w:r>
            <w:r>
              <w:rPr>
                <w:i/>
                <w:iCs/>
              </w:rPr>
              <w:t>ex-situ</w:t>
            </w:r>
            <w:r>
              <w:t xml:space="preserve"> propagation as a safeguard; </w:t>
            </w:r>
          </w:p>
          <w:p w14:paraId="34266F23" w14:textId="069109A3" w:rsidR="00BE1D36" w:rsidRDefault="00C32AC6" w:rsidP="006670D2">
            <w:pPr>
              <w:pStyle w:val="PullOutBoxBullet"/>
            </w:pPr>
            <w:r>
              <w:rPr>
                <w:i/>
                <w:iCs/>
              </w:rPr>
              <w:t>I</w:t>
            </w:r>
            <w:r w:rsidR="00BE1D36">
              <w:rPr>
                <w:i/>
                <w:iCs/>
              </w:rPr>
              <w:t>n-situ</w:t>
            </w:r>
            <w:r w:rsidR="00BE1D36">
              <w:t xml:space="preserve"> propagation and maintenance of seed bank; </w:t>
            </w:r>
          </w:p>
          <w:p w14:paraId="41825946" w14:textId="052B6BC4" w:rsidR="00BE1D36" w:rsidRDefault="00C32AC6" w:rsidP="006670D2">
            <w:pPr>
              <w:pStyle w:val="PullOutBoxBullet"/>
            </w:pPr>
            <w:r>
              <w:t>E</w:t>
            </w:r>
            <w:r w:rsidR="00BE1D36">
              <w:t xml:space="preserve">stablish new populations in suitable protected habitat; </w:t>
            </w:r>
          </w:p>
          <w:p w14:paraId="40A797D0" w14:textId="2977B723" w:rsidR="00BE1D36" w:rsidRDefault="00C32AC6" w:rsidP="006670D2">
            <w:pPr>
              <w:pStyle w:val="PullOutBoxBullet"/>
            </w:pPr>
            <w:r>
              <w:t>T</w:t>
            </w:r>
            <w:r w:rsidR="00BE1D36">
              <w:t xml:space="preserve">he purchase of property by state government to protect populations of this </w:t>
            </w:r>
            <w:r w:rsidR="001D3902">
              <w:t>species</w:t>
            </w:r>
            <w:r>
              <w:t>; and</w:t>
            </w:r>
          </w:p>
          <w:p w14:paraId="7877E80B" w14:textId="275192FE" w:rsidR="00BE1D36" w:rsidRDefault="00C32AC6" w:rsidP="006670D2">
            <w:pPr>
              <w:pStyle w:val="PullOutBoxBullet"/>
            </w:pPr>
            <w:r>
              <w:t>E</w:t>
            </w:r>
            <w:r w:rsidR="00BE1D36">
              <w:t>nsure landowners are aware of the location of populations and encourage maintenance of drainage patterns.</w:t>
            </w:r>
          </w:p>
        </w:tc>
      </w:tr>
    </w:tbl>
    <w:p w14:paraId="4C86F998" w14:textId="77777777" w:rsidR="00BE1D36" w:rsidRDefault="00BE1D36" w:rsidP="007E5EBF">
      <w:pPr>
        <w:pStyle w:val="Heading3"/>
      </w:pPr>
      <w:bookmarkStart w:id="1130" w:name="_Toc88724995"/>
      <w:bookmarkStart w:id="1131" w:name="_Toc88724997"/>
      <w:bookmarkStart w:id="1132" w:name="_Toc88724999"/>
      <w:bookmarkStart w:id="1133" w:name="_Toc88725001"/>
      <w:bookmarkStart w:id="1134" w:name="_Toc88725003"/>
      <w:bookmarkStart w:id="1135" w:name="_Toc88725004"/>
      <w:bookmarkStart w:id="1136" w:name="_Toc88725005"/>
      <w:bookmarkStart w:id="1137" w:name="_Toc88725006"/>
      <w:bookmarkStart w:id="1138" w:name="_Toc88725007"/>
      <w:bookmarkStart w:id="1139" w:name="_Toc88725008"/>
      <w:bookmarkStart w:id="1140" w:name="_Toc88725009"/>
      <w:bookmarkStart w:id="1141" w:name="_Toc88725010"/>
      <w:bookmarkStart w:id="1142" w:name="_Toc88725011"/>
      <w:bookmarkStart w:id="1143" w:name="_Toc88725012"/>
      <w:bookmarkStart w:id="1144" w:name="_Toc88725013"/>
      <w:bookmarkStart w:id="1145" w:name="_Toc88725016"/>
      <w:bookmarkStart w:id="1146" w:name="_Toc88725017"/>
      <w:bookmarkStart w:id="1147" w:name="_Toc88725018"/>
      <w:bookmarkStart w:id="1148" w:name="_Toc88725019"/>
      <w:bookmarkStart w:id="1149" w:name="_Toc88725020"/>
      <w:bookmarkStart w:id="1150" w:name="_Toc88725021"/>
      <w:bookmarkStart w:id="1151" w:name="_Toc88725024"/>
      <w:bookmarkStart w:id="1152" w:name="_Toc88725025"/>
      <w:bookmarkStart w:id="1153" w:name="_Toc88725026"/>
      <w:bookmarkStart w:id="1154" w:name="_Toc88725027"/>
      <w:bookmarkStart w:id="1155" w:name="_Toc88725028"/>
      <w:bookmarkStart w:id="1156" w:name="_Toc88725029"/>
      <w:bookmarkStart w:id="1157" w:name="_Toc88725030"/>
      <w:bookmarkStart w:id="1158" w:name="_Toc88725031"/>
      <w:bookmarkStart w:id="1159" w:name="_Toc88725032"/>
      <w:bookmarkStart w:id="1160" w:name="_Toc88725033"/>
      <w:bookmarkStart w:id="1161" w:name="_Toc88725034"/>
      <w:bookmarkStart w:id="1162" w:name="_Toc88725035"/>
      <w:bookmarkStart w:id="1163" w:name="_Toc88725036"/>
      <w:bookmarkStart w:id="1164" w:name="_Toc88725037"/>
      <w:bookmarkStart w:id="1165" w:name="_Toc88725038"/>
      <w:bookmarkStart w:id="1166" w:name="_Toc88725039"/>
      <w:bookmarkStart w:id="1167" w:name="_Toc88725041"/>
      <w:bookmarkStart w:id="1168" w:name="_Toc88725043"/>
      <w:bookmarkStart w:id="1169" w:name="_Toc88725045"/>
      <w:bookmarkStart w:id="1170" w:name="_Toc88725047"/>
      <w:bookmarkStart w:id="1171" w:name="_Toc88725048"/>
      <w:bookmarkStart w:id="1172" w:name="_Toc88725049"/>
      <w:bookmarkStart w:id="1173" w:name="_Toc88725050"/>
      <w:bookmarkStart w:id="1174" w:name="_Toc88725051"/>
      <w:bookmarkStart w:id="1175" w:name="_Toc88725052"/>
      <w:bookmarkStart w:id="1176" w:name="_Toc88725053"/>
      <w:bookmarkStart w:id="1177" w:name="_Toc88725054"/>
      <w:bookmarkStart w:id="1178" w:name="_Toc88725055"/>
      <w:bookmarkStart w:id="1179" w:name="_Toc88725056"/>
      <w:bookmarkStart w:id="1180" w:name="_Toc88725057"/>
      <w:bookmarkStart w:id="1181" w:name="_Toc88725058"/>
      <w:bookmarkStart w:id="1182" w:name="_Toc88725059"/>
      <w:bookmarkStart w:id="1183" w:name="_Toc88725060"/>
      <w:bookmarkStart w:id="1184" w:name="_Toc88725063"/>
      <w:bookmarkStart w:id="1185" w:name="_Toc88725064"/>
      <w:bookmarkStart w:id="1186" w:name="_Toc88725065"/>
      <w:bookmarkStart w:id="1187" w:name="_Toc88725066"/>
      <w:bookmarkStart w:id="1188" w:name="_Toc88725067"/>
      <w:bookmarkStart w:id="1189" w:name="_Toc88725068"/>
      <w:bookmarkStart w:id="1190" w:name="_Toc88725072"/>
      <w:bookmarkStart w:id="1191" w:name="_Toc88725073"/>
      <w:bookmarkStart w:id="1192" w:name="_Toc88725075"/>
      <w:bookmarkStart w:id="1193" w:name="_Toc88725076"/>
      <w:bookmarkStart w:id="1194" w:name="_Toc88725077"/>
      <w:bookmarkStart w:id="1195" w:name="_Toc88725078"/>
      <w:bookmarkStart w:id="1196" w:name="_Toc88725079"/>
      <w:bookmarkStart w:id="1197" w:name="_Toc88725080"/>
      <w:bookmarkStart w:id="1198" w:name="_Toc88725081"/>
      <w:bookmarkStart w:id="1199" w:name="_Toc88725082"/>
      <w:bookmarkStart w:id="1200" w:name="_Toc88725083"/>
      <w:bookmarkStart w:id="1201" w:name="_Toc88725084"/>
      <w:bookmarkStart w:id="1202" w:name="_Toc88725085"/>
      <w:bookmarkStart w:id="1203" w:name="_Toc88725086"/>
      <w:bookmarkStart w:id="1204" w:name="_Toc88725088"/>
      <w:bookmarkStart w:id="1205" w:name="_Toc88725090"/>
      <w:bookmarkStart w:id="1206" w:name="_Toc88725092"/>
      <w:bookmarkStart w:id="1207" w:name="_Toc88725094"/>
      <w:bookmarkStart w:id="1208" w:name="_Toc88725095"/>
      <w:bookmarkStart w:id="1209" w:name="_Toc88725096"/>
      <w:bookmarkStart w:id="1210" w:name="_Toc88725097"/>
      <w:bookmarkStart w:id="1211" w:name="_Toc88725098"/>
      <w:bookmarkStart w:id="1212" w:name="_Toc8872509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r>
        <w:t>Forestry operations</w:t>
      </w:r>
      <w:bookmarkEnd w:id="1212"/>
    </w:p>
    <w:p w14:paraId="71220A4B" w14:textId="77777777" w:rsidR="00BE1D36" w:rsidRDefault="00BE1D36" w:rsidP="007E5EBF">
      <w:pPr>
        <w:pStyle w:val="Heading5"/>
      </w:pPr>
      <w:r>
        <w:t>Plantations</w:t>
      </w:r>
    </w:p>
    <w:p w14:paraId="41F1C36D" w14:textId="32A45A09" w:rsidR="00BE1D36" w:rsidRDefault="00BE1D36" w:rsidP="00BE1D36">
      <w:pPr>
        <w:pStyle w:val="BodyText"/>
        <w:rPr>
          <w:rFonts w:ascii="Calibri" w:hAnsi="Calibri" w:cs="Calibri"/>
          <w:color w:val="000000"/>
          <w:sz w:val="22"/>
          <w:szCs w:val="22"/>
        </w:rPr>
      </w:pPr>
      <w:r>
        <w:t xml:space="preserve">Many sites are threatened with continuing habitat degradation from large-scale plantation establishment, which interacts with climate change, potentially leading to increased risk of desiccation of habitat. The potential for damage from issues such as spray drift and run-off from track networks may not yet be fully dealt with and the impact of increased water use by regenerating young trees may be exacerbated by reduced rainfall, particularly where remnant wet habitat is less well buffered. This hazard extends across 17% of the </w:t>
      </w:r>
      <w:r w:rsidR="001D3902">
        <w:t>species’</w:t>
      </w:r>
      <w:r>
        <w:t xml:space="preserve"> post 1970 VBA points and 20% of its important populations</w:t>
      </w:r>
      <w:r w:rsidR="00D825B0">
        <w:t xml:space="preserve"> and</w:t>
      </w:r>
      <w:r>
        <w:rPr>
          <w:rStyle w:val="BodyTextChar"/>
        </w:rPr>
        <w:t xml:space="preserve"> combines records within plantations as well as part of private land. </w:t>
      </w:r>
    </w:p>
    <w:p w14:paraId="72E300E4" w14:textId="77777777" w:rsidR="00BE1D36" w:rsidRDefault="00BE1D36" w:rsidP="00BE1D36">
      <w:pPr>
        <w:pStyle w:val="BodyText"/>
      </w:pPr>
      <w:r>
        <w:t>Current controls for this hazard include:</w:t>
      </w:r>
    </w:p>
    <w:p w14:paraId="09A611EF" w14:textId="77777777" w:rsidR="00BE1D36" w:rsidRDefault="00BE1D36" w:rsidP="006670D2">
      <w:pPr>
        <w:pStyle w:val="PullOutBoxBullet"/>
      </w:pPr>
      <w:r>
        <w:t xml:space="preserve">The </w:t>
      </w:r>
      <w:r>
        <w:rPr>
          <w:i/>
          <w:iCs/>
        </w:rPr>
        <w:t>Code of Practice for Timber Production 2014</w:t>
      </w:r>
      <w:r>
        <w:t xml:space="preserve">. This has been evaluated as poor because while it is assessed in at least some regions, the history of management for protection of included or abutting remnant vegetation has varied across the extent of plantations. </w:t>
      </w:r>
    </w:p>
    <w:p w14:paraId="430AAEE7" w14:textId="46DE864F" w:rsidR="00BE1D36" w:rsidRDefault="00BE1D36" w:rsidP="006670D2">
      <w:pPr>
        <w:pStyle w:val="PullOutBoxBullet"/>
        <w:rPr>
          <w:rFonts w:eastAsiaTheme="minorEastAsia" w:cstheme="minorBidi"/>
          <w:sz w:val="22"/>
          <w:szCs w:val="22"/>
        </w:rPr>
      </w:pPr>
      <w:r>
        <w:t xml:space="preserve">The CAR reserve system. </w:t>
      </w:r>
      <w:r w:rsidR="003809EB" w:rsidRPr="00CB51DA">
        <w:rPr>
          <w:rStyle w:val="normaltextrun"/>
        </w:rPr>
        <w:t>The effectiveness of this control for this species has been evaluated</w:t>
      </w:r>
      <w:r w:rsidR="003809EB">
        <w:t xml:space="preserve"> as </w:t>
      </w:r>
      <w:r>
        <w:t xml:space="preserve">satisfactory as 64% of the </w:t>
      </w:r>
      <w:r w:rsidR="001D3902">
        <w:t>species’</w:t>
      </w:r>
      <w:r>
        <w:t xml:space="preserve"> modelled distribution and important populations are within the reserve system.</w:t>
      </w:r>
    </w:p>
    <w:p w14:paraId="0BE4ACC9" w14:textId="77777777" w:rsidR="00BE1D36" w:rsidRDefault="00BE1D36" w:rsidP="006670D2">
      <w:pPr>
        <w:pStyle w:val="PullOutBoxBullet"/>
        <w:rPr>
          <w:szCs w:val="20"/>
        </w:rPr>
      </w:pPr>
      <w:r>
        <w:t>Victorian Planning Provisions and planning schemes. This has been evaluated as poor as this control is considered in relation to the development of new plantations on private land. The existing controls may or may not prevent clearing and lack the requirement of like for like, allowing the progressive loss of threatened habitats. The control does not prevent incremental damage to wetland habitat abutting plantations (e.g., from desiccation or fertilizer/herbicide drift) if the plantations are established on already cleared land.</w:t>
      </w:r>
    </w:p>
    <w:p w14:paraId="5EC55ED4" w14:textId="6451D03C"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274</w:t>
      </w:r>
      <w:r w:rsidR="000B6788" w:rsidRPr="00B846FE">
        <w:rPr>
          <w:bCs/>
          <w:noProof/>
        </w:rPr>
        <w:fldChar w:fldCharType="end"/>
      </w:r>
      <w:r w:rsidRPr="00FF310C">
        <w:t>. Violet Bladderwort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BE1D36" w14:paraId="4B044849"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4D3D39D"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5D6A1DC0"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08858453" w14:textId="77777777" w:rsidTr="00B45E4E">
        <w:tc>
          <w:tcPr>
            <w:tcW w:w="2268" w:type="dxa"/>
            <w:tcBorders>
              <w:top w:val="single" w:sz="8" w:space="0" w:color="CDDC29" w:themeColor="text2"/>
              <w:left w:val="nil"/>
              <w:bottom w:val="single" w:sz="8" w:space="0" w:color="CDDC29" w:themeColor="text2"/>
              <w:right w:val="nil"/>
            </w:tcBorders>
            <w:hideMark/>
          </w:tcPr>
          <w:p w14:paraId="7E55E3D2" w14:textId="698F2FA0" w:rsidR="00BE1D36" w:rsidRDefault="00BE1D36" w:rsidP="00B45E4E">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4011DE2F" w14:textId="77777777" w:rsidR="00BE1D36" w:rsidRDefault="00BE1D36" w:rsidP="00B45E4E">
            <w:pPr>
              <w:pStyle w:val="BodyText"/>
            </w:pPr>
            <w:r>
              <w:t>Not required for this hazard as the risk is longer-term.</w:t>
            </w:r>
          </w:p>
        </w:tc>
      </w:tr>
      <w:tr w:rsidR="002C67BC" w14:paraId="78B84D95" w14:textId="77777777" w:rsidTr="00B45E4E">
        <w:tc>
          <w:tcPr>
            <w:tcW w:w="2268" w:type="dxa"/>
            <w:tcBorders>
              <w:top w:val="single" w:sz="8" w:space="0" w:color="CDDC29" w:themeColor="text2"/>
              <w:left w:val="nil"/>
              <w:bottom w:val="single" w:sz="8" w:space="0" w:color="CDDC29" w:themeColor="text2"/>
              <w:right w:val="nil"/>
            </w:tcBorders>
          </w:tcPr>
          <w:p w14:paraId="5B9F0C93" w14:textId="7E226E01" w:rsidR="002C67BC" w:rsidRDefault="002C67BC"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7FB25D75" w14:textId="558C4F1F" w:rsidR="002C67BC" w:rsidRDefault="004C0CED" w:rsidP="006670D2">
            <w:pPr>
              <w:pStyle w:val="PullOutBoxBullet"/>
            </w:pPr>
            <w:r>
              <w:rPr>
                <w:shd w:val="clear" w:color="auto" w:fill="FFFFFF"/>
              </w:rPr>
              <w:t>Work with plantation managers to identify important populations.</w:t>
            </w:r>
          </w:p>
        </w:tc>
      </w:tr>
      <w:tr w:rsidR="00BE1D36" w14:paraId="29F23054" w14:textId="77777777" w:rsidTr="00B45E4E">
        <w:tc>
          <w:tcPr>
            <w:tcW w:w="2268" w:type="dxa"/>
            <w:tcBorders>
              <w:top w:val="single" w:sz="8" w:space="0" w:color="CDDC29" w:themeColor="text2"/>
              <w:left w:val="nil"/>
              <w:bottom w:val="single" w:sz="8" w:space="0" w:color="CDDC29" w:themeColor="text2"/>
              <w:right w:val="nil"/>
            </w:tcBorders>
            <w:hideMark/>
          </w:tcPr>
          <w:p w14:paraId="05321010" w14:textId="77777777" w:rsidR="00BE1D36" w:rsidRDefault="00BE1D36" w:rsidP="00B45E4E">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6C9EFA38" w14:textId="77777777" w:rsidR="00BE1D36" w:rsidRDefault="00BE1D36" w:rsidP="00B45E4E">
            <w:pPr>
              <w:pStyle w:val="BodyText"/>
            </w:pPr>
            <w:r>
              <w:t>Additional permanent protections may be required in the longer-term.</w:t>
            </w:r>
          </w:p>
        </w:tc>
      </w:tr>
      <w:tr w:rsidR="00BE1D36" w14:paraId="0FCDCF1A" w14:textId="77777777" w:rsidTr="00B45E4E">
        <w:tc>
          <w:tcPr>
            <w:tcW w:w="2268" w:type="dxa"/>
            <w:tcBorders>
              <w:top w:val="single" w:sz="8" w:space="0" w:color="CDDC29" w:themeColor="text2"/>
              <w:left w:val="nil"/>
              <w:bottom w:val="single" w:sz="8" w:space="0" w:color="CDDC29" w:themeColor="text2"/>
              <w:right w:val="nil"/>
            </w:tcBorders>
            <w:hideMark/>
          </w:tcPr>
          <w:p w14:paraId="4B34D544" w14:textId="48D3F330" w:rsidR="00BE1D36" w:rsidRDefault="00C32AC6"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562BAB81" w14:textId="1F50AFEB" w:rsidR="00BE1D36" w:rsidRDefault="00682BF1" w:rsidP="006670D2">
            <w:pPr>
              <w:pStyle w:val="PullOutBoxBullet"/>
            </w:pPr>
            <w:r>
              <w:t>R</w:t>
            </w:r>
            <w:r w:rsidR="00BE1D36">
              <w:t xml:space="preserve">eview of strategies to minimise spray drift during plantation management (notably at re-establishment); </w:t>
            </w:r>
          </w:p>
          <w:p w14:paraId="645F575E" w14:textId="6BEF4BDA" w:rsidR="00BE1D36" w:rsidRDefault="00682BF1" w:rsidP="006670D2">
            <w:pPr>
              <w:pStyle w:val="PullOutBoxBullet"/>
            </w:pPr>
            <w:r>
              <w:t>S</w:t>
            </w:r>
            <w:r w:rsidR="00BE1D36">
              <w:t xml:space="preserve">urvey potential habitat within existing plantations and planned expansions, with policy for new plantations to ensure remnant habitat is sufficiently buffered; </w:t>
            </w:r>
            <w:r>
              <w:t>and</w:t>
            </w:r>
          </w:p>
          <w:p w14:paraId="38A79361" w14:textId="208F9A38" w:rsidR="00BE1D36" w:rsidRDefault="00682BF1" w:rsidP="006670D2">
            <w:pPr>
              <w:pStyle w:val="PullOutBoxBullet"/>
            </w:pPr>
            <w:r>
              <w:t>C</w:t>
            </w:r>
            <w:r w:rsidR="00BE1D36">
              <w:t xml:space="preserve">onsider increasing buffering for important populations in plantations. </w:t>
            </w:r>
          </w:p>
        </w:tc>
      </w:tr>
    </w:tbl>
    <w:p w14:paraId="457E7E43" w14:textId="1776B8B7" w:rsidR="0003519D" w:rsidRDefault="0003519D" w:rsidP="007E5EBF">
      <w:pPr>
        <w:pStyle w:val="Heading3"/>
      </w:pPr>
      <w:bookmarkStart w:id="1213" w:name="_Toc88725100"/>
      <w:bookmarkStart w:id="1214" w:name="_Toc88725101"/>
      <w:bookmarkStart w:id="1215" w:name="_Toc88725102"/>
      <w:bookmarkStart w:id="1216" w:name="_Toc88725103"/>
      <w:bookmarkStart w:id="1217" w:name="_Toc88725104"/>
      <w:bookmarkStart w:id="1218" w:name="_Toc88725106"/>
      <w:bookmarkStart w:id="1219" w:name="_Toc88725108"/>
      <w:bookmarkStart w:id="1220" w:name="_Toc88725110"/>
      <w:bookmarkStart w:id="1221" w:name="_Toc88725111"/>
      <w:bookmarkStart w:id="1222" w:name="_Toc88725112"/>
      <w:bookmarkStart w:id="1223" w:name="_Toc88725113"/>
      <w:bookmarkStart w:id="1224" w:name="_Toc88725114"/>
      <w:bookmarkStart w:id="1225" w:name="_Toc88725115"/>
      <w:bookmarkStart w:id="1226" w:name="_Toc88725116"/>
      <w:bookmarkStart w:id="1227" w:name="_Toc88725117"/>
      <w:bookmarkStart w:id="1228" w:name="_Toc88725118"/>
      <w:bookmarkStart w:id="1229" w:name="_Toc88725119"/>
      <w:bookmarkStart w:id="1230" w:name="_Toc88725120"/>
      <w:bookmarkStart w:id="1231" w:name="_Toc88725123"/>
      <w:bookmarkStart w:id="1232" w:name="_Toc88725124"/>
      <w:bookmarkStart w:id="1233" w:name="_Toc88725125"/>
      <w:bookmarkStart w:id="1234" w:name="_Toc88725126"/>
      <w:bookmarkStart w:id="1235" w:name="_Toc88725127"/>
      <w:bookmarkStart w:id="1236" w:name="_Toc88725128"/>
      <w:bookmarkStart w:id="1237" w:name="_Toc88725131"/>
      <w:bookmarkStart w:id="1238" w:name="_Toc88725132"/>
      <w:bookmarkStart w:id="1239" w:name="_Toc88725133"/>
      <w:bookmarkStart w:id="1240" w:name="_Toc88725134"/>
      <w:bookmarkStart w:id="1241" w:name="_Toc88725135"/>
      <w:bookmarkStart w:id="1242" w:name="_Toc88725136"/>
      <w:bookmarkStart w:id="1243" w:name="_Toc88725137"/>
      <w:bookmarkStart w:id="1244" w:name="_Toc88725138"/>
      <w:bookmarkStart w:id="1245" w:name="_Toc88725139"/>
      <w:bookmarkStart w:id="1246" w:name="_Toc88725140"/>
      <w:bookmarkStart w:id="1247" w:name="_Toc88725141"/>
      <w:bookmarkStart w:id="1248" w:name="_Toc88725142"/>
      <w:bookmarkStart w:id="1249" w:name="_Toc88725143"/>
      <w:bookmarkStart w:id="1250" w:name="_Toc88725144"/>
      <w:bookmarkStart w:id="1251" w:name="_Toc88725145"/>
      <w:bookmarkStart w:id="1252" w:name="_Toc88725146"/>
      <w:bookmarkStart w:id="1253" w:name="_Toc88725147"/>
      <w:bookmarkStart w:id="1254" w:name="_Toc88725149"/>
      <w:bookmarkStart w:id="1255" w:name="_Toc88725150"/>
      <w:bookmarkStart w:id="1256" w:name="_Toc88725152"/>
      <w:bookmarkStart w:id="1257" w:name="_Toc88725153"/>
      <w:bookmarkStart w:id="1258" w:name="_Toc88725155"/>
      <w:bookmarkStart w:id="1259" w:name="_Toc88725156"/>
      <w:bookmarkStart w:id="1260" w:name="_Toc88725158"/>
      <w:bookmarkStart w:id="1261" w:name="_Toc88725159"/>
      <w:bookmarkStart w:id="1262" w:name="_Toc88725160"/>
      <w:bookmarkStart w:id="1263" w:name="_Toc88725161"/>
      <w:bookmarkStart w:id="1264" w:name="_Toc88725162"/>
      <w:bookmarkStart w:id="1265" w:name="_Toc88568493"/>
      <w:bookmarkStart w:id="1266" w:name="_Toc88147035"/>
      <w:bookmarkStart w:id="1267" w:name="_Toc88725444"/>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r>
        <w:t>Habitat loss, degradation</w:t>
      </w:r>
      <w:r w:rsidR="00D825B0">
        <w:t>,</w:t>
      </w:r>
      <w:r>
        <w:t xml:space="preserve"> and fragmentation</w:t>
      </w:r>
    </w:p>
    <w:p w14:paraId="4E656100" w14:textId="77777777" w:rsidR="0003519D" w:rsidRDefault="0003519D" w:rsidP="007E5EBF">
      <w:pPr>
        <w:pStyle w:val="Heading5"/>
        <w:rPr>
          <w:sz w:val="18"/>
          <w:szCs w:val="18"/>
        </w:rPr>
      </w:pPr>
      <w:r>
        <w:t>Agriculture</w:t>
      </w:r>
    </w:p>
    <w:p w14:paraId="22471D6F" w14:textId="0468CB1C" w:rsidR="0003519D" w:rsidRDefault="0003519D" w:rsidP="0003519D">
      <w:pPr>
        <w:pStyle w:val="BodyText"/>
      </w:pPr>
      <w:r>
        <w:t xml:space="preserve">Many sites are threatened with continuing habitat degradation through agricultural intensification, which should be considered as comprising a range of components, notably clearing, fertilizer use and livestock grazing. This hazard is likely to interact with climatic drying to potentially cause local extinction and extends across 20% of the </w:t>
      </w:r>
      <w:r w:rsidR="001D3902">
        <w:t>species’</w:t>
      </w:r>
      <w:r>
        <w:t xml:space="preserve"> habitat. This estimate is based on the proportion of records on private land and habitat modelling, as a best estimator in the absence of more detailed ground survey. The threat will be distributed across the extent of private land and increasing as agriculture becomes more industrial and climate change expands the potential to crop wetland habitats.</w:t>
      </w:r>
    </w:p>
    <w:p w14:paraId="1D40FC66" w14:textId="77777777" w:rsidR="0003519D" w:rsidRDefault="0003519D" w:rsidP="0003519D">
      <w:pPr>
        <w:pStyle w:val="BodyText"/>
      </w:pPr>
      <w:r>
        <w:t>Current controls for this hazard include:</w:t>
      </w:r>
    </w:p>
    <w:p w14:paraId="611F9D0F" w14:textId="1A4A9323" w:rsidR="0003519D" w:rsidRDefault="0003519D" w:rsidP="006670D2">
      <w:pPr>
        <w:pStyle w:val="PullOutBoxBullet"/>
      </w:pPr>
      <w:r>
        <w:t>Awareness of landowners of location of populations</w:t>
      </w:r>
      <w:r w:rsidR="00974F28">
        <w:t xml:space="preserve">, which </w:t>
      </w:r>
      <w:r>
        <w:t>has been evaluated as satisfactory</w:t>
      </w:r>
      <w:r w:rsidR="00974F28">
        <w:t>.</w:t>
      </w:r>
    </w:p>
    <w:p w14:paraId="14D937A5" w14:textId="6A3E9D26" w:rsidR="0003519D" w:rsidRDefault="0003519D" w:rsidP="006670D2">
      <w:pPr>
        <w:pStyle w:val="PullOutBoxBullet"/>
      </w:pPr>
      <w:r>
        <w:t>Victorian Planning Provisions and planning schemes. This has been evaluated as poor as it does little to prevent clearing and lack the requirement of like for like, allowing the progressive loss of threatened habitats. In this case it is uncertain how much of the remaining habitat is considered desirable for clearing for agriculture, and</w:t>
      </w:r>
      <w:r w:rsidR="00974F28">
        <w:t xml:space="preserve"> </w:t>
      </w:r>
      <w:r>
        <w:t>consequently an assessment of satisfactory for the control rating may be relevant in the versions of the habitat for this species with less fertile soils</w:t>
      </w:r>
      <w:r w:rsidR="00F81F4A">
        <w:t>. H</w:t>
      </w:r>
      <w:r>
        <w:t>owever</w:t>
      </w:r>
      <w:r w:rsidR="00F81F4A">
        <w:t>,</w:t>
      </w:r>
      <w:r>
        <w:t xml:space="preserve"> the control does not prevent incremental damage resulting from land-use practises such as grazing or fertilizer drift.  </w:t>
      </w:r>
    </w:p>
    <w:p w14:paraId="6C387DB2" w14:textId="77777777" w:rsidR="0003519D" w:rsidRDefault="0003519D" w:rsidP="006670D2">
      <w:pPr>
        <w:pStyle w:val="PullOutBoxBullet"/>
      </w:pPr>
      <w:r>
        <w:t>Support programs such as Landcare. This has been evaluated as poor as participation is voluntary. It could potentially be highly effective where implemented, but very much dependant on goodwill and local community support.</w:t>
      </w:r>
    </w:p>
    <w:p w14:paraId="4E3AFDD0" w14:textId="79D2B6FB" w:rsidR="0003519D" w:rsidRPr="00FF310C" w:rsidRDefault="0003519D"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275</w:t>
      </w:r>
      <w:r w:rsidR="000B6788" w:rsidRPr="00B846FE">
        <w:rPr>
          <w:bCs/>
          <w:noProof/>
        </w:rPr>
        <w:fldChar w:fldCharType="end"/>
      </w:r>
      <w:r w:rsidRPr="00FF310C">
        <w:t>. Violet Bladderwort protection requirements and recommendations for agriculture</w:t>
      </w:r>
    </w:p>
    <w:tbl>
      <w:tblPr>
        <w:tblStyle w:val="TableGrid"/>
        <w:tblW w:w="0" w:type="auto"/>
        <w:tblLook w:val="04A0" w:firstRow="1" w:lastRow="0" w:firstColumn="1" w:lastColumn="0" w:noHBand="0" w:noVBand="1"/>
      </w:tblPr>
      <w:tblGrid>
        <w:gridCol w:w="2268"/>
        <w:gridCol w:w="7371"/>
      </w:tblGrid>
      <w:tr w:rsidR="0003519D" w14:paraId="2E405BA1"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482800FC" w14:textId="77777777" w:rsidR="0003519D" w:rsidRDefault="0003519D" w:rsidP="00296E0F">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41BA9704" w14:textId="77777777" w:rsidR="0003519D" w:rsidRDefault="0003519D" w:rsidP="00296E0F">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03519D" w14:paraId="517A1F3B" w14:textId="77777777" w:rsidTr="00B45E4E">
        <w:tc>
          <w:tcPr>
            <w:tcW w:w="2268" w:type="dxa"/>
            <w:tcBorders>
              <w:top w:val="single" w:sz="8" w:space="0" w:color="CDDC29" w:themeColor="text2"/>
              <w:left w:val="nil"/>
              <w:bottom w:val="single" w:sz="8" w:space="0" w:color="CDDC29" w:themeColor="text2"/>
              <w:right w:val="nil"/>
            </w:tcBorders>
            <w:hideMark/>
          </w:tcPr>
          <w:p w14:paraId="76080DE5" w14:textId="0501DF8A" w:rsidR="0003519D" w:rsidRDefault="00586D26"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2E0A054D" w14:textId="77777777" w:rsidR="0003519D" w:rsidRDefault="0003519D" w:rsidP="00B45E4E">
            <w:pPr>
              <w:pStyle w:val="BodyText"/>
            </w:pPr>
            <w:r>
              <w:t>Not required for this hazard because in the absence of industrial-scale farming enterprises, the potential threats may be likely to impact in a more incremental manner. However, more detailed understanding of regional trends in agricultural practises is required.</w:t>
            </w:r>
          </w:p>
        </w:tc>
      </w:tr>
      <w:tr w:rsidR="0003519D" w14:paraId="66706CB0" w14:textId="77777777" w:rsidTr="00B45E4E">
        <w:tc>
          <w:tcPr>
            <w:tcW w:w="2268" w:type="dxa"/>
            <w:tcBorders>
              <w:top w:val="single" w:sz="8" w:space="0" w:color="CDDC29" w:themeColor="text2"/>
              <w:left w:val="nil"/>
              <w:bottom w:val="single" w:sz="8" w:space="0" w:color="CDDC29" w:themeColor="text2"/>
              <w:right w:val="nil"/>
            </w:tcBorders>
            <w:hideMark/>
          </w:tcPr>
          <w:p w14:paraId="5D66D23D" w14:textId="48916CEF" w:rsidR="0003519D" w:rsidRDefault="00586D26" w:rsidP="00B45E4E">
            <w:pPr>
              <w:pStyle w:val="BodyText"/>
            </w:pPr>
            <w:r>
              <w:t>Potential m</w:t>
            </w:r>
            <w:r w:rsidR="0003519D">
              <w:t>anagement actions</w:t>
            </w:r>
          </w:p>
        </w:tc>
        <w:tc>
          <w:tcPr>
            <w:tcW w:w="7371" w:type="dxa"/>
            <w:tcBorders>
              <w:top w:val="single" w:sz="8" w:space="0" w:color="CDDC29" w:themeColor="text2"/>
              <w:left w:val="nil"/>
              <w:bottom w:val="single" w:sz="8" w:space="0" w:color="CDDC29" w:themeColor="text2"/>
              <w:right w:val="nil"/>
            </w:tcBorders>
            <w:hideMark/>
          </w:tcPr>
          <w:p w14:paraId="4C9C5496" w14:textId="77777777" w:rsidR="0003519D" w:rsidRDefault="0003519D" w:rsidP="006670D2">
            <w:pPr>
              <w:pStyle w:val="PullOutBoxBullet"/>
            </w:pPr>
            <w:r>
              <w:t xml:space="preserve">Investigate potential to enhance permanent protections through covenant schemes in areas supporting populations; </w:t>
            </w:r>
          </w:p>
          <w:p w14:paraId="2465E3F2" w14:textId="77777777" w:rsidR="0003519D" w:rsidRDefault="0003519D" w:rsidP="006670D2">
            <w:pPr>
              <w:pStyle w:val="PullOutBoxBullet"/>
            </w:pPr>
            <w:r>
              <w:t xml:space="preserve">Enforcement of existing legislation; </w:t>
            </w:r>
          </w:p>
          <w:p w14:paraId="73E69281" w14:textId="77777777" w:rsidR="0003519D" w:rsidRDefault="0003519D" w:rsidP="006670D2">
            <w:pPr>
              <w:pStyle w:val="PullOutBoxBullet"/>
            </w:pPr>
            <w:r>
              <w:t xml:space="preserve">Adequate seasonally appropriate survey of sites potentially subject to altered land-management; and </w:t>
            </w:r>
          </w:p>
          <w:p w14:paraId="6F8F45AA" w14:textId="77777777" w:rsidR="0003519D" w:rsidRDefault="0003519D" w:rsidP="006670D2">
            <w:pPr>
              <w:pStyle w:val="PullOutBoxBullet"/>
            </w:pPr>
            <w:r>
              <w:t>Communications and implementation of planning controls where changes in land use may impinge of potential habitat (or wetlands in general).</w:t>
            </w:r>
          </w:p>
        </w:tc>
      </w:tr>
    </w:tbl>
    <w:p w14:paraId="20BEB26C" w14:textId="77777777" w:rsidR="0003519D" w:rsidRDefault="0003519D" w:rsidP="007E5EBF">
      <w:pPr>
        <w:pStyle w:val="Heading5"/>
      </w:pPr>
      <w:r>
        <w:rPr>
          <w:noProof/>
        </w:rPr>
        <mc:AlternateContent>
          <mc:Choice Requires="wps">
            <w:drawing>
              <wp:anchor distT="0" distB="0" distL="114300" distR="114300" simplePos="0" relativeHeight="251658546" behindDoc="1" locked="1" layoutInCell="1" allowOverlap="1" wp14:anchorId="40CB1908" wp14:editId="4A8C1A67">
                <wp:simplePos x="0" y="0"/>
                <wp:positionH relativeFrom="page">
                  <wp:posOffset>359410</wp:posOffset>
                </wp:positionH>
                <wp:positionV relativeFrom="page">
                  <wp:posOffset>9071610</wp:posOffset>
                </wp:positionV>
                <wp:extent cx="6840220" cy="431800"/>
                <wp:effectExtent l="0" t="0" r="0" b="0"/>
                <wp:wrapNone/>
                <wp:docPr id="1475" name="Text Box 1475"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F5CB30" w14:textId="77777777" w:rsidR="0003519D" w:rsidRDefault="0003519D" w:rsidP="0003519D">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B1908" id="Text Box 1475" o:spid="_x0000_s1145" type="#_x0000_t202" alt="Title: Decorative Cover Shape" style="position:absolute;left:0;text-align:left;margin-left:28.3pt;margin-top:714.3pt;width:538.6pt;height:34pt;z-index:-2516579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CyeyBQgAIA&#10;AGMFAAAOAAAAAAAAAAAAAAAAAC4CAABkcnMvZTJvRG9jLnhtbFBLAQItABQABgAIAAAAIQCRaybX&#10;3QAAAA0BAAAPAAAAAAAAAAAAAAAAANoEAABkcnMvZG93bnJldi54bWxQSwUGAAAAAAQABADzAAAA&#10;5AUAAAAA&#10;" fillcolor="#201547" stroked="f" strokeweight=".5pt">
                <v:textbox inset="10mm,0,10mm,0">
                  <w:txbxContent>
                    <w:p w14:paraId="29F5CB30" w14:textId="77777777" w:rsidR="0003519D" w:rsidRDefault="0003519D" w:rsidP="0003519D">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545" behindDoc="0" locked="1" layoutInCell="1" allowOverlap="1" wp14:anchorId="7BDDBABB" wp14:editId="0451858F">
                <wp:simplePos x="0" y="0"/>
                <wp:positionH relativeFrom="page">
                  <wp:posOffset>360045</wp:posOffset>
                </wp:positionH>
                <wp:positionV relativeFrom="page">
                  <wp:posOffset>360045</wp:posOffset>
                </wp:positionV>
                <wp:extent cx="1864995" cy="1976120"/>
                <wp:effectExtent l="0" t="0" r="0" b="0"/>
                <wp:wrapNone/>
                <wp:docPr id="1476" name="Freeform: Shape 147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DC5A16A" id="Freeform: Shape 1476" o:spid="_x0000_s1026" style="position:absolute;margin-left:28.35pt;margin-top:28.35pt;width:146.85pt;height:155.6pt;z-index:25165854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544" behindDoc="0" locked="1" layoutInCell="1" allowOverlap="1" wp14:anchorId="467D6889" wp14:editId="54202257">
                <wp:simplePos x="0" y="0"/>
                <wp:positionH relativeFrom="page">
                  <wp:posOffset>359410</wp:posOffset>
                </wp:positionH>
                <wp:positionV relativeFrom="page">
                  <wp:posOffset>359410</wp:posOffset>
                </wp:positionV>
                <wp:extent cx="1864995" cy="1976120"/>
                <wp:effectExtent l="0" t="0" r="0" b="0"/>
                <wp:wrapNone/>
                <wp:docPr id="1477" name="Freeform: Shape 147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5C550E4" id="Freeform: Shape 1477" o:spid="_x0000_s1026" style="position:absolute;margin-left:28.3pt;margin-top:28.3pt;width:146.85pt;height:155.6pt;z-index:2516585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543" behindDoc="0" locked="1" layoutInCell="1" allowOverlap="1" wp14:anchorId="6FD243E3" wp14:editId="708344F6">
                <wp:simplePos x="0" y="0"/>
                <wp:positionH relativeFrom="page">
                  <wp:posOffset>0</wp:posOffset>
                </wp:positionH>
                <wp:positionV relativeFrom="page">
                  <wp:align>bottom</wp:align>
                </wp:positionV>
                <wp:extent cx="3848100" cy="720090"/>
                <wp:effectExtent l="0" t="0" r="0" b="0"/>
                <wp:wrapNone/>
                <wp:docPr id="1478" name="Text Box 1478"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0B3CC" w14:textId="77777777" w:rsidR="0003519D" w:rsidRDefault="0003519D" w:rsidP="0003519D">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43E3" id="Text Box 1478" o:spid="_x0000_s1146" type="#_x0000_t202" style="position:absolute;left:0;text-align:left;margin-left:0;margin-top:0;width:303pt;height:56.7pt;z-index:25165854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H7C9HG8CAAA/BQAADgAAAAAAAAAAAAAAAAAu&#10;AgAAZHJzL2Uyb0RvYy54bWxQSwECLQAUAAYACAAAACEA9MrPqNoAAAAFAQAADwAAAAAAAAAAAAAA&#10;AADJBAAAZHJzL2Rvd25yZXYueG1sUEsFBgAAAAAEAAQA8wAAANAFAAAAAA==&#10;" filled="f" stroked="f" strokeweight=".5pt">
                <v:textbox inset="20mm">
                  <w:txbxContent>
                    <w:p w14:paraId="5580B3CC" w14:textId="77777777" w:rsidR="0003519D" w:rsidRDefault="0003519D" w:rsidP="0003519D">
                      <w:pPr>
                        <w:pStyle w:val="xWebCoverPage"/>
                      </w:pPr>
                      <w:r>
                        <w:t>delwp.vic.gov.au</w:t>
                      </w:r>
                    </w:p>
                  </w:txbxContent>
                </v:textbox>
                <w10:wrap anchorx="page" anchory="page"/>
                <w10:anchorlock/>
              </v:shape>
            </w:pict>
          </mc:Fallback>
        </mc:AlternateContent>
      </w:r>
      <w:r>
        <w:t>Draining of water; infrastructure maintenance</w:t>
      </w:r>
    </w:p>
    <w:p w14:paraId="4ECFAA28" w14:textId="3DAF0BFC" w:rsidR="0003519D" w:rsidRDefault="0003519D" w:rsidP="0003519D">
      <w:pPr>
        <w:pStyle w:val="BodyText"/>
      </w:pPr>
      <w:r>
        <w:t xml:space="preserve">Many sites are threatened with continuing habitat degradation through wetland drainage and infrastructure maintenance, which are likely to interact with climatic drying to potentially cause local extinction. This hazard extends across 20% of the </w:t>
      </w:r>
      <w:r w:rsidR="001D3902">
        <w:t>species’</w:t>
      </w:r>
      <w:r>
        <w:t xml:space="preserve"> habitat. </w:t>
      </w:r>
    </w:p>
    <w:p w14:paraId="0FBFA0F8" w14:textId="77777777" w:rsidR="0003519D" w:rsidRDefault="0003519D" w:rsidP="0003519D">
      <w:pPr>
        <w:pStyle w:val="BodyText"/>
      </w:pPr>
      <w:r>
        <w:t>Current controls for this hazard include:</w:t>
      </w:r>
    </w:p>
    <w:p w14:paraId="458EF4CE" w14:textId="7EBDB440" w:rsidR="0003519D" w:rsidRDefault="0003519D" w:rsidP="006670D2">
      <w:pPr>
        <w:pStyle w:val="PullOutBoxBullet"/>
      </w:pPr>
      <w:r>
        <w:t>Awareness of landowners of location of populations</w:t>
      </w:r>
      <w:r w:rsidR="00F81F4A">
        <w:t xml:space="preserve">, which </w:t>
      </w:r>
      <w:r>
        <w:t>has been evaluated as satisfactory</w:t>
      </w:r>
      <w:r w:rsidR="00F81F4A">
        <w:t>.</w:t>
      </w:r>
    </w:p>
    <w:p w14:paraId="18524AD8" w14:textId="52D1A9BE" w:rsidR="0003519D" w:rsidRPr="00FF310C" w:rsidRDefault="0003519D"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276</w:t>
      </w:r>
      <w:r w:rsidR="000B6788" w:rsidRPr="00B846FE">
        <w:rPr>
          <w:bCs/>
          <w:noProof/>
        </w:rPr>
        <w:fldChar w:fldCharType="end"/>
      </w:r>
      <w:r w:rsidRPr="00FF310C">
        <w:t>. Violet Bladderwort protection requirements and recommendations for draining of water and infrastructure maintenance</w:t>
      </w:r>
    </w:p>
    <w:tbl>
      <w:tblPr>
        <w:tblStyle w:val="TableGrid"/>
        <w:tblW w:w="0" w:type="auto"/>
        <w:tblLook w:val="04A0" w:firstRow="1" w:lastRow="0" w:firstColumn="1" w:lastColumn="0" w:noHBand="0" w:noVBand="1"/>
      </w:tblPr>
      <w:tblGrid>
        <w:gridCol w:w="2268"/>
        <w:gridCol w:w="7371"/>
      </w:tblGrid>
      <w:tr w:rsidR="0003519D" w14:paraId="15D4A2B9"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280E094D" w14:textId="77777777" w:rsidR="0003519D" w:rsidRDefault="0003519D" w:rsidP="00296E0F">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3D8797BA" w14:textId="77777777" w:rsidR="0003519D" w:rsidRDefault="0003519D" w:rsidP="00296E0F">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03519D" w14:paraId="0BC10062" w14:textId="77777777" w:rsidTr="00B45E4E">
        <w:tc>
          <w:tcPr>
            <w:tcW w:w="2268" w:type="dxa"/>
            <w:tcBorders>
              <w:top w:val="single" w:sz="8" w:space="0" w:color="CDDC29" w:themeColor="text2"/>
              <w:left w:val="nil"/>
              <w:bottom w:val="single" w:sz="8" w:space="0" w:color="CDDC29" w:themeColor="text2"/>
              <w:right w:val="nil"/>
            </w:tcBorders>
            <w:hideMark/>
          </w:tcPr>
          <w:p w14:paraId="1973591E" w14:textId="0E0CE684" w:rsidR="0003519D" w:rsidRDefault="00586D26"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792E996E" w14:textId="77777777" w:rsidR="0003519D" w:rsidRDefault="0003519D" w:rsidP="00B45E4E">
            <w:pPr>
              <w:pStyle w:val="BodyText"/>
            </w:pPr>
            <w:r>
              <w:t>Not required for this hazard based on the overall risk level of medium.</w:t>
            </w:r>
          </w:p>
        </w:tc>
      </w:tr>
      <w:tr w:rsidR="0003519D" w14:paraId="016FFD3C" w14:textId="77777777" w:rsidTr="00B45E4E">
        <w:tc>
          <w:tcPr>
            <w:tcW w:w="2268" w:type="dxa"/>
            <w:tcBorders>
              <w:top w:val="single" w:sz="8" w:space="0" w:color="CDDC29" w:themeColor="text2"/>
              <w:left w:val="nil"/>
              <w:bottom w:val="single" w:sz="8" w:space="0" w:color="CDDC29" w:themeColor="text2"/>
              <w:right w:val="nil"/>
            </w:tcBorders>
            <w:hideMark/>
          </w:tcPr>
          <w:p w14:paraId="47AB1589" w14:textId="7BA6D5E8" w:rsidR="0003519D" w:rsidRDefault="00586D26" w:rsidP="00B45E4E">
            <w:pPr>
              <w:pStyle w:val="BodyText"/>
            </w:pPr>
            <w:r>
              <w:t>Potential m</w:t>
            </w:r>
            <w:r w:rsidR="0003519D">
              <w:t>anagement actions</w:t>
            </w:r>
          </w:p>
        </w:tc>
        <w:tc>
          <w:tcPr>
            <w:tcW w:w="7371" w:type="dxa"/>
            <w:tcBorders>
              <w:top w:val="single" w:sz="8" w:space="0" w:color="CDDC29" w:themeColor="text2"/>
              <w:left w:val="nil"/>
              <w:bottom w:val="single" w:sz="8" w:space="0" w:color="CDDC29" w:themeColor="text2"/>
              <w:right w:val="nil"/>
            </w:tcBorders>
            <w:hideMark/>
          </w:tcPr>
          <w:p w14:paraId="0965FD38" w14:textId="77777777" w:rsidR="0003519D" w:rsidRDefault="0003519D" w:rsidP="006670D2">
            <w:pPr>
              <w:pStyle w:val="PullOutBoxBullet"/>
            </w:pPr>
            <w:r>
              <w:t>Assess populations to determine the level of threat by this hazard; and</w:t>
            </w:r>
          </w:p>
          <w:p w14:paraId="28AFF5A8" w14:textId="18871578" w:rsidR="0003519D" w:rsidRDefault="0003519D" w:rsidP="006670D2">
            <w:pPr>
              <w:pStyle w:val="PullOutBoxBullet"/>
            </w:pPr>
            <w:r>
              <w:t xml:space="preserve">Investigate options to improve protection of important populations of this </w:t>
            </w:r>
            <w:r w:rsidR="001D3902">
              <w:t>species</w:t>
            </w:r>
            <w:r>
              <w:t>.</w:t>
            </w:r>
          </w:p>
        </w:tc>
      </w:tr>
    </w:tbl>
    <w:p w14:paraId="6749D08E" w14:textId="01CBA37A" w:rsidR="00586D26" w:rsidRDefault="00586D26" w:rsidP="00586D26">
      <w:pPr>
        <w:pStyle w:val="BodyText"/>
      </w:pPr>
    </w:p>
    <w:p w14:paraId="7C4B3591" w14:textId="77777777" w:rsidR="00586D26" w:rsidRDefault="00586D26">
      <w:pPr>
        <w:rPr>
          <w:rFonts w:cs="Times New Roman"/>
          <w:sz w:val="18"/>
          <w:szCs w:val="18"/>
          <w:lang w:eastAsia="en-US"/>
        </w:rPr>
      </w:pPr>
      <w:r>
        <w:br w:type="page"/>
      </w:r>
    </w:p>
    <w:p w14:paraId="31F2B141" w14:textId="7F186E3B" w:rsidR="00BE1D36" w:rsidRPr="007C6617" w:rsidRDefault="00BE1D36" w:rsidP="00171F18">
      <w:pPr>
        <w:pStyle w:val="Heading2"/>
        <w:ind w:left="0"/>
        <w:rPr>
          <w:i/>
          <w:iCs/>
        </w:rPr>
      </w:pPr>
      <w:bookmarkStart w:id="1268" w:name="_Toc113271080"/>
      <w:r w:rsidRPr="007C6617">
        <w:t>Wallaby-bush </w:t>
      </w:r>
      <w:r w:rsidRPr="00F67DF8">
        <w:rPr>
          <w:i/>
          <w:iCs/>
        </w:rPr>
        <w:t>(Beyeria lasiocarpa)</w:t>
      </w:r>
      <w:bookmarkEnd w:id="1265"/>
      <w:bookmarkEnd w:id="1268"/>
      <w:r w:rsidRPr="007C6617">
        <w:t> </w:t>
      </w:r>
    </w:p>
    <w:p w14:paraId="4686CB93" w14:textId="2E406BDD" w:rsidR="00BE1D36" w:rsidRDefault="00BE1D36" w:rsidP="00BE1D36">
      <w:pPr>
        <w:pStyle w:val="BodyText"/>
        <w:rPr>
          <w:rFonts w:ascii="Segoe UI" w:hAnsi="Segoe UI" w:cs="Segoe UI"/>
          <w:color w:val="363534"/>
        </w:rPr>
      </w:pPr>
      <w:r>
        <w:t xml:space="preserve">The Wallaby-bush was listed as Vulnerable in Victoria under the FFG Act in May 2021. The </w:t>
      </w:r>
      <w:r w:rsidR="001D3902">
        <w:t>species</w:t>
      </w:r>
      <w:r>
        <w:t xml:space="preserve"> has modelled habitat in the East Gippsland (63% of modelled habitat) and Gippsland (37% of modelled habitat) RFA regions.</w:t>
      </w:r>
      <w:r>
        <w:rPr>
          <w:rStyle w:val="BodyTextChar"/>
        </w:rPr>
        <w:t xml:space="preserve"> Permanent protections are recommended to address any hazards identified at a significant or high risk, and all</w:t>
      </w:r>
      <w:r>
        <w:t xml:space="preserve"> hazards rated a medium risk or higher will be considered in future management planning.</w:t>
      </w:r>
    </w:p>
    <w:p w14:paraId="3C3CB2C0" w14:textId="77777777" w:rsidR="00BE1D36" w:rsidRDefault="00BE1D36" w:rsidP="007E5EBF">
      <w:pPr>
        <w:pStyle w:val="Heading3"/>
      </w:pPr>
      <w:r>
        <w:t>Risk Assessment</w:t>
      </w:r>
    </w:p>
    <w:p w14:paraId="7FA23C40" w14:textId="7F34E37C" w:rsidR="00BE1D36" w:rsidRPr="00FF310C" w:rsidRDefault="00BE1D36" w:rsidP="006670D2">
      <w:pPr>
        <w:pStyle w:val="Caption"/>
      </w:pPr>
      <w:r w:rsidRPr="00FF310C">
        <w:t xml:space="preserve">Table </w:t>
      </w:r>
      <w:r w:rsidRPr="00B846FE">
        <w:rPr>
          <w:bCs/>
        </w:rPr>
        <w:fldChar w:fldCharType="begin"/>
      </w:r>
      <w:r w:rsidRPr="00FF310C">
        <w:instrText>SEQ Table \* ARABIC</w:instrText>
      </w:r>
      <w:r w:rsidRPr="00B846FE">
        <w:rPr>
          <w:bCs/>
        </w:rPr>
        <w:fldChar w:fldCharType="separate"/>
      </w:r>
      <w:r w:rsidR="00692F0D">
        <w:rPr>
          <w:noProof/>
        </w:rPr>
        <w:t>277</w:t>
      </w:r>
      <w:r w:rsidRPr="00B846FE">
        <w:rPr>
          <w:bCs/>
        </w:rPr>
        <w:fldChar w:fldCharType="end"/>
      </w:r>
      <w:r w:rsidRPr="00FF310C">
        <w:t>. Wallaby-bush risk ratings in the East Gippsland and Gippsland RFA regions:</w:t>
      </w:r>
    </w:p>
    <w:tbl>
      <w:tblPr>
        <w:tblStyle w:val="TableGrid"/>
        <w:tblW w:w="6521" w:type="dxa"/>
        <w:tblLook w:val="04A0" w:firstRow="1" w:lastRow="0" w:firstColumn="1" w:lastColumn="0" w:noHBand="0" w:noVBand="1"/>
      </w:tblPr>
      <w:tblGrid>
        <w:gridCol w:w="2173"/>
        <w:gridCol w:w="2174"/>
        <w:gridCol w:w="2174"/>
      </w:tblGrid>
      <w:tr w:rsidR="00BE1D36" w14:paraId="29F8644C"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73" w:type="dxa"/>
            <w:tcBorders>
              <w:top w:val="single" w:sz="8" w:space="0" w:color="CDDC29" w:themeColor="text2"/>
              <w:left w:val="nil"/>
              <w:bottom w:val="single" w:sz="8" w:space="0" w:color="CDDC29" w:themeColor="text2"/>
              <w:right w:val="nil"/>
            </w:tcBorders>
            <w:vAlign w:val="center"/>
          </w:tcPr>
          <w:p w14:paraId="0DEE4E8D" w14:textId="77777777" w:rsidR="00BE1D36" w:rsidRDefault="00BE1D36" w:rsidP="006670D2">
            <w:pPr>
              <w:pStyle w:val="CaptionImageorFigure"/>
            </w:pPr>
          </w:p>
        </w:tc>
        <w:tc>
          <w:tcPr>
            <w:tcW w:w="2174" w:type="dxa"/>
            <w:tcBorders>
              <w:top w:val="single" w:sz="8" w:space="0" w:color="CDDC29" w:themeColor="text2"/>
              <w:left w:val="nil"/>
              <w:bottom w:val="single" w:sz="8" w:space="0" w:color="CDDC29" w:themeColor="text2"/>
              <w:right w:val="nil"/>
            </w:tcBorders>
            <w:vAlign w:val="center"/>
            <w:hideMark/>
          </w:tcPr>
          <w:p w14:paraId="0A482EE6"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2174" w:type="dxa"/>
            <w:tcBorders>
              <w:top w:val="single" w:sz="8" w:space="0" w:color="CDDC29" w:themeColor="text2"/>
              <w:left w:val="nil"/>
              <w:bottom w:val="single" w:sz="8" w:space="0" w:color="CDDC29" w:themeColor="text2"/>
              <w:right w:val="nil"/>
            </w:tcBorders>
            <w:vAlign w:val="center"/>
            <w:hideMark/>
          </w:tcPr>
          <w:p w14:paraId="0E3BDF76" w14:textId="55ABD291" w:rsidR="00BE1D36" w:rsidRDefault="00A0322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BE1D36">
              <w:t>orestry operations</w:t>
            </w:r>
            <w:r w:rsidR="00731E61">
              <w:t xml:space="preserve"> and </w:t>
            </w:r>
            <w:r w:rsidR="00BE1D36">
              <w:t>regeneration burning</w:t>
            </w:r>
          </w:p>
        </w:tc>
      </w:tr>
      <w:tr w:rsidR="00BE1D36" w14:paraId="0F19AC87" w14:textId="77777777" w:rsidTr="00BE1D36">
        <w:tc>
          <w:tcPr>
            <w:tcW w:w="2173" w:type="dxa"/>
            <w:tcBorders>
              <w:top w:val="single" w:sz="8" w:space="0" w:color="CDDC29" w:themeColor="text2"/>
              <w:left w:val="nil"/>
              <w:bottom w:val="single" w:sz="8" w:space="0" w:color="CDDC29" w:themeColor="text2"/>
              <w:right w:val="nil"/>
            </w:tcBorders>
            <w:vAlign w:val="center"/>
            <w:hideMark/>
          </w:tcPr>
          <w:p w14:paraId="392C7474" w14:textId="77777777" w:rsidR="00BE1D36" w:rsidRDefault="00BE1D36" w:rsidP="00682BF1">
            <w:pPr>
              <w:pStyle w:val="BodyText"/>
              <w:jc w:val="center"/>
            </w:pPr>
            <w:r>
              <w:t>Consequence</w:t>
            </w:r>
          </w:p>
        </w:tc>
        <w:tc>
          <w:tcPr>
            <w:tcW w:w="2174" w:type="dxa"/>
            <w:tcBorders>
              <w:top w:val="single" w:sz="8" w:space="0" w:color="CDDC29" w:themeColor="text2"/>
              <w:left w:val="nil"/>
              <w:bottom w:val="single" w:sz="8" w:space="0" w:color="CDDC29" w:themeColor="text2"/>
              <w:right w:val="nil"/>
            </w:tcBorders>
            <w:vAlign w:val="center"/>
            <w:hideMark/>
          </w:tcPr>
          <w:p w14:paraId="797C4C7F" w14:textId="77777777" w:rsidR="00BE1D36" w:rsidRDefault="00BE1D36" w:rsidP="00682BF1">
            <w:pPr>
              <w:pStyle w:val="BodyText"/>
              <w:jc w:val="center"/>
            </w:pPr>
            <w:r>
              <w:t>Major</w:t>
            </w:r>
          </w:p>
        </w:tc>
        <w:tc>
          <w:tcPr>
            <w:tcW w:w="2174" w:type="dxa"/>
            <w:tcBorders>
              <w:top w:val="single" w:sz="8" w:space="0" w:color="CDDC29" w:themeColor="text2"/>
              <w:left w:val="nil"/>
              <w:bottom w:val="single" w:sz="8" w:space="0" w:color="CDDC29" w:themeColor="text2"/>
              <w:right w:val="nil"/>
            </w:tcBorders>
            <w:vAlign w:val="center"/>
            <w:hideMark/>
          </w:tcPr>
          <w:p w14:paraId="308F937B" w14:textId="77777777" w:rsidR="00BE1D36" w:rsidRDefault="00BE1D36" w:rsidP="00682BF1">
            <w:pPr>
              <w:pStyle w:val="BodyText"/>
              <w:jc w:val="center"/>
            </w:pPr>
            <w:r>
              <w:t>Moderate</w:t>
            </w:r>
          </w:p>
        </w:tc>
      </w:tr>
      <w:tr w:rsidR="00BE1D36" w14:paraId="0489DE57" w14:textId="77777777" w:rsidTr="00BE1D36">
        <w:tc>
          <w:tcPr>
            <w:tcW w:w="2173" w:type="dxa"/>
            <w:tcBorders>
              <w:top w:val="single" w:sz="8" w:space="0" w:color="CDDC29" w:themeColor="text2"/>
              <w:left w:val="nil"/>
              <w:bottom w:val="single" w:sz="8" w:space="0" w:color="CDDC29" w:themeColor="text2"/>
              <w:right w:val="nil"/>
            </w:tcBorders>
            <w:vAlign w:val="center"/>
            <w:hideMark/>
          </w:tcPr>
          <w:p w14:paraId="66FC7E86" w14:textId="77777777" w:rsidR="00BE1D36" w:rsidRDefault="00BE1D36" w:rsidP="00682BF1">
            <w:pPr>
              <w:pStyle w:val="BodyText"/>
              <w:jc w:val="center"/>
            </w:pPr>
            <w:r>
              <w:t>Likelihood</w:t>
            </w:r>
          </w:p>
        </w:tc>
        <w:tc>
          <w:tcPr>
            <w:tcW w:w="2174" w:type="dxa"/>
            <w:tcBorders>
              <w:top w:val="single" w:sz="8" w:space="0" w:color="CDDC29" w:themeColor="text2"/>
              <w:left w:val="nil"/>
              <w:bottom w:val="single" w:sz="8" w:space="0" w:color="CDDC29" w:themeColor="text2"/>
              <w:right w:val="nil"/>
            </w:tcBorders>
            <w:vAlign w:val="center"/>
            <w:hideMark/>
          </w:tcPr>
          <w:p w14:paraId="7F8EBF74" w14:textId="77777777" w:rsidR="00BE1D36" w:rsidRDefault="00BE1D36" w:rsidP="00682BF1">
            <w:pPr>
              <w:pStyle w:val="BodyText"/>
              <w:jc w:val="center"/>
            </w:pPr>
            <w:r>
              <w:t>Likely</w:t>
            </w:r>
          </w:p>
        </w:tc>
        <w:tc>
          <w:tcPr>
            <w:tcW w:w="2174" w:type="dxa"/>
            <w:tcBorders>
              <w:top w:val="single" w:sz="8" w:space="0" w:color="CDDC29" w:themeColor="text2"/>
              <w:left w:val="nil"/>
              <w:bottom w:val="single" w:sz="8" w:space="0" w:color="CDDC29" w:themeColor="text2"/>
              <w:right w:val="nil"/>
            </w:tcBorders>
            <w:vAlign w:val="center"/>
            <w:hideMark/>
          </w:tcPr>
          <w:p w14:paraId="2253D11C" w14:textId="77777777" w:rsidR="00BE1D36" w:rsidRDefault="00BE1D36" w:rsidP="00682BF1">
            <w:pPr>
              <w:pStyle w:val="BodyText"/>
              <w:jc w:val="center"/>
            </w:pPr>
            <w:r>
              <w:t>Likely</w:t>
            </w:r>
          </w:p>
        </w:tc>
      </w:tr>
      <w:tr w:rsidR="00BE1D36" w14:paraId="0A5D4FCA" w14:textId="77777777" w:rsidTr="00BE1D36">
        <w:tc>
          <w:tcPr>
            <w:tcW w:w="2173" w:type="dxa"/>
            <w:tcBorders>
              <w:top w:val="single" w:sz="8" w:space="0" w:color="CDDC29" w:themeColor="text2"/>
              <w:left w:val="nil"/>
              <w:bottom w:val="single" w:sz="8" w:space="0" w:color="CDDC29" w:themeColor="text2"/>
              <w:right w:val="nil"/>
            </w:tcBorders>
            <w:vAlign w:val="center"/>
            <w:hideMark/>
          </w:tcPr>
          <w:p w14:paraId="382367CD" w14:textId="77777777" w:rsidR="00BE1D36" w:rsidRDefault="00BE1D36" w:rsidP="00682BF1">
            <w:pPr>
              <w:pStyle w:val="BodyText"/>
              <w:jc w:val="center"/>
            </w:pPr>
            <w:r>
              <w:t>Overall risk rating</w:t>
            </w:r>
          </w:p>
        </w:tc>
        <w:tc>
          <w:tcPr>
            <w:tcW w:w="2174" w:type="dxa"/>
            <w:tcBorders>
              <w:top w:val="single" w:sz="8" w:space="0" w:color="CDDC29" w:themeColor="text2"/>
              <w:left w:val="nil"/>
              <w:bottom w:val="single" w:sz="8" w:space="0" w:color="CDDC29" w:themeColor="text2"/>
              <w:right w:val="nil"/>
            </w:tcBorders>
            <w:shd w:val="clear" w:color="auto" w:fill="FF0000"/>
            <w:vAlign w:val="center"/>
            <w:hideMark/>
          </w:tcPr>
          <w:p w14:paraId="41520627" w14:textId="77777777" w:rsidR="00BE1D36" w:rsidRDefault="00BE1D36" w:rsidP="00682BF1">
            <w:pPr>
              <w:pStyle w:val="BodyText"/>
              <w:jc w:val="center"/>
            </w:pPr>
            <w:r>
              <w:t>High</w:t>
            </w:r>
          </w:p>
        </w:tc>
        <w:tc>
          <w:tcPr>
            <w:tcW w:w="2174" w:type="dxa"/>
            <w:tcBorders>
              <w:top w:val="single" w:sz="8" w:space="0" w:color="CDDC29" w:themeColor="text2"/>
              <w:left w:val="nil"/>
              <w:bottom w:val="single" w:sz="8" w:space="0" w:color="CDDC29" w:themeColor="text2"/>
              <w:right w:val="nil"/>
            </w:tcBorders>
            <w:shd w:val="clear" w:color="auto" w:fill="FFC000"/>
            <w:vAlign w:val="center"/>
            <w:hideMark/>
          </w:tcPr>
          <w:p w14:paraId="02C2E87A" w14:textId="77777777" w:rsidR="00BE1D36" w:rsidRDefault="00BE1D36" w:rsidP="00682BF1">
            <w:pPr>
              <w:pStyle w:val="BodyText"/>
              <w:jc w:val="center"/>
            </w:pPr>
            <w:r>
              <w:t>Significant</w:t>
            </w:r>
          </w:p>
        </w:tc>
      </w:tr>
    </w:tbl>
    <w:p w14:paraId="38CAA618" w14:textId="6DD5AE13" w:rsidR="00BE1D36" w:rsidRDefault="00BE1D36" w:rsidP="007E5EBF">
      <w:pPr>
        <w:pStyle w:val="Heading3"/>
      </w:pPr>
      <w:r>
        <w:rPr>
          <w:noProof/>
        </w:rPr>
        <mc:AlternateContent>
          <mc:Choice Requires="wps">
            <w:drawing>
              <wp:anchor distT="0" distB="0" distL="114300" distR="114300" simplePos="0" relativeHeight="251658494" behindDoc="1" locked="1" layoutInCell="1" allowOverlap="1" wp14:anchorId="171E10D0" wp14:editId="26B0F5E2">
                <wp:simplePos x="0" y="0"/>
                <wp:positionH relativeFrom="page">
                  <wp:posOffset>359410</wp:posOffset>
                </wp:positionH>
                <wp:positionV relativeFrom="page">
                  <wp:posOffset>9071610</wp:posOffset>
                </wp:positionV>
                <wp:extent cx="6840220" cy="431800"/>
                <wp:effectExtent l="0" t="0" r="0" b="0"/>
                <wp:wrapNone/>
                <wp:docPr id="236" name="Text Box 236"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48072"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10D0" id="Text Box 236" o:spid="_x0000_s1147" type="#_x0000_t202" alt="Title: Decorative Cover Shape" style="position:absolute;left:0;text-align:left;margin-left:28.3pt;margin-top:714.3pt;width:538.6pt;height:34pt;z-index:-25165798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C2z/c8gAIA&#10;AGMFAAAOAAAAAAAAAAAAAAAAAC4CAABkcnMvZTJvRG9jLnhtbFBLAQItABQABgAIAAAAIQCRaybX&#10;3QAAAA0BAAAPAAAAAAAAAAAAAAAAANoEAABkcnMvZG93bnJldi54bWxQSwUGAAAAAAQABADzAAAA&#10;5AUAAAAA&#10;" fillcolor="#201547" stroked="f" strokeweight=".5pt">
                <v:textbox inset="10mm,0,10mm,0">
                  <w:txbxContent>
                    <w:p w14:paraId="6CA48072"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93" behindDoc="0" locked="1" layoutInCell="1" allowOverlap="1" wp14:anchorId="7777C404" wp14:editId="245278CF">
                <wp:simplePos x="0" y="0"/>
                <wp:positionH relativeFrom="page">
                  <wp:posOffset>360045</wp:posOffset>
                </wp:positionH>
                <wp:positionV relativeFrom="page">
                  <wp:posOffset>360045</wp:posOffset>
                </wp:positionV>
                <wp:extent cx="1864995" cy="1976120"/>
                <wp:effectExtent l="0" t="0" r="0" b="0"/>
                <wp:wrapNone/>
                <wp:docPr id="237" name="Freeform: Shape 23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A8CFE3E" id="Freeform: Shape 237" o:spid="_x0000_s1026" style="position:absolute;margin-left:28.35pt;margin-top:28.35pt;width:146.85pt;height:155.6pt;z-index:25165849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492" behindDoc="0" locked="1" layoutInCell="1" allowOverlap="1" wp14:anchorId="48A7C018" wp14:editId="26095504">
                <wp:simplePos x="0" y="0"/>
                <wp:positionH relativeFrom="page">
                  <wp:posOffset>359410</wp:posOffset>
                </wp:positionH>
                <wp:positionV relativeFrom="page">
                  <wp:posOffset>359410</wp:posOffset>
                </wp:positionV>
                <wp:extent cx="1864995" cy="1976120"/>
                <wp:effectExtent l="0" t="0" r="0" b="0"/>
                <wp:wrapNone/>
                <wp:docPr id="238" name="Freeform: Shape 23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17706F0" id="Freeform: Shape 238" o:spid="_x0000_s1026" style="position:absolute;margin-left:28.3pt;margin-top:28.3pt;width:146.85pt;height:155.6pt;z-index:2516584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491" behindDoc="0" locked="1" layoutInCell="1" allowOverlap="1" wp14:anchorId="66812F42" wp14:editId="148D94A8">
                <wp:simplePos x="0" y="0"/>
                <wp:positionH relativeFrom="page">
                  <wp:posOffset>0</wp:posOffset>
                </wp:positionH>
                <wp:positionV relativeFrom="page">
                  <wp:align>bottom</wp:align>
                </wp:positionV>
                <wp:extent cx="3848100" cy="720090"/>
                <wp:effectExtent l="0" t="0" r="0" b="0"/>
                <wp:wrapNone/>
                <wp:docPr id="239" name="Text Box 239"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C27E8"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12F42" id="Text Box 239" o:spid="_x0000_s1148" type="#_x0000_t202" style="position:absolute;left:0;text-align:left;margin-left:0;margin-top:0;width:303pt;height:56.7pt;z-index:25165849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" filled="f" stroked="f" strokeweight=".5pt">
                <v:textbox inset="20mm">
                  <w:txbxContent>
                    <w:p w14:paraId="2B2C27E8" w14:textId="77777777" w:rsidR="00BE1D36" w:rsidRDefault="00BE1D36" w:rsidP="00BE1D36">
                      <w:pPr>
                        <w:pStyle w:val="xWebCoverPage"/>
                      </w:pPr>
                      <w:r>
                        <w:t>delwp.vic.gov.au</w:t>
                      </w:r>
                    </w:p>
                  </w:txbxContent>
                </v:textbox>
                <w10:wrap anchorx="page" anchory="page"/>
                <w10:anchorlock/>
              </v:shape>
            </w:pict>
          </mc:Fallback>
        </mc:AlternateContent>
      </w:r>
      <w:r>
        <w:rPr>
          <w:noProof/>
        </w:rPr>
        <mc:AlternateContent>
          <mc:Choice Requires="wps">
            <w:drawing>
              <wp:anchor distT="0" distB="0" distL="114300" distR="114300" simplePos="0" relativeHeight="251658498" behindDoc="1" locked="1" layoutInCell="1" allowOverlap="1" wp14:anchorId="04FEEF51" wp14:editId="2F187390">
                <wp:simplePos x="0" y="0"/>
                <wp:positionH relativeFrom="page">
                  <wp:posOffset>359410</wp:posOffset>
                </wp:positionH>
                <wp:positionV relativeFrom="page">
                  <wp:posOffset>9071610</wp:posOffset>
                </wp:positionV>
                <wp:extent cx="6840220" cy="431800"/>
                <wp:effectExtent l="0" t="0" r="0" b="0"/>
                <wp:wrapNone/>
                <wp:docPr id="241" name="Text Box 241"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41549"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EEF51" id="Text Box 241" o:spid="_x0000_s1149" type="#_x0000_t202" alt="Title: Decorative Cover Shape" style="position:absolute;left:0;text-align:left;margin-left:28.3pt;margin-top:714.3pt;width:538.6pt;height:34pt;z-index:-25165798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" fillcolor="#201547" stroked="f" strokeweight=".5pt">
                <v:textbox inset="10mm,0,10mm,0">
                  <w:txbxContent>
                    <w:p w14:paraId="22141549"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97" behindDoc="0" locked="1" layoutInCell="1" allowOverlap="1" wp14:anchorId="432F9EF6" wp14:editId="10E0936D">
                <wp:simplePos x="0" y="0"/>
                <wp:positionH relativeFrom="page">
                  <wp:posOffset>360045</wp:posOffset>
                </wp:positionH>
                <wp:positionV relativeFrom="page">
                  <wp:posOffset>360045</wp:posOffset>
                </wp:positionV>
                <wp:extent cx="1864995" cy="1976120"/>
                <wp:effectExtent l="0" t="0" r="0" b="0"/>
                <wp:wrapNone/>
                <wp:docPr id="242" name="Freeform: Shape 24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941EF2E" id="Freeform: Shape 242" o:spid="_x0000_s1026" style="position:absolute;margin-left:28.35pt;margin-top:28.35pt;width:146.85pt;height:155.6pt;z-index:25165849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496" behindDoc="0" locked="1" layoutInCell="1" allowOverlap="1" wp14:anchorId="14F22779" wp14:editId="6B5E96CD">
                <wp:simplePos x="0" y="0"/>
                <wp:positionH relativeFrom="page">
                  <wp:posOffset>359410</wp:posOffset>
                </wp:positionH>
                <wp:positionV relativeFrom="page">
                  <wp:posOffset>359410</wp:posOffset>
                </wp:positionV>
                <wp:extent cx="1864995" cy="1976120"/>
                <wp:effectExtent l="0" t="0" r="0" b="0"/>
                <wp:wrapNone/>
                <wp:docPr id="243" name="Freeform: Shape 24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E48B34" id="Freeform: Shape 243" o:spid="_x0000_s1026" style="position:absolute;margin-left:28.3pt;margin-top:28.3pt;width:146.85pt;height:155.6pt;z-index:2516584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495" behindDoc="0" locked="1" layoutInCell="1" allowOverlap="1" wp14:anchorId="28E11A36" wp14:editId="2B2FAE9F">
                <wp:simplePos x="0" y="0"/>
                <wp:positionH relativeFrom="page">
                  <wp:posOffset>0</wp:posOffset>
                </wp:positionH>
                <wp:positionV relativeFrom="page">
                  <wp:align>bottom</wp:align>
                </wp:positionV>
                <wp:extent cx="3848100" cy="720090"/>
                <wp:effectExtent l="0" t="0" r="0" b="0"/>
                <wp:wrapNone/>
                <wp:docPr id="244" name="Text Box 244"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FF977"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11A36" id="Text Box 244" o:spid="_x0000_s1150" type="#_x0000_t202" style="position:absolute;left:0;text-align:left;margin-left:0;margin-top:0;width:303pt;height:56.7pt;z-index:25165849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" filled="f" stroked="f" strokeweight=".5pt">
                <v:textbox inset="20mm">
                  <w:txbxContent>
                    <w:p w14:paraId="357FF977" w14:textId="77777777" w:rsidR="00BE1D36" w:rsidRDefault="00BE1D36" w:rsidP="00BE1D36">
                      <w:pPr>
                        <w:pStyle w:val="xWebCoverPage"/>
                      </w:pPr>
                      <w:r>
                        <w:t>delwp.vic.gov.au</w:t>
                      </w:r>
                    </w:p>
                  </w:txbxContent>
                </v:textbox>
                <w10:wrap anchorx="page" anchory="page"/>
                <w10:anchorlock/>
              </v:shape>
            </w:pict>
          </mc:Fallback>
        </mc:AlternateContent>
      </w:r>
      <w:r>
        <w:t>Fire</w:t>
      </w:r>
    </w:p>
    <w:p w14:paraId="5152A98B" w14:textId="77777777" w:rsidR="00BE1D36" w:rsidRDefault="00BE1D36" w:rsidP="007E5EBF">
      <w:pPr>
        <w:pStyle w:val="Heading5"/>
      </w:pPr>
      <w:r>
        <w:t>Increased fire frequency and intensity</w:t>
      </w:r>
    </w:p>
    <w:p w14:paraId="6B3F2B4F" w14:textId="73F3B2BF" w:rsidR="00BE1D36" w:rsidRDefault="00BE1D36" w:rsidP="00BE1D36">
      <w:pPr>
        <w:pStyle w:val="BodyText"/>
      </w:pPr>
      <w:r>
        <w:t xml:space="preserve">Bushfire at a frequency </w:t>
      </w:r>
      <w:r w:rsidR="00BC55C8">
        <w:t>below</w:t>
      </w:r>
      <w:r>
        <w:t xml:space="preserve"> the </w:t>
      </w:r>
      <w:r w:rsidR="001D3902">
        <w:t>species’</w:t>
      </w:r>
      <w:r>
        <w:t xml:space="preserve"> minimum tolerable fire interval would be seen as detrimental to the survival of the populations impacted, as they would not get to reproductive states of flowering and setting seed before a fire comes through, impacting recruitment. Droughts and more regular rainfall deficits make forest vegetation prone to higher fire frequency and intensity</w:t>
      </w:r>
      <w:r>
        <w:rPr>
          <w:rStyle w:val="BodyTextChar"/>
        </w:rPr>
        <w:t xml:space="preserve">. Frequent fires may interact with flooding on riparian sites with riverine shrubberies possibly exposed to erosion issues during post-fire conditions, especially in response to major drought-breaking rains. </w:t>
      </w:r>
      <w:r>
        <w:t xml:space="preserve">This hazard extends across 90% of the </w:t>
      </w:r>
      <w:r w:rsidR="001D3902">
        <w:t>species’</w:t>
      </w:r>
      <w:r>
        <w:t xml:space="preserve"> population. </w:t>
      </w:r>
    </w:p>
    <w:p w14:paraId="716D7287" w14:textId="77777777" w:rsidR="00BE1D36" w:rsidRDefault="00BE1D36" w:rsidP="00BE1D36">
      <w:pPr>
        <w:pStyle w:val="BodyText"/>
      </w:pPr>
      <w:r>
        <w:t>Current controls for this hazard include:</w:t>
      </w:r>
    </w:p>
    <w:p w14:paraId="0ECF9690" w14:textId="5619517A" w:rsidR="00BE1D36" w:rsidRDefault="00BE1D36" w:rsidP="006670D2">
      <w:pPr>
        <w:pStyle w:val="PullOutBoxBullet"/>
      </w:pPr>
      <w:r>
        <w:t>Planned burning. This control may be effective in reducing the risk of severe bushfires in this species’ habitat depending on the location of the burns and the time elapsed since their implementation. Strategic fuel</w:t>
      </w:r>
      <w:r w:rsidR="00DF761D">
        <w:t xml:space="preserve"> </w:t>
      </w:r>
      <w:r>
        <w:t>breaks and associated backburning may also provide valuable protection in some cases for this species and its habitat from severe bushfires.</w:t>
      </w:r>
    </w:p>
    <w:p w14:paraId="4CCFCCFB" w14:textId="107BBF04"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278</w:t>
      </w:r>
      <w:r w:rsidR="000B6788" w:rsidRPr="00B846FE">
        <w:rPr>
          <w:bCs/>
          <w:noProof/>
        </w:rPr>
        <w:fldChar w:fldCharType="end"/>
      </w:r>
      <w:r w:rsidRPr="00FF310C">
        <w:t>. Wallaby-bush protection requirements and recommendations for increased fire frequency and intensity</w:t>
      </w:r>
    </w:p>
    <w:tbl>
      <w:tblPr>
        <w:tblStyle w:val="TableGrid"/>
        <w:tblW w:w="0" w:type="auto"/>
        <w:tblLook w:val="04A0" w:firstRow="1" w:lastRow="0" w:firstColumn="1" w:lastColumn="0" w:noHBand="0" w:noVBand="1"/>
      </w:tblPr>
      <w:tblGrid>
        <w:gridCol w:w="2268"/>
        <w:gridCol w:w="7371"/>
      </w:tblGrid>
      <w:tr w:rsidR="00BE1D36" w14:paraId="62DDFC02"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AF79BA3"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681AAFFA"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5E8B87F3" w14:textId="77777777" w:rsidTr="00B45E4E">
        <w:tc>
          <w:tcPr>
            <w:tcW w:w="2268" w:type="dxa"/>
            <w:tcBorders>
              <w:top w:val="single" w:sz="8" w:space="0" w:color="CDDC29" w:themeColor="text2"/>
              <w:left w:val="nil"/>
              <w:bottom w:val="single" w:sz="8" w:space="0" w:color="CDDC29" w:themeColor="text2"/>
              <w:right w:val="nil"/>
            </w:tcBorders>
            <w:hideMark/>
          </w:tcPr>
          <w:p w14:paraId="7919D208" w14:textId="4A69287B" w:rsidR="00BE1D36" w:rsidRDefault="00586D26"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6E9B8007" w14:textId="72FEF74D" w:rsidR="00BE1D36" w:rsidRDefault="00623A33" w:rsidP="00B45E4E">
            <w:pPr>
              <w:pStyle w:val="BodyText"/>
            </w:pPr>
            <w:r w:rsidRPr="00C23B38">
              <w:t>May be required for this hazard</w:t>
            </w:r>
            <w:r>
              <w:t>. This will be addressed through the development of the action statement</w:t>
            </w:r>
            <w:r w:rsidRPr="00C23B38">
              <w:t>.</w:t>
            </w:r>
          </w:p>
        </w:tc>
      </w:tr>
      <w:tr w:rsidR="00BE1D36" w14:paraId="597B2F4C" w14:textId="77777777" w:rsidTr="00B45E4E">
        <w:tc>
          <w:tcPr>
            <w:tcW w:w="2268" w:type="dxa"/>
            <w:tcBorders>
              <w:top w:val="single" w:sz="8" w:space="0" w:color="CDDC29" w:themeColor="text2"/>
              <w:left w:val="nil"/>
              <w:bottom w:val="single" w:sz="8" w:space="0" w:color="CDDC29" w:themeColor="text2"/>
              <w:right w:val="nil"/>
            </w:tcBorders>
            <w:hideMark/>
          </w:tcPr>
          <w:p w14:paraId="30598838" w14:textId="55E337CF" w:rsidR="00BE1D36" w:rsidRDefault="00586D26"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75CBA32F" w14:textId="68FBFED8" w:rsidR="00BE1D36" w:rsidRDefault="00BE1D36" w:rsidP="006670D2">
            <w:pPr>
              <w:pStyle w:val="PullOutBoxBullet"/>
            </w:pPr>
            <w:r>
              <w:t xml:space="preserve">Collect seed for the </w:t>
            </w:r>
            <w:r w:rsidR="005902EF">
              <w:t>VCS</w:t>
            </w:r>
            <w:r>
              <w:t xml:space="preserve"> from across the </w:t>
            </w:r>
            <w:r w:rsidR="001D3902">
              <w:t>species’</w:t>
            </w:r>
            <w:r>
              <w:t xml:space="preserve"> range as insurance against catastrophic loss</w:t>
            </w:r>
            <w:r w:rsidR="00682BF1">
              <w:t>; and</w:t>
            </w:r>
          </w:p>
          <w:p w14:paraId="20402FEC" w14:textId="4099103C" w:rsidR="00BE1D36" w:rsidRDefault="00682BF1" w:rsidP="006670D2">
            <w:pPr>
              <w:pStyle w:val="PullOutBoxBullet"/>
            </w:pPr>
            <w:r>
              <w:t>E</w:t>
            </w:r>
            <w:r w:rsidR="00BE1D36">
              <w:t>nsure that important populations are mapped, recorded</w:t>
            </w:r>
            <w:r w:rsidR="00D825B0">
              <w:t>,</w:t>
            </w:r>
            <w:r w:rsidR="00BE1D36">
              <w:t xml:space="preserve"> and made available for fire management planning purposes</w:t>
            </w:r>
            <w:r w:rsidR="00F81F4A">
              <w:t>.</w:t>
            </w:r>
          </w:p>
        </w:tc>
      </w:tr>
    </w:tbl>
    <w:p w14:paraId="65D26A26" w14:textId="77777777" w:rsidR="00BE1D36" w:rsidRDefault="00BE1D36" w:rsidP="007E5EBF">
      <w:pPr>
        <w:pStyle w:val="Heading3"/>
      </w:pPr>
      <w:r>
        <w:t>Forestry operations</w:t>
      </w:r>
    </w:p>
    <w:p w14:paraId="543F1117" w14:textId="2EE53CCA" w:rsidR="00BE1D36" w:rsidRDefault="00731E61" w:rsidP="007E5EBF">
      <w:pPr>
        <w:pStyle w:val="Heading5"/>
      </w:pPr>
      <w:r>
        <w:t>F</w:t>
      </w:r>
      <w:r w:rsidR="00BE1D36">
        <w:t>orestry operations and regeneration burning</w:t>
      </w:r>
    </w:p>
    <w:p w14:paraId="127F7EAB" w14:textId="7777795D" w:rsidR="00BE1D36" w:rsidRPr="00B846FE" w:rsidRDefault="00BE1D36" w:rsidP="00BE1D36">
      <w:pPr>
        <w:pStyle w:val="BodyText"/>
      </w:pPr>
      <w:r>
        <w:t xml:space="preserve">Forestry operations can cause physical disturbance to the </w:t>
      </w:r>
      <w:r w:rsidR="001D3902">
        <w:t>species</w:t>
      </w:r>
      <w:r>
        <w:t xml:space="preserve">, resulting in direct mortality of individual plants where there is no SMZ in place. This has the potential to reduce the occurrences of viable populations. The </w:t>
      </w:r>
      <w:r w:rsidR="001D3902">
        <w:t>species</w:t>
      </w:r>
      <w:r>
        <w:t xml:space="preserve"> has been recorded in coupe surveys however is not a target for the </w:t>
      </w:r>
      <w:r w:rsidR="000E646C">
        <w:t>FPSP</w:t>
      </w:r>
      <w:r>
        <w:t xml:space="preserve"> due to the absence of a Code prescription. While it is known to be associated with streams or rocky habitat, it has been observed in other habitat types, therefore the lack of Code prescription puts it at risk in the short term. Regeneration burning post-harvesting, when possibly combined with bushfire, may lead to the minimum </w:t>
      </w:r>
      <w:r w:rsidR="00E57924">
        <w:t>tolerable fire interval</w:t>
      </w:r>
      <w:r w:rsidR="00E57924" w:rsidDel="00E57924">
        <w:t xml:space="preserve"> </w:t>
      </w:r>
      <w:r>
        <w:t xml:space="preserve">being exceeded. The </w:t>
      </w:r>
      <w:r w:rsidR="001D3902">
        <w:t>species</w:t>
      </w:r>
      <w:r>
        <w:t xml:space="preserve"> is highly likely to only regenerate from seed fall or soil-stored seed, so exposure to follow up fire may render the </w:t>
      </w:r>
      <w:r w:rsidR="001D3902">
        <w:t>species</w:t>
      </w:r>
      <w:r>
        <w:t xml:space="preserve"> locally extinct, as it would not have reached reproductive maturity. This is particularly the case post 2019-20 bushfires, where salvage harvesting may be occurring. The</w:t>
      </w:r>
      <w:r w:rsidR="00E57924" w:rsidRPr="00E57924">
        <w:t xml:space="preserve"> </w:t>
      </w:r>
      <w:r w:rsidR="00E57924">
        <w:t xml:space="preserve">tolerable fire interval </w:t>
      </w:r>
      <w:r>
        <w:t xml:space="preserve">may be exceeded due </w:t>
      </w:r>
      <w:r w:rsidR="00790D57">
        <w:t xml:space="preserve">to </w:t>
      </w:r>
      <w:r>
        <w:t xml:space="preserve">multiple disturbance events in quick succession - a </w:t>
      </w:r>
      <w:r w:rsidRPr="00D350A7">
        <w:t xml:space="preserve">significant risk that may reduce genetic diversity of value to the </w:t>
      </w:r>
      <w:r w:rsidR="001D3902">
        <w:t>species’</w:t>
      </w:r>
      <w:r w:rsidRPr="00D350A7">
        <w:t xml:space="preserve"> long-term conservation.</w:t>
      </w:r>
    </w:p>
    <w:p w14:paraId="04F8895B" w14:textId="6333BC40" w:rsidR="000175B7" w:rsidRPr="00D350A7" w:rsidRDefault="000175B7" w:rsidP="000175B7">
      <w:pPr>
        <w:pStyle w:val="BodyText"/>
      </w:pPr>
      <w:r w:rsidRPr="00FD57DB">
        <w:t xml:space="preserve">Based on the 2015 net harvest area layer, around 13% of the </w:t>
      </w:r>
      <w:r w:rsidR="001D3902">
        <w:t>species’</w:t>
      </w:r>
      <w:r w:rsidRPr="00FD57DB">
        <w:t xml:space="preserve"> modelled habitat and 9% of its important populations are available for timber harvesting. Using the revised operable area layer this is reduced to 6% of the </w:t>
      </w:r>
      <w:r w:rsidR="001D3902">
        <w:t>species’</w:t>
      </w:r>
      <w:r w:rsidRPr="00FD57DB">
        <w:t xml:space="preserve"> modelled habitat and 7% of important populations.</w:t>
      </w:r>
    </w:p>
    <w:p w14:paraId="50C6D126" w14:textId="77777777" w:rsidR="00BE1D36" w:rsidRPr="00291BDC" w:rsidRDefault="00BE1D36" w:rsidP="00BE1D36">
      <w:pPr>
        <w:pStyle w:val="BodyText"/>
      </w:pPr>
      <w:r w:rsidRPr="00B846FE">
        <w:t>Current controls for this hazard include:</w:t>
      </w:r>
    </w:p>
    <w:p w14:paraId="76528860" w14:textId="53308DC2" w:rsidR="00BE1D36" w:rsidRDefault="00BE1D36" w:rsidP="006670D2">
      <w:pPr>
        <w:pStyle w:val="PullOutBoxBullet"/>
      </w:pPr>
      <w:r>
        <w:t xml:space="preserve">The </w:t>
      </w:r>
      <w:r>
        <w:rPr>
          <w:i/>
          <w:iCs/>
        </w:rPr>
        <w:t>Code of Practice for Timber Production 2014.</w:t>
      </w:r>
      <w:r>
        <w:t xml:space="preserve"> This has been evaluated as satisfactory in the Gippsland RFA</w:t>
      </w:r>
      <w:r w:rsidR="009B3219">
        <w:t xml:space="preserve"> region</w:t>
      </w:r>
      <w:r>
        <w:t>, but as the prescriptions do not apply in the East Gippsland RFA</w:t>
      </w:r>
      <w:r w:rsidR="009B3219">
        <w:t xml:space="preserve"> region</w:t>
      </w:r>
      <w:r>
        <w:t xml:space="preserve">, it is evaluated as uncontrolled in East Gippsland. There is also limited monitoring to assess the effectiveness of an SMZ over verified populations. </w:t>
      </w:r>
    </w:p>
    <w:p w14:paraId="5746C874" w14:textId="2524F674" w:rsidR="00BE1D36" w:rsidRDefault="00BE1D36" w:rsidP="006670D2">
      <w:pPr>
        <w:pStyle w:val="PullOutBoxBullet"/>
        <w:rPr>
          <w:rFonts w:eastAsiaTheme="minorEastAsia" w:cstheme="minorBidi"/>
          <w:sz w:val="22"/>
          <w:szCs w:val="22"/>
        </w:rPr>
      </w:pPr>
      <w:r>
        <w:t xml:space="preserve">The CAR reserve system. </w:t>
      </w:r>
      <w:r w:rsidR="003809EB" w:rsidRPr="00CB51DA">
        <w:rPr>
          <w:rStyle w:val="normaltextrun"/>
        </w:rPr>
        <w:t>The effectiveness of this control for this species has been evaluated</w:t>
      </w:r>
      <w:r w:rsidR="003809EB">
        <w:t xml:space="preserve"> as </w:t>
      </w:r>
      <w:r>
        <w:t xml:space="preserve">satisfactory as 58% of the </w:t>
      </w:r>
      <w:r w:rsidR="001D3902">
        <w:t>species’</w:t>
      </w:r>
      <w:r>
        <w:t xml:space="preserve"> modelled distribution and 74% of important populations are within the reserve system.</w:t>
      </w:r>
    </w:p>
    <w:p w14:paraId="5184F477" w14:textId="7A7B6BB9"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279</w:t>
      </w:r>
      <w:r w:rsidR="000B6788" w:rsidRPr="00B846FE">
        <w:rPr>
          <w:bCs/>
          <w:noProof/>
        </w:rPr>
        <w:fldChar w:fldCharType="end"/>
      </w:r>
      <w:r w:rsidRPr="00FF310C">
        <w:t>. Wallaby-bush protection requirements and recommendations for forestry operations and regeneration burning</w:t>
      </w:r>
    </w:p>
    <w:tbl>
      <w:tblPr>
        <w:tblStyle w:val="TableGrid"/>
        <w:tblW w:w="0" w:type="auto"/>
        <w:tblLook w:val="04A0" w:firstRow="1" w:lastRow="0" w:firstColumn="1" w:lastColumn="0" w:noHBand="0" w:noVBand="1"/>
      </w:tblPr>
      <w:tblGrid>
        <w:gridCol w:w="2268"/>
        <w:gridCol w:w="7371"/>
      </w:tblGrid>
      <w:tr w:rsidR="00BE1D36" w14:paraId="4157B430"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74A34967"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3743DBE5"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44CAC873" w14:textId="77777777" w:rsidTr="00B45E4E">
        <w:tc>
          <w:tcPr>
            <w:tcW w:w="2268" w:type="dxa"/>
            <w:tcBorders>
              <w:top w:val="single" w:sz="8" w:space="0" w:color="CDDC29" w:themeColor="text2"/>
              <w:left w:val="nil"/>
              <w:bottom w:val="single" w:sz="8" w:space="0" w:color="CDDC29" w:themeColor="text2"/>
              <w:right w:val="nil"/>
            </w:tcBorders>
            <w:hideMark/>
          </w:tcPr>
          <w:p w14:paraId="5CA860AA" w14:textId="77777777" w:rsidR="00BE1D36" w:rsidRDefault="00BE1D36" w:rsidP="00B45E4E">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429141AF" w14:textId="438E3F2A" w:rsidR="00BE1D36" w:rsidRDefault="00BE1D36" w:rsidP="00B45E4E">
            <w:pPr>
              <w:pStyle w:val="BodyText"/>
            </w:pPr>
            <w:r>
              <w:rPr>
                <w:rFonts w:eastAsia="Calibri"/>
              </w:rPr>
              <w:t>Within the East Gippsland RFA</w:t>
            </w:r>
            <w:r w:rsidR="009B3219">
              <w:rPr>
                <w:rFonts w:eastAsia="Calibri"/>
              </w:rPr>
              <w:t xml:space="preserve"> region</w:t>
            </w:r>
            <w:r>
              <w:rPr>
                <w:rFonts w:eastAsia="Calibri"/>
              </w:rPr>
              <w:t>, the Secretary will establish Special Management Zone(s) over individual or collections of post-1970 VBA records (</w:t>
            </w:r>
            <w:r w:rsidR="0058098D">
              <w:rPr>
                <w:rFonts w:eastAsia="Calibri"/>
              </w:rPr>
              <w:t>records with an accuracy of 100 m or better</w:t>
            </w:r>
            <w:r>
              <w:rPr>
                <w:rFonts w:eastAsia="Calibri"/>
              </w:rPr>
              <w:t>) with the following conditions:</w:t>
            </w:r>
          </w:p>
          <w:p w14:paraId="5991ADF0" w14:textId="43F3EF4F" w:rsidR="00BE1D36" w:rsidRDefault="00BE1D36" w:rsidP="006670D2">
            <w:pPr>
              <w:pStyle w:val="PullOutBoxBullet"/>
            </w:pPr>
            <w:r>
              <w:t>The managing authority is required to apply a management area of 200 m radius over individual or collections of post-1970 VBA records (</w:t>
            </w:r>
            <w:r w:rsidR="0058098D">
              <w:t>records with an accuracy of 100 m or better</w:t>
            </w:r>
            <w:r>
              <w:t>). Conduct a site inspection and detailed planning in consultation with the Department to ensure the species is adequately protected during timber harvesting operations</w:t>
            </w:r>
            <w:r w:rsidR="00872AB5">
              <w:t xml:space="preserve"> (See Map 6a).</w:t>
            </w:r>
          </w:p>
        </w:tc>
      </w:tr>
      <w:tr w:rsidR="00586D26" w14:paraId="09C82C7D" w14:textId="77777777" w:rsidTr="00B45E4E">
        <w:tc>
          <w:tcPr>
            <w:tcW w:w="2268" w:type="dxa"/>
            <w:tcBorders>
              <w:top w:val="single" w:sz="8" w:space="0" w:color="CDDC29" w:themeColor="text2"/>
              <w:left w:val="nil"/>
              <w:bottom w:val="single" w:sz="8" w:space="0" w:color="CDDC29" w:themeColor="text2"/>
              <w:right w:val="nil"/>
            </w:tcBorders>
          </w:tcPr>
          <w:p w14:paraId="37DB0398" w14:textId="5F5F627E" w:rsidR="00586D26" w:rsidRDefault="00586D26"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2BFAD86A" w14:textId="77777777" w:rsidR="00454D5E" w:rsidRPr="00E31362" w:rsidRDefault="00454D5E" w:rsidP="006670D2">
            <w:pPr>
              <w:pStyle w:val="PullOutBoxBullet"/>
            </w:pPr>
            <w:r w:rsidRPr="00E31362">
              <w:t>Comprehensively search likely habitat and map important populations; and</w:t>
            </w:r>
          </w:p>
          <w:p w14:paraId="6825B61C" w14:textId="59710AD6" w:rsidR="00586D26" w:rsidRDefault="00454D5E" w:rsidP="006670D2">
            <w:pPr>
              <w:pStyle w:val="PullOutBoxBullet"/>
            </w:pPr>
            <w:r w:rsidRPr="00E31362">
              <w:t>Establish monitoring sites and collect baseline data.</w:t>
            </w:r>
          </w:p>
        </w:tc>
      </w:tr>
      <w:tr w:rsidR="00BE1D36" w14:paraId="35C43810" w14:textId="77777777" w:rsidTr="00B45E4E">
        <w:tc>
          <w:tcPr>
            <w:tcW w:w="2268" w:type="dxa"/>
            <w:tcBorders>
              <w:top w:val="single" w:sz="8" w:space="0" w:color="CDDC29" w:themeColor="text2"/>
              <w:left w:val="nil"/>
              <w:bottom w:val="single" w:sz="8" w:space="0" w:color="CDDC29" w:themeColor="text2"/>
              <w:right w:val="nil"/>
            </w:tcBorders>
            <w:hideMark/>
          </w:tcPr>
          <w:p w14:paraId="3278ABB6" w14:textId="77777777" w:rsidR="00BE1D36" w:rsidRDefault="00BE1D36" w:rsidP="00B45E4E">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5A6026FA" w14:textId="77777777" w:rsidR="00BE1D36" w:rsidRDefault="00BE1D36" w:rsidP="00B45E4E">
            <w:pPr>
              <w:pStyle w:val="BodyText"/>
            </w:pPr>
            <w:r>
              <w:t>Additional permanent protections may be required in the longer-term.</w:t>
            </w:r>
          </w:p>
        </w:tc>
      </w:tr>
      <w:tr w:rsidR="00BE1D36" w14:paraId="49B90CBF" w14:textId="77777777" w:rsidTr="00B45E4E">
        <w:tc>
          <w:tcPr>
            <w:tcW w:w="2268" w:type="dxa"/>
            <w:tcBorders>
              <w:top w:val="single" w:sz="8" w:space="0" w:color="CDDC29" w:themeColor="text2"/>
              <w:left w:val="nil"/>
              <w:bottom w:val="single" w:sz="8" w:space="0" w:color="CDDC29" w:themeColor="text2"/>
              <w:right w:val="nil"/>
            </w:tcBorders>
            <w:hideMark/>
          </w:tcPr>
          <w:p w14:paraId="43A77F3A" w14:textId="58457CF0" w:rsidR="00BE1D36" w:rsidRDefault="00895316"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0BC89D81" w14:textId="00B81ACF" w:rsidR="00BE1D36" w:rsidRDefault="00BE1D36" w:rsidP="006670D2">
            <w:pPr>
              <w:pStyle w:val="PullOutBoxBullet"/>
            </w:pPr>
            <w:r>
              <w:t>Monitor effectiveness of SMZs over verified populations in the Gippsland RFA</w:t>
            </w:r>
            <w:r w:rsidR="009B3219">
              <w:t xml:space="preserve"> region</w:t>
            </w:r>
            <w:r>
              <w:t xml:space="preserve">; </w:t>
            </w:r>
          </w:p>
          <w:p w14:paraId="2A4F11A4" w14:textId="6D991A9D" w:rsidR="00BE1D36" w:rsidRDefault="00682BF1" w:rsidP="006670D2">
            <w:pPr>
              <w:pStyle w:val="PullOutBoxBullet"/>
            </w:pPr>
            <w:r>
              <w:t>R</w:t>
            </w:r>
            <w:r w:rsidR="00BE1D36">
              <w:t xml:space="preserve">esearch the </w:t>
            </w:r>
            <w:r w:rsidR="001D3902">
              <w:t>species’</w:t>
            </w:r>
            <w:r w:rsidR="00BE1D36">
              <w:t xml:space="preserve"> response to </w:t>
            </w:r>
            <w:r w:rsidR="003B3D54">
              <w:t>timber harvesting</w:t>
            </w:r>
            <w:r w:rsidR="00BE1D36">
              <w:t xml:space="preserve"> disturbance to assess population change and recruitment processes; and</w:t>
            </w:r>
          </w:p>
          <w:p w14:paraId="366487C3" w14:textId="7E5AC968" w:rsidR="00BE1D36" w:rsidRDefault="00682BF1" w:rsidP="006670D2">
            <w:pPr>
              <w:pStyle w:val="PullOutBoxBullet"/>
            </w:pPr>
            <w:r>
              <w:t>E</w:t>
            </w:r>
            <w:r w:rsidR="00BE1D36">
              <w:t xml:space="preserve">stablish </w:t>
            </w:r>
            <w:r w:rsidR="00BE1D36">
              <w:rPr>
                <w:i/>
                <w:iCs/>
              </w:rPr>
              <w:t>ex-situ</w:t>
            </w:r>
            <w:r w:rsidR="00BE1D36">
              <w:rPr>
                <w:i/>
                <w:iCs/>
              </w:rPr>
              <w:softHyphen/>
              <w:t xml:space="preserve"> </w:t>
            </w:r>
            <w:r w:rsidR="00BE1D36">
              <w:t>seed</w:t>
            </w:r>
            <w:r w:rsidR="00BE1D36">
              <w:rPr>
                <w:i/>
                <w:iCs/>
              </w:rPr>
              <w:t xml:space="preserve"> </w:t>
            </w:r>
            <w:r w:rsidR="00BE1D36">
              <w:t xml:space="preserve">collections in the </w:t>
            </w:r>
            <w:r w:rsidR="005902EF">
              <w:t>VCS</w:t>
            </w:r>
            <w:r w:rsidR="00BE1D36">
              <w:t>.</w:t>
            </w:r>
          </w:p>
        </w:tc>
      </w:tr>
    </w:tbl>
    <w:p w14:paraId="5B2ACB1C" w14:textId="77777777" w:rsidR="00BE1D36" w:rsidRDefault="00BE1D36" w:rsidP="00BE1D36">
      <w:pPr>
        <w:rPr>
          <w:rFonts w:cs="Times New Roman"/>
          <w:lang w:eastAsia="en-US"/>
        </w:rPr>
      </w:pPr>
      <w:r>
        <w:rPr>
          <w:color w:val="auto"/>
        </w:rPr>
        <w:br w:type="page"/>
      </w:r>
    </w:p>
    <w:p w14:paraId="13BED534" w14:textId="3E5A2CA2" w:rsidR="00BE1D36" w:rsidRPr="007C6617" w:rsidRDefault="00BE1D36" w:rsidP="00171F18">
      <w:pPr>
        <w:pStyle w:val="Heading2"/>
        <w:ind w:left="0"/>
        <w:rPr>
          <w:i/>
          <w:iCs/>
        </w:rPr>
      </w:pPr>
      <w:bookmarkStart w:id="1269" w:name="_Toc113271081"/>
      <w:r w:rsidRPr="007C6617">
        <w:t>Wavy Swamp Wallaby-grass</w:t>
      </w:r>
      <w:r w:rsidRPr="00F67DF8">
        <w:rPr>
          <w:i/>
          <w:iCs/>
        </w:rPr>
        <w:t> (Amphibromus sinuatus)</w:t>
      </w:r>
      <w:bookmarkEnd w:id="1266"/>
      <w:bookmarkEnd w:id="1267"/>
      <w:bookmarkEnd w:id="1269"/>
      <w:r w:rsidRPr="00F67DF8">
        <w:rPr>
          <w:i/>
          <w:iCs/>
        </w:rPr>
        <w:t> </w:t>
      </w:r>
    </w:p>
    <w:p w14:paraId="1B05F22D" w14:textId="3FD710A9" w:rsidR="00BE1D36" w:rsidRDefault="00BE1D36" w:rsidP="00BE1D36">
      <w:pPr>
        <w:pStyle w:val="BodyText"/>
        <w:rPr>
          <w:rFonts w:ascii="Segoe UI" w:hAnsi="Segoe UI" w:cs="Segoe UI"/>
          <w:color w:val="363534"/>
        </w:rPr>
      </w:pPr>
      <w:r>
        <w:t xml:space="preserve">The Wavy Swamp Wallaby-grass was listed as Endangered in Victoria under the FFG Act in May 2021. The </w:t>
      </w:r>
      <w:r w:rsidR="001D3902">
        <w:t>species</w:t>
      </w:r>
      <w:r>
        <w:t xml:space="preserve"> has modelled habitat in the West (84% of modelled habitat), Gippsland (14% of modelled habitat), and Central Highlands (1% of modelled habitat) RFA regions, with 2% occurring in non-RFA regions.</w:t>
      </w:r>
      <w:r>
        <w:rPr>
          <w:rStyle w:val="BodyTextChar"/>
        </w:rPr>
        <w:t xml:space="preserve"> Permanent protections are recommended to address any hazards identified at a significant or high risk, and all</w:t>
      </w:r>
      <w:r>
        <w:t xml:space="preserve"> hazards rated a medium risk or higher will be considered in future management planning.</w:t>
      </w:r>
    </w:p>
    <w:p w14:paraId="4E286A5C" w14:textId="77777777" w:rsidR="00BE1D36" w:rsidRDefault="00BE1D36" w:rsidP="007E5EBF">
      <w:pPr>
        <w:pStyle w:val="Heading3"/>
      </w:pPr>
      <w:bookmarkStart w:id="1270" w:name="_Toc88725445"/>
      <w:bookmarkStart w:id="1271" w:name="_Toc88725446"/>
      <w:bookmarkStart w:id="1272" w:name="_Toc88725447"/>
      <w:bookmarkEnd w:id="1270"/>
      <w:bookmarkEnd w:id="1271"/>
      <w:r>
        <w:t>Risk Assessment</w:t>
      </w:r>
      <w:bookmarkEnd w:id="1272"/>
    </w:p>
    <w:p w14:paraId="7F85263B" w14:textId="2FAAABF7"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280</w:t>
      </w:r>
      <w:r w:rsidR="000B6788" w:rsidRPr="00B846FE">
        <w:rPr>
          <w:bCs/>
          <w:noProof/>
        </w:rPr>
        <w:fldChar w:fldCharType="end"/>
      </w:r>
      <w:r w:rsidRPr="00FF310C">
        <w:t>. Wavy Swamp Wallaby-grass risk ratings in the Gippsland, East Gippsland and West RFA regions:</w:t>
      </w:r>
    </w:p>
    <w:tbl>
      <w:tblPr>
        <w:tblStyle w:val="TableGrid"/>
        <w:tblW w:w="9498" w:type="dxa"/>
        <w:tblLook w:val="04A0" w:firstRow="1" w:lastRow="0" w:firstColumn="1" w:lastColumn="0" w:noHBand="0" w:noVBand="1"/>
      </w:tblPr>
      <w:tblGrid>
        <w:gridCol w:w="1899"/>
        <w:gridCol w:w="1900"/>
        <w:gridCol w:w="1899"/>
        <w:gridCol w:w="1900"/>
        <w:gridCol w:w="1900"/>
      </w:tblGrid>
      <w:tr w:rsidR="00BE1D36" w14:paraId="312488F3"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99" w:type="dxa"/>
            <w:tcBorders>
              <w:top w:val="single" w:sz="8" w:space="0" w:color="CDDC29" w:themeColor="text2"/>
              <w:left w:val="nil"/>
              <w:bottom w:val="single" w:sz="8" w:space="0" w:color="CDDC29" w:themeColor="text2"/>
              <w:right w:val="nil"/>
            </w:tcBorders>
            <w:vAlign w:val="center"/>
          </w:tcPr>
          <w:p w14:paraId="3218AB55" w14:textId="77777777" w:rsidR="00BE1D36" w:rsidRDefault="00BE1D36" w:rsidP="006670D2">
            <w:pPr>
              <w:pStyle w:val="CaptionImageorFigure"/>
            </w:pPr>
          </w:p>
        </w:tc>
        <w:tc>
          <w:tcPr>
            <w:tcW w:w="1900" w:type="dxa"/>
            <w:tcBorders>
              <w:top w:val="single" w:sz="8" w:space="0" w:color="CDDC29" w:themeColor="text2"/>
              <w:left w:val="nil"/>
              <w:bottom w:val="single" w:sz="8" w:space="0" w:color="CDDC29" w:themeColor="text2"/>
              <w:right w:val="nil"/>
            </w:tcBorders>
            <w:vAlign w:val="center"/>
            <w:hideMark/>
          </w:tcPr>
          <w:p w14:paraId="7771A621"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w:t>
            </w:r>
          </w:p>
        </w:tc>
        <w:tc>
          <w:tcPr>
            <w:tcW w:w="1899" w:type="dxa"/>
            <w:tcBorders>
              <w:top w:val="single" w:sz="8" w:space="0" w:color="CDDC29" w:themeColor="text2"/>
              <w:left w:val="nil"/>
              <w:bottom w:val="single" w:sz="8" w:space="0" w:color="CDDC29" w:themeColor="text2"/>
              <w:right w:val="nil"/>
            </w:tcBorders>
            <w:vAlign w:val="center"/>
            <w:hideMark/>
          </w:tcPr>
          <w:p w14:paraId="5DFF406A"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c>
          <w:tcPr>
            <w:tcW w:w="1900" w:type="dxa"/>
            <w:tcBorders>
              <w:top w:val="single" w:sz="8" w:space="0" w:color="CDDC29" w:themeColor="text2"/>
              <w:left w:val="nil"/>
              <w:bottom w:val="single" w:sz="8" w:space="0" w:color="CDDC29" w:themeColor="text2"/>
              <w:right w:val="nil"/>
            </w:tcBorders>
            <w:vAlign w:val="center"/>
            <w:hideMark/>
          </w:tcPr>
          <w:p w14:paraId="2457093D"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Agriculture</w:t>
            </w:r>
          </w:p>
        </w:tc>
        <w:tc>
          <w:tcPr>
            <w:tcW w:w="1900" w:type="dxa"/>
            <w:tcBorders>
              <w:top w:val="single" w:sz="8" w:space="0" w:color="CDDC29" w:themeColor="text2"/>
              <w:left w:val="nil"/>
              <w:bottom w:val="single" w:sz="8" w:space="0" w:color="CDDC29" w:themeColor="text2"/>
              <w:right w:val="nil"/>
            </w:tcBorders>
            <w:vAlign w:val="center"/>
            <w:hideMark/>
          </w:tcPr>
          <w:p w14:paraId="3A0A1DC3"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plant (weeds)</w:t>
            </w:r>
          </w:p>
        </w:tc>
      </w:tr>
      <w:tr w:rsidR="00BE1D36" w14:paraId="0E05F5A0" w14:textId="77777777" w:rsidTr="00BE1D36">
        <w:tc>
          <w:tcPr>
            <w:tcW w:w="1899" w:type="dxa"/>
            <w:tcBorders>
              <w:top w:val="single" w:sz="8" w:space="0" w:color="CDDC29" w:themeColor="text2"/>
              <w:left w:val="nil"/>
              <w:bottom w:val="single" w:sz="8" w:space="0" w:color="CDDC29" w:themeColor="text2"/>
              <w:right w:val="nil"/>
            </w:tcBorders>
            <w:vAlign w:val="center"/>
            <w:hideMark/>
          </w:tcPr>
          <w:p w14:paraId="61A69436" w14:textId="77777777" w:rsidR="00BE1D36" w:rsidRDefault="00BE1D36" w:rsidP="00682BF1">
            <w:pPr>
              <w:pStyle w:val="BodyText"/>
              <w:jc w:val="center"/>
            </w:pPr>
            <w:r>
              <w:t>Consequence</w:t>
            </w:r>
          </w:p>
        </w:tc>
        <w:tc>
          <w:tcPr>
            <w:tcW w:w="1900" w:type="dxa"/>
            <w:tcBorders>
              <w:top w:val="single" w:sz="8" w:space="0" w:color="CDDC29" w:themeColor="text2"/>
              <w:left w:val="nil"/>
              <w:bottom w:val="single" w:sz="8" w:space="0" w:color="CDDC29" w:themeColor="text2"/>
              <w:right w:val="nil"/>
            </w:tcBorders>
            <w:vAlign w:val="center"/>
            <w:hideMark/>
          </w:tcPr>
          <w:p w14:paraId="4E90D5D3" w14:textId="77777777" w:rsidR="00BE1D36" w:rsidRDefault="00BE1D36" w:rsidP="00682BF1">
            <w:pPr>
              <w:pStyle w:val="BodyText"/>
              <w:jc w:val="center"/>
            </w:pPr>
            <w:r>
              <w:t>Major</w:t>
            </w:r>
          </w:p>
        </w:tc>
        <w:tc>
          <w:tcPr>
            <w:tcW w:w="1899" w:type="dxa"/>
            <w:tcBorders>
              <w:top w:val="single" w:sz="8" w:space="0" w:color="CDDC29" w:themeColor="text2"/>
              <w:left w:val="nil"/>
              <w:bottom w:val="single" w:sz="8" w:space="0" w:color="CDDC29" w:themeColor="text2"/>
              <w:right w:val="nil"/>
            </w:tcBorders>
            <w:vAlign w:val="center"/>
            <w:hideMark/>
          </w:tcPr>
          <w:p w14:paraId="2567E34F" w14:textId="77777777" w:rsidR="00BE1D36" w:rsidRDefault="00BE1D36" w:rsidP="00682BF1">
            <w:pPr>
              <w:pStyle w:val="BodyText"/>
              <w:jc w:val="center"/>
            </w:pPr>
            <w:r>
              <w:t>Moderate</w:t>
            </w:r>
          </w:p>
        </w:tc>
        <w:tc>
          <w:tcPr>
            <w:tcW w:w="1900" w:type="dxa"/>
            <w:tcBorders>
              <w:top w:val="single" w:sz="8" w:space="0" w:color="CDDC29" w:themeColor="text2"/>
              <w:left w:val="nil"/>
              <w:bottom w:val="single" w:sz="8" w:space="0" w:color="CDDC29" w:themeColor="text2"/>
              <w:right w:val="nil"/>
            </w:tcBorders>
            <w:vAlign w:val="center"/>
            <w:hideMark/>
          </w:tcPr>
          <w:p w14:paraId="1D881782" w14:textId="77777777" w:rsidR="00BE1D36" w:rsidRDefault="00BE1D36" w:rsidP="00682BF1">
            <w:pPr>
              <w:pStyle w:val="BodyText"/>
              <w:jc w:val="center"/>
            </w:pPr>
            <w:r>
              <w:t>Moderate</w:t>
            </w:r>
          </w:p>
        </w:tc>
        <w:tc>
          <w:tcPr>
            <w:tcW w:w="1900" w:type="dxa"/>
            <w:tcBorders>
              <w:top w:val="single" w:sz="8" w:space="0" w:color="CDDC29" w:themeColor="text2"/>
              <w:left w:val="nil"/>
              <w:bottom w:val="single" w:sz="8" w:space="0" w:color="CDDC29" w:themeColor="text2"/>
              <w:right w:val="nil"/>
            </w:tcBorders>
            <w:vAlign w:val="center"/>
            <w:hideMark/>
          </w:tcPr>
          <w:p w14:paraId="08FA867C" w14:textId="77777777" w:rsidR="00BE1D36" w:rsidRDefault="00BE1D36" w:rsidP="00682BF1">
            <w:pPr>
              <w:pStyle w:val="BodyText"/>
              <w:jc w:val="center"/>
            </w:pPr>
            <w:r>
              <w:t>Moderate</w:t>
            </w:r>
          </w:p>
        </w:tc>
      </w:tr>
      <w:tr w:rsidR="00BE1D36" w14:paraId="7959F97A" w14:textId="77777777" w:rsidTr="00BE1D36">
        <w:tc>
          <w:tcPr>
            <w:tcW w:w="1899" w:type="dxa"/>
            <w:tcBorders>
              <w:top w:val="single" w:sz="8" w:space="0" w:color="CDDC29" w:themeColor="text2"/>
              <w:left w:val="nil"/>
              <w:bottom w:val="single" w:sz="8" w:space="0" w:color="CDDC29" w:themeColor="text2"/>
              <w:right w:val="nil"/>
            </w:tcBorders>
            <w:vAlign w:val="center"/>
            <w:hideMark/>
          </w:tcPr>
          <w:p w14:paraId="15ACC5E8" w14:textId="77777777" w:rsidR="00BE1D36" w:rsidRDefault="00BE1D36" w:rsidP="00682BF1">
            <w:pPr>
              <w:pStyle w:val="BodyText"/>
              <w:jc w:val="center"/>
            </w:pPr>
            <w:r>
              <w:t>Likelihood</w:t>
            </w:r>
          </w:p>
        </w:tc>
        <w:tc>
          <w:tcPr>
            <w:tcW w:w="1900" w:type="dxa"/>
            <w:tcBorders>
              <w:top w:val="single" w:sz="8" w:space="0" w:color="CDDC29" w:themeColor="text2"/>
              <w:left w:val="nil"/>
              <w:bottom w:val="single" w:sz="8" w:space="0" w:color="CDDC29" w:themeColor="text2"/>
              <w:right w:val="nil"/>
            </w:tcBorders>
            <w:vAlign w:val="center"/>
            <w:hideMark/>
          </w:tcPr>
          <w:p w14:paraId="20311366" w14:textId="77777777" w:rsidR="00BE1D36" w:rsidRDefault="00BE1D36" w:rsidP="00682BF1">
            <w:pPr>
              <w:pStyle w:val="BodyText"/>
              <w:jc w:val="center"/>
            </w:pPr>
            <w:r>
              <w:t>Likely</w:t>
            </w:r>
          </w:p>
        </w:tc>
        <w:tc>
          <w:tcPr>
            <w:tcW w:w="1899" w:type="dxa"/>
            <w:tcBorders>
              <w:top w:val="single" w:sz="8" w:space="0" w:color="CDDC29" w:themeColor="text2"/>
              <w:left w:val="nil"/>
              <w:bottom w:val="single" w:sz="8" w:space="0" w:color="CDDC29" w:themeColor="text2"/>
              <w:right w:val="nil"/>
            </w:tcBorders>
            <w:vAlign w:val="center"/>
            <w:hideMark/>
          </w:tcPr>
          <w:p w14:paraId="15C1F9C9" w14:textId="77777777" w:rsidR="00BE1D36" w:rsidRDefault="00BE1D36" w:rsidP="00682BF1">
            <w:pPr>
              <w:pStyle w:val="BodyText"/>
              <w:jc w:val="center"/>
            </w:pPr>
            <w:r>
              <w:t>Possible</w:t>
            </w:r>
          </w:p>
        </w:tc>
        <w:tc>
          <w:tcPr>
            <w:tcW w:w="1900" w:type="dxa"/>
            <w:tcBorders>
              <w:top w:val="single" w:sz="8" w:space="0" w:color="CDDC29" w:themeColor="text2"/>
              <w:left w:val="nil"/>
              <w:bottom w:val="single" w:sz="8" w:space="0" w:color="CDDC29" w:themeColor="text2"/>
              <w:right w:val="nil"/>
            </w:tcBorders>
            <w:vAlign w:val="center"/>
            <w:hideMark/>
          </w:tcPr>
          <w:p w14:paraId="4D9863AB" w14:textId="77777777" w:rsidR="00BE1D36" w:rsidRDefault="00BE1D36" w:rsidP="00682BF1">
            <w:pPr>
              <w:pStyle w:val="BodyText"/>
              <w:jc w:val="center"/>
            </w:pPr>
            <w:r>
              <w:t>Likely</w:t>
            </w:r>
          </w:p>
        </w:tc>
        <w:tc>
          <w:tcPr>
            <w:tcW w:w="1900" w:type="dxa"/>
            <w:tcBorders>
              <w:top w:val="single" w:sz="8" w:space="0" w:color="CDDC29" w:themeColor="text2"/>
              <w:left w:val="nil"/>
              <w:bottom w:val="single" w:sz="8" w:space="0" w:color="CDDC29" w:themeColor="text2"/>
              <w:right w:val="nil"/>
            </w:tcBorders>
            <w:vAlign w:val="center"/>
            <w:hideMark/>
          </w:tcPr>
          <w:p w14:paraId="6A34742E" w14:textId="77777777" w:rsidR="00BE1D36" w:rsidRDefault="00BE1D36" w:rsidP="00682BF1">
            <w:pPr>
              <w:pStyle w:val="BodyText"/>
              <w:jc w:val="center"/>
            </w:pPr>
            <w:r>
              <w:t>Likely</w:t>
            </w:r>
          </w:p>
        </w:tc>
      </w:tr>
      <w:tr w:rsidR="00BE1D36" w14:paraId="3BBB6748" w14:textId="77777777" w:rsidTr="00BE1D36">
        <w:tc>
          <w:tcPr>
            <w:tcW w:w="1899" w:type="dxa"/>
            <w:tcBorders>
              <w:top w:val="single" w:sz="8" w:space="0" w:color="CDDC29" w:themeColor="text2"/>
              <w:left w:val="nil"/>
              <w:bottom w:val="single" w:sz="8" w:space="0" w:color="CDDC29" w:themeColor="text2"/>
              <w:right w:val="nil"/>
            </w:tcBorders>
            <w:vAlign w:val="center"/>
            <w:hideMark/>
          </w:tcPr>
          <w:p w14:paraId="0BC4A553" w14:textId="77777777" w:rsidR="00BE1D36" w:rsidRDefault="00BE1D36" w:rsidP="00682BF1">
            <w:pPr>
              <w:pStyle w:val="BodyText"/>
              <w:jc w:val="center"/>
            </w:pPr>
            <w:r>
              <w:t>Overall risk rating</w:t>
            </w:r>
          </w:p>
        </w:tc>
        <w:tc>
          <w:tcPr>
            <w:tcW w:w="1900" w:type="dxa"/>
            <w:tcBorders>
              <w:top w:val="single" w:sz="8" w:space="0" w:color="CDDC29" w:themeColor="text2"/>
              <w:left w:val="nil"/>
              <w:bottom w:val="single" w:sz="8" w:space="0" w:color="CDDC29" w:themeColor="text2"/>
              <w:right w:val="nil"/>
            </w:tcBorders>
            <w:shd w:val="clear" w:color="auto" w:fill="FF0000"/>
            <w:vAlign w:val="center"/>
            <w:hideMark/>
          </w:tcPr>
          <w:p w14:paraId="12071920" w14:textId="77777777" w:rsidR="00BE1D36" w:rsidRDefault="00BE1D36" w:rsidP="00682BF1">
            <w:pPr>
              <w:pStyle w:val="BodyText"/>
              <w:jc w:val="center"/>
            </w:pPr>
            <w:r>
              <w:t>High</w:t>
            </w:r>
          </w:p>
        </w:tc>
        <w:tc>
          <w:tcPr>
            <w:tcW w:w="1899" w:type="dxa"/>
            <w:tcBorders>
              <w:top w:val="single" w:sz="8" w:space="0" w:color="CDDC29" w:themeColor="text2"/>
              <w:left w:val="nil"/>
              <w:bottom w:val="single" w:sz="8" w:space="0" w:color="CDDC29" w:themeColor="text2"/>
              <w:right w:val="nil"/>
            </w:tcBorders>
            <w:shd w:val="clear" w:color="auto" w:fill="FFFF00"/>
            <w:vAlign w:val="center"/>
            <w:hideMark/>
          </w:tcPr>
          <w:p w14:paraId="355BAE67" w14:textId="77777777" w:rsidR="00BE1D36" w:rsidRDefault="00BE1D36" w:rsidP="00682BF1">
            <w:pPr>
              <w:pStyle w:val="BodyText"/>
              <w:jc w:val="center"/>
            </w:pPr>
            <w:r>
              <w:t>Medium</w:t>
            </w:r>
          </w:p>
        </w:tc>
        <w:tc>
          <w:tcPr>
            <w:tcW w:w="1900" w:type="dxa"/>
            <w:tcBorders>
              <w:top w:val="single" w:sz="8" w:space="0" w:color="CDDC29" w:themeColor="text2"/>
              <w:left w:val="nil"/>
              <w:bottom w:val="single" w:sz="8" w:space="0" w:color="CDDC29" w:themeColor="text2"/>
              <w:right w:val="nil"/>
            </w:tcBorders>
            <w:shd w:val="clear" w:color="auto" w:fill="FFC000"/>
            <w:vAlign w:val="center"/>
            <w:hideMark/>
          </w:tcPr>
          <w:p w14:paraId="193E6DBA" w14:textId="77777777" w:rsidR="00BE1D36" w:rsidRDefault="00BE1D36" w:rsidP="00682BF1">
            <w:pPr>
              <w:pStyle w:val="BodyText"/>
              <w:jc w:val="center"/>
            </w:pPr>
            <w:r>
              <w:t>Significant</w:t>
            </w:r>
          </w:p>
        </w:tc>
        <w:tc>
          <w:tcPr>
            <w:tcW w:w="1900" w:type="dxa"/>
            <w:tcBorders>
              <w:top w:val="single" w:sz="8" w:space="0" w:color="CDDC29" w:themeColor="text2"/>
              <w:left w:val="nil"/>
              <w:bottom w:val="single" w:sz="8" w:space="0" w:color="CDDC29" w:themeColor="text2"/>
              <w:right w:val="nil"/>
            </w:tcBorders>
            <w:shd w:val="clear" w:color="auto" w:fill="FFC000"/>
            <w:vAlign w:val="center"/>
            <w:hideMark/>
          </w:tcPr>
          <w:p w14:paraId="0B0436EA" w14:textId="77777777" w:rsidR="00BE1D36" w:rsidRDefault="00BE1D36" w:rsidP="00682BF1">
            <w:pPr>
              <w:pStyle w:val="BodyText"/>
              <w:jc w:val="center"/>
            </w:pPr>
            <w:r>
              <w:t>Significant</w:t>
            </w:r>
          </w:p>
        </w:tc>
      </w:tr>
    </w:tbl>
    <w:p w14:paraId="1F75F872" w14:textId="7574E6ED"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281</w:t>
      </w:r>
      <w:r w:rsidR="000B6788" w:rsidRPr="00B846FE">
        <w:rPr>
          <w:bCs/>
          <w:noProof/>
        </w:rPr>
        <w:fldChar w:fldCharType="end"/>
      </w:r>
      <w:r w:rsidRPr="00FF310C">
        <w:t>. Wavy Swamp Wallaby-grass risk ratings in the West RFA region only:</w:t>
      </w:r>
    </w:p>
    <w:tbl>
      <w:tblPr>
        <w:tblStyle w:val="TableGrid"/>
        <w:tblW w:w="5670" w:type="dxa"/>
        <w:tblLook w:val="04A0" w:firstRow="1" w:lastRow="0" w:firstColumn="1" w:lastColumn="0" w:noHBand="0" w:noVBand="1"/>
      </w:tblPr>
      <w:tblGrid>
        <w:gridCol w:w="1890"/>
        <w:gridCol w:w="1890"/>
        <w:gridCol w:w="1890"/>
      </w:tblGrid>
      <w:tr w:rsidR="00BE1D36" w14:paraId="4C01EBD0"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90" w:type="dxa"/>
            <w:tcBorders>
              <w:top w:val="single" w:sz="8" w:space="0" w:color="CDDC29" w:themeColor="text2"/>
              <w:left w:val="nil"/>
              <w:bottom w:val="single" w:sz="8" w:space="0" w:color="CDDC29" w:themeColor="text2"/>
              <w:right w:val="nil"/>
            </w:tcBorders>
            <w:vAlign w:val="center"/>
          </w:tcPr>
          <w:p w14:paraId="0BC8E53D" w14:textId="77777777" w:rsidR="00BE1D36" w:rsidRDefault="00BE1D36" w:rsidP="006670D2">
            <w:pPr>
              <w:pStyle w:val="CaptionImageorFigure"/>
            </w:pPr>
          </w:p>
        </w:tc>
        <w:tc>
          <w:tcPr>
            <w:tcW w:w="1890" w:type="dxa"/>
            <w:tcBorders>
              <w:top w:val="single" w:sz="8" w:space="0" w:color="CDDC29" w:themeColor="text2"/>
              <w:left w:val="nil"/>
              <w:bottom w:val="single" w:sz="8" w:space="0" w:color="CDDC29" w:themeColor="text2"/>
              <w:right w:val="nil"/>
            </w:tcBorders>
            <w:vAlign w:val="center"/>
            <w:hideMark/>
          </w:tcPr>
          <w:p w14:paraId="350F1500"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Loss of wetlands</w:t>
            </w:r>
          </w:p>
        </w:tc>
        <w:tc>
          <w:tcPr>
            <w:tcW w:w="1890" w:type="dxa"/>
            <w:tcBorders>
              <w:top w:val="single" w:sz="8" w:space="0" w:color="CDDC29" w:themeColor="text2"/>
              <w:left w:val="nil"/>
              <w:bottom w:val="single" w:sz="8" w:space="0" w:color="CDDC29" w:themeColor="text2"/>
              <w:right w:val="nil"/>
            </w:tcBorders>
            <w:vAlign w:val="center"/>
            <w:hideMark/>
          </w:tcPr>
          <w:p w14:paraId="1EA5718D"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(pigs)</w:t>
            </w:r>
          </w:p>
        </w:tc>
      </w:tr>
      <w:tr w:rsidR="00BE1D36" w14:paraId="465E3543" w14:textId="77777777" w:rsidTr="00BE1D36">
        <w:tc>
          <w:tcPr>
            <w:tcW w:w="1890" w:type="dxa"/>
            <w:tcBorders>
              <w:top w:val="single" w:sz="8" w:space="0" w:color="CDDC29" w:themeColor="text2"/>
              <w:left w:val="nil"/>
              <w:bottom w:val="single" w:sz="8" w:space="0" w:color="CDDC29" w:themeColor="text2"/>
              <w:right w:val="nil"/>
            </w:tcBorders>
            <w:vAlign w:val="center"/>
            <w:hideMark/>
          </w:tcPr>
          <w:p w14:paraId="00C0703F" w14:textId="77777777" w:rsidR="00BE1D36" w:rsidRDefault="00BE1D36" w:rsidP="00682BF1">
            <w:pPr>
              <w:pStyle w:val="BodyText"/>
              <w:jc w:val="center"/>
            </w:pPr>
            <w:r>
              <w:t>Consequence</w:t>
            </w:r>
          </w:p>
        </w:tc>
        <w:tc>
          <w:tcPr>
            <w:tcW w:w="1890" w:type="dxa"/>
            <w:tcBorders>
              <w:top w:val="single" w:sz="8" w:space="0" w:color="CDDC29" w:themeColor="text2"/>
              <w:left w:val="nil"/>
              <w:bottom w:val="single" w:sz="8" w:space="0" w:color="CDDC29" w:themeColor="text2"/>
              <w:right w:val="nil"/>
            </w:tcBorders>
            <w:vAlign w:val="center"/>
            <w:hideMark/>
          </w:tcPr>
          <w:p w14:paraId="719EC0A7" w14:textId="77777777" w:rsidR="00BE1D36" w:rsidRDefault="00BE1D36" w:rsidP="00682BF1">
            <w:pPr>
              <w:pStyle w:val="BodyText"/>
              <w:jc w:val="center"/>
            </w:pPr>
            <w:r>
              <w:t>Minor</w:t>
            </w:r>
          </w:p>
        </w:tc>
        <w:tc>
          <w:tcPr>
            <w:tcW w:w="1890" w:type="dxa"/>
            <w:tcBorders>
              <w:top w:val="single" w:sz="8" w:space="0" w:color="CDDC29" w:themeColor="text2"/>
              <w:left w:val="nil"/>
              <w:bottom w:val="single" w:sz="8" w:space="0" w:color="CDDC29" w:themeColor="text2"/>
              <w:right w:val="nil"/>
            </w:tcBorders>
            <w:vAlign w:val="center"/>
            <w:hideMark/>
          </w:tcPr>
          <w:p w14:paraId="7251C778" w14:textId="77777777" w:rsidR="00BE1D36" w:rsidRDefault="00BE1D36" w:rsidP="00682BF1">
            <w:pPr>
              <w:pStyle w:val="BodyText"/>
              <w:jc w:val="center"/>
            </w:pPr>
            <w:r>
              <w:t>Major</w:t>
            </w:r>
          </w:p>
        </w:tc>
      </w:tr>
      <w:tr w:rsidR="00BE1D36" w14:paraId="558FA31A" w14:textId="77777777" w:rsidTr="00BE1D36">
        <w:tc>
          <w:tcPr>
            <w:tcW w:w="1890" w:type="dxa"/>
            <w:tcBorders>
              <w:top w:val="single" w:sz="8" w:space="0" w:color="CDDC29" w:themeColor="text2"/>
              <w:left w:val="nil"/>
              <w:bottom w:val="single" w:sz="8" w:space="0" w:color="CDDC29" w:themeColor="text2"/>
              <w:right w:val="nil"/>
            </w:tcBorders>
            <w:vAlign w:val="center"/>
            <w:hideMark/>
          </w:tcPr>
          <w:p w14:paraId="272E301F" w14:textId="77777777" w:rsidR="00BE1D36" w:rsidRDefault="00BE1D36" w:rsidP="00682BF1">
            <w:pPr>
              <w:pStyle w:val="BodyText"/>
              <w:jc w:val="center"/>
            </w:pPr>
            <w:r>
              <w:t>Likelihood</w:t>
            </w:r>
          </w:p>
        </w:tc>
        <w:tc>
          <w:tcPr>
            <w:tcW w:w="1890" w:type="dxa"/>
            <w:tcBorders>
              <w:top w:val="single" w:sz="8" w:space="0" w:color="CDDC29" w:themeColor="text2"/>
              <w:left w:val="nil"/>
              <w:bottom w:val="single" w:sz="8" w:space="0" w:color="CDDC29" w:themeColor="text2"/>
              <w:right w:val="nil"/>
            </w:tcBorders>
            <w:vAlign w:val="center"/>
            <w:hideMark/>
          </w:tcPr>
          <w:p w14:paraId="31F8D481" w14:textId="77777777" w:rsidR="00BE1D36" w:rsidRDefault="00BE1D36" w:rsidP="00682BF1">
            <w:pPr>
              <w:pStyle w:val="BodyText"/>
              <w:jc w:val="center"/>
            </w:pPr>
            <w:r>
              <w:t>Possible</w:t>
            </w:r>
          </w:p>
        </w:tc>
        <w:tc>
          <w:tcPr>
            <w:tcW w:w="1890" w:type="dxa"/>
            <w:tcBorders>
              <w:top w:val="single" w:sz="8" w:space="0" w:color="CDDC29" w:themeColor="text2"/>
              <w:left w:val="nil"/>
              <w:bottom w:val="single" w:sz="8" w:space="0" w:color="CDDC29" w:themeColor="text2"/>
              <w:right w:val="nil"/>
            </w:tcBorders>
            <w:vAlign w:val="center"/>
            <w:hideMark/>
          </w:tcPr>
          <w:p w14:paraId="31FD1807" w14:textId="77777777" w:rsidR="00BE1D36" w:rsidRDefault="00BE1D36" w:rsidP="00682BF1">
            <w:pPr>
              <w:pStyle w:val="BodyText"/>
              <w:jc w:val="center"/>
            </w:pPr>
            <w:r>
              <w:t>Likely</w:t>
            </w:r>
          </w:p>
        </w:tc>
      </w:tr>
      <w:tr w:rsidR="00BE1D36" w14:paraId="122321F5" w14:textId="77777777" w:rsidTr="00BE1D36">
        <w:tc>
          <w:tcPr>
            <w:tcW w:w="1890" w:type="dxa"/>
            <w:tcBorders>
              <w:top w:val="single" w:sz="8" w:space="0" w:color="CDDC29" w:themeColor="text2"/>
              <w:left w:val="nil"/>
              <w:bottom w:val="single" w:sz="8" w:space="0" w:color="CDDC29" w:themeColor="text2"/>
              <w:right w:val="nil"/>
            </w:tcBorders>
            <w:vAlign w:val="center"/>
            <w:hideMark/>
          </w:tcPr>
          <w:p w14:paraId="0270FF21" w14:textId="77777777" w:rsidR="00BE1D36" w:rsidRDefault="00BE1D36" w:rsidP="00682BF1">
            <w:pPr>
              <w:pStyle w:val="BodyText"/>
              <w:jc w:val="center"/>
            </w:pPr>
            <w:r>
              <w:t>Overall risk rating</w:t>
            </w:r>
          </w:p>
        </w:tc>
        <w:tc>
          <w:tcPr>
            <w:tcW w:w="1890" w:type="dxa"/>
            <w:tcBorders>
              <w:top w:val="single" w:sz="8" w:space="0" w:color="CDDC29" w:themeColor="text2"/>
              <w:left w:val="nil"/>
              <w:bottom w:val="single" w:sz="8" w:space="0" w:color="CDDC29" w:themeColor="text2"/>
              <w:right w:val="nil"/>
            </w:tcBorders>
            <w:shd w:val="clear" w:color="auto" w:fill="FFFF00"/>
            <w:vAlign w:val="center"/>
            <w:hideMark/>
          </w:tcPr>
          <w:p w14:paraId="43F850EE" w14:textId="77777777" w:rsidR="00BE1D36" w:rsidRDefault="00BE1D36" w:rsidP="00682BF1">
            <w:pPr>
              <w:pStyle w:val="BodyText"/>
              <w:jc w:val="center"/>
            </w:pPr>
            <w:r>
              <w:t>Medium</w:t>
            </w:r>
          </w:p>
        </w:tc>
        <w:tc>
          <w:tcPr>
            <w:tcW w:w="1890" w:type="dxa"/>
            <w:tcBorders>
              <w:top w:val="single" w:sz="8" w:space="0" w:color="CDDC29" w:themeColor="text2"/>
              <w:left w:val="nil"/>
              <w:bottom w:val="single" w:sz="8" w:space="0" w:color="CDDC29" w:themeColor="text2"/>
              <w:right w:val="nil"/>
            </w:tcBorders>
            <w:shd w:val="clear" w:color="auto" w:fill="FFC000"/>
            <w:vAlign w:val="center"/>
            <w:hideMark/>
          </w:tcPr>
          <w:p w14:paraId="2845A04B" w14:textId="77777777" w:rsidR="00BE1D36" w:rsidRDefault="00BE1D36" w:rsidP="00682BF1">
            <w:pPr>
              <w:pStyle w:val="BodyText"/>
              <w:jc w:val="center"/>
            </w:pPr>
            <w:r>
              <w:t>Significant</w:t>
            </w:r>
          </w:p>
        </w:tc>
      </w:tr>
    </w:tbl>
    <w:p w14:paraId="6D495008" w14:textId="038B774C" w:rsidR="00BE1D36" w:rsidRDefault="00BE1D36" w:rsidP="007E5EBF">
      <w:pPr>
        <w:pStyle w:val="Heading3"/>
      </w:pPr>
      <w:bookmarkStart w:id="1273" w:name="_Toc88725448"/>
      <w:bookmarkStart w:id="1274" w:name="_Toc88725449"/>
      <w:bookmarkStart w:id="1275" w:name="_Toc88725450"/>
      <w:bookmarkStart w:id="1276" w:name="_Toc88725452"/>
      <w:bookmarkStart w:id="1277" w:name="_Toc88725451"/>
      <w:bookmarkEnd w:id="1273"/>
      <w:bookmarkEnd w:id="1274"/>
      <w:bookmarkEnd w:id="1275"/>
      <w:r>
        <w:rPr>
          <w:noProof/>
        </w:rPr>
        <mc:AlternateContent>
          <mc:Choice Requires="wps">
            <w:drawing>
              <wp:anchor distT="0" distB="0" distL="114300" distR="114300" simplePos="0" relativeHeight="251658474" behindDoc="1" locked="1" layoutInCell="1" allowOverlap="1" wp14:anchorId="35D6C795" wp14:editId="49CE1F16">
                <wp:simplePos x="0" y="0"/>
                <wp:positionH relativeFrom="page">
                  <wp:posOffset>359410</wp:posOffset>
                </wp:positionH>
                <wp:positionV relativeFrom="page">
                  <wp:posOffset>9071610</wp:posOffset>
                </wp:positionV>
                <wp:extent cx="6840220" cy="431800"/>
                <wp:effectExtent l="0" t="0" r="0" b="0"/>
                <wp:wrapNone/>
                <wp:docPr id="147" name="Text Box 147"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E63A2"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6C795" id="Text Box 147" o:spid="_x0000_s1151" type="#_x0000_t202" alt="Title: Decorative Cover Shape" style="position:absolute;left:0;text-align:left;margin-left:28.3pt;margin-top:714.3pt;width:538.6pt;height:34pt;z-index:-25165800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DFNrmZgAIA&#10;AGMFAAAOAAAAAAAAAAAAAAAAAC4CAABkcnMvZTJvRG9jLnhtbFBLAQItABQABgAIAAAAIQCRaybX&#10;3QAAAA0BAAAPAAAAAAAAAAAAAAAAANoEAABkcnMvZG93bnJldi54bWxQSwUGAAAAAAQABADzAAAA&#10;5AUAAAAA&#10;" fillcolor="#201547" stroked="f" strokeweight=".5pt">
                <v:textbox inset="10mm,0,10mm,0">
                  <w:txbxContent>
                    <w:p w14:paraId="55AE63A2"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73" behindDoc="0" locked="1" layoutInCell="1" allowOverlap="1" wp14:anchorId="0BB37839" wp14:editId="1C871476">
                <wp:simplePos x="0" y="0"/>
                <wp:positionH relativeFrom="page">
                  <wp:posOffset>360045</wp:posOffset>
                </wp:positionH>
                <wp:positionV relativeFrom="page">
                  <wp:posOffset>360045</wp:posOffset>
                </wp:positionV>
                <wp:extent cx="1864995" cy="1976120"/>
                <wp:effectExtent l="0" t="0" r="0" b="0"/>
                <wp:wrapNone/>
                <wp:docPr id="148" name="Freeform: Shape 1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2DF83C9" id="Freeform: Shape 148" o:spid="_x0000_s1026" style="position:absolute;margin-left:28.35pt;margin-top:28.35pt;width:146.85pt;height:155.6pt;z-index:25165847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472" behindDoc="0" locked="1" layoutInCell="1" allowOverlap="1" wp14:anchorId="7F17D50E" wp14:editId="197B1D31">
                <wp:simplePos x="0" y="0"/>
                <wp:positionH relativeFrom="page">
                  <wp:posOffset>359410</wp:posOffset>
                </wp:positionH>
                <wp:positionV relativeFrom="page">
                  <wp:posOffset>359410</wp:posOffset>
                </wp:positionV>
                <wp:extent cx="1864995" cy="1976120"/>
                <wp:effectExtent l="0" t="0" r="0" b="0"/>
                <wp:wrapNone/>
                <wp:docPr id="150" name="Freeform: Shape 1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4470712" id="Freeform: Shape 150" o:spid="_x0000_s1026" style="position:absolute;margin-left:28.3pt;margin-top:28.3pt;width:146.85pt;height:155.6pt;z-index:2516584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471" behindDoc="0" locked="1" layoutInCell="1" allowOverlap="1" wp14:anchorId="50557CAF" wp14:editId="60D53D0C">
                <wp:simplePos x="0" y="0"/>
                <wp:positionH relativeFrom="page">
                  <wp:posOffset>0</wp:posOffset>
                </wp:positionH>
                <wp:positionV relativeFrom="page">
                  <wp:align>bottom</wp:align>
                </wp:positionV>
                <wp:extent cx="3848100" cy="720090"/>
                <wp:effectExtent l="0" t="0" r="0" b="0"/>
                <wp:wrapNone/>
                <wp:docPr id="152" name="Text Box 152"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2BF63"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7CAF" id="Text Box 152" o:spid="_x0000_s1152" type="#_x0000_t202" style="position:absolute;left:0;text-align:left;margin-left:0;margin-top:0;width:303pt;height:56.7pt;z-index:251658471;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" filled="f" stroked="f" strokeweight=".5pt">
                <v:textbox inset="20mm">
                  <w:txbxContent>
                    <w:p w14:paraId="5B52BF63" w14:textId="77777777" w:rsidR="00BE1D36" w:rsidRDefault="00BE1D36" w:rsidP="00BE1D36">
                      <w:pPr>
                        <w:pStyle w:val="xWebCoverPage"/>
                      </w:pPr>
                      <w:r>
                        <w:t>delwp.vic.gov.au</w:t>
                      </w:r>
                    </w:p>
                  </w:txbxContent>
                </v:textbox>
                <w10:wrap anchorx="page" anchory="page"/>
                <w10:anchorlock/>
              </v:shape>
            </w:pict>
          </mc:Fallback>
        </mc:AlternateContent>
      </w:r>
      <w:r>
        <w:t>Climate change</w:t>
      </w:r>
      <w:bookmarkEnd w:id="1276"/>
    </w:p>
    <w:p w14:paraId="30903326" w14:textId="77777777" w:rsidR="00BE1D36" w:rsidRDefault="00BE1D36" w:rsidP="007E5EBF">
      <w:pPr>
        <w:pStyle w:val="Heading5"/>
      </w:pPr>
      <w:r>
        <w:t>Drying climate</w:t>
      </w:r>
    </w:p>
    <w:p w14:paraId="2707168B" w14:textId="7ABDA7E9" w:rsidR="00BE1D36" w:rsidRDefault="00BE1D36" w:rsidP="00BE1D36">
      <w:pPr>
        <w:pStyle w:val="BodyText"/>
        <w:rPr>
          <w:rFonts w:ascii="Calibri" w:hAnsi="Calibri" w:cs="Calibri"/>
          <w:color w:val="000000"/>
          <w:sz w:val="22"/>
          <w:szCs w:val="22"/>
        </w:rPr>
      </w:pPr>
      <w:r>
        <w:t xml:space="preserve">Climate change is a threat to the </w:t>
      </w:r>
      <w:r w:rsidR="001D3902">
        <w:t>species</w:t>
      </w:r>
      <w:r>
        <w:t xml:space="preserve">, including rainfall and wetland recharge, higher temperatures and therefore, </w:t>
      </w:r>
      <w:r w:rsidR="00790D57">
        <w:t xml:space="preserve">higher </w:t>
      </w:r>
      <w:r>
        <w:t xml:space="preserve">evaporation rates. Climate change may increase the capacity of some introduced plant species to competitively occupy the habitat and increase the likelihood of attempted agricultural intensification, such as ploughing, cropping, within the habitat. Continuing drying of wetlands, either through climate-change effects or water table draw down from plantations, could concentrate destructive activities of feral animals such as pigs in remaining wetlands. Consequent effects of the hazard on wetlands, particularly those not linked to large, permanent watercourses (as is generally the case for the </w:t>
      </w:r>
      <w:r w:rsidR="001D3902">
        <w:t>species’</w:t>
      </w:r>
      <w:r>
        <w:t xml:space="preserve"> habitat) are likely to be considerable. This hazard extends across all the </w:t>
      </w:r>
      <w:r w:rsidR="001D3902">
        <w:t>species’</w:t>
      </w:r>
      <w:r>
        <w:t xml:space="preserve"> modelled habitat.</w:t>
      </w:r>
    </w:p>
    <w:p w14:paraId="55F88EE3" w14:textId="15E327CE" w:rsidR="00BE1D36" w:rsidRDefault="00BE1D36" w:rsidP="00BE1D36">
      <w:pPr>
        <w:pStyle w:val="BodyText"/>
      </w:pPr>
      <w:r>
        <w:t xml:space="preserve">Current control measures for this hazard are strategic in nature and are not considered effective in managing the risk to this </w:t>
      </w:r>
      <w:r w:rsidR="001D3902">
        <w:t>species</w:t>
      </w:r>
      <w:r>
        <w:t xml:space="preserve"> at the scale relevant to its conservation at this stage.</w:t>
      </w:r>
    </w:p>
    <w:p w14:paraId="3B8E83BD" w14:textId="5F33BE15"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282</w:t>
      </w:r>
      <w:r w:rsidR="000B6788" w:rsidRPr="00B846FE">
        <w:rPr>
          <w:bCs/>
          <w:noProof/>
        </w:rPr>
        <w:fldChar w:fldCharType="end"/>
      </w:r>
      <w:r w:rsidRPr="00FF310C">
        <w:t>. Wavy Swamp Wallaby-grass protection requirements and recommendations for drying climate</w:t>
      </w:r>
    </w:p>
    <w:tbl>
      <w:tblPr>
        <w:tblStyle w:val="TableGrid"/>
        <w:tblW w:w="0" w:type="auto"/>
        <w:tblLook w:val="04A0" w:firstRow="1" w:lastRow="0" w:firstColumn="1" w:lastColumn="0" w:noHBand="0" w:noVBand="1"/>
      </w:tblPr>
      <w:tblGrid>
        <w:gridCol w:w="2268"/>
        <w:gridCol w:w="7371"/>
      </w:tblGrid>
      <w:tr w:rsidR="00BE1D36" w14:paraId="7684FAE4"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6560CB5D"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4D66A998"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5A77438D" w14:textId="77777777" w:rsidTr="00B45E4E">
        <w:tc>
          <w:tcPr>
            <w:tcW w:w="2268" w:type="dxa"/>
            <w:tcBorders>
              <w:top w:val="single" w:sz="8" w:space="0" w:color="CDDC29" w:themeColor="text2"/>
              <w:left w:val="nil"/>
              <w:bottom w:val="single" w:sz="8" w:space="0" w:color="CDDC29" w:themeColor="text2"/>
              <w:right w:val="nil"/>
            </w:tcBorders>
            <w:hideMark/>
          </w:tcPr>
          <w:p w14:paraId="6699F263" w14:textId="1225AD1D" w:rsidR="00BE1D36" w:rsidRDefault="00895316"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3AF4C005" w14:textId="77777777" w:rsidR="00BE1D36" w:rsidRDefault="00BE1D36" w:rsidP="00B45E4E">
            <w:pPr>
              <w:pStyle w:val="BodyText"/>
            </w:pPr>
            <w:r>
              <w:t>Not required for this hazard as it is a longer-term threat.</w:t>
            </w:r>
          </w:p>
        </w:tc>
      </w:tr>
      <w:tr w:rsidR="00BE1D36" w14:paraId="19B1DC17" w14:textId="77777777" w:rsidTr="00B45E4E">
        <w:tc>
          <w:tcPr>
            <w:tcW w:w="2268" w:type="dxa"/>
            <w:tcBorders>
              <w:top w:val="single" w:sz="8" w:space="0" w:color="CDDC29" w:themeColor="text2"/>
              <w:left w:val="nil"/>
              <w:bottom w:val="single" w:sz="8" w:space="0" w:color="CDDC29" w:themeColor="text2"/>
              <w:right w:val="nil"/>
            </w:tcBorders>
            <w:hideMark/>
          </w:tcPr>
          <w:p w14:paraId="267EEB01" w14:textId="5609E638" w:rsidR="00BE1D36" w:rsidRDefault="00895316"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6E0A3C22" w14:textId="77777777" w:rsidR="00BE1D36" w:rsidRDefault="00BE1D36" w:rsidP="006670D2">
            <w:pPr>
              <w:pStyle w:val="PullOutBoxBullet"/>
            </w:pPr>
            <w:r>
              <w:t xml:space="preserve">Maintain or enhance wetland hydrology to maintain habitat quality. </w:t>
            </w:r>
          </w:p>
        </w:tc>
      </w:tr>
    </w:tbl>
    <w:p w14:paraId="57551C05" w14:textId="29429A11" w:rsidR="00BE1D36" w:rsidRDefault="00BE1D36" w:rsidP="007E5EBF">
      <w:pPr>
        <w:pStyle w:val="Heading3"/>
      </w:pPr>
      <w:r>
        <w:rPr>
          <w:noProof/>
        </w:rPr>
        <mc:AlternateContent>
          <mc:Choice Requires="wps">
            <w:drawing>
              <wp:anchor distT="0" distB="0" distL="114300" distR="114300" simplePos="0" relativeHeight="251658478" behindDoc="1" locked="1" layoutInCell="1" allowOverlap="1" wp14:anchorId="7A9D367D" wp14:editId="58DFD50A">
                <wp:simplePos x="0" y="0"/>
                <wp:positionH relativeFrom="page">
                  <wp:posOffset>359410</wp:posOffset>
                </wp:positionH>
                <wp:positionV relativeFrom="page">
                  <wp:posOffset>9071610</wp:posOffset>
                </wp:positionV>
                <wp:extent cx="6840220" cy="431800"/>
                <wp:effectExtent l="0" t="0" r="0" b="0"/>
                <wp:wrapNone/>
                <wp:docPr id="154" name="Text Box 154"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9E697"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D367D" id="Text Box 154" o:spid="_x0000_s1153" type="#_x0000_t202" alt="Title: Decorative Cover Shape" style="position:absolute;left:0;text-align:left;margin-left:28.3pt;margin-top:714.3pt;width:538.6pt;height:34pt;z-index:-25165800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HFoxP9/AgAA&#10;YwUAAA4AAAAAAAAAAAAAAAAALgIAAGRycy9lMm9Eb2MueG1sUEsBAi0AFAAGAAgAAAAhAJFrJtfd&#10;AAAADQEAAA8AAAAAAAAAAAAAAAAA2QQAAGRycy9kb3ducmV2LnhtbFBLBQYAAAAABAAEAPMAAADj&#10;BQAAAAA=&#10;" fillcolor="#201547" stroked="f" strokeweight=".5pt">
                <v:textbox inset="10mm,0,10mm,0">
                  <w:txbxContent>
                    <w:p w14:paraId="5DE9E697"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77" behindDoc="0" locked="1" layoutInCell="1" allowOverlap="1" wp14:anchorId="7C404F58" wp14:editId="187DA756">
                <wp:simplePos x="0" y="0"/>
                <wp:positionH relativeFrom="page">
                  <wp:posOffset>360045</wp:posOffset>
                </wp:positionH>
                <wp:positionV relativeFrom="page">
                  <wp:posOffset>360045</wp:posOffset>
                </wp:positionV>
                <wp:extent cx="1864995" cy="1976120"/>
                <wp:effectExtent l="0" t="0" r="0" b="0"/>
                <wp:wrapNone/>
                <wp:docPr id="155" name="Freeform: Shape 15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C256A28" id="Freeform: Shape 155" o:spid="_x0000_s1026" style="position:absolute;margin-left:28.35pt;margin-top:28.35pt;width:146.85pt;height:155.6pt;z-index:25165847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476" behindDoc="0" locked="1" layoutInCell="1" allowOverlap="1" wp14:anchorId="4A30DF93" wp14:editId="36D69EDE">
                <wp:simplePos x="0" y="0"/>
                <wp:positionH relativeFrom="page">
                  <wp:posOffset>359410</wp:posOffset>
                </wp:positionH>
                <wp:positionV relativeFrom="page">
                  <wp:posOffset>359410</wp:posOffset>
                </wp:positionV>
                <wp:extent cx="1864995" cy="1976120"/>
                <wp:effectExtent l="0" t="0" r="0" b="0"/>
                <wp:wrapNone/>
                <wp:docPr id="156" name="Freeform: Shape 15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F4DE7B6" id="Freeform: Shape 156" o:spid="_x0000_s1026" style="position:absolute;margin-left:28.3pt;margin-top:28.3pt;width:146.85pt;height:155.6pt;z-index:2516584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475" behindDoc="0" locked="1" layoutInCell="1" allowOverlap="1" wp14:anchorId="4FFDE6F0" wp14:editId="5E268109">
                <wp:simplePos x="0" y="0"/>
                <wp:positionH relativeFrom="page">
                  <wp:posOffset>0</wp:posOffset>
                </wp:positionH>
                <wp:positionV relativeFrom="page">
                  <wp:align>bottom</wp:align>
                </wp:positionV>
                <wp:extent cx="3848100" cy="720090"/>
                <wp:effectExtent l="0" t="0" r="0" b="0"/>
                <wp:wrapNone/>
                <wp:docPr id="157" name="Text Box 157"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9C8DA"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DE6F0" id="Text Box 157" o:spid="_x0000_s1154" type="#_x0000_t202" style="position:absolute;left:0;text-align:left;margin-left:0;margin-top:0;width:303pt;height:56.7pt;z-index:25165847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QD9B9W8CAAA/BQAADgAAAAAAAAAAAAAAAAAu&#10;AgAAZHJzL2Uyb0RvYy54bWxQSwECLQAUAAYACAAAACEA9MrPqNoAAAAFAQAADwAAAAAAAAAAAAAA&#10;AADJBAAAZHJzL2Rvd25yZXYueG1sUEsFBgAAAAAEAAQA8wAAANAFAAAAAA==&#10;" filled="f" stroked="f" strokeweight=".5pt">
                <v:textbox inset="20mm">
                  <w:txbxContent>
                    <w:p w14:paraId="4329C8DA" w14:textId="77777777" w:rsidR="00BE1D36" w:rsidRDefault="00BE1D36" w:rsidP="00BE1D36">
                      <w:pPr>
                        <w:pStyle w:val="xWebCoverPage"/>
                      </w:pPr>
                      <w:r>
                        <w:t>delwp.vic.gov.au</w:t>
                      </w:r>
                    </w:p>
                  </w:txbxContent>
                </v:textbox>
                <w10:wrap anchorx="page" anchory="page"/>
                <w10:anchorlock/>
              </v:shape>
            </w:pict>
          </mc:Fallback>
        </mc:AlternateContent>
      </w:r>
      <w:r>
        <w:t>Forestry operations</w:t>
      </w:r>
      <w:bookmarkEnd w:id="1277"/>
    </w:p>
    <w:p w14:paraId="7720D876" w14:textId="77777777" w:rsidR="00BE1D36" w:rsidRDefault="00BE1D36" w:rsidP="007E5EBF">
      <w:pPr>
        <w:pStyle w:val="Heading5"/>
        <w:rPr>
          <w:rFonts w:ascii="Segoe UI" w:hAnsi="Segoe UI" w:cs="Segoe UI"/>
        </w:rPr>
      </w:pPr>
      <w:r>
        <w:t>Plantations</w:t>
      </w:r>
    </w:p>
    <w:p w14:paraId="421D0F3E" w14:textId="5299C45B" w:rsidR="00BE1D36" w:rsidRDefault="00BE1D36" w:rsidP="00BE1D36">
      <w:pPr>
        <w:pStyle w:val="BodyText"/>
      </w:pPr>
      <w:r>
        <w:t xml:space="preserve">The </w:t>
      </w:r>
      <w:r w:rsidR="001D3902">
        <w:t>species</w:t>
      </w:r>
      <w:r>
        <w:t> may be threatened by changes to wetland hydrology linked to plantation forestry. Plantations can deplete local ground water aquifers and reduce runoff, leading to drying of wetlands. During harvesting, there can be significan</w:t>
      </w:r>
      <w:r w:rsidR="00133530">
        <w:t>t</w:t>
      </w:r>
      <w:r>
        <w:t xml:space="preserve"> damage to small wetlands if they are not protected from machinery. Increase in water-use by plantations, especially in the younger stages, may increase the impact of a drying climate, which can also lead to runoff and erosion into wetlands, reducing water quality. Continuing drying of wetlands through climate-change effects or water table draw down from plantations, could concentrate destructive activities of feral animals in remaining wetlands. Establishment of plantations in low-lying areas that would once have supported non-harvestable woodland vegetation has rendered any populations that have persisted in these environments susceptible. The change in overall nature of the environment surrounding the wetlands i.e., establishment of plantation monoculture forest where previously quite different vegetation likely existed, will have led to a change in physical and biotic functioning of the wetland such as natural herbivore types and abundance and is unlikely to be beneficial to the </w:t>
      </w:r>
      <w:r w:rsidR="001D3902">
        <w:t>species</w:t>
      </w:r>
      <w:r>
        <w:t xml:space="preserve">. Plantation operations can also increase weed invasion. Approximately 30% of the </w:t>
      </w:r>
      <w:r w:rsidR="001D3902">
        <w:t>species’</w:t>
      </w:r>
      <w:r>
        <w:t xml:space="preserve"> VBA points are likely to be impacted by plantations in the West RFA</w:t>
      </w:r>
      <w:r w:rsidR="009B3219">
        <w:t xml:space="preserve"> region</w:t>
      </w:r>
      <w:r>
        <w:t>, approximately 13% in the East Gippsland RFA</w:t>
      </w:r>
      <w:r w:rsidR="009B3219">
        <w:t xml:space="preserve"> region</w:t>
      </w:r>
      <w:r>
        <w:t xml:space="preserve">, and approximately 21% of the </w:t>
      </w:r>
      <w:r w:rsidR="001D3902">
        <w:t>species’</w:t>
      </w:r>
      <w:r>
        <w:t xml:space="preserve"> modelled habitat is likely to be impacted state-wide. However, there is uncertainty how much of the soils, which are often heavy clays, in land surrounding the habitat of this </w:t>
      </w:r>
      <w:r w:rsidR="001D3902">
        <w:t>species</w:t>
      </w:r>
      <w:r>
        <w:t xml:space="preserve"> would be suitable for plantations, therefore the estimate of the potential extent of the hazard is consequently somewhat conjectural and may be a substantial over-estimate of the potential area over which plantations may be impacting the </w:t>
      </w:r>
      <w:r w:rsidR="001D3902">
        <w:t>species</w:t>
      </w:r>
      <w:r>
        <w:t xml:space="preserve">. </w:t>
      </w:r>
      <w:r w:rsidR="00966014">
        <w:rPr>
          <w:rStyle w:val="BodyTextChar"/>
        </w:rPr>
        <w:t xml:space="preserve">Modelling </w:t>
      </w:r>
      <w:r w:rsidR="00D825B0" w:rsidRPr="003566BD">
        <w:rPr>
          <w:rStyle w:val="BodyTextChar"/>
        </w:rPr>
        <w:t>misses</w:t>
      </w:r>
      <w:r w:rsidR="00966014">
        <w:rPr>
          <w:rStyle w:val="BodyTextChar"/>
        </w:rPr>
        <w:t xml:space="preserve"> </w:t>
      </w:r>
      <w:r w:rsidR="00966014" w:rsidRPr="003566BD">
        <w:rPr>
          <w:rStyle w:val="BodyTextChar"/>
        </w:rPr>
        <w:t xml:space="preserve">small wetlands that </w:t>
      </w:r>
      <w:r w:rsidR="00966014">
        <w:rPr>
          <w:rStyle w:val="BodyTextChar"/>
        </w:rPr>
        <w:t>could</w:t>
      </w:r>
      <w:r w:rsidR="00966014" w:rsidRPr="003566BD">
        <w:rPr>
          <w:rStyle w:val="BodyTextChar"/>
        </w:rPr>
        <w:t xml:space="preserve"> support this </w:t>
      </w:r>
      <w:r w:rsidR="001D3902">
        <w:rPr>
          <w:rStyle w:val="BodyTextChar"/>
        </w:rPr>
        <w:t>species</w:t>
      </w:r>
      <w:r w:rsidR="00966014">
        <w:rPr>
          <w:rStyle w:val="BodyTextChar"/>
        </w:rPr>
        <w:t xml:space="preserve">, </w:t>
      </w:r>
      <w:r>
        <w:t>so on-ground assessment or a simple analysis of aerial photography may be required to detect wetland habitat within coupes.</w:t>
      </w:r>
    </w:p>
    <w:p w14:paraId="6FDE9869" w14:textId="77777777" w:rsidR="00BE1D36" w:rsidRDefault="00BE1D36" w:rsidP="00BE1D36">
      <w:pPr>
        <w:pStyle w:val="BodyText"/>
      </w:pPr>
      <w:r>
        <w:t>Current controls for this hazard include:</w:t>
      </w:r>
    </w:p>
    <w:p w14:paraId="4989DAA5" w14:textId="0131BBE0" w:rsidR="00BE1D36" w:rsidRDefault="00BE1D36" w:rsidP="006670D2">
      <w:pPr>
        <w:pStyle w:val="PullOutBoxBullet"/>
      </w:pPr>
      <w:r>
        <w:t xml:space="preserve">The </w:t>
      </w:r>
      <w:r>
        <w:rPr>
          <w:i/>
          <w:iCs/>
        </w:rPr>
        <w:t>Code of Practice for Timber Production 2014</w:t>
      </w:r>
      <w:r>
        <w:t>. This has been evaluated as satisfactory in the West and Gippsland RFA</w:t>
      </w:r>
      <w:r w:rsidR="009B3219">
        <w:t xml:space="preserve"> region</w:t>
      </w:r>
      <w:r>
        <w:t xml:space="preserve">s, assuming that wetlands management is appropriately covered by the Code and adhered to by management authorities. However, the establishment of plantations </w:t>
      </w:r>
      <w:r w:rsidR="00D825B0">
        <w:t>is</w:t>
      </w:r>
      <w:r>
        <w:t xml:space="preserve"> likely to result, in many areas, in draw-down of the water table</w:t>
      </w:r>
      <w:r w:rsidR="00133530">
        <w:t>,</w:t>
      </w:r>
      <w:r>
        <w:t xml:space="preserve"> and reduce habitat extent and quality the </w:t>
      </w:r>
      <w:r w:rsidR="001D3902">
        <w:t>species</w:t>
      </w:r>
      <w:r>
        <w:t>. It has been evaluated as poor overall because while it is assessed in at least some regions, the history of management for protection of included or abutting remnant vegetation has varied across the extent of plantations. The potential for damage from issues such as spray drift and run-off from track networks may not yet be fully dealt with, and the impact of increased water use by regenerating young trees may be exacerbated by reduced rainfall, particularly where remnant wet habitat is less well buffered.</w:t>
      </w:r>
    </w:p>
    <w:p w14:paraId="4895D85D" w14:textId="2D4F9CF7" w:rsidR="00BE1D36" w:rsidRDefault="00BE1D36" w:rsidP="006670D2">
      <w:pPr>
        <w:pStyle w:val="PullOutBoxBullet"/>
        <w:rPr>
          <w:rFonts w:eastAsiaTheme="minorEastAsia"/>
        </w:rPr>
      </w:pPr>
      <w:r>
        <w:t xml:space="preserve">The CAR reserve system. </w:t>
      </w:r>
      <w:r w:rsidR="003809EB" w:rsidRPr="00CB51DA">
        <w:rPr>
          <w:rStyle w:val="normaltextrun"/>
        </w:rPr>
        <w:t>The effectiveness of this control for this species has been evaluated</w:t>
      </w:r>
      <w:r w:rsidR="003809EB">
        <w:t xml:space="preserve"> as </w:t>
      </w:r>
      <w:r>
        <w:t xml:space="preserve">poor as 8% of the </w:t>
      </w:r>
      <w:r w:rsidR="001D3902">
        <w:t>species’</w:t>
      </w:r>
      <w:r>
        <w:t xml:space="preserve"> modelled distribution and 27% of important populations are within the reserve system.</w:t>
      </w:r>
    </w:p>
    <w:p w14:paraId="379A3B42" w14:textId="02EA5DFF" w:rsidR="00434369" w:rsidRDefault="00BE1D36" w:rsidP="006670D2">
      <w:pPr>
        <w:pStyle w:val="PullOutBoxBullet"/>
      </w:pPr>
      <w:r>
        <w:t xml:space="preserve">Victorian Planning Provisions and planning schemes. This has been evaluated as poor, as it is considered in relation to development of new plantations on private land. While the habitat of this </w:t>
      </w:r>
      <w:r w:rsidR="001D3902">
        <w:t>species</w:t>
      </w:r>
      <w:r>
        <w:t xml:space="preserve"> is unsuitable for plantations, the control does not prevent incremental damage to wetland habitat abutting plantations (e.g., from desiccation or fertilizer/herbicide drift) if the plantations are established on already cleared land.</w:t>
      </w:r>
    </w:p>
    <w:p w14:paraId="69CB6A02" w14:textId="77777777" w:rsidR="00434369" w:rsidRDefault="00434369">
      <w:pPr>
        <w:rPr>
          <w:sz w:val="18"/>
          <w:szCs w:val="18"/>
        </w:rPr>
      </w:pPr>
      <w:r>
        <w:br w:type="page"/>
      </w:r>
    </w:p>
    <w:p w14:paraId="32E013CA" w14:textId="05C0E440"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283</w:t>
      </w:r>
      <w:r w:rsidR="000B6788" w:rsidRPr="00B846FE">
        <w:rPr>
          <w:bCs/>
          <w:noProof/>
        </w:rPr>
        <w:fldChar w:fldCharType="end"/>
      </w:r>
      <w:r w:rsidRPr="00FF310C">
        <w:t>. Wavy Swamp Wallaby-grass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BE1D36" w14:paraId="6643BFF5"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9640ACB"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6DFEE27D"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643058D9" w14:textId="77777777" w:rsidTr="00B45E4E">
        <w:tc>
          <w:tcPr>
            <w:tcW w:w="2268" w:type="dxa"/>
            <w:tcBorders>
              <w:top w:val="single" w:sz="8" w:space="0" w:color="CDDC29" w:themeColor="text2"/>
              <w:left w:val="nil"/>
              <w:bottom w:val="single" w:sz="8" w:space="0" w:color="CDDC29" w:themeColor="text2"/>
              <w:right w:val="nil"/>
            </w:tcBorders>
            <w:hideMark/>
          </w:tcPr>
          <w:p w14:paraId="5027FF3B" w14:textId="09305932" w:rsidR="00BE1D36" w:rsidRDefault="00BE1D36" w:rsidP="00B45E4E">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2977637C" w14:textId="77777777" w:rsidR="00BE1D36" w:rsidRDefault="00BE1D36" w:rsidP="00B45E4E">
            <w:pPr>
              <w:pStyle w:val="BodyText"/>
            </w:pPr>
            <w:r>
              <w:t>Not required for this hazard based on the overall risk level of medium.</w:t>
            </w:r>
          </w:p>
        </w:tc>
      </w:tr>
      <w:tr w:rsidR="002F1168" w14:paraId="4E367151" w14:textId="77777777" w:rsidTr="00B45E4E">
        <w:tc>
          <w:tcPr>
            <w:tcW w:w="2268" w:type="dxa"/>
            <w:tcBorders>
              <w:top w:val="single" w:sz="8" w:space="0" w:color="CDDC29" w:themeColor="text2"/>
              <w:left w:val="nil"/>
              <w:bottom w:val="single" w:sz="8" w:space="0" w:color="CDDC29" w:themeColor="text2"/>
              <w:right w:val="nil"/>
            </w:tcBorders>
          </w:tcPr>
          <w:p w14:paraId="75F38219" w14:textId="6094D9E1" w:rsidR="002F1168" w:rsidRDefault="002F1168"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19D2FCBC" w14:textId="68BDCDD3" w:rsidR="002F1168" w:rsidRDefault="002F1168" w:rsidP="00B45E4E">
            <w:pPr>
              <w:pStyle w:val="BodyText"/>
            </w:pPr>
            <w:r>
              <w:t>Not required for this hazard based on the overall risk level of medium.</w:t>
            </w:r>
          </w:p>
        </w:tc>
      </w:tr>
      <w:tr w:rsidR="00BE1D36" w14:paraId="7AF30DC0" w14:textId="77777777" w:rsidTr="00B45E4E">
        <w:tc>
          <w:tcPr>
            <w:tcW w:w="2268" w:type="dxa"/>
            <w:tcBorders>
              <w:top w:val="single" w:sz="8" w:space="0" w:color="CDDC29" w:themeColor="text2"/>
              <w:left w:val="nil"/>
              <w:bottom w:val="single" w:sz="8" w:space="0" w:color="CDDC29" w:themeColor="text2"/>
              <w:right w:val="nil"/>
            </w:tcBorders>
            <w:hideMark/>
          </w:tcPr>
          <w:p w14:paraId="2DCD5DA4" w14:textId="77777777" w:rsidR="00BE1D36" w:rsidRDefault="00BE1D36" w:rsidP="00B45E4E">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3A8E2A21" w14:textId="77777777" w:rsidR="00BE1D36" w:rsidRDefault="00BE1D36" w:rsidP="00B45E4E">
            <w:pPr>
              <w:pStyle w:val="BodyText"/>
            </w:pPr>
            <w:r>
              <w:t>Additional permanent protections may be required in the longer-term.</w:t>
            </w:r>
          </w:p>
        </w:tc>
      </w:tr>
      <w:tr w:rsidR="00BE1D36" w14:paraId="3AC1BBAC" w14:textId="77777777" w:rsidTr="00B45E4E">
        <w:tc>
          <w:tcPr>
            <w:tcW w:w="2268" w:type="dxa"/>
            <w:tcBorders>
              <w:top w:val="single" w:sz="8" w:space="0" w:color="CDDC29" w:themeColor="text2"/>
              <w:left w:val="nil"/>
              <w:bottom w:val="single" w:sz="8" w:space="0" w:color="CDDC29" w:themeColor="text2"/>
              <w:right w:val="nil"/>
            </w:tcBorders>
            <w:hideMark/>
          </w:tcPr>
          <w:p w14:paraId="59636FD1" w14:textId="765310AB" w:rsidR="00BE1D36" w:rsidRDefault="00895316"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56C58283" w14:textId="3EE6F1FC" w:rsidR="00BE1D36" w:rsidRDefault="00BE1D36" w:rsidP="006670D2">
            <w:pPr>
              <w:pStyle w:val="PullOutBoxBullet"/>
            </w:pPr>
            <w:r>
              <w:t xml:space="preserve">Conduct surveys at all plantations that could potentially support wetlands within the modelled distribution of the </w:t>
            </w:r>
            <w:r w:rsidR="001D3902">
              <w:t>species</w:t>
            </w:r>
            <w:r>
              <w:t xml:space="preserve">; </w:t>
            </w:r>
          </w:p>
          <w:p w14:paraId="722CB068" w14:textId="4AEE6CAD" w:rsidR="00BE1D36" w:rsidRDefault="00682BF1" w:rsidP="006670D2">
            <w:pPr>
              <w:pStyle w:val="PullOutBoxBullet"/>
            </w:pPr>
            <w:r>
              <w:t>I</w:t>
            </w:r>
            <w:r w:rsidR="00BE1D36">
              <w:t xml:space="preserve">ncrease buffer area around wetlands to reduce impact of draw-down of water table from plantation trees; </w:t>
            </w:r>
          </w:p>
          <w:p w14:paraId="3778774C" w14:textId="53F90918" w:rsidR="00BE1D36" w:rsidRDefault="00682BF1" w:rsidP="006670D2">
            <w:pPr>
              <w:pStyle w:val="PullOutBoxBullet"/>
            </w:pPr>
            <w:r>
              <w:t>A</w:t>
            </w:r>
            <w:r w:rsidR="00BE1D36">
              <w:t xml:space="preserve">dd water to wetlands to maintain habitat quality; </w:t>
            </w:r>
          </w:p>
          <w:p w14:paraId="23857FA5" w14:textId="617FA2C4" w:rsidR="00BE1D36" w:rsidRDefault="00682BF1" w:rsidP="006670D2">
            <w:pPr>
              <w:pStyle w:val="PullOutBoxBullet"/>
            </w:pPr>
            <w:r>
              <w:t>S</w:t>
            </w:r>
            <w:r w:rsidR="00BE1D36">
              <w:t xml:space="preserve">urvey potential habitat within areas proposed for plantations and avoid plantation establishment in areas where known or potential habitat exists; and </w:t>
            </w:r>
          </w:p>
          <w:p w14:paraId="537E9908" w14:textId="12635129" w:rsidR="00BE1D36" w:rsidRDefault="00682BF1" w:rsidP="006670D2">
            <w:pPr>
              <w:pStyle w:val="PullOutBoxBullet"/>
            </w:pPr>
            <w:r>
              <w:t>R</w:t>
            </w:r>
            <w:r w:rsidR="00BE1D36">
              <w:t xml:space="preserve">eview strategies to minimise spray drift during plantation management, notably at re-establishment. </w:t>
            </w:r>
          </w:p>
        </w:tc>
      </w:tr>
    </w:tbl>
    <w:p w14:paraId="35498150" w14:textId="1036226A" w:rsidR="00BE1D36" w:rsidRDefault="00BE1D36" w:rsidP="007E5EBF">
      <w:pPr>
        <w:pStyle w:val="Heading3"/>
      </w:pPr>
      <w:bookmarkStart w:id="1278" w:name="_Toc88725454"/>
      <w:bookmarkStart w:id="1279" w:name="_Toc88725455"/>
      <w:bookmarkStart w:id="1280" w:name="_Toc88725456"/>
      <w:bookmarkStart w:id="1281" w:name="_Toc88725457"/>
      <w:bookmarkStart w:id="1282" w:name="_Toc88725458"/>
      <w:bookmarkStart w:id="1283" w:name="_Toc88725459"/>
      <w:bookmarkStart w:id="1284" w:name="_Toc88725460"/>
      <w:bookmarkStart w:id="1285" w:name="_Toc88725461"/>
      <w:bookmarkStart w:id="1286" w:name="_Toc88725462"/>
      <w:bookmarkStart w:id="1287" w:name="_Toc88725463"/>
      <w:bookmarkStart w:id="1288" w:name="_Toc88725464"/>
      <w:bookmarkStart w:id="1289" w:name="_Toc88725465"/>
      <w:bookmarkStart w:id="1290" w:name="_Toc88725467"/>
      <w:bookmarkStart w:id="1291" w:name="_Toc88725469"/>
      <w:bookmarkStart w:id="1292" w:name="_Toc88725471"/>
      <w:bookmarkStart w:id="1293" w:name="_Toc88725473"/>
      <w:bookmarkStart w:id="1294" w:name="_Toc88725474"/>
      <w:bookmarkStart w:id="1295" w:name="_Toc88725475"/>
      <w:bookmarkStart w:id="1296" w:name="_Toc887254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r>
        <w:rPr>
          <w:noProof/>
        </w:rPr>
        <mc:AlternateContent>
          <mc:Choice Requires="wps">
            <w:drawing>
              <wp:anchor distT="0" distB="0" distL="114300" distR="114300" simplePos="0" relativeHeight="251658458" behindDoc="1" locked="1" layoutInCell="1" allowOverlap="1" wp14:anchorId="5A916B8A" wp14:editId="42E608C6">
                <wp:simplePos x="0" y="0"/>
                <wp:positionH relativeFrom="page">
                  <wp:posOffset>359410</wp:posOffset>
                </wp:positionH>
                <wp:positionV relativeFrom="page">
                  <wp:posOffset>9071610</wp:posOffset>
                </wp:positionV>
                <wp:extent cx="6840220" cy="431800"/>
                <wp:effectExtent l="0" t="0" r="0" b="0"/>
                <wp:wrapNone/>
                <wp:docPr id="1411" name="Text Box 1411"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BA50D"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16B8A" id="Text Box 1411" o:spid="_x0000_s1155" type="#_x0000_t202" alt="Title: Decorative Cover Shape" style="position:absolute;left:0;text-align:left;margin-left:28.3pt;margin-top:714.3pt;width:538.6pt;height:34pt;z-index:-25165802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A898cXgAIA&#10;AGMFAAAOAAAAAAAAAAAAAAAAAC4CAABkcnMvZTJvRG9jLnhtbFBLAQItABQABgAIAAAAIQCRaybX&#10;3QAAAA0BAAAPAAAAAAAAAAAAAAAAANoEAABkcnMvZG93bnJldi54bWxQSwUGAAAAAAQABADzAAAA&#10;5AUAAAAA&#10;" fillcolor="#201547" stroked="f" strokeweight=".5pt">
                <v:textbox inset="10mm,0,10mm,0">
                  <w:txbxContent>
                    <w:p w14:paraId="05EBA50D"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57" behindDoc="0" locked="1" layoutInCell="1" allowOverlap="1" wp14:anchorId="17D76B9F" wp14:editId="6C48D123">
                <wp:simplePos x="0" y="0"/>
                <wp:positionH relativeFrom="page">
                  <wp:posOffset>360045</wp:posOffset>
                </wp:positionH>
                <wp:positionV relativeFrom="page">
                  <wp:posOffset>360045</wp:posOffset>
                </wp:positionV>
                <wp:extent cx="1864995" cy="1976120"/>
                <wp:effectExtent l="0" t="0" r="0" b="0"/>
                <wp:wrapNone/>
                <wp:docPr id="1376" name="Freeform: Shape 137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81A506B" id="Freeform: Shape 1376" o:spid="_x0000_s1026" style="position:absolute;margin-left:28.35pt;margin-top:28.35pt;width:146.85pt;height:155.6pt;z-index:2516584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456" behindDoc="0" locked="1" layoutInCell="1" allowOverlap="1" wp14:anchorId="3E48681C" wp14:editId="0894A3DC">
                <wp:simplePos x="0" y="0"/>
                <wp:positionH relativeFrom="page">
                  <wp:posOffset>359410</wp:posOffset>
                </wp:positionH>
                <wp:positionV relativeFrom="page">
                  <wp:posOffset>359410</wp:posOffset>
                </wp:positionV>
                <wp:extent cx="1864995" cy="1976120"/>
                <wp:effectExtent l="0" t="0" r="0" b="0"/>
                <wp:wrapNone/>
                <wp:docPr id="1379" name="Freeform: Shape 137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AEBD00B" id="Freeform: Shape 1379" o:spid="_x0000_s1026" style="position:absolute;margin-left:28.3pt;margin-top:28.3pt;width:146.85pt;height:155.6pt;z-index:251658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455" behindDoc="0" locked="1" layoutInCell="1" allowOverlap="1" wp14:anchorId="7ACEE098" wp14:editId="2BE167BF">
                <wp:simplePos x="0" y="0"/>
                <wp:positionH relativeFrom="page">
                  <wp:posOffset>0</wp:posOffset>
                </wp:positionH>
                <wp:positionV relativeFrom="page">
                  <wp:align>bottom</wp:align>
                </wp:positionV>
                <wp:extent cx="3848100" cy="720090"/>
                <wp:effectExtent l="0" t="0" r="0" b="0"/>
                <wp:wrapNone/>
                <wp:docPr id="1414" name="Text Box 1414"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EF0DE"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EE098" id="Text Box 1414" o:spid="_x0000_s1156" type="#_x0000_t202" style="position:absolute;left:0;text-align:left;margin-left:0;margin-top:0;width:303pt;height:56.7pt;z-index:25165845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kkcGdW8CAAA/BQAADgAAAAAAAAAAAAAAAAAu&#10;AgAAZHJzL2Uyb0RvYy54bWxQSwECLQAUAAYACAAAACEA9MrPqNoAAAAFAQAADwAAAAAAAAAAAAAA&#10;AADJBAAAZHJzL2Rvd25yZXYueG1sUEsFBgAAAAAEAAQA8wAAANAFAAAAAA==&#10;" filled="f" stroked="f" strokeweight=".5pt">
                <v:textbox inset="20mm">
                  <w:txbxContent>
                    <w:p w14:paraId="58AEF0DE" w14:textId="77777777" w:rsidR="00BE1D36" w:rsidRDefault="00BE1D36" w:rsidP="00BE1D36">
                      <w:pPr>
                        <w:pStyle w:val="xWebCoverPage"/>
                      </w:pPr>
                      <w:r>
                        <w:t>delwp.vic.gov.au</w:t>
                      </w:r>
                    </w:p>
                  </w:txbxContent>
                </v:textbox>
                <w10:wrap anchorx="page" anchory="page"/>
                <w10:anchorlock/>
              </v:shape>
            </w:pict>
          </mc:Fallback>
        </mc:AlternateContent>
      </w:r>
      <w:bookmarkStart w:id="1297" w:name="_Toc88725478"/>
      <w:bookmarkStart w:id="1298" w:name="_Toc88725479"/>
      <w:bookmarkStart w:id="1299" w:name="_Toc88725480"/>
      <w:bookmarkStart w:id="1300" w:name="_Toc88725481"/>
      <w:bookmarkStart w:id="1301" w:name="_Toc88725482"/>
      <w:bookmarkStart w:id="1302" w:name="_Toc88725483"/>
      <w:bookmarkStart w:id="1303" w:name="_Toc88725484"/>
      <w:bookmarkStart w:id="1304" w:name="_Toc88725485"/>
      <w:bookmarkStart w:id="1305" w:name="_Toc88725486"/>
      <w:bookmarkStart w:id="1306" w:name="_Toc88725487"/>
      <w:bookmarkStart w:id="1307" w:name="_Toc88725488"/>
      <w:bookmarkStart w:id="1308" w:name="_Toc88725489"/>
      <w:bookmarkStart w:id="1309" w:name="_Toc88725491"/>
      <w:bookmarkStart w:id="1310" w:name="_Toc88725493"/>
      <w:bookmarkStart w:id="1311" w:name="_Toc88725495"/>
      <w:bookmarkStart w:id="1312" w:name="_Toc88725497"/>
      <w:bookmarkStart w:id="1313" w:name="_Toc88725498"/>
      <w:bookmarkStart w:id="1314" w:name="_Toc88725499"/>
      <w:bookmarkStart w:id="1315" w:name="_Toc88725500"/>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r>
        <w:t>Habitat loss, degradation</w:t>
      </w:r>
      <w:r w:rsidR="00D825B0">
        <w:t>,</w:t>
      </w:r>
      <w:r>
        <w:t xml:space="preserve"> and fragmentation</w:t>
      </w:r>
      <w:bookmarkEnd w:id="1315"/>
    </w:p>
    <w:p w14:paraId="5FF2AD02" w14:textId="77777777" w:rsidR="00BE1D36" w:rsidRDefault="00BE1D36" w:rsidP="007E5EBF">
      <w:pPr>
        <w:pStyle w:val="Heading5"/>
      </w:pPr>
      <w:r>
        <w:t xml:space="preserve">Agriculture </w:t>
      </w:r>
    </w:p>
    <w:p w14:paraId="7BE4027C" w14:textId="36FFFFDE" w:rsidR="00BE1D36" w:rsidRDefault="00BE1D36" w:rsidP="00BE1D36">
      <w:pPr>
        <w:pStyle w:val="BodyText"/>
      </w:pPr>
      <w:r>
        <w:t xml:space="preserve">Threats to the </w:t>
      </w:r>
      <w:r w:rsidR="001D3902">
        <w:t>species</w:t>
      </w:r>
      <w:r>
        <w:t xml:space="preserve"> include the loss of wetlands by draining, cropping, and development, stock grazing and physical damage to wetland habitats. The </w:t>
      </w:r>
      <w:r w:rsidR="001D3902">
        <w:t>species</w:t>
      </w:r>
      <w:r>
        <w:t xml:space="preserve"> is to some extent resilient to the effects of grazing by sheep due to its aquatic to semi-aquatic habitat and the preference of sheep to avoid wet area, however pugging and grazing by cattle has the potential for greater impact on populations of this plant, including reduced water quality and aiding weed invasion. This hazard extends across 5-10% of the </w:t>
      </w:r>
      <w:r w:rsidR="001D3902">
        <w:t>species’</w:t>
      </w:r>
      <w:r>
        <w:t xml:space="preserve"> habitat, as most records are not in private land subject to grazing. Mechanisms to protect the relevant habitat on private land are very limited, as are resources and the required specialist skills for management of populations of public land.</w:t>
      </w:r>
    </w:p>
    <w:p w14:paraId="75404A4D" w14:textId="77777777" w:rsidR="00BE1D36" w:rsidRDefault="00BE1D36" w:rsidP="00BE1D36">
      <w:pPr>
        <w:pStyle w:val="BodyText"/>
      </w:pPr>
      <w:r>
        <w:t>Current controls for this hazard include:</w:t>
      </w:r>
    </w:p>
    <w:p w14:paraId="3E6F6488" w14:textId="4063436E" w:rsidR="00BE1D36" w:rsidRDefault="00BE1D36" w:rsidP="006670D2">
      <w:pPr>
        <w:pStyle w:val="PullOutBoxBullet"/>
      </w:pPr>
      <w:r>
        <w:t xml:space="preserve">CMA streamside frontage programs. This has been evaluated as poor because although these programs can assist with protection and rehabilitation of streams, this is not the core habitat for the </w:t>
      </w:r>
      <w:r w:rsidR="001D3902">
        <w:t>species</w:t>
      </w:r>
      <w:r>
        <w:t xml:space="preserve"> which prefers floodplain wetlands. </w:t>
      </w:r>
    </w:p>
    <w:p w14:paraId="52709949" w14:textId="77777777" w:rsidR="00BE1D36" w:rsidRDefault="00BE1D36" w:rsidP="006670D2">
      <w:pPr>
        <w:pStyle w:val="PullOutBoxBullet"/>
      </w:pPr>
      <w:r>
        <w:t xml:space="preserve">CMA Wetland Tender program. This has been evaluated as poor because whilst this program helped to restrict access to some wetlands and could potentially be very effective, it was only applied to a very small number of sites. </w:t>
      </w:r>
    </w:p>
    <w:p w14:paraId="44B5643B" w14:textId="77777777" w:rsidR="00BE1D36" w:rsidRDefault="00BE1D36" w:rsidP="006670D2">
      <w:pPr>
        <w:pStyle w:val="PullOutBoxBullet"/>
      </w:pPr>
      <w:r>
        <w:t>EPBC Act (listed community Seasonal Herbaceous Wetlands). This has been evaluated as poor as there are limitations on capacity for enforcement and community support within agricultural areas, and a lack of protection for relevant wetland catchments. Potential habitat comprises of small, dispersed wetlands, primarily on private land.</w:t>
      </w:r>
    </w:p>
    <w:p w14:paraId="7DD2F5AF" w14:textId="77777777" w:rsidR="00BE1D36" w:rsidRDefault="00BE1D36" w:rsidP="006670D2">
      <w:pPr>
        <w:pStyle w:val="PullOutBoxBullet"/>
      </w:pPr>
      <w:r>
        <w:t>Victorian Planning Provisions and planning schemes. These has been evaluated as poor as they appear to do little to prevent conversion of land-use to cropping and does not prevent incremental damage resulting from land-use practises such as grazing or fertilizer drift.</w:t>
      </w:r>
    </w:p>
    <w:p w14:paraId="21283B01" w14:textId="77777777" w:rsidR="00BE1D36" w:rsidRDefault="00BE1D36" w:rsidP="006670D2">
      <w:pPr>
        <w:pStyle w:val="PullOutBoxBullet"/>
      </w:pPr>
      <w:r>
        <w:t>Support programs such as Landcare and Community grants. This has been evaluated as poor overall, however in some areas are satisfactory. This is based on participation being voluntary and potentially highly effective where implemented, but very much dependant on goodwill and local community support.</w:t>
      </w:r>
    </w:p>
    <w:p w14:paraId="54052664" w14:textId="77777777" w:rsidR="005F2014" w:rsidRDefault="005F2014">
      <w:pPr>
        <w:rPr>
          <w:b/>
          <w:bCs/>
          <w:sz w:val="16"/>
        </w:rPr>
      </w:pPr>
      <w:r>
        <w:br w:type="page"/>
      </w:r>
    </w:p>
    <w:p w14:paraId="1F6C55BB" w14:textId="39366A1E"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284</w:t>
      </w:r>
      <w:r w:rsidR="000B6788" w:rsidRPr="00B846FE">
        <w:rPr>
          <w:bCs/>
          <w:noProof/>
        </w:rPr>
        <w:fldChar w:fldCharType="end"/>
      </w:r>
      <w:r w:rsidRPr="00FF310C">
        <w:t>. Wavy Swamp Wallaby-grass protection requirements and recommendations for agriculture</w:t>
      </w:r>
    </w:p>
    <w:tbl>
      <w:tblPr>
        <w:tblStyle w:val="TableGrid"/>
        <w:tblW w:w="0" w:type="auto"/>
        <w:tblLook w:val="04A0" w:firstRow="1" w:lastRow="0" w:firstColumn="1" w:lastColumn="0" w:noHBand="0" w:noVBand="1"/>
      </w:tblPr>
      <w:tblGrid>
        <w:gridCol w:w="2268"/>
        <w:gridCol w:w="7371"/>
      </w:tblGrid>
      <w:tr w:rsidR="00BE1D36" w14:paraId="60AD82AC"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1A219B89"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16589DE1"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1638EFF6" w14:textId="77777777" w:rsidTr="00B45E4E">
        <w:tc>
          <w:tcPr>
            <w:tcW w:w="2268" w:type="dxa"/>
            <w:tcBorders>
              <w:top w:val="single" w:sz="8" w:space="0" w:color="CDDC29" w:themeColor="text2"/>
              <w:left w:val="nil"/>
              <w:bottom w:val="single" w:sz="8" w:space="0" w:color="CDDC29" w:themeColor="text2"/>
              <w:right w:val="nil"/>
            </w:tcBorders>
            <w:hideMark/>
          </w:tcPr>
          <w:p w14:paraId="7B7AFAB0" w14:textId="6BB3775D" w:rsidR="00BE1D36" w:rsidRDefault="00895316"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37F03BF5" w14:textId="7B611924" w:rsidR="00BE1D36" w:rsidRDefault="00BE1D36" w:rsidP="00B45E4E">
            <w:pPr>
              <w:pStyle w:val="BodyText"/>
            </w:pPr>
            <w:r>
              <w:t>Not required for this hazard</w:t>
            </w:r>
            <w:r w:rsidR="002F1168">
              <w:t>.</w:t>
            </w:r>
          </w:p>
        </w:tc>
      </w:tr>
      <w:tr w:rsidR="00BE1D36" w14:paraId="261E2C5C" w14:textId="77777777" w:rsidTr="00B45E4E">
        <w:tc>
          <w:tcPr>
            <w:tcW w:w="2268" w:type="dxa"/>
            <w:tcBorders>
              <w:top w:val="single" w:sz="8" w:space="0" w:color="CDDC29" w:themeColor="text2"/>
              <w:left w:val="nil"/>
              <w:bottom w:val="single" w:sz="8" w:space="0" w:color="CDDC29" w:themeColor="text2"/>
              <w:right w:val="nil"/>
            </w:tcBorders>
            <w:hideMark/>
          </w:tcPr>
          <w:p w14:paraId="5D9ABBD0" w14:textId="177B4B5A" w:rsidR="00BE1D36" w:rsidRDefault="00895316"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142407D0" w14:textId="77777777" w:rsidR="00BE1D36" w:rsidRDefault="00BE1D36" w:rsidP="006670D2">
            <w:pPr>
              <w:pStyle w:val="PullOutBoxBullet"/>
            </w:pPr>
            <w:r>
              <w:t xml:space="preserve">Surveys to locate extant populations and identify strategic refugia; </w:t>
            </w:r>
          </w:p>
          <w:p w14:paraId="454C6398" w14:textId="77777777" w:rsidR="00BE1D36" w:rsidRDefault="00BE1D36" w:rsidP="006670D2">
            <w:pPr>
              <w:pStyle w:val="PullOutBoxBullet"/>
            </w:pPr>
            <w:r>
              <w:t xml:space="preserve">Ongoing community education related to Seasonal Herbaceous Wetlands; </w:t>
            </w:r>
          </w:p>
          <w:p w14:paraId="1E959E6E" w14:textId="21B7995F" w:rsidR="00BE1D36" w:rsidRDefault="00BE1D36" w:rsidP="006670D2">
            <w:pPr>
              <w:pStyle w:val="PullOutBoxBullet"/>
            </w:pPr>
            <w:r>
              <w:t xml:space="preserve">Providing funding to private landowners who support high quality wetlands in the </w:t>
            </w:r>
            <w:r w:rsidR="001D3902">
              <w:t>species’</w:t>
            </w:r>
            <w:r>
              <w:t xml:space="preserve"> modelled range to fence off access to livestock; and </w:t>
            </w:r>
          </w:p>
          <w:p w14:paraId="6CEB9E20" w14:textId="68059620" w:rsidR="00BA72F7" w:rsidRDefault="00BE1D36" w:rsidP="006670D2">
            <w:pPr>
              <w:pStyle w:val="PullOutBoxBullet"/>
            </w:pPr>
            <w:r>
              <w:t>Inventory of potentially suitable habitat and support for community liaison by CMA and DELWP staff</w:t>
            </w:r>
            <w:r w:rsidR="004E63C9">
              <w:t>.</w:t>
            </w:r>
          </w:p>
        </w:tc>
      </w:tr>
    </w:tbl>
    <w:p w14:paraId="6308BB64" w14:textId="26E68706" w:rsidR="0003519D" w:rsidRDefault="0003519D" w:rsidP="007E5EBF">
      <w:pPr>
        <w:pStyle w:val="Heading5"/>
      </w:pPr>
      <w:bookmarkStart w:id="1316" w:name="_Toc88725501"/>
      <w:bookmarkStart w:id="1317" w:name="_Toc88725502"/>
      <w:bookmarkEnd w:id="1316"/>
      <w:r>
        <w:t>Loss of wetlands</w:t>
      </w:r>
    </w:p>
    <w:p w14:paraId="6109D8B9" w14:textId="2317434D" w:rsidR="0003519D" w:rsidRDefault="0003519D" w:rsidP="0003519D">
      <w:pPr>
        <w:pStyle w:val="BodyText"/>
      </w:pPr>
      <w:r>
        <w:t xml:space="preserve">Threats to the </w:t>
      </w:r>
      <w:r w:rsidR="001D3902">
        <w:t>species</w:t>
      </w:r>
      <w:r>
        <w:t> include the loss of wetlands by draining, cropping, development, stock grazing and physical damage to wetland habitats. This hazard applies to the West RFA</w:t>
      </w:r>
      <w:r w:rsidR="009B3219">
        <w:t xml:space="preserve"> region</w:t>
      </w:r>
      <w:r>
        <w:t xml:space="preserve"> and extends across 5-10% of the </w:t>
      </w:r>
      <w:r w:rsidR="001D3902">
        <w:t>species’</w:t>
      </w:r>
      <w:r>
        <w:t xml:space="preserve"> populations.  </w:t>
      </w:r>
    </w:p>
    <w:p w14:paraId="51CC128A" w14:textId="77777777" w:rsidR="0003519D" w:rsidRDefault="0003519D" w:rsidP="0003519D">
      <w:pPr>
        <w:pStyle w:val="BodyText"/>
      </w:pPr>
      <w:r>
        <w:t>Current controls for this hazard include:</w:t>
      </w:r>
    </w:p>
    <w:p w14:paraId="1CF0101A" w14:textId="77777777" w:rsidR="0003519D" w:rsidRDefault="0003519D" w:rsidP="006670D2">
      <w:pPr>
        <w:pStyle w:val="PullOutBoxBullet"/>
      </w:pPr>
      <w:r>
        <w:t>Native Vegetation Regulations (Victorian Planning Provisions)</w:t>
      </w:r>
    </w:p>
    <w:p w14:paraId="40A6725D" w14:textId="77777777" w:rsidR="0003519D" w:rsidRDefault="0003519D" w:rsidP="006670D2">
      <w:pPr>
        <w:pStyle w:val="PullOutBoxBullet"/>
      </w:pPr>
      <w:r>
        <w:t>Environmental Impact Assessments (EPBC Act) – listing of the Seasonally Herbaceous Wetlands of the Lowland Temperate Plains ecological community.</w:t>
      </w:r>
    </w:p>
    <w:p w14:paraId="4C7E271C" w14:textId="77777777" w:rsidR="0003519D" w:rsidRDefault="0003519D" w:rsidP="0003519D">
      <w:pPr>
        <w:pStyle w:val="BodyText"/>
      </w:pPr>
      <w:r>
        <w:t>These have both been evaluated as satisfactory as only a small percentage of wetlands have been cleared or drained in recent years. However, this is probably more related to the fact that most wetlands on the more arable lands were drained historically.</w:t>
      </w:r>
    </w:p>
    <w:p w14:paraId="457921C2" w14:textId="70D48B9C" w:rsidR="0003519D" w:rsidRPr="00FF310C" w:rsidRDefault="0003519D"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285</w:t>
      </w:r>
      <w:r w:rsidR="000B6788" w:rsidRPr="00B846FE">
        <w:rPr>
          <w:bCs/>
          <w:noProof/>
        </w:rPr>
        <w:fldChar w:fldCharType="end"/>
      </w:r>
      <w:r w:rsidRPr="00FF310C">
        <w:t>. Wavy Swamp Wallaby-grass protection requirements and recommendations for loss of wetlands</w:t>
      </w:r>
    </w:p>
    <w:tbl>
      <w:tblPr>
        <w:tblStyle w:val="TableGrid"/>
        <w:tblW w:w="0" w:type="auto"/>
        <w:tblLook w:val="04A0" w:firstRow="1" w:lastRow="0" w:firstColumn="1" w:lastColumn="0" w:noHBand="0" w:noVBand="1"/>
      </w:tblPr>
      <w:tblGrid>
        <w:gridCol w:w="2268"/>
        <w:gridCol w:w="7371"/>
      </w:tblGrid>
      <w:tr w:rsidR="0003519D" w14:paraId="58259AC1" w14:textId="77777777" w:rsidTr="00296E0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310EBDD" w14:textId="77777777" w:rsidR="0003519D" w:rsidRDefault="0003519D" w:rsidP="00296E0F">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4B3555B3" w14:textId="77777777" w:rsidR="0003519D" w:rsidRDefault="0003519D" w:rsidP="00296E0F">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03519D" w14:paraId="72FE53CF" w14:textId="77777777" w:rsidTr="00B45E4E">
        <w:tc>
          <w:tcPr>
            <w:tcW w:w="2268" w:type="dxa"/>
            <w:tcBorders>
              <w:top w:val="single" w:sz="8" w:space="0" w:color="CDDC29" w:themeColor="text2"/>
              <w:left w:val="nil"/>
              <w:bottom w:val="single" w:sz="8" w:space="0" w:color="CDDC29" w:themeColor="text2"/>
              <w:right w:val="nil"/>
            </w:tcBorders>
            <w:hideMark/>
          </w:tcPr>
          <w:p w14:paraId="35AEB914" w14:textId="70067550" w:rsidR="0003519D" w:rsidRDefault="004E63C9"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0AFEFB60" w14:textId="77777777" w:rsidR="0003519D" w:rsidRDefault="0003519D" w:rsidP="00B45E4E">
            <w:pPr>
              <w:pStyle w:val="BodyText"/>
            </w:pPr>
            <w:r>
              <w:t>Not required for this hazard based on the overall risk level of medium.</w:t>
            </w:r>
          </w:p>
        </w:tc>
      </w:tr>
      <w:tr w:rsidR="0003519D" w14:paraId="3321FFE6" w14:textId="77777777" w:rsidTr="00B45E4E">
        <w:tc>
          <w:tcPr>
            <w:tcW w:w="2268" w:type="dxa"/>
            <w:tcBorders>
              <w:top w:val="single" w:sz="8" w:space="0" w:color="CDDC29" w:themeColor="text2"/>
              <w:left w:val="nil"/>
              <w:bottom w:val="single" w:sz="8" w:space="0" w:color="CDDC29" w:themeColor="text2"/>
              <w:right w:val="nil"/>
            </w:tcBorders>
            <w:hideMark/>
          </w:tcPr>
          <w:p w14:paraId="059AEB6F" w14:textId="33CB43B6" w:rsidR="0003519D" w:rsidRDefault="004E63C9" w:rsidP="00B45E4E">
            <w:pPr>
              <w:pStyle w:val="BodyText"/>
            </w:pPr>
            <w:r>
              <w:t>Potential m</w:t>
            </w:r>
            <w:r w:rsidR="0003519D">
              <w:t>anagement actions</w:t>
            </w:r>
          </w:p>
        </w:tc>
        <w:tc>
          <w:tcPr>
            <w:tcW w:w="7371" w:type="dxa"/>
            <w:tcBorders>
              <w:top w:val="single" w:sz="8" w:space="0" w:color="CDDC29" w:themeColor="text2"/>
              <w:left w:val="nil"/>
              <w:bottom w:val="single" w:sz="8" w:space="0" w:color="CDDC29" w:themeColor="text2"/>
              <w:right w:val="nil"/>
            </w:tcBorders>
            <w:hideMark/>
          </w:tcPr>
          <w:p w14:paraId="2346C237" w14:textId="2F9EA7D9" w:rsidR="0003519D" w:rsidRDefault="0003519D" w:rsidP="006670D2">
            <w:pPr>
              <w:pStyle w:val="PullOutBoxBullet"/>
            </w:pPr>
            <w:r>
              <w:t>Ensure compliance with regulatory protections</w:t>
            </w:r>
            <w:r w:rsidR="004E63C9">
              <w:t>;</w:t>
            </w:r>
          </w:p>
          <w:p w14:paraId="6C9576FE" w14:textId="7F3EA3A9" w:rsidR="0003519D" w:rsidRDefault="0003519D" w:rsidP="006670D2">
            <w:pPr>
              <w:pStyle w:val="PullOutBoxBullet"/>
            </w:pPr>
            <w:r>
              <w:t>Provide incentives and support to landholders to protect important populations</w:t>
            </w:r>
            <w:r w:rsidR="004E63C9">
              <w:t>; and</w:t>
            </w:r>
          </w:p>
          <w:p w14:paraId="3D02E543" w14:textId="3B31E34C" w:rsidR="0003519D" w:rsidRDefault="00DA3EA3" w:rsidP="006670D2">
            <w:pPr>
              <w:pStyle w:val="PullOutBoxBullet"/>
            </w:pPr>
            <w:r>
              <w:t>I</w:t>
            </w:r>
            <w:r w:rsidR="0003519D">
              <w:t>nclude measures to maintain and enhance hydrological regimes in relevant strategies</w:t>
            </w:r>
            <w:r w:rsidR="004E63C9">
              <w:t>.</w:t>
            </w:r>
          </w:p>
        </w:tc>
      </w:tr>
    </w:tbl>
    <w:p w14:paraId="6E988D47" w14:textId="52D9C0C5" w:rsidR="00BE1D36" w:rsidRDefault="00BE1D36" w:rsidP="007E5EBF">
      <w:pPr>
        <w:pStyle w:val="Heading3"/>
      </w:pPr>
      <w:r>
        <w:rPr>
          <w:noProof/>
        </w:rPr>
        <mc:AlternateContent>
          <mc:Choice Requires="wps">
            <w:drawing>
              <wp:anchor distT="0" distB="0" distL="114300" distR="114300" simplePos="0" relativeHeight="251658462" behindDoc="1" locked="1" layoutInCell="1" allowOverlap="1" wp14:anchorId="6D8B3308" wp14:editId="6071146A">
                <wp:simplePos x="0" y="0"/>
                <wp:positionH relativeFrom="page">
                  <wp:posOffset>359410</wp:posOffset>
                </wp:positionH>
                <wp:positionV relativeFrom="page">
                  <wp:posOffset>9071610</wp:posOffset>
                </wp:positionV>
                <wp:extent cx="6840220" cy="431800"/>
                <wp:effectExtent l="0" t="0" r="0" b="0"/>
                <wp:wrapNone/>
                <wp:docPr id="1416" name="Text Box 1416"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25A4A"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B3308" id="Text Box 1416" o:spid="_x0000_s1157" type="#_x0000_t202" alt="Title: Decorative Cover Shape" style="position:absolute;left:0;text-align:left;margin-left:28.3pt;margin-top:714.3pt;width:538.6pt;height:34pt;z-index:-25165801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OgNzt5/AgAA&#10;YwUAAA4AAAAAAAAAAAAAAAAALgIAAGRycy9lMm9Eb2MueG1sUEsBAi0AFAAGAAgAAAAhAJFrJtfd&#10;AAAADQEAAA8AAAAAAAAAAAAAAAAA2QQAAGRycy9kb3ducmV2LnhtbFBLBQYAAAAABAAEAPMAAADj&#10;BQAAAAA=&#10;" fillcolor="#201547" stroked="f" strokeweight=".5pt">
                <v:textbox inset="10mm,0,10mm,0">
                  <w:txbxContent>
                    <w:p w14:paraId="2CA25A4A"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61" behindDoc="0" locked="1" layoutInCell="1" allowOverlap="1" wp14:anchorId="1031B804" wp14:editId="7B13113B">
                <wp:simplePos x="0" y="0"/>
                <wp:positionH relativeFrom="page">
                  <wp:posOffset>360045</wp:posOffset>
                </wp:positionH>
                <wp:positionV relativeFrom="page">
                  <wp:posOffset>360045</wp:posOffset>
                </wp:positionV>
                <wp:extent cx="1864995" cy="1976120"/>
                <wp:effectExtent l="0" t="0" r="0" b="0"/>
                <wp:wrapNone/>
                <wp:docPr id="1380" name="Freeform: Shape 138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2F57E42" id="Freeform: Shape 1380" o:spid="_x0000_s1026" style="position:absolute;margin-left:28.35pt;margin-top:28.35pt;width:146.85pt;height:155.6pt;z-index:25165846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460" behindDoc="0" locked="1" layoutInCell="1" allowOverlap="1" wp14:anchorId="5E6D198A" wp14:editId="5B0B7830">
                <wp:simplePos x="0" y="0"/>
                <wp:positionH relativeFrom="page">
                  <wp:posOffset>359410</wp:posOffset>
                </wp:positionH>
                <wp:positionV relativeFrom="page">
                  <wp:posOffset>359410</wp:posOffset>
                </wp:positionV>
                <wp:extent cx="1864995" cy="1976120"/>
                <wp:effectExtent l="0" t="0" r="0" b="0"/>
                <wp:wrapNone/>
                <wp:docPr id="1382" name="Freeform: Shape 138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9486C2" id="Freeform: Shape 1382" o:spid="_x0000_s1026" style="position:absolute;margin-left:28.3pt;margin-top:28.3pt;width:146.85pt;height:155.6pt;z-index:2516584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459" behindDoc="0" locked="1" layoutInCell="1" allowOverlap="1" wp14:anchorId="1A79A3CB" wp14:editId="5E73005D">
                <wp:simplePos x="0" y="0"/>
                <wp:positionH relativeFrom="page">
                  <wp:posOffset>0</wp:posOffset>
                </wp:positionH>
                <wp:positionV relativeFrom="page">
                  <wp:align>bottom</wp:align>
                </wp:positionV>
                <wp:extent cx="3848100" cy="720090"/>
                <wp:effectExtent l="0" t="0" r="0" b="0"/>
                <wp:wrapNone/>
                <wp:docPr id="1419" name="Text Box 1419"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3B9D5"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9A3CB" id="Text Box 1419" o:spid="_x0000_s1158" type="#_x0000_t202" style="position:absolute;left:0;text-align:left;margin-left:0;margin-top:0;width:303pt;height:56.7pt;z-index:25165845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9aYd1G8CAAA/BQAADgAAAAAAAAAAAAAAAAAu&#10;AgAAZHJzL2Uyb0RvYy54bWxQSwECLQAUAAYACAAAACEA9MrPqNoAAAAFAQAADwAAAAAAAAAAAAAA&#10;AADJBAAAZHJzL2Rvd25yZXYueG1sUEsFBgAAAAAEAAQA8wAAANAFAAAAAA==&#10;" filled="f" stroked="f" strokeweight=".5pt">
                <v:textbox inset="20mm">
                  <w:txbxContent>
                    <w:p w14:paraId="0C93B9D5" w14:textId="77777777" w:rsidR="00BE1D36" w:rsidRDefault="00BE1D36" w:rsidP="00BE1D36">
                      <w:pPr>
                        <w:pStyle w:val="xWebCoverPage"/>
                      </w:pPr>
                      <w:r>
                        <w:t>delwp.vic.gov.au</w:t>
                      </w:r>
                    </w:p>
                  </w:txbxContent>
                </v:textbox>
                <w10:wrap anchorx="page" anchory="page"/>
                <w10:anchorlock/>
              </v:shape>
            </w:pict>
          </mc:Fallback>
        </mc:AlternateContent>
      </w:r>
      <w:bookmarkStart w:id="1318" w:name="_Toc88725503"/>
      <w:bookmarkStart w:id="1319" w:name="_Toc88725504"/>
      <w:bookmarkStart w:id="1320" w:name="_Toc88725505"/>
      <w:bookmarkStart w:id="1321" w:name="_Toc88725506"/>
      <w:bookmarkStart w:id="1322" w:name="_Toc88725507"/>
      <w:bookmarkStart w:id="1323" w:name="_Toc88725508"/>
      <w:bookmarkStart w:id="1324" w:name="_Toc88725509"/>
      <w:bookmarkStart w:id="1325" w:name="_Toc88725510"/>
      <w:bookmarkStart w:id="1326" w:name="_Toc88725511"/>
      <w:bookmarkStart w:id="1327" w:name="_Toc88725512"/>
      <w:bookmarkStart w:id="1328" w:name="_Toc88725513"/>
      <w:bookmarkStart w:id="1329" w:name="_Toc88725515"/>
      <w:bookmarkStart w:id="1330" w:name="_Toc88725517"/>
      <w:bookmarkStart w:id="1331" w:name="_Toc88725519"/>
      <w:bookmarkStart w:id="1332" w:name="_Toc88725521"/>
      <w:bookmarkStart w:id="1333" w:name="_Toc88725522"/>
      <w:bookmarkStart w:id="1334" w:name="_Toc88725523"/>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r>
        <w:t>Invasive species</w:t>
      </w:r>
    </w:p>
    <w:p w14:paraId="6D70BE0C" w14:textId="77777777" w:rsidR="00BE1D36" w:rsidRDefault="00BE1D36" w:rsidP="007E5EBF">
      <w:pPr>
        <w:pStyle w:val="Heading5"/>
      </w:pPr>
      <w:r>
        <w:t>Invasive vertebrate (pigs)</w:t>
      </w:r>
    </w:p>
    <w:p w14:paraId="1937C9DF" w14:textId="7C6328E6" w:rsidR="00BE1D36" w:rsidRDefault="00BE1D36" w:rsidP="00BE1D36">
      <w:pPr>
        <w:pStyle w:val="BodyText"/>
      </w:pPr>
      <w:r>
        <w:t xml:space="preserve">The </w:t>
      </w:r>
      <w:r w:rsidR="001D3902">
        <w:t>species</w:t>
      </w:r>
      <w:r>
        <w:t xml:space="preserve"> may be threatened by habitat damage by feral pigs, which extends across 50-60% of the </w:t>
      </w:r>
      <w:r w:rsidR="001D3902">
        <w:t>species’</w:t>
      </w:r>
      <w:r>
        <w:t xml:space="preserve"> habitat in the West RFA</w:t>
      </w:r>
      <w:r w:rsidR="009B3219">
        <w:t xml:space="preserve"> region</w:t>
      </w:r>
      <w:r>
        <w:t>. Pigs can potentially rip out plants, turn over the soil layer and aid the invasion of weeds which can degrade water quality.</w:t>
      </w:r>
    </w:p>
    <w:p w14:paraId="0C483F11" w14:textId="77777777" w:rsidR="00BE1D36" w:rsidRDefault="00BE1D36" w:rsidP="00BE1D36">
      <w:pPr>
        <w:pStyle w:val="BodyText"/>
      </w:pPr>
      <w:r>
        <w:t>Current controls for this hazard include:</w:t>
      </w:r>
    </w:p>
    <w:p w14:paraId="4AA8147D" w14:textId="77777777" w:rsidR="00BE1D36" w:rsidRDefault="00BE1D36" w:rsidP="006670D2">
      <w:pPr>
        <w:pStyle w:val="PullOutBoxBullet"/>
      </w:pPr>
      <w:r>
        <w:t xml:space="preserve">Local feral control programs. These have been evaluated as poor as pigs are difficult to control and most control programs to date appear to have failed to eradicate them or significantly reduce numbers. </w:t>
      </w:r>
    </w:p>
    <w:p w14:paraId="36B36448" w14:textId="77777777" w:rsidR="005F2014" w:rsidRDefault="005F2014">
      <w:pPr>
        <w:rPr>
          <w:b/>
          <w:bCs/>
          <w:sz w:val="16"/>
        </w:rPr>
      </w:pPr>
      <w:r>
        <w:br w:type="page"/>
      </w:r>
    </w:p>
    <w:p w14:paraId="2D26EAC9" w14:textId="3B5F22BA"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286</w:t>
      </w:r>
      <w:r w:rsidR="000B6788" w:rsidRPr="00B846FE">
        <w:rPr>
          <w:bCs/>
          <w:noProof/>
        </w:rPr>
        <w:fldChar w:fldCharType="end"/>
      </w:r>
      <w:r w:rsidRPr="00FF310C">
        <w:t>. Wavy Swamp Wallaby-grass protection requirements and recommendations for invasive vertebrate (pigs)</w:t>
      </w:r>
    </w:p>
    <w:tbl>
      <w:tblPr>
        <w:tblStyle w:val="TableGrid"/>
        <w:tblW w:w="0" w:type="auto"/>
        <w:tblLook w:val="04A0" w:firstRow="1" w:lastRow="0" w:firstColumn="1" w:lastColumn="0" w:noHBand="0" w:noVBand="1"/>
      </w:tblPr>
      <w:tblGrid>
        <w:gridCol w:w="2268"/>
        <w:gridCol w:w="7371"/>
      </w:tblGrid>
      <w:tr w:rsidR="00BE1D36" w14:paraId="252AC94D"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4909DFA9"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1AD62A8B"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0459E3A4" w14:textId="77777777" w:rsidTr="00B45E4E">
        <w:tc>
          <w:tcPr>
            <w:tcW w:w="2268" w:type="dxa"/>
            <w:tcBorders>
              <w:top w:val="single" w:sz="8" w:space="0" w:color="CDDC29" w:themeColor="text2"/>
              <w:left w:val="nil"/>
              <w:bottom w:val="single" w:sz="8" w:space="0" w:color="CDDC29" w:themeColor="text2"/>
              <w:right w:val="nil"/>
            </w:tcBorders>
            <w:hideMark/>
          </w:tcPr>
          <w:p w14:paraId="7579484A" w14:textId="5D7A3B17" w:rsidR="00BE1D36" w:rsidRDefault="004E63C9"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48D73D5D" w14:textId="77777777" w:rsidR="00BE1D36" w:rsidRDefault="00BE1D36" w:rsidP="00B45E4E">
            <w:pPr>
              <w:pStyle w:val="BodyText"/>
            </w:pPr>
            <w:r>
              <w:t>Not required for this hazard as it is a longer-term threat.</w:t>
            </w:r>
          </w:p>
        </w:tc>
      </w:tr>
      <w:tr w:rsidR="00BE1D36" w14:paraId="12A79AFB" w14:textId="77777777" w:rsidTr="00B45E4E">
        <w:tc>
          <w:tcPr>
            <w:tcW w:w="2268" w:type="dxa"/>
            <w:tcBorders>
              <w:top w:val="single" w:sz="8" w:space="0" w:color="CDDC29" w:themeColor="text2"/>
              <w:left w:val="nil"/>
              <w:bottom w:val="single" w:sz="8" w:space="0" w:color="CDDC29" w:themeColor="text2"/>
              <w:right w:val="nil"/>
            </w:tcBorders>
            <w:hideMark/>
          </w:tcPr>
          <w:p w14:paraId="54B98186" w14:textId="2537786B" w:rsidR="00BE1D36" w:rsidRDefault="004E63C9"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216E5A21" w14:textId="3D60680E" w:rsidR="007220E7" w:rsidRPr="00FD57DB" w:rsidRDefault="00BE1D36" w:rsidP="006670D2">
            <w:pPr>
              <w:pStyle w:val="PullOutBoxBullet"/>
              <w:rPr>
                <w:rFonts w:cs="Arial"/>
                <w:sz w:val="20"/>
              </w:rPr>
            </w:pPr>
            <w:r>
              <w:t xml:space="preserve">Control pigs at sites where the </w:t>
            </w:r>
            <w:r w:rsidR="001D3902">
              <w:t>species</w:t>
            </w:r>
            <w:r>
              <w:t xml:space="preserve"> is present; and </w:t>
            </w:r>
          </w:p>
          <w:p w14:paraId="6BAACDD7" w14:textId="4192270B" w:rsidR="00BE1D36" w:rsidRDefault="007220E7" w:rsidP="006670D2">
            <w:pPr>
              <w:pStyle w:val="PullOutBoxBullet"/>
              <w:rPr>
                <w:rFonts w:cs="Arial"/>
                <w:sz w:val="20"/>
              </w:rPr>
            </w:pPr>
            <w:r>
              <w:t>M</w:t>
            </w:r>
            <w:r w:rsidR="00BE1D36">
              <w:t>onitor the impact of pigs at those sites.</w:t>
            </w:r>
          </w:p>
        </w:tc>
      </w:tr>
    </w:tbl>
    <w:p w14:paraId="42F15BFC" w14:textId="7483637E" w:rsidR="00BE1D36" w:rsidRDefault="00BE1D36" w:rsidP="007E5EBF">
      <w:pPr>
        <w:pStyle w:val="Heading5"/>
        <w:rPr>
          <w:sz w:val="18"/>
          <w:szCs w:val="18"/>
        </w:rPr>
      </w:pPr>
      <w:r>
        <w:rPr>
          <w:noProof/>
          <w:sz w:val="18"/>
          <w:szCs w:val="18"/>
        </w:rPr>
        <mc:AlternateContent>
          <mc:Choice Requires="wps">
            <w:drawing>
              <wp:anchor distT="0" distB="0" distL="114300" distR="114300" simplePos="0" relativeHeight="251658466" behindDoc="1" locked="1" layoutInCell="1" allowOverlap="1" wp14:anchorId="478D625C" wp14:editId="7353E4F4">
                <wp:simplePos x="0" y="0"/>
                <wp:positionH relativeFrom="page">
                  <wp:posOffset>359410</wp:posOffset>
                </wp:positionH>
                <wp:positionV relativeFrom="page">
                  <wp:posOffset>9071610</wp:posOffset>
                </wp:positionV>
                <wp:extent cx="6840220" cy="431800"/>
                <wp:effectExtent l="0" t="0" r="0" b="0"/>
                <wp:wrapNone/>
                <wp:docPr id="1421" name="Text Box 1421"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7305E"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D625C" id="Text Box 1421" o:spid="_x0000_s1159" type="#_x0000_t202" alt="Title: Decorative Cover Shape" style="position:absolute;left:0;text-align:left;margin-left:28.3pt;margin-top:714.3pt;width:538.6pt;height:34pt;z-index:-25165801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BcU7O4gAIA&#10;AGMFAAAOAAAAAAAAAAAAAAAAAC4CAABkcnMvZTJvRG9jLnhtbFBLAQItABQABgAIAAAAIQCRaybX&#10;3QAAAA0BAAAPAAAAAAAAAAAAAAAAANoEAABkcnMvZG93bnJldi54bWxQSwUGAAAAAAQABADzAAAA&#10;5AUAAAAA&#10;" fillcolor="#201547" stroked="f" strokeweight=".5pt">
                <v:textbox inset="10mm,0,10mm,0">
                  <w:txbxContent>
                    <w:p w14:paraId="12A7305E"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sz w:val="18"/>
          <w:szCs w:val="18"/>
        </w:rPr>
        <mc:AlternateContent>
          <mc:Choice Requires="wps">
            <w:drawing>
              <wp:anchor distT="0" distB="0" distL="114300" distR="114300" simplePos="0" relativeHeight="251658465" behindDoc="0" locked="1" layoutInCell="1" allowOverlap="1" wp14:anchorId="1603456E" wp14:editId="265B0D12">
                <wp:simplePos x="0" y="0"/>
                <wp:positionH relativeFrom="page">
                  <wp:posOffset>360045</wp:posOffset>
                </wp:positionH>
                <wp:positionV relativeFrom="page">
                  <wp:posOffset>360045</wp:posOffset>
                </wp:positionV>
                <wp:extent cx="1864995" cy="1976120"/>
                <wp:effectExtent l="0" t="0" r="0" b="0"/>
                <wp:wrapNone/>
                <wp:docPr id="1383" name="Freeform: Shape 138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F523BA4" id="Freeform: Shape 1383" o:spid="_x0000_s1026" style="position:absolute;margin-left:28.35pt;margin-top:28.35pt;width:146.85pt;height:155.6pt;z-index:25165846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sz w:val="18"/>
          <w:szCs w:val="18"/>
        </w:rPr>
        <mc:AlternateContent>
          <mc:Choice Requires="wps">
            <w:drawing>
              <wp:anchor distT="0" distB="0" distL="114300" distR="114300" simplePos="0" relativeHeight="251658464" behindDoc="0" locked="1" layoutInCell="1" allowOverlap="1" wp14:anchorId="168B56EB" wp14:editId="0495BD08">
                <wp:simplePos x="0" y="0"/>
                <wp:positionH relativeFrom="page">
                  <wp:posOffset>359410</wp:posOffset>
                </wp:positionH>
                <wp:positionV relativeFrom="page">
                  <wp:posOffset>359410</wp:posOffset>
                </wp:positionV>
                <wp:extent cx="1864995" cy="1976120"/>
                <wp:effectExtent l="0" t="0" r="0" b="0"/>
                <wp:wrapNone/>
                <wp:docPr id="1384" name="Freeform: Shape 13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F43ABFB" id="Freeform: Shape 1384" o:spid="_x0000_s1026" style="position:absolute;margin-left:28.3pt;margin-top:28.3pt;width:146.85pt;height:155.6pt;z-index:251658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sz w:val="18"/>
          <w:szCs w:val="18"/>
        </w:rPr>
        <mc:AlternateContent>
          <mc:Choice Requires="wps">
            <w:drawing>
              <wp:anchor distT="0" distB="0" distL="114300" distR="114300" simplePos="0" relativeHeight="251658463" behindDoc="0" locked="1" layoutInCell="1" allowOverlap="1" wp14:anchorId="7A92338F" wp14:editId="6BEC6D24">
                <wp:simplePos x="0" y="0"/>
                <wp:positionH relativeFrom="page">
                  <wp:posOffset>0</wp:posOffset>
                </wp:positionH>
                <wp:positionV relativeFrom="page">
                  <wp:align>bottom</wp:align>
                </wp:positionV>
                <wp:extent cx="3848100" cy="720090"/>
                <wp:effectExtent l="0" t="0" r="0" b="0"/>
                <wp:wrapNone/>
                <wp:docPr id="1424" name="Text Box 1424"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01F6E"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338F" id="Text Box 1424" o:spid="_x0000_s1160" type="#_x0000_t202" style="position:absolute;left:0;text-align:left;margin-left:0;margin-top:0;width:303pt;height:56.7pt;z-index:25165846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HYNA7G8CAAA/BQAADgAAAAAAAAAAAAAAAAAu&#10;AgAAZHJzL2Uyb0RvYy54bWxQSwECLQAUAAYACAAAACEA9MrPqNoAAAAFAQAADwAAAAAAAAAAAAAA&#10;AADJBAAAZHJzL2Rvd25yZXYueG1sUEsFBgAAAAAEAAQA8wAAANAFAAAAAA==&#10;" filled="f" stroked="f" strokeweight=".5pt">
                <v:textbox inset="20mm">
                  <w:txbxContent>
                    <w:p w14:paraId="54501F6E" w14:textId="77777777" w:rsidR="00BE1D36" w:rsidRDefault="00BE1D36" w:rsidP="00BE1D36">
                      <w:pPr>
                        <w:pStyle w:val="xWebCoverPage"/>
                      </w:pPr>
                      <w:r>
                        <w:t>delwp.vic.gov.au</w:t>
                      </w:r>
                    </w:p>
                  </w:txbxContent>
                </v:textbox>
                <w10:wrap anchorx="page" anchory="page"/>
                <w10:anchorlock/>
              </v:shape>
            </w:pict>
          </mc:Fallback>
        </mc:AlternateContent>
      </w:r>
      <w:r>
        <w:rPr>
          <w:noProof/>
          <w:sz w:val="18"/>
          <w:szCs w:val="18"/>
        </w:rPr>
        <mc:AlternateContent>
          <mc:Choice Requires="wps">
            <w:drawing>
              <wp:anchor distT="0" distB="0" distL="114300" distR="114300" simplePos="0" relativeHeight="251658470" behindDoc="1" locked="1" layoutInCell="1" allowOverlap="1" wp14:anchorId="55D0EC02" wp14:editId="3F8EACA6">
                <wp:simplePos x="0" y="0"/>
                <wp:positionH relativeFrom="page">
                  <wp:posOffset>359410</wp:posOffset>
                </wp:positionH>
                <wp:positionV relativeFrom="page">
                  <wp:posOffset>9071610</wp:posOffset>
                </wp:positionV>
                <wp:extent cx="6840220" cy="431800"/>
                <wp:effectExtent l="0" t="0" r="0" b="0"/>
                <wp:wrapNone/>
                <wp:docPr id="1431" name="Text Box 1431"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F300A"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EC02" id="Text Box 1431" o:spid="_x0000_s1161" type="#_x0000_t202" alt="Title: Decorative Cover Shape" style="position:absolute;left:0;text-align:left;margin-left:28.3pt;margin-top:714.3pt;width:538.6pt;height:34pt;z-index:-25165801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" fillcolor="#201547" stroked="f" strokeweight=".5pt">
                <v:textbox inset="10mm,0,10mm,0">
                  <w:txbxContent>
                    <w:p w14:paraId="4BCF300A"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sz w:val="18"/>
          <w:szCs w:val="18"/>
        </w:rPr>
        <mc:AlternateContent>
          <mc:Choice Requires="wps">
            <w:drawing>
              <wp:anchor distT="0" distB="0" distL="114300" distR="114300" simplePos="0" relativeHeight="251658469" behindDoc="0" locked="1" layoutInCell="1" allowOverlap="1" wp14:anchorId="4AFAFAB1" wp14:editId="3F20E09D">
                <wp:simplePos x="0" y="0"/>
                <wp:positionH relativeFrom="page">
                  <wp:posOffset>360045</wp:posOffset>
                </wp:positionH>
                <wp:positionV relativeFrom="page">
                  <wp:posOffset>360045</wp:posOffset>
                </wp:positionV>
                <wp:extent cx="1864995" cy="1976120"/>
                <wp:effectExtent l="0" t="0" r="0" b="0"/>
                <wp:wrapNone/>
                <wp:docPr id="1385" name="Freeform: Shape 13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C1481F" id="Freeform: Shape 1385" o:spid="_x0000_s1026" style="position:absolute;margin-left:28.35pt;margin-top:28.35pt;width:146.85pt;height:155.6pt;z-index:25165846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sz w:val="18"/>
          <w:szCs w:val="18"/>
        </w:rPr>
        <mc:AlternateContent>
          <mc:Choice Requires="wps">
            <w:drawing>
              <wp:anchor distT="0" distB="0" distL="114300" distR="114300" simplePos="0" relativeHeight="251658468" behindDoc="0" locked="1" layoutInCell="1" allowOverlap="1" wp14:anchorId="19703CB5" wp14:editId="7C7D9DDE">
                <wp:simplePos x="0" y="0"/>
                <wp:positionH relativeFrom="page">
                  <wp:posOffset>359410</wp:posOffset>
                </wp:positionH>
                <wp:positionV relativeFrom="page">
                  <wp:posOffset>359410</wp:posOffset>
                </wp:positionV>
                <wp:extent cx="1864995" cy="1976120"/>
                <wp:effectExtent l="0" t="0" r="0" b="0"/>
                <wp:wrapNone/>
                <wp:docPr id="1386" name="Freeform: Shape 13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4E3564D" id="Freeform: Shape 1386" o:spid="_x0000_s1026" style="position:absolute;margin-left:28.3pt;margin-top:28.3pt;width:146.85pt;height:155.6pt;z-index:2516584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sz w:val="18"/>
          <w:szCs w:val="18"/>
        </w:rPr>
        <mc:AlternateContent>
          <mc:Choice Requires="wps">
            <w:drawing>
              <wp:anchor distT="0" distB="0" distL="114300" distR="114300" simplePos="0" relativeHeight="251658467" behindDoc="0" locked="1" layoutInCell="1" allowOverlap="1" wp14:anchorId="01D5AE85" wp14:editId="28EA1681">
                <wp:simplePos x="0" y="0"/>
                <wp:positionH relativeFrom="page">
                  <wp:posOffset>0</wp:posOffset>
                </wp:positionH>
                <wp:positionV relativeFrom="page">
                  <wp:align>bottom</wp:align>
                </wp:positionV>
                <wp:extent cx="3848100" cy="720090"/>
                <wp:effectExtent l="0" t="0" r="0" b="0"/>
                <wp:wrapNone/>
                <wp:docPr id="1434" name="Text Box 1434"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D3BFD"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5AE85" id="Text Box 1434" o:spid="_x0000_s1162" type="#_x0000_t202" style="position:absolute;left:0;text-align:left;margin-left:0;margin-top:0;width:303pt;height:56.7pt;z-index:25165846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" filled="f" stroked="f" strokeweight=".5pt">
                <v:textbox inset="20mm">
                  <w:txbxContent>
                    <w:p w14:paraId="5C5D3BFD" w14:textId="77777777" w:rsidR="00BE1D36" w:rsidRDefault="00BE1D36" w:rsidP="00BE1D36">
                      <w:pPr>
                        <w:pStyle w:val="xWebCoverPage"/>
                      </w:pPr>
                      <w:r>
                        <w:t>delwp.vic.gov.au</w:t>
                      </w:r>
                    </w:p>
                  </w:txbxContent>
                </v:textbox>
                <w10:wrap anchorx="page" anchory="page"/>
                <w10:anchorlock/>
              </v:shape>
            </w:pict>
          </mc:Fallback>
        </mc:AlternateContent>
      </w:r>
      <w:r>
        <w:t>Invasive plant (weeds)</w:t>
      </w:r>
    </w:p>
    <w:p w14:paraId="4062B35B" w14:textId="41DC30EA" w:rsidR="00BE1D36" w:rsidRDefault="00BE1D36" w:rsidP="00BE1D36">
      <w:pPr>
        <w:pStyle w:val="BodyText"/>
        <w:rPr>
          <w:rFonts w:ascii="Calibri" w:hAnsi="Calibri" w:cs="Calibri"/>
          <w:color w:val="000000"/>
          <w:sz w:val="22"/>
          <w:szCs w:val="22"/>
        </w:rPr>
      </w:pPr>
      <w:r>
        <w:t xml:space="preserve">The </w:t>
      </w:r>
      <w:r w:rsidR="001D3902">
        <w:t>species</w:t>
      </w:r>
      <w:r>
        <w:t xml:space="preserve"> may be threatened by changes to wetland hydrology linked to weed invasion by herbaceous and woody weeds (e.g., Water Couch (</w:t>
      </w:r>
      <w:r>
        <w:rPr>
          <w:i/>
          <w:iCs/>
        </w:rPr>
        <w:t>Paspalum distichum</w:t>
      </w:r>
      <w:r>
        <w:t>)</w:t>
      </w:r>
      <w:r>
        <w:rPr>
          <w:i/>
          <w:iCs/>
        </w:rPr>
        <w:t>,</w:t>
      </w:r>
      <w:r>
        <w:t xml:space="preserve"> Toowoomba Canary-grass</w:t>
      </w:r>
      <w:r>
        <w:rPr>
          <w:i/>
          <w:iCs/>
        </w:rPr>
        <w:t xml:space="preserve"> </w:t>
      </w:r>
      <w:r>
        <w:t>(</w:t>
      </w:r>
      <w:r>
        <w:rPr>
          <w:i/>
          <w:iCs/>
        </w:rPr>
        <w:t>Phalaris aquatica</w:t>
      </w:r>
      <w:r>
        <w:t>)</w:t>
      </w:r>
      <w:r>
        <w:rPr>
          <w:i/>
          <w:iCs/>
        </w:rPr>
        <w:t xml:space="preserve">, </w:t>
      </w:r>
      <w:r>
        <w:t>Reed Canary-grass (</w:t>
      </w:r>
      <w:r>
        <w:rPr>
          <w:i/>
          <w:iCs/>
        </w:rPr>
        <w:t>Phalaris arundinacea</w:t>
      </w:r>
      <w:r>
        <w:t>)</w:t>
      </w:r>
      <w:r>
        <w:rPr>
          <w:i/>
          <w:iCs/>
        </w:rPr>
        <w:t xml:space="preserve">, </w:t>
      </w:r>
      <w:r>
        <w:t>Grey Sallow (</w:t>
      </w:r>
      <w:r>
        <w:rPr>
          <w:i/>
          <w:iCs/>
        </w:rPr>
        <w:t>Salix cinerea</w:t>
      </w:r>
      <w:r>
        <w:t>)</w:t>
      </w:r>
      <w:r>
        <w:rPr>
          <w:i/>
          <w:iCs/>
        </w:rPr>
        <w:t>,</w:t>
      </w:r>
      <w:r>
        <w:t xml:space="preserve"> and Coastal Wattle</w:t>
      </w:r>
      <w:r>
        <w:rPr>
          <w:i/>
          <w:iCs/>
        </w:rPr>
        <w:t xml:space="preserve"> </w:t>
      </w:r>
      <w:r>
        <w:t>(</w:t>
      </w:r>
      <w:r>
        <w:rPr>
          <w:i/>
          <w:iCs/>
        </w:rPr>
        <w:t xml:space="preserve">Acacia longifolia </w:t>
      </w:r>
      <w:r>
        <w:t xml:space="preserve">subsp. </w:t>
      </w:r>
      <w:r>
        <w:rPr>
          <w:i/>
          <w:iCs/>
        </w:rPr>
        <w:t>sophorae</w:t>
      </w:r>
      <w:r>
        <w:t>)</w:t>
      </w:r>
      <w:r w:rsidR="007220E7">
        <w:t>)</w:t>
      </w:r>
      <w:r>
        <w:t xml:space="preserve">. The </w:t>
      </w:r>
      <w:r w:rsidR="001D3902">
        <w:t>species</w:t>
      </w:r>
      <w:r>
        <w:t xml:space="preserve"> is impacted by competition from inundation-tolerant introduced grasses and forbs, exacerbated by elevated nutrient levels, fragmentation of native vegetation, and land-use practises including draining of wetlands. However, in the absence of elevated nutrients and disturbed hydrology, much of the relevant habitat for this </w:t>
      </w:r>
      <w:r w:rsidR="001D3902">
        <w:t>species</w:t>
      </w:r>
      <w:r>
        <w:t xml:space="preserve"> is relatively resilient to weed invasion </w:t>
      </w:r>
      <w:r w:rsidR="00D825B0">
        <w:t>because of</w:t>
      </w:r>
      <w:r>
        <w:t xml:space="preserve"> the inundation regime. Climate change can increase the capacity of introduced plant species to competitively occupy the habitat</w:t>
      </w:r>
      <w:r w:rsidR="00D825B0">
        <w:t xml:space="preserve"> and</w:t>
      </w:r>
      <w:r>
        <w:t xml:space="preserve"> increase the likelihood of attempted agricultural intensification (e.g., drainage, ploughing, cropping) within the habitat. Establishment of plantations in the vicinity of wetlands may also contribute to desiccation of the habitat. Change in water content of wetlands supporting the </w:t>
      </w:r>
      <w:r w:rsidR="001D3902">
        <w:t>species</w:t>
      </w:r>
      <w:r>
        <w:t xml:space="preserve"> through climate change and/or water table draw-down from proximity to plantations is likely to tip competitive advantage to less specialised aquatic/semi-aquatic weedy taxa. This hazard extends across all the </w:t>
      </w:r>
      <w:r w:rsidR="001D3902">
        <w:t>species’</w:t>
      </w:r>
      <w:r>
        <w:t xml:space="preserve"> habitat, with </w:t>
      </w:r>
      <w:r w:rsidR="00D825B0">
        <w:t>most of</w:t>
      </w:r>
      <w:r>
        <w:t xml:space="preserve"> the </w:t>
      </w:r>
      <w:r w:rsidR="001D3902">
        <w:t>species</w:t>
      </w:r>
      <w:r>
        <w:t xml:space="preserve"> restricted to wetlands on plains in the West RFA</w:t>
      </w:r>
      <w:r w:rsidR="009B3219">
        <w:t xml:space="preserve"> region</w:t>
      </w:r>
      <w:r>
        <w:t xml:space="preserve">, </w:t>
      </w:r>
      <w:r w:rsidR="00CB48B4">
        <w:t>with</w:t>
      </w:r>
      <w:r>
        <w:t xml:space="preserve"> small numbers of collections from wet sites in montane tableland areas of East Gippsland, and wetlands on the Gippsland Plains and Phillip Island.</w:t>
      </w:r>
    </w:p>
    <w:p w14:paraId="2587779C" w14:textId="77777777" w:rsidR="00BE1D36" w:rsidRDefault="00BE1D36" w:rsidP="00BE1D36">
      <w:pPr>
        <w:pStyle w:val="BodyText"/>
      </w:pPr>
      <w:r>
        <w:t>Current controls for this hazard include:</w:t>
      </w:r>
    </w:p>
    <w:p w14:paraId="5904756F" w14:textId="2F3B3624" w:rsidR="00BE1D36" w:rsidRDefault="00BE1D36" w:rsidP="006670D2">
      <w:pPr>
        <w:pStyle w:val="PullOutBoxBullet"/>
      </w:pPr>
      <w:r>
        <w:t xml:space="preserve">The </w:t>
      </w:r>
      <w:r>
        <w:rPr>
          <w:i/>
          <w:iCs/>
        </w:rPr>
        <w:t>Catchment and Land Protection Act 1994.</w:t>
      </w:r>
      <w:r>
        <w:t xml:space="preserve"> This has been evaluated as poor as the selective and effective control of semi-aquatic introduced grasses such as Water Couch</w:t>
      </w:r>
      <w:r>
        <w:rPr>
          <w:i/>
          <w:iCs/>
        </w:rPr>
        <w:t xml:space="preserve"> </w:t>
      </w:r>
      <w:r>
        <w:t xml:space="preserve">is difficult, and consequently outside of the scope and resources of most weed control programs. Weeds other than high-visibility ones are poorly managed, and those that are likely to affect populations of the </w:t>
      </w:r>
      <w:r w:rsidR="001D3902">
        <w:t>species</w:t>
      </w:r>
      <w:r>
        <w:rPr>
          <w:i/>
          <w:iCs/>
        </w:rPr>
        <w:t xml:space="preserve"> </w:t>
      </w:r>
      <w:r>
        <w:t>are more subtle in appearance, thus less likely to attract management actions.</w:t>
      </w:r>
    </w:p>
    <w:p w14:paraId="1B1A1465" w14:textId="3AD906A2" w:rsidR="00BE1D36" w:rsidRDefault="00BE1D36" w:rsidP="006670D2">
      <w:pPr>
        <w:pStyle w:val="PullOutBoxBullet"/>
      </w:pPr>
      <w:r>
        <w:t xml:space="preserve">Targeted invasive species programs. These have been evaluated as poor because selective and effective weed spraying in wetland habitats is difficult and time consuming, especially over broader areas, requiring strategic timing over wetting and drying cycles, and is consequently outside of the scope and resources of most weed control programs.  Resources are rarely available for more careful ecological rehabilitation work by skilled revegetators, which requires high-level plant identification skills, and may involve the use of spray-hoods or wiping of weeds, hand removal of plants and selective protection of remnant flora. Very few weed control programs are undertaken in wetland communities that support the </w:t>
      </w:r>
      <w:r w:rsidR="001D3902">
        <w:t>species</w:t>
      </w:r>
      <w:r>
        <w:t>.</w:t>
      </w:r>
    </w:p>
    <w:p w14:paraId="528D1DD6" w14:textId="56811AF4"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287</w:t>
      </w:r>
      <w:r w:rsidR="000B6788" w:rsidRPr="00B846FE">
        <w:rPr>
          <w:bCs/>
          <w:noProof/>
        </w:rPr>
        <w:fldChar w:fldCharType="end"/>
      </w:r>
      <w:r w:rsidRPr="00FF310C">
        <w:t>. Wavy Swamp Wallaby-grass protection requirements and recommendations for invasive plant (weeds)</w:t>
      </w:r>
    </w:p>
    <w:tbl>
      <w:tblPr>
        <w:tblStyle w:val="TableGrid"/>
        <w:tblW w:w="0" w:type="auto"/>
        <w:tblLook w:val="04A0" w:firstRow="1" w:lastRow="0" w:firstColumn="1" w:lastColumn="0" w:noHBand="0" w:noVBand="1"/>
      </w:tblPr>
      <w:tblGrid>
        <w:gridCol w:w="2268"/>
        <w:gridCol w:w="7371"/>
      </w:tblGrid>
      <w:tr w:rsidR="00BE1D36" w14:paraId="666CB060"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0ABE8EF6"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4B7F1C47"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4C2D4E16" w14:textId="77777777" w:rsidTr="00B45E4E">
        <w:tc>
          <w:tcPr>
            <w:tcW w:w="2268" w:type="dxa"/>
            <w:tcBorders>
              <w:top w:val="single" w:sz="8" w:space="0" w:color="CDDC29" w:themeColor="text2"/>
              <w:left w:val="nil"/>
              <w:bottom w:val="single" w:sz="8" w:space="0" w:color="CDDC29" w:themeColor="text2"/>
              <w:right w:val="nil"/>
            </w:tcBorders>
            <w:hideMark/>
          </w:tcPr>
          <w:p w14:paraId="72B731E2" w14:textId="5C135ACA" w:rsidR="00BE1D36" w:rsidRDefault="00630731"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7901913A" w14:textId="77777777" w:rsidR="00BE1D36" w:rsidRDefault="00BE1D36" w:rsidP="00B45E4E">
            <w:pPr>
              <w:pStyle w:val="BodyText"/>
            </w:pPr>
            <w:r>
              <w:t>Not required for this hazard as it is a longer-term threat.</w:t>
            </w:r>
          </w:p>
        </w:tc>
      </w:tr>
      <w:tr w:rsidR="00BE1D36" w14:paraId="1142ACDE" w14:textId="77777777" w:rsidTr="00B45E4E">
        <w:tc>
          <w:tcPr>
            <w:tcW w:w="2268" w:type="dxa"/>
            <w:tcBorders>
              <w:top w:val="single" w:sz="8" w:space="0" w:color="CDDC29" w:themeColor="text2"/>
              <w:left w:val="nil"/>
              <w:bottom w:val="single" w:sz="8" w:space="0" w:color="CDDC29" w:themeColor="text2"/>
              <w:right w:val="nil"/>
            </w:tcBorders>
            <w:hideMark/>
          </w:tcPr>
          <w:p w14:paraId="79A313CF" w14:textId="09F27E77" w:rsidR="00BE1D36" w:rsidRDefault="00630731"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003BD39B" w14:textId="77777777" w:rsidR="00BE1D36" w:rsidRDefault="00BE1D36" w:rsidP="006670D2">
            <w:pPr>
              <w:pStyle w:val="PullOutBoxBullet"/>
              <w:rPr>
                <w:rFonts w:ascii="Arial" w:hAnsi="Arial"/>
                <w:color w:val="363534"/>
              </w:rPr>
            </w:pPr>
            <w:r>
              <w:t xml:space="preserve">Ongoing support programs for protection and active management of habitat; </w:t>
            </w:r>
          </w:p>
          <w:p w14:paraId="123187E6" w14:textId="36EA5DFE" w:rsidR="00BE1D36" w:rsidRDefault="00630731" w:rsidP="006670D2">
            <w:pPr>
              <w:pStyle w:val="PullOutBoxBullet"/>
              <w:rPr>
                <w:rFonts w:ascii="Arial" w:hAnsi="Arial"/>
                <w:color w:val="363534"/>
              </w:rPr>
            </w:pPr>
            <w:r>
              <w:t>I</w:t>
            </w:r>
            <w:r w:rsidR="00BE1D36">
              <w:t xml:space="preserve">nspection of significant populations to assess level of weed threat and carry out necessary and appropriate weed control; and </w:t>
            </w:r>
          </w:p>
          <w:p w14:paraId="11374AF1" w14:textId="5824AD0B" w:rsidR="00BE1D36" w:rsidRDefault="00630731" w:rsidP="006670D2">
            <w:pPr>
              <w:pStyle w:val="PullOutBoxBullet"/>
              <w:rPr>
                <w:rFonts w:ascii="Arial" w:hAnsi="Arial"/>
                <w:color w:val="363534"/>
              </w:rPr>
            </w:pPr>
            <w:r>
              <w:t>I</w:t>
            </w:r>
            <w:r w:rsidR="00BE1D36">
              <w:t>mplement available tools to avoid drainage or infilling of wetlands.</w:t>
            </w:r>
          </w:p>
        </w:tc>
      </w:tr>
    </w:tbl>
    <w:p w14:paraId="6FE68D5E" w14:textId="56242C4F" w:rsidR="00BE1D36" w:rsidRPr="00280CB2" w:rsidRDefault="00280CB2" w:rsidP="00915D82">
      <w:r>
        <w:br w:type="page"/>
      </w:r>
    </w:p>
    <w:p w14:paraId="7BD86E13" w14:textId="77777777" w:rsidR="00BE1D36" w:rsidRPr="007C6617" w:rsidRDefault="00BE1D36" w:rsidP="00171F18">
      <w:pPr>
        <w:pStyle w:val="Heading2"/>
        <w:ind w:left="0"/>
      </w:pPr>
      <w:bookmarkStart w:id="1335" w:name="_Toc88568495"/>
      <w:bookmarkStart w:id="1336" w:name="_Toc113271082"/>
      <w:bookmarkStart w:id="1337" w:name="_Toc88147037"/>
      <w:bookmarkStart w:id="1338" w:name="_Toc88724806"/>
      <w:r>
        <w:t>White Supplejack </w:t>
      </w:r>
      <w:r w:rsidRPr="60664A41">
        <w:rPr>
          <w:i/>
          <w:iCs/>
        </w:rPr>
        <w:t>(Ripogonum album)</w:t>
      </w:r>
      <w:bookmarkEnd w:id="1335"/>
      <w:bookmarkEnd w:id="1336"/>
      <w:r>
        <w:t> </w:t>
      </w:r>
    </w:p>
    <w:p w14:paraId="3903CE48" w14:textId="5FE7889D" w:rsidR="00BE1D36" w:rsidRDefault="00BE1D36" w:rsidP="00BE1D36">
      <w:pPr>
        <w:pStyle w:val="BodyText"/>
        <w:rPr>
          <w:rFonts w:ascii="Segoe UI" w:hAnsi="Segoe UI" w:cs="Segoe UI"/>
          <w:color w:val="363534"/>
        </w:rPr>
      </w:pPr>
      <w:r>
        <w:t xml:space="preserve">The White Supplejack was listed as Endangered in Victoria under the FFG Act in May 2021. The </w:t>
      </w:r>
      <w:r w:rsidR="001D3902">
        <w:t>species</w:t>
      </w:r>
      <w:r>
        <w:t xml:space="preserve"> has modelled habitat in the East Gippsland (100% of modelled habitat) RFA region.</w:t>
      </w:r>
      <w:r>
        <w:rPr>
          <w:rStyle w:val="BodyTextChar"/>
        </w:rPr>
        <w:t xml:space="preserve"> Permanent protections are recommended to address any hazards identified at a significant or high risk, and all</w:t>
      </w:r>
      <w:r>
        <w:t xml:space="preserve"> hazards rated a medium risk or higher will be considered in future management planning.</w:t>
      </w:r>
    </w:p>
    <w:p w14:paraId="620D71E7" w14:textId="77777777" w:rsidR="00BE1D36" w:rsidRDefault="00BE1D36" w:rsidP="007E5EBF">
      <w:pPr>
        <w:pStyle w:val="Heading3"/>
      </w:pPr>
      <w:r>
        <w:t>Risk Assessment</w:t>
      </w:r>
    </w:p>
    <w:p w14:paraId="38D78B47" w14:textId="5FD81A0A" w:rsidR="00BE1D36" w:rsidRPr="00FF310C" w:rsidRDefault="00BE1D36" w:rsidP="006670D2">
      <w:pPr>
        <w:pStyle w:val="Caption"/>
      </w:pPr>
      <w:r w:rsidRPr="00FF310C">
        <w:t xml:space="preserve">Table </w:t>
      </w:r>
      <w:r w:rsidRPr="00B846FE">
        <w:rPr>
          <w:bCs/>
        </w:rPr>
        <w:fldChar w:fldCharType="begin"/>
      </w:r>
      <w:r w:rsidRPr="00FF310C">
        <w:instrText>SEQ Table \* ARABIC</w:instrText>
      </w:r>
      <w:r w:rsidRPr="00B846FE">
        <w:rPr>
          <w:bCs/>
        </w:rPr>
        <w:fldChar w:fldCharType="separate"/>
      </w:r>
      <w:r w:rsidR="00692F0D">
        <w:rPr>
          <w:noProof/>
        </w:rPr>
        <w:t>288</w:t>
      </w:r>
      <w:r w:rsidRPr="00B846FE">
        <w:rPr>
          <w:bCs/>
        </w:rPr>
        <w:fldChar w:fldCharType="end"/>
      </w:r>
      <w:r w:rsidRPr="00FF310C">
        <w:t>. White Supplejack risk ratings in the East Gippsland RFA region:</w:t>
      </w:r>
    </w:p>
    <w:tbl>
      <w:tblPr>
        <w:tblStyle w:val="TableGrid"/>
        <w:tblW w:w="9795" w:type="dxa"/>
        <w:tblLayout w:type="fixed"/>
        <w:tblLook w:val="04A0" w:firstRow="1" w:lastRow="0" w:firstColumn="1" w:lastColumn="0" w:noHBand="0" w:noVBand="1"/>
      </w:tblPr>
      <w:tblGrid>
        <w:gridCol w:w="1559"/>
        <w:gridCol w:w="1705"/>
        <w:gridCol w:w="1633"/>
        <w:gridCol w:w="1632"/>
        <w:gridCol w:w="1633"/>
        <w:gridCol w:w="1633"/>
      </w:tblGrid>
      <w:tr w:rsidR="00BE1D36" w14:paraId="57768769"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60" w:type="dxa"/>
            <w:tcBorders>
              <w:top w:val="single" w:sz="8" w:space="0" w:color="CDDC29" w:themeColor="text2"/>
              <w:left w:val="nil"/>
              <w:bottom w:val="single" w:sz="8" w:space="0" w:color="CDDC29" w:themeColor="text2"/>
              <w:right w:val="nil"/>
            </w:tcBorders>
            <w:vAlign w:val="center"/>
          </w:tcPr>
          <w:p w14:paraId="4006ECE6" w14:textId="77777777" w:rsidR="00BE1D36" w:rsidRDefault="00BE1D36" w:rsidP="006670D2">
            <w:pPr>
              <w:pStyle w:val="CaptionImageorFigure"/>
            </w:pPr>
          </w:p>
        </w:tc>
        <w:tc>
          <w:tcPr>
            <w:tcW w:w="1706" w:type="dxa"/>
            <w:tcBorders>
              <w:top w:val="single" w:sz="8" w:space="0" w:color="CDDC29" w:themeColor="text2"/>
              <w:left w:val="nil"/>
              <w:bottom w:val="single" w:sz="8" w:space="0" w:color="CDDC29" w:themeColor="text2"/>
              <w:right w:val="nil"/>
            </w:tcBorders>
            <w:vAlign w:val="center"/>
            <w:hideMark/>
          </w:tcPr>
          <w:p w14:paraId="64BAFFAE"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1634" w:type="dxa"/>
            <w:tcBorders>
              <w:top w:val="single" w:sz="8" w:space="0" w:color="CDDC29" w:themeColor="text2"/>
              <w:left w:val="nil"/>
              <w:bottom w:val="single" w:sz="8" w:space="0" w:color="CDDC29" w:themeColor="text2"/>
              <w:right w:val="nil"/>
            </w:tcBorders>
            <w:vAlign w:val="center"/>
            <w:hideMark/>
          </w:tcPr>
          <w:p w14:paraId="74EFA507"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Planned burning</w:t>
            </w:r>
          </w:p>
        </w:tc>
        <w:tc>
          <w:tcPr>
            <w:tcW w:w="1633" w:type="dxa"/>
            <w:tcBorders>
              <w:top w:val="single" w:sz="8" w:space="0" w:color="CDDC29" w:themeColor="text2"/>
              <w:left w:val="nil"/>
              <w:bottom w:val="single" w:sz="8" w:space="0" w:color="CDDC29" w:themeColor="text2"/>
              <w:right w:val="nil"/>
            </w:tcBorders>
            <w:vAlign w:val="center"/>
            <w:hideMark/>
          </w:tcPr>
          <w:p w14:paraId="289AF02F" w14:textId="31CEC2BE" w:rsidR="00BE1D36" w:rsidRDefault="00731E6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BE1D36">
              <w:t>orestry operations</w:t>
            </w:r>
          </w:p>
        </w:tc>
        <w:tc>
          <w:tcPr>
            <w:tcW w:w="1634" w:type="dxa"/>
            <w:tcBorders>
              <w:top w:val="single" w:sz="8" w:space="0" w:color="CDDC29" w:themeColor="text2"/>
              <w:left w:val="nil"/>
              <w:bottom w:val="single" w:sz="8" w:space="0" w:color="CDDC29" w:themeColor="text2"/>
              <w:right w:val="nil"/>
            </w:tcBorders>
            <w:vAlign w:val="center"/>
            <w:hideMark/>
          </w:tcPr>
          <w:p w14:paraId="5AFD119D"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c>
          <w:tcPr>
            <w:tcW w:w="1634" w:type="dxa"/>
            <w:tcBorders>
              <w:top w:val="single" w:sz="8" w:space="0" w:color="CDDC29" w:themeColor="text2"/>
              <w:left w:val="nil"/>
              <w:bottom w:val="single" w:sz="8" w:space="0" w:color="CDDC29" w:themeColor="text2"/>
              <w:right w:val="nil"/>
            </w:tcBorders>
            <w:vAlign w:val="center"/>
            <w:hideMark/>
          </w:tcPr>
          <w:p w14:paraId="3999AC5F"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plant (weeds)</w:t>
            </w:r>
          </w:p>
        </w:tc>
      </w:tr>
      <w:tr w:rsidR="00BE1D36" w14:paraId="6C842D62" w14:textId="77777777" w:rsidTr="00BE1D36">
        <w:tc>
          <w:tcPr>
            <w:tcW w:w="1560" w:type="dxa"/>
            <w:tcBorders>
              <w:top w:val="single" w:sz="8" w:space="0" w:color="CDDC29" w:themeColor="text2"/>
              <w:left w:val="nil"/>
              <w:bottom w:val="single" w:sz="8" w:space="0" w:color="CDDC29" w:themeColor="text2"/>
              <w:right w:val="nil"/>
            </w:tcBorders>
            <w:vAlign w:val="center"/>
            <w:hideMark/>
          </w:tcPr>
          <w:p w14:paraId="7935AB3F" w14:textId="77777777" w:rsidR="00BE1D36" w:rsidRDefault="00BE1D36" w:rsidP="00A30EC9">
            <w:pPr>
              <w:pStyle w:val="BodyText"/>
              <w:jc w:val="center"/>
            </w:pPr>
            <w:r>
              <w:t>Consequence</w:t>
            </w:r>
          </w:p>
        </w:tc>
        <w:tc>
          <w:tcPr>
            <w:tcW w:w="1706" w:type="dxa"/>
            <w:tcBorders>
              <w:top w:val="single" w:sz="8" w:space="0" w:color="CDDC29" w:themeColor="text2"/>
              <w:left w:val="nil"/>
              <w:bottom w:val="single" w:sz="8" w:space="0" w:color="CDDC29" w:themeColor="text2"/>
              <w:right w:val="nil"/>
            </w:tcBorders>
            <w:vAlign w:val="center"/>
            <w:hideMark/>
          </w:tcPr>
          <w:p w14:paraId="1AF78381" w14:textId="77777777" w:rsidR="00BE1D36" w:rsidRDefault="00BE1D36" w:rsidP="00A30EC9">
            <w:pPr>
              <w:pStyle w:val="BodyText"/>
              <w:jc w:val="center"/>
            </w:pPr>
            <w:r>
              <w:t>Extreme</w:t>
            </w:r>
          </w:p>
        </w:tc>
        <w:tc>
          <w:tcPr>
            <w:tcW w:w="1634" w:type="dxa"/>
            <w:tcBorders>
              <w:top w:val="single" w:sz="8" w:space="0" w:color="CDDC29" w:themeColor="text2"/>
              <w:left w:val="nil"/>
              <w:bottom w:val="single" w:sz="8" w:space="0" w:color="CDDC29" w:themeColor="text2"/>
              <w:right w:val="nil"/>
            </w:tcBorders>
            <w:vAlign w:val="center"/>
            <w:hideMark/>
          </w:tcPr>
          <w:p w14:paraId="247CA9D5" w14:textId="77777777" w:rsidR="00BE1D36" w:rsidRDefault="00BE1D36" w:rsidP="00A30EC9">
            <w:pPr>
              <w:pStyle w:val="BodyText"/>
              <w:jc w:val="center"/>
            </w:pPr>
            <w:r>
              <w:t>Moderate</w:t>
            </w:r>
          </w:p>
        </w:tc>
        <w:tc>
          <w:tcPr>
            <w:tcW w:w="1633" w:type="dxa"/>
            <w:tcBorders>
              <w:top w:val="single" w:sz="8" w:space="0" w:color="CDDC29" w:themeColor="text2"/>
              <w:left w:val="nil"/>
              <w:bottom w:val="single" w:sz="8" w:space="0" w:color="CDDC29" w:themeColor="text2"/>
              <w:right w:val="nil"/>
            </w:tcBorders>
            <w:vAlign w:val="center"/>
            <w:hideMark/>
          </w:tcPr>
          <w:p w14:paraId="5D8C0C2C" w14:textId="77777777" w:rsidR="00BE1D36" w:rsidRDefault="00BE1D36" w:rsidP="00A30EC9">
            <w:pPr>
              <w:pStyle w:val="BodyText"/>
              <w:jc w:val="center"/>
            </w:pPr>
            <w:r>
              <w:t>Moderate</w:t>
            </w:r>
          </w:p>
        </w:tc>
        <w:tc>
          <w:tcPr>
            <w:tcW w:w="1634" w:type="dxa"/>
            <w:tcBorders>
              <w:top w:val="single" w:sz="8" w:space="0" w:color="CDDC29" w:themeColor="text2"/>
              <w:left w:val="nil"/>
              <w:bottom w:val="single" w:sz="8" w:space="0" w:color="CDDC29" w:themeColor="text2"/>
              <w:right w:val="nil"/>
            </w:tcBorders>
            <w:vAlign w:val="center"/>
            <w:hideMark/>
          </w:tcPr>
          <w:p w14:paraId="60BBCBE0" w14:textId="77777777" w:rsidR="00BE1D36" w:rsidRDefault="00BE1D36" w:rsidP="00A30EC9">
            <w:pPr>
              <w:pStyle w:val="BodyText"/>
              <w:jc w:val="center"/>
            </w:pPr>
            <w:r>
              <w:t>Moderate</w:t>
            </w:r>
          </w:p>
        </w:tc>
        <w:tc>
          <w:tcPr>
            <w:tcW w:w="1634" w:type="dxa"/>
            <w:tcBorders>
              <w:top w:val="single" w:sz="8" w:space="0" w:color="CDDC29" w:themeColor="text2"/>
              <w:left w:val="nil"/>
              <w:bottom w:val="single" w:sz="8" w:space="0" w:color="CDDC29" w:themeColor="text2"/>
              <w:right w:val="nil"/>
            </w:tcBorders>
            <w:vAlign w:val="center"/>
            <w:hideMark/>
          </w:tcPr>
          <w:p w14:paraId="1F892CB0" w14:textId="77777777" w:rsidR="00BE1D36" w:rsidRDefault="00BE1D36" w:rsidP="00A30EC9">
            <w:pPr>
              <w:pStyle w:val="BodyText"/>
              <w:jc w:val="center"/>
            </w:pPr>
            <w:r>
              <w:t>Moderate</w:t>
            </w:r>
          </w:p>
        </w:tc>
      </w:tr>
      <w:tr w:rsidR="00BE1D36" w14:paraId="7818480B" w14:textId="77777777" w:rsidTr="00BE1D36">
        <w:tc>
          <w:tcPr>
            <w:tcW w:w="1560" w:type="dxa"/>
            <w:tcBorders>
              <w:top w:val="single" w:sz="8" w:space="0" w:color="CDDC29" w:themeColor="text2"/>
              <w:left w:val="nil"/>
              <w:bottom w:val="single" w:sz="8" w:space="0" w:color="CDDC29" w:themeColor="text2"/>
              <w:right w:val="nil"/>
            </w:tcBorders>
            <w:vAlign w:val="center"/>
            <w:hideMark/>
          </w:tcPr>
          <w:p w14:paraId="25CDF374" w14:textId="77777777" w:rsidR="00BE1D36" w:rsidRDefault="00BE1D36" w:rsidP="00A30EC9">
            <w:pPr>
              <w:pStyle w:val="BodyText"/>
              <w:jc w:val="center"/>
            </w:pPr>
            <w:r>
              <w:t>Likelihood</w:t>
            </w:r>
          </w:p>
        </w:tc>
        <w:tc>
          <w:tcPr>
            <w:tcW w:w="1706" w:type="dxa"/>
            <w:tcBorders>
              <w:top w:val="single" w:sz="8" w:space="0" w:color="CDDC29" w:themeColor="text2"/>
              <w:left w:val="nil"/>
              <w:bottom w:val="single" w:sz="8" w:space="0" w:color="CDDC29" w:themeColor="text2"/>
              <w:right w:val="nil"/>
            </w:tcBorders>
            <w:vAlign w:val="center"/>
            <w:hideMark/>
          </w:tcPr>
          <w:p w14:paraId="69015D83" w14:textId="77777777" w:rsidR="00BE1D36" w:rsidRDefault="00BE1D36" w:rsidP="00A30EC9">
            <w:pPr>
              <w:pStyle w:val="BodyText"/>
              <w:jc w:val="center"/>
            </w:pPr>
            <w:r>
              <w:t>Almost Certain</w:t>
            </w:r>
          </w:p>
        </w:tc>
        <w:tc>
          <w:tcPr>
            <w:tcW w:w="1634" w:type="dxa"/>
            <w:tcBorders>
              <w:top w:val="single" w:sz="8" w:space="0" w:color="CDDC29" w:themeColor="text2"/>
              <w:left w:val="nil"/>
              <w:bottom w:val="single" w:sz="8" w:space="0" w:color="CDDC29" w:themeColor="text2"/>
              <w:right w:val="nil"/>
            </w:tcBorders>
            <w:vAlign w:val="center"/>
            <w:hideMark/>
          </w:tcPr>
          <w:p w14:paraId="746D6984" w14:textId="77777777" w:rsidR="00BE1D36" w:rsidRDefault="00BE1D36" w:rsidP="00A30EC9">
            <w:pPr>
              <w:pStyle w:val="BodyText"/>
              <w:jc w:val="center"/>
            </w:pPr>
            <w:r>
              <w:t>Possible</w:t>
            </w:r>
          </w:p>
        </w:tc>
        <w:tc>
          <w:tcPr>
            <w:tcW w:w="1633" w:type="dxa"/>
            <w:tcBorders>
              <w:top w:val="single" w:sz="8" w:space="0" w:color="CDDC29" w:themeColor="text2"/>
              <w:left w:val="nil"/>
              <w:bottom w:val="single" w:sz="8" w:space="0" w:color="CDDC29" w:themeColor="text2"/>
              <w:right w:val="nil"/>
            </w:tcBorders>
            <w:vAlign w:val="center"/>
            <w:hideMark/>
          </w:tcPr>
          <w:p w14:paraId="2475E19E" w14:textId="77777777" w:rsidR="00BE1D36" w:rsidRDefault="00BE1D36" w:rsidP="00A30EC9">
            <w:pPr>
              <w:pStyle w:val="BodyText"/>
              <w:jc w:val="center"/>
            </w:pPr>
            <w:r>
              <w:t>Likely</w:t>
            </w:r>
          </w:p>
        </w:tc>
        <w:tc>
          <w:tcPr>
            <w:tcW w:w="1634" w:type="dxa"/>
            <w:tcBorders>
              <w:top w:val="single" w:sz="8" w:space="0" w:color="CDDC29" w:themeColor="text2"/>
              <w:left w:val="nil"/>
              <w:bottom w:val="single" w:sz="8" w:space="0" w:color="CDDC29" w:themeColor="text2"/>
              <w:right w:val="nil"/>
            </w:tcBorders>
            <w:vAlign w:val="center"/>
            <w:hideMark/>
          </w:tcPr>
          <w:p w14:paraId="595D3D31" w14:textId="77777777" w:rsidR="00BE1D36" w:rsidRDefault="00BE1D36" w:rsidP="00A30EC9">
            <w:pPr>
              <w:pStyle w:val="BodyText"/>
              <w:jc w:val="center"/>
            </w:pPr>
            <w:r>
              <w:t>Likely</w:t>
            </w:r>
          </w:p>
        </w:tc>
        <w:tc>
          <w:tcPr>
            <w:tcW w:w="1634" w:type="dxa"/>
            <w:tcBorders>
              <w:top w:val="single" w:sz="8" w:space="0" w:color="CDDC29" w:themeColor="text2"/>
              <w:left w:val="nil"/>
              <w:bottom w:val="single" w:sz="8" w:space="0" w:color="CDDC29" w:themeColor="text2"/>
              <w:right w:val="nil"/>
            </w:tcBorders>
            <w:vAlign w:val="center"/>
            <w:hideMark/>
          </w:tcPr>
          <w:p w14:paraId="690175FD" w14:textId="77777777" w:rsidR="00BE1D36" w:rsidRDefault="00BE1D36" w:rsidP="00A30EC9">
            <w:pPr>
              <w:pStyle w:val="BodyText"/>
              <w:jc w:val="center"/>
            </w:pPr>
            <w:r>
              <w:t>Possible</w:t>
            </w:r>
          </w:p>
        </w:tc>
      </w:tr>
      <w:tr w:rsidR="00BE1D36" w14:paraId="48A34F96" w14:textId="77777777" w:rsidTr="00BE1D36">
        <w:tc>
          <w:tcPr>
            <w:tcW w:w="6" w:type="dxa"/>
            <w:tcBorders>
              <w:top w:val="single" w:sz="8" w:space="0" w:color="CDDC29" w:themeColor="text2"/>
              <w:left w:val="nil"/>
              <w:bottom w:val="single" w:sz="8" w:space="0" w:color="CDDC29" w:themeColor="text2"/>
              <w:right w:val="nil"/>
            </w:tcBorders>
            <w:vAlign w:val="center"/>
            <w:hideMark/>
          </w:tcPr>
          <w:p w14:paraId="5690C5BB" w14:textId="77777777" w:rsidR="00BE1D36" w:rsidRDefault="00BE1D36" w:rsidP="00A30EC9">
            <w:pPr>
              <w:pStyle w:val="BodyText"/>
              <w:jc w:val="center"/>
            </w:pPr>
            <w:r>
              <w:t>Overall risk rating</w:t>
            </w:r>
          </w:p>
        </w:tc>
        <w:tc>
          <w:tcPr>
            <w:tcW w:w="6" w:type="dxa"/>
            <w:tcBorders>
              <w:top w:val="single" w:sz="8" w:space="0" w:color="CDDC29" w:themeColor="text2"/>
              <w:left w:val="nil"/>
              <w:bottom w:val="single" w:sz="8" w:space="0" w:color="CDDC29" w:themeColor="text2"/>
              <w:right w:val="nil"/>
            </w:tcBorders>
            <w:shd w:val="clear" w:color="auto" w:fill="FF0000"/>
            <w:vAlign w:val="center"/>
            <w:hideMark/>
          </w:tcPr>
          <w:p w14:paraId="0AFE7AF7" w14:textId="77777777" w:rsidR="00BE1D36" w:rsidRDefault="00BE1D36" w:rsidP="00A30EC9">
            <w:pPr>
              <w:pStyle w:val="BodyText"/>
              <w:jc w:val="center"/>
            </w:pPr>
            <w:r>
              <w:t>High</w:t>
            </w:r>
          </w:p>
        </w:tc>
        <w:tc>
          <w:tcPr>
            <w:tcW w:w="6" w:type="dxa"/>
            <w:tcBorders>
              <w:top w:val="single" w:sz="8" w:space="0" w:color="CDDC29" w:themeColor="text2"/>
              <w:left w:val="nil"/>
              <w:bottom w:val="single" w:sz="8" w:space="0" w:color="CDDC29" w:themeColor="text2"/>
              <w:right w:val="nil"/>
            </w:tcBorders>
            <w:shd w:val="clear" w:color="auto" w:fill="FFFF00"/>
            <w:vAlign w:val="center"/>
            <w:hideMark/>
          </w:tcPr>
          <w:p w14:paraId="5FC01C03" w14:textId="77777777" w:rsidR="00BE1D36" w:rsidRDefault="00BE1D36" w:rsidP="00A30EC9">
            <w:pPr>
              <w:pStyle w:val="BodyText"/>
              <w:jc w:val="center"/>
            </w:pPr>
            <w:r>
              <w:t>Medium</w:t>
            </w:r>
          </w:p>
        </w:tc>
        <w:tc>
          <w:tcPr>
            <w:tcW w:w="6" w:type="dxa"/>
            <w:tcBorders>
              <w:top w:val="single" w:sz="8" w:space="0" w:color="CDDC29" w:themeColor="text2"/>
              <w:left w:val="nil"/>
              <w:bottom w:val="single" w:sz="8" w:space="0" w:color="CDDC29" w:themeColor="text2"/>
              <w:right w:val="nil"/>
            </w:tcBorders>
            <w:shd w:val="clear" w:color="auto" w:fill="FFC000"/>
            <w:vAlign w:val="center"/>
            <w:hideMark/>
          </w:tcPr>
          <w:p w14:paraId="67FF8776" w14:textId="77777777" w:rsidR="00BE1D36" w:rsidRDefault="00BE1D36" w:rsidP="00A30EC9">
            <w:pPr>
              <w:pStyle w:val="BodyText"/>
              <w:jc w:val="center"/>
            </w:pPr>
            <w:r>
              <w:t>Significant</w:t>
            </w:r>
          </w:p>
        </w:tc>
        <w:tc>
          <w:tcPr>
            <w:tcW w:w="6" w:type="dxa"/>
            <w:tcBorders>
              <w:top w:val="single" w:sz="8" w:space="0" w:color="CDDC29" w:themeColor="text2"/>
              <w:left w:val="nil"/>
              <w:bottom w:val="single" w:sz="8" w:space="0" w:color="CDDC29" w:themeColor="text2"/>
              <w:right w:val="nil"/>
            </w:tcBorders>
            <w:shd w:val="clear" w:color="auto" w:fill="FFC000"/>
            <w:vAlign w:val="center"/>
            <w:hideMark/>
          </w:tcPr>
          <w:p w14:paraId="50FCBB0B" w14:textId="77777777" w:rsidR="00BE1D36" w:rsidRDefault="00BE1D36" w:rsidP="00A30EC9">
            <w:pPr>
              <w:pStyle w:val="BodyText"/>
              <w:jc w:val="center"/>
            </w:pPr>
            <w:r>
              <w:t>Significant</w:t>
            </w:r>
          </w:p>
        </w:tc>
        <w:tc>
          <w:tcPr>
            <w:tcW w:w="6" w:type="dxa"/>
            <w:tcBorders>
              <w:top w:val="single" w:sz="8" w:space="0" w:color="CDDC29" w:themeColor="text2"/>
              <w:left w:val="nil"/>
              <w:bottom w:val="single" w:sz="8" w:space="0" w:color="CDDC29" w:themeColor="text2"/>
              <w:right w:val="nil"/>
            </w:tcBorders>
            <w:shd w:val="clear" w:color="auto" w:fill="FFFF00"/>
            <w:vAlign w:val="center"/>
            <w:hideMark/>
          </w:tcPr>
          <w:p w14:paraId="0AA07489" w14:textId="77777777" w:rsidR="00BE1D36" w:rsidRDefault="00BE1D36" w:rsidP="00A30EC9">
            <w:pPr>
              <w:pStyle w:val="BodyText"/>
              <w:jc w:val="center"/>
            </w:pPr>
            <w:r>
              <w:t>Medium</w:t>
            </w:r>
          </w:p>
        </w:tc>
      </w:tr>
    </w:tbl>
    <w:p w14:paraId="3C310097" w14:textId="77777777" w:rsidR="00BE1D36" w:rsidRDefault="00BE1D36" w:rsidP="007E5EBF">
      <w:pPr>
        <w:pStyle w:val="Heading3"/>
      </w:pPr>
      <w:r>
        <w:t>Fire</w:t>
      </w:r>
    </w:p>
    <w:p w14:paraId="3EF06531" w14:textId="77777777" w:rsidR="00BE1D36" w:rsidRDefault="00BE1D36" w:rsidP="007E5EBF">
      <w:pPr>
        <w:pStyle w:val="Heading5"/>
      </w:pPr>
      <w:r>
        <w:t>Increased fire frequency and intensity</w:t>
      </w:r>
    </w:p>
    <w:p w14:paraId="2766D574" w14:textId="5BD2F424" w:rsidR="00BE1D36" w:rsidRDefault="00BE1D36" w:rsidP="00BE1D36">
      <w:pPr>
        <w:pStyle w:val="BodyText"/>
      </w:pPr>
      <w:r>
        <w:t xml:space="preserve">The </w:t>
      </w:r>
      <w:r w:rsidR="001D3902">
        <w:t>species</w:t>
      </w:r>
      <w:r>
        <w:t xml:space="preserve"> is likely to have been significantly depleted </w:t>
      </w:r>
      <w:r w:rsidR="00D825B0">
        <w:t>because of</w:t>
      </w:r>
      <w:r>
        <w:t xml:space="preserve"> the documented contraction and elimination of Warm Temperate Rainforest stands across its range in response to catastrophic bushfire. Climate change leads to massive increased fire risk, and recruiting stands are exposed post-fire to the hazards of drought-induced mortality, recruitment failure and targeted browsing. Habitat loss is a longer-term impact whereby the vegetation that regenerates after each fire event fails to recover the structural characteristics of mature rainforest, which is the critical habitat for the </w:t>
      </w:r>
      <w:r w:rsidR="001D3902">
        <w:t>species</w:t>
      </w:r>
      <w:r>
        <w:t xml:space="preserve">. </w:t>
      </w:r>
    </w:p>
    <w:p w14:paraId="2F179603" w14:textId="09821AC5" w:rsidR="00BE1D36" w:rsidRDefault="00BE1D36" w:rsidP="00BE1D36">
      <w:pPr>
        <w:pStyle w:val="BodyText"/>
      </w:pPr>
      <w:r>
        <w:t xml:space="preserve">The </w:t>
      </w:r>
      <w:r w:rsidR="001D3902">
        <w:t>species</w:t>
      </w:r>
      <w:r>
        <w:t xml:space="preserve"> is described as shortly rhizomatous and has the capacity to resprout from rootstocks where fire intensity is less than extreme, however the resprouts are particularly susceptible to targeted browsing, particularly by Sambar. Sambar won’t kill off all the adult plants, but they will target lush recruiting plants where they are juveniles. When a large fire hits a rainforest or rainforest margin with sufficient intensity to destroy the canopy there is a high chance of sclerophyll invasion (typically eucalypts) and stand replacement by eucalypt forest. At the time of fire, most </w:t>
      </w:r>
      <w:r>
        <w:rPr>
          <w:i/>
          <w:iCs/>
        </w:rPr>
        <w:t>Ripogonum</w:t>
      </w:r>
      <w:r>
        <w:t xml:space="preserve"> canopies are likely to be fire killed, and many examples of this have been seen where stands of rainforest have been impacted by severe fire events. This hazard extends across all White Supplejack populations.</w:t>
      </w:r>
    </w:p>
    <w:p w14:paraId="36E2C6E2" w14:textId="77777777" w:rsidR="00BE1D36" w:rsidRDefault="00BE1D36" w:rsidP="00BE1D36">
      <w:pPr>
        <w:pStyle w:val="BodyText"/>
      </w:pPr>
      <w:r>
        <w:t>Current controls for this hazard include:</w:t>
      </w:r>
    </w:p>
    <w:p w14:paraId="286F41A6" w14:textId="321157F4" w:rsidR="00BE1D36" w:rsidRPr="0095547D" w:rsidRDefault="00BE1D36" w:rsidP="006670D2">
      <w:pPr>
        <w:pStyle w:val="PullOutBoxBullet"/>
        <w:rPr>
          <w:b/>
          <w:bCs/>
          <w:sz w:val="16"/>
        </w:rPr>
      </w:pPr>
      <w:r>
        <w:t xml:space="preserve">Planned burning. This control </w:t>
      </w:r>
      <w:r w:rsidR="00BF50AD">
        <w:t>is considered ineffective</w:t>
      </w:r>
      <w:r>
        <w:t xml:space="preserve"> in this </w:t>
      </w:r>
      <w:r w:rsidR="00BF50AD">
        <w:t xml:space="preserve">case as the </w:t>
      </w:r>
      <w:r>
        <w:t xml:space="preserve">species’ habitat </w:t>
      </w:r>
      <w:r w:rsidR="00BF50AD">
        <w:t>is generally not suitable for planned burning.</w:t>
      </w:r>
      <w:r>
        <w:t xml:space="preserve"> Strategic fuel</w:t>
      </w:r>
      <w:r w:rsidR="00DF761D">
        <w:t xml:space="preserve"> </w:t>
      </w:r>
      <w:r>
        <w:t xml:space="preserve">breaks and associated backburning may </w:t>
      </w:r>
      <w:r w:rsidR="00BF50AD">
        <w:t>however</w:t>
      </w:r>
      <w:r>
        <w:t xml:space="preserve"> provide valuable protection in some cases for this species and its habitat from severe bushfires.</w:t>
      </w:r>
    </w:p>
    <w:p w14:paraId="4F36374C" w14:textId="18028A1C"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289</w:t>
      </w:r>
      <w:r w:rsidR="000B6788" w:rsidRPr="00B846FE">
        <w:rPr>
          <w:bCs/>
          <w:noProof/>
        </w:rPr>
        <w:fldChar w:fldCharType="end"/>
      </w:r>
      <w:r w:rsidRPr="00FF310C">
        <w:t>. White Supplejack protection requirements and recommendations for increased fire frequency and intensity</w:t>
      </w:r>
    </w:p>
    <w:tbl>
      <w:tblPr>
        <w:tblStyle w:val="TableGrid"/>
        <w:tblW w:w="0" w:type="auto"/>
        <w:tblLook w:val="04A0" w:firstRow="1" w:lastRow="0" w:firstColumn="1" w:lastColumn="0" w:noHBand="0" w:noVBand="1"/>
      </w:tblPr>
      <w:tblGrid>
        <w:gridCol w:w="2268"/>
        <w:gridCol w:w="7371"/>
      </w:tblGrid>
      <w:tr w:rsidR="00BE1D36" w14:paraId="6C1FB125"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6DF44F13"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508A7E64"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7BBB58F4" w14:textId="77777777" w:rsidTr="00B45E4E">
        <w:tc>
          <w:tcPr>
            <w:tcW w:w="2268" w:type="dxa"/>
            <w:tcBorders>
              <w:top w:val="single" w:sz="8" w:space="0" w:color="CDDC29" w:themeColor="text2"/>
              <w:left w:val="nil"/>
              <w:bottom w:val="single" w:sz="8" w:space="0" w:color="CDDC29" w:themeColor="text2"/>
              <w:right w:val="nil"/>
            </w:tcBorders>
            <w:hideMark/>
          </w:tcPr>
          <w:p w14:paraId="16DBCB16" w14:textId="75D532A3" w:rsidR="00BE1D36" w:rsidRDefault="00630731"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090ABB2D" w14:textId="77777777" w:rsidR="00BE1D36" w:rsidRDefault="00BE1D36" w:rsidP="00B45E4E">
            <w:pPr>
              <w:pStyle w:val="BodyText"/>
            </w:pPr>
            <w:r>
              <w:t>Not required for this hazard as it is a longer-term threat.</w:t>
            </w:r>
          </w:p>
        </w:tc>
      </w:tr>
      <w:tr w:rsidR="00BE1D36" w14:paraId="74EEFB95" w14:textId="77777777" w:rsidTr="00B45E4E">
        <w:tc>
          <w:tcPr>
            <w:tcW w:w="2268" w:type="dxa"/>
            <w:tcBorders>
              <w:top w:val="single" w:sz="8" w:space="0" w:color="CDDC29" w:themeColor="text2"/>
              <w:left w:val="nil"/>
              <w:bottom w:val="single" w:sz="8" w:space="0" w:color="CDDC29" w:themeColor="text2"/>
              <w:right w:val="nil"/>
            </w:tcBorders>
            <w:hideMark/>
          </w:tcPr>
          <w:p w14:paraId="0A71541C" w14:textId="773CF172" w:rsidR="00BE1D36" w:rsidRDefault="00630731"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38B46B72" w14:textId="46819809" w:rsidR="00BE1D36" w:rsidRDefault="00A30EC9" w:rsidP="006670D2">
            <w:pPr>
              <w:pStyle w:val="PullOutBoxBullet"/>
              <w:rPr>
                <w:rFonts w:ascii="Arial" w:hAnsi="Arial"/>
                <w:color w:val="363534"/>
              </w:rPr>
            </w:pPr>
            <w:r>
              <w:t>E</w:t>
            </w:r>
            <w:r w:rsidR="00BE1D36">
              <w:t>nsure that important populations are mapped, recorded</w:t>
            </w:r>
            <w:r w:rsidR="00D825B0">
              <w:t>,</w:t>
            </w:r>
            <w:r w:rsidR="00BE1D36">
              <w:t xml:space="preserve"> and made available for fire management planning purposes</w:t>
            </w:r>
            <w:r>
              <w:t>; and</w:t>
            </w:r>
          </w:p>
          <w:p w14:paraId="7C8AD3DF" w14:textId="47A29FB6" w:rsidR="00BE1D36" w:rsidRDefault="00BE1D36" w:rsidP="006670D2">
            <w:pPr>
              <w:pStyle w:val="PullOutBoxBullet"/>
              <w:rPr>
                <w:rFonts w:ascii="Arial" w:hAnsi="Arial"/>
                <w:color w:val="363534"/>
              </w:rPr>
            </w:pPr>
            <w:r>
              <w:t xml:space="preserve">Collect seed for the </w:t>
            </w:r>
            <w:r w:rsidR="005902EF">
              <w:t>VCS</w:t>
            </w:r>
            <w:r>
              <w:t xml:space="preserve"> from across the </w:t>
            </w:r>
            <w:r w:rsidR="001D3902">
              <w:t>species’</w:t>
            </w:r>
            <w:r>
              <w:t xml:space="preserve"> range as insurance against catastrophic loss.</w:t>
            </w:r>
          </w:p>
        </w:tc>
      </w:tr>
    </w:tbl>
    <w:p w14:paraId="0F3680C9" w14:textId="77777777" w:rsidR="00BE1D36" w:rsidRDefault="00BE1D36" w:rsidP="007E5EBF">
      <w:pPr>
        <w:pStyle w:val="Heading5"/>
        <w:rPr>
          <w:sz w:val="18"/>
          <w:szCs w:val="18"/>
        </w:rPr>
      </w:pPr>
      <w:r>
        <w:t>Planned burning</w:t>
      </w:r>
    </w:p>
    <w:p w14:paraId="52634511" w14:textId="455D91EA" w:rsidR="00D623C0" w:rsidRDefault="00BE1D36" w:rsidP="00BE1D36">
      <w:pPr>
        <w:pStyle w:val="BodyText"/>
      </w:pPr>
      <w:r>
        <w:t xml:space="preserve">Traditionally, planned burns in the general vicinity of rainforest and other riparian vegetation have been reliant on differential moisture gradients to reduce the intensity and impact of fire on all fire-sensitive vegetation types in the riparian environment. Whilst this approach has often worked satisfactorily in the past, recent experience and climate change projections </w:t>
      </w:r>
      <w:r w:rsidR="00110FCA">
        <w:t xml:space="preserve">(CSIRO &amp; Bureau of Meteorology 2020) </w:t>
      </w:r>
      <w:r>
        <w:t xml:space="preserve">demonstrate the increasing risk of even well-controlled planned burns entering rainforest and its buffers. </w:t>
      </w:r>
    </w:p>
    <w:p w14:paraId="38F76A06" w14:textId="7D995692" w:rsidR="00BE1D36" w:rsidRDefault="00BE1D36" w:rsidP="00BE1D36">
      <w:pPr>
        <w:pStyle w:val="BodyText"/>
      </w:pPr>
      <w:r>
        <w:t>All fire in the ecotonal environment threatens to expose fire-sensitive plants to mortality and local extinction</w:t>
      </w:r>
      <w:r w:rsidR="000560FB">
        <w:t>,</w:t>
      </w:r>
      <w:r>
        <w:t xml:space="preserve"> and at greatest risk are elevated epiphytes such as filmy ferns and fork ferns which can be killed even by exposure to sun and wind. The precise impact on the </w:t>
      </w:r>
      <w:r w:rsidR="001D3902">
        <w:t>species</w:t>
      </w:r>
      <w:r>
        <w:t xml:space="preserve"> is unclear since the plant is observed both in intense shade and in the protection of small canopy gaps both within the rainforest stand and sometimes extending into the surrounding ecotone. In the long term, many of these plants are transgressive, rarely achieving sufficient maturity to flower and set seed. In 50 years of field observation, the </w:t>
      </w:r>
      <w:r w:rsidR="001D3902">
        <w:t>species</w:t>
      </w:r>
      <w:r>
        <w:t xml:space="preserve"> has been only very rarely observed in flower or fruit, a phenomenon typical of many rainforest plants across the globe, many of which exhibit mast flowering of the most mature individuals synchronously at rare and unpredictable intervals. Fire in the ecotonal environment, with the risk of fire ingress into the mature rainforest stand, risks mortality or at least crown death of these rare mature individuals, as well as the far greater proportion of sterile and transgressive individuals. This hazard extends across 10-25% of the </w:t>
      </w:r>
      <w:r w:rsidR="001D3902">
        <w:t>species’</w:t>
      </w:r>
      <w:r>
        <w:t xml:space="preserve"> distribution.</w:t>
      </w:r>
    </w:p>
    <w:p w14:paraId="06AB3B34" w14:textId="77777777" w:rsidR="00BE1D36" w:rsidRDefault="00BE1D36" w:rsidP="00BE1D36">
      <w:pPr>
        <w:pStyle w:val="BodyText"/>
      </w:pPr>
      <w:r>
        <w:t>Current controls for this hazard include:</w:t>
      </w:r>
    </w:p>
    <w:p w14:paraId="720AF741" w14:textId="45130FC6" w:rsidR="00BE1D36" w:rsidRDefault="00D07815" w:rsidP="006670D2">
      <w:pPr>
        <w:pStyle w:val="PullOutBoxBullet"/>
      </w:pPr>
      <w:r w:rsidRPr="00F26BEE">
        <w:t xml:space="preserve">Values checking and strategic bushfire management planning. </w:t>
      </w:r>
      <w:r w:rsidRPr="00BB09D4">
        <w:t xml:space="preserve">The effectiveness of these measures has been evaluated as poor at mitigating risk to this species. Values checking relies on existing site records and modelled distribution, and for some </w:t>
      </w:r>
      <w:r w:rsidR="009430A5">
        <w:t>taxa</w:t>
      </w:r>
      <w:r w:rsidRPr="00BB09D4">
        <w:t xml:space="preserve"> site records are not comprehensive. Habitat modelling may also exaggerate actual distributions, particularly for poorly-know</w:t>
      </w:r>
      <w:r w:rsidR="000E687D">
        <w:t>n</w:t>
      </w:r>
      <w:r w:rsidRPr="00BB09D4">
        <w:t xml:space="preserve"> </w:t>
      </w:r>
      <w:r w:rsidR="009430A5">
        <w:t>taxa</w:t>
      </w:r>
      <w:r w:rsidR="00BE1D36">
        <w:t xml:space="preserve">.   </w:t>
      </w:r>
    </w:p>
    <w:p w14:paraId="29BC6FC0" w14:textId="16CC0B5B"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290</w:t>
      </w:r>
      <w:r w:rsidR="000B6788" w:rsidRPr="00B846FE">
        <w:rPr>
          <w:bCs/>
          <w:noProof/>
        </w:rPr>
        <w:fldChar w:fldCharType="end"/>
      </w:r>
      <w:r w:rsidRPr="00FF310C">
        <w:t>. White Supplejack protection requirements and recommendations for planned burning</w:t>
      </w:r>
    </w:p>
    <w:tbl>
      <w:tblPr>
        <w:tblStyle w:val="TableGrid"/>
        <w:tblW w:w="0" w:type="auto"/>
        <w:tblLook w:val="04A0" w:firstRow="1" w:lastRow="0" w:firstColumn="1" w:lastColumn="0" w:noHBand="0" w:noVBand="1"/>
      </w:tblPr>
      <w:tblGrid>
        <w:gridCol w:w="2268"/>
        <w:gridCol w:w="7371"/>
      </w:tblGrid>
      <w:tr w:rsidR="00BE1D36" w14:paraId="12FCCAEF"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D17EB65"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59AE68F1"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15F757C8" w14:textId="77777777" w:rsidTr="00B45E4E">
        <w:tc>
          <w:tcPr>
            <w:tcW w:w="2268" w:type="dxa"/>
            <w:tcBorders>
              <w:top w:val="single" w:sz="8" w:space="0" w:color="CDDC29" w:themeColor="text2"/>
              <w:left w:val="nil"/>
              <w:bottom w:val="single" w:sz="8" w:space="0" w:color="CDDC29" w:themeColor="text2"/>
              <w:right w:val="nil"/>
            </w:tcBorders>
            <w:hideMark/>
          </w:tcPr>
          <w:p w14:paraId="0701DD16" w14:textId="56F3A4C9" w:rsidR="00BE1D36" w:rsidRDefault="00630731"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6D8B598D" w14:textId="77777777" w:rsidR="00BE1D36" w:rsidRDefault="00BE1D36" w:rsidP="00B45E4E">
            <w:pPr>
              <w:pStyle w:val="BodyText"/>
            </w:pPr>
            <w:r>
              <w:t>Not required for this hazard as it is a longer-term threat.</w:t>
            </w:r>
          </w:p>
        </w:tc>
      </w:tr>
      <w:tr w:rsidR="00BE1D36" w14:paraId="3A66C242" w14:textId="77777777" w:rsidTr="00B45E4E">
        <w:tc>
          <w:tcPr>
            <w:tcW w:w="2268" w:type="dxa"/>
            <w:tcBorders>
              <w:top w:val="single" w:sz="8" w:space="0" w:color="CDDC29" w:themeColor="text2"/>
              <w:left w:val="nil"/>
              <w:bottom w:val="single" w:sz="8" w:space="0" w:color="CDDC29" w:themeColor="text2"/>
              <w:right w:val="nil"/>
            </w:tcBorders>
            <w:hideMark/>
          </w:tcPr>
          <w:p w14:paraId="4BC2632C" w14:textId="3C76FD11" w:rsidR="00BE1D36" w:rsidRDefault="00630731"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7B636DEA" w14:textId="2B77BE2D" w:rsidR="00BE1D36" w:rsidRDefault="00BE1D36" w:rsidP="006670D2">
            <w:pPr>
              <w:pStyle w:val="PullOutBoxBullet"/>
            </w:pPr>
            <w:r>
              <w:t>Review and where possible improve measures to protect Warm Temperate Rainforest during fire management operations</w:t>
            </w:r>
            <w:r w:rsidR="00A30EC9">
              <w:t>; and</w:t>
            </w:r>
          </w:p>
          <w:p w14:paraId="307CAF88" w14:textId="74B264D0" w:rsidR="00BE1D36" w:rsidRDefault="00A30EC9" w:rsidP="006670D2">
            <w:pPr>
              <w:pStyle w:val="PullOutBoxBullet"/>
            </w:pPr>
            <w:r>
              <w:t>E</w:t>
            </w:r>
            <w:r w:rsidR="00BE1D36">
              <w:t>nsure that important populations are mapped, recorded</w:t>
            </w:r>
            <w:r w:rsidR="00D825B0">
              <w:t>,</w:t>
            </w:r>
            <w:r w:rsidR="00BE1D36">
              <w:t xml:space="preserve"> and made available for fire management planning purposes</w:t>
            </w:r>
            <w:r>
              <w:t>.</w:t>
            </w:r>
          </w:p>
        </w:tc>
      </w:tr>
    </w:tbl>
    <w:p w14:paraId="13372D41" w14:textId="301E1AA8" w:rsidR="00BE1D36" w:rsidRDefault="00BE1D36" w:rsidP="007E5EBF">
      <w:pPr>
        <w:pStyle w:val="Heading3"/>
      </w:pPr>
      <w:r>
        <w:rPr>
          <w:noProof/>
        </w:rPr>
        <mc:AlternateContent>
          <mc:Choice Requires="wps">
            <w:drawing>
              <wp:anchor distT="0" distB="0" distL="114300" distR="114300" simplePos="0" relativeHeight="251658502" behindDoc="1" locked="1" layoutInCell="1" allowOverlap="1" wp14:anchorId="7D94D1B8" wp14:editId="658B67E8">
                <wp:simplePos x="0" y="0"/>
                <wp:positionH relativeFrom="page">
                  <wp:posOffset>359410</wp:posOffset>
                </wp:positionH>
                <wp:positionV relativeFrom="page">
                  <wp:posOffset>9071610</wp:posOffset>
                </wp:positionV>
                <wp:extent cx="6840220" cy="431800"/>
                <wp:effectExtent l="0" t="0" r="0" b="0"/>
                <wp:wrapNone/>
                <wp:docPr id="1343" name="Text Box 1343"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C8DB0"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4D1B8" id="Text Box 1343" o:spid="_x0000_s1163" type="#_x0000_t202" alt="Title: Decorative Cover Shape" style="position:absolute;left:0;text-align:left;margin-left:28.3pt;margin-top:714.3pt;width:538.6pt;height:34pt;z-index:-25165797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DTuSXR/AgAA&#10;YwUAAA4AAAAAAAAAAAAAAAAALgIAAGRycy9lMm9Eb2MueG1sUEsBAi0AFAAGAAgAAAAhAJFrJtfd&#10;AAAADQEAAA8AAAAAAAAAAAAAAAAA2QQAAGRycy9kb3ducmV2LnhtbFBLBQYAAAAABAAEAPMAAADj&#10;BQAAAAA=&#10;" fillcolor="#201547" stroked="f" strokeweight=".5pt">
                <v:textbox inset="10mm,0,10mm,0">
                  <w:txbxContent>
                    <w:p w14:paraId="68CC8DB0"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501" behindDoc="0" locked="1" layoutInCell="1" allowOverlap="1" wp14:anchorId="513E82E5" wp14:editId="31861DCE">
                <wp:simplePos x="0" y="0"/>
                <wp:positionH relativeFrom="page">
                  <wp:posOffset>360045</wp:posOffset>
                </wp:positionH>
                <wp:positionV relativeFrom="page">
                  <wp:posOffset>360045</wp:posOffset>
                </wp:positionV>
                <wp:extent cx="1864995" cy="1976120"/>
                <wp:effectExtent l="0" t="0" r="0" b="0"/>
                <wp:wrapNone/>
                <wp:docPr id="224" name="Freeform: Shape 22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08111B5" id="Freeform: Shape 224" o:spid="_x0000_s1026" style="position:absolute;margin-left:28.35pt;margin-top:28.35pt;width:146.85pt;height:155.6pt;z-index:25165850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500" behindDoc="0" locked="1" layoutInCell="1" allowOverlap="1" wp14:anchorId="6630701E" wp14:editId="21B41BA1">
                <wp:simplePos x="0" y="0"/>
                <wp:positionH relativeFrom="page">
                  <wp:posOffset>359410</wp:posOffset>
                </wp:positionH>
                <wp:positionV relativeFrom="page">
                  <wp:posOffset>359410</wp:posOffset>
                </wp:positionV>
                <wp:extent cx="1864995" cy="1976120"/>
                <wp:effectExtent l="0" t="0" r="0" b="0"/>
                <wp:wrapNone/>
                <wp:docPr id="225" name="Freeform: Shape 22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34079E1" id="Freeform: Shape 225" o:spid="_x0000_s1026" style="position:absolute;margin-left:28.3pt;margin-top:28.3pt;width:146.85pt;height:155.6pt;z-index:2516585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499" behindDoc="0" locked="1" layoutInCell="1" allowOverlap="1" wp14:anchorId="6B4A226F" wp14:editId="660C2F0E">
                <wp:simplePos x="0" y="0"/>
                <wp:positionH relativeFrom="page">
                  <wp:posOffset>0</wp:posOffset>
                </wp:positionH>
                <wp:positionV relativeFrom="page">
                  <wp:align>bottom</wp:align>
                </wp:positionV>
                <wp:extent cx="3848100" cy="720090"/>
                <wp:effectExtent l="0" t="0" r="0" b="0"/>
                <wp:wrapNone/>
                <wp:docPr id="226" name="Text Box 226"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64A33"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226F" id="Text Box 226" o:spid="_x0000_s1164" type="#_x0000_t202" style="position:absolute;left:0;text-align:left;margin-left:0;margin-top:0;width:303pt;height:56.7pt;z-index:25165849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zcj6nG8CAAA/BQAADgAAAAAAAAAAAAAAAAAu&#10;AgAAZHJzL2Uyb0RvYy54bWxQSwECLQAUAAYACAAAACEA9MrPqNoAAAAFAQAADwAAAAAAAAAAAAAA&#10;AADJBAAAZHJzL2Rvd25yZXYueG1sUEsFBgAAAAAEAAQA8wAAANAFAAAAAA==&#10;" filled="f" stroked="f" strokeweight=".5pt">
                <v:textbox inset="20mm">
                  <w:txbxContent>
                    <w:p w14:paraId="50764A33" w14:textId="77777777" w:rsidR="00BE1D36" w:rsidRDefault="00BE1D36" w:rsidP="00BE1D36">
                      <w:pPr>
                        <w:pStyle w:val="xWebCoverPage"/>
                      </w:pPr>
                      <w:r>
                        <w:t>delwp.vic.gov.au</w:t>
                      </w:r>
                    </w:p>
                  </w:txbxContent>
                </v:textbox>
                <w10:wrap anchorx="page" anchory="page"/>
                <w10:anchorlock/>
              </v:shape>
            </w:pict>
          </mc:Fallback>
        </mc:AlternateContent>
      </w:r>
      <w:r>
        <w:rPr>
          <w:noProof/>
        </w:rPr>
        <mc:AlternateContent>
          <mc:Choice Requires="wps">
            <w:drawing>
              <wp:anchor distT="0" distB="0" distL="114300" distR="114300" simplePos="0" relativeHeight="251658506" behindDoc="1" locked="1" layoutInCell="1" allowOverlap="1" wp14:anchorId="1617FFFA" wp14:editId="5AAD1386">
                <wp:simplePos x="0" y="0"/>
                <wp:positionH relativeFrom="page">
                  <wp:posOffset>359410</wp:posOffset>
                </wp:positionH>
                <wp:positionV relativeFrom="page">
                  <wp:posOffset>9071610</wp:posOffset>
                </wp:positionV>
                <wp:extent cx="6840220" cy="431800"/>
                <wp:effectExtent l="0" t="0" r="0" b="0"/>
                <wp:wrapNone/>
                <wp:docPr id="228" name="Text Box 228"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81BBD"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7FFFA" id="Text Box 228" o:spid="_x0000_s1165" type="#_x0000_t202" alt="Title: Decorative Cover Shape" style="position:absolute;left:0;text-align:left;margin-left:28.3pt;margin-top:714.3pt;width:538.6pt;height:34pt;z-index:-25165797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" fillcolor="#201547" stroked="f" strokeweight=".5pt">
                <v:textbox inset="10mm,0,10mm,0">
                  <w:txbxContent>
                    <w:p w14:paraId="32081BBD"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505" behindDoc="0" locked="1" layoutInCell="1" allowOverlap="1" wp14:anchorId="31C3D2D8" wp14:editId="33D4685B">
                <wp:simplePos x="0" y="0"/>
                <wp:positionH relativeFrom="page">
                  <wp:posOffset>360045</wp:posOffset>
                </wp:positionH>
                <wp:positionV relativeFrom="page">
                  <wp:posOffset>360045</wp:posOffset>
                </wp:positionV>
                <wp:extent cx="1864995" cy="1976120"/>
                <wp:effectExtent l="0" t="0" r="0" b="0"/>
                <wp:wrapNone/>
                <wp:docPr id="229" name="Freeform: Shape 22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0A18A2C" id="Freeform: Shape 229" o:spid="_x0000_s1026" style="position:absolute;margin-left:28.35pt;margin-top:28.35pt;width:146.85pt;height:155.6pt;z-index:25165850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504" behindDoc="0" locked="1" layoutInCell="1" allowOverlap="1" wp14:anchorId="407C64B6" wp14:editId="4E1C1EC8">
                <wp:simplePos x="0" y="0"/>
                <wp:positionH relativeFrom="page">
                  <wp:posOffset>359410</wp:posOffset>
                </wp:positionH>
                <wp:positionV relativeFrom="page">
                  <wp:posOffset>359410</wp:posOffset>
                </wp:positionV>
                <wp:extent cx="1864995" cy="1976120"/>
                <wp:effectExtent l="0" t="0" r="0" b="0"/>
                <wp:wrapNone/>
                <wp:docPr id="230" name="Freeform: Shape 23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97073FA" id="Freeform: Shape 230" o:spid="_x0000_s1026" style="position:absolute;margin-left:28.3pt;margin-top:28.3pt;width:146.85pt;height:155.6pt;z-index:2516585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503" behindDoc="0" locked="1" layoutInCell="1" allowOverlap="1" wp14:anchorId="7F307574" wp14:editId="40235B1A">
                <wp:simplePos x="0" y="0"/>
                <wp:positionH relativeFrom="page">
                  <wp:posOffset>0</wp:posOffset>
                </wp:positionH>
                <wp:positionV relativeFrom="page">
                  <wp:align>bottom</wp:align>
                </wp:positionV>
                <wp:extent cx="3848100" cy="720090"/>
                <wp:effectExtent l="0" t="0" r="0" b="0"/>
                <wp:wrapNone/>
                <wp:docPr id="231" name="Text Box 231"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74E35"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07574" id="Text Box 231" o:spid="_x0000_s1166" type="#_x0000_t202" style="position:absolute;left:0;text-align:left;margin-left:0;margin-top:0;width:303pt;height:56.7pt;z-index:25165850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HCHVLJtAgAAPwUAAA4AAAAAAAAAAAAAAAAALgIA&#10;AGRycy9lMm9Eb2MueG1sUEsBAi0AFAAGAAgAAAAhAPTKz6jaAAAABQEAAA8AAAAAAAAAAAAAAAAA&#10;xwQAAGRycy9kb3ducmV2LnhtbFBLBQYAAAAABAAEAPMAAADOBQAAAAA=&#10;" filled="f" stroked="f" strokeweight=".5pt">
                <v:textbox inset="20mm">
                  <w:txbxContent>
                    <w:p w14:paraId="7C374E35" w14:textId="77777777" w:rsidR="00BE1D36" w:rsidRDefault="00BE1D36" w:rsidP="00BE1D36">
                      <w:pPr>
                        <w:pStyle w:val="xWebCoverPage"/>
                      </w:pPr>
                      <w:r>
                        <w:t>delwp.vic.gov.au</w:t>
                      </w:r>
                    </w:p>
                  </w:txbxContent>
                </v:textbox>
                <w10:wrap anchorx="page" anchory="page"/>
                <w10:anchorlock/>
              </v:shape>
            </w:pict>
          </mc:Fallback>
        </mc:AlternateContent>
      </w:r>
      <w:r>
        <w:t>Forestry operations</w:t>
      </w:r>
    </w:p>
    <w:p w14:paraId="46CFD0D5" w14:textId="7D7CC514" w:rsidR="00BE1D36" w:rsidRDefault="00731E61" w:rsidP="007E5EBF">
      <w:pPr>
        <w:pStyle w:val="Heading5"/>
      </w:pPr>
      <w:r>
        <w:t>F</w:t>
      </w:r>
      <w:r w:rsidR="00BE1D36">
        <w:t>orestry operations</w:t>
      </w:r>
    </w:p>
    <w:p w14:paraId="13BB7931" w14:textId="1F1A119D" w:rsidR="00796EE1" w:rsidRDefault="00796EE1" w:rsidP="00796EE1">
      <w:pPr>
        <w:pStyle w:val="BodyText"/>
      </w:pPr>
      <w:r w:rsidRPr="00FD57DB">
        <w:t xml:space="preserve">This </w:t>
      </w:r>
      <w:r w:rsidR="001D3902">
        <w:t>species</w:t>
      </w:r>
      <w:r w:rsidRPr="00FD57DB">
        <w:t xml:space="preserve"> generally occurs in association with rainforest. An analysis of VBA records showed that ~6</w:t>
      </w:r>
      <w:r w:rsidR="00CF4261">
        <w:t>3</w:t>
      </w:r>
      <w:r w:rsidRPr="00FD57DB">
        <w:t>% occurred within mapped rainforest or its buffers. In this situation, occurrences should be adequately protected from forestry operations due to the requirements of the Code. The risk to this species from forestry operations in the East Gippsland RFA region was re-assessed in light of new information about the exposure to forestry operations. The experts concluded that, where the species occurred on the margins or outside rainforest and/or its buffers, and especially where the rainforest habitat might have been burnt by bushfires or otherwise disturbed, protection could not be assumed. The experts emphasised the need for additional protections that targeted both the known occurrences and the rainforest habitat where it had been disturbed</w:t>
      </w:r>
      <w:r w:rsidR="00D825B0" w:rsidRPr="00FD57DB">
        <w:t xml:space="preserve"> and</w:t>
      </w:r>
      <w:r w:rsidRPr="00FD57DB">
        <w:t xml:space="preserve"> stressed the importance of greater survey effort to improve understanding of the distribution and abundance of this </w:t>
      </w:r>
      <w:r w:rsidR="001D3902">
        <w:t>species</w:t>
      </w:r>
      <w:r w:rsidRPr="00FD57DB">
        <w:t>.</w:t>
      </w:r>
    </w:p>
    <w:p w14:paraId="56176E17" w14:textId="5C72F9D2" w:rsidR="00BE1D36" w:rsidRPr="00796EE1" w:rsidRDefault="00BE1D36" w:rsidP="00BE1D36">
      <w:pPr>
        <w:pStyle w:val="BodyText"/>
      </w:pPr>
      <w:r w:rsidRPr="00796EE1">
        <w:t xml:space="preserve">The extent of this hazard is sporadic across the range of the species with 5% of post-1970 VBA points and 25% of the </w:t>
      </w:r>
      <w:r w:rsidR="001D3902">
        <w:t>species’</w:t>
      </w:r>
      <w:r w:rsidRPr="00796EE1">
        <w:t xml:space="preserve"> habitat distribution model potentially available for timber harvestin</w:t>
      </w:r>
      <w:r w:rsidR="00E86352" w:rsidRPr="00796EE1">
        <w:t xml:space="preserve">g, </w:t>
      </w:r>
      <w:r w:rsidR="00E86352" w:rsidRPr="00FD57DB">
        <w:t>based on the 2015 net harvest area layer</w:t>
      </w:r>
      <w:r w:rsidRPr="00FD57DB">
        <w:t xml:space="preserve">. </w:t>
      </w:r>
      <w:r w:rsidR="00E86352" w:rsidRPr="00FD57DB">
        <w:t xml:space="preserve">Using the revised operable area layer, this reduces to 9% of the </w:t>
      </w:r>
      <w:r w:rsidR="001D3902">
        <w:t>species’</w:t>
      </w:r>
      <w:r w:rsidR="00E86352" w:rsidRPr="00FD57DB">
        <w:t xml:space="preserve"> modelled habitat and 3% of VBA points. </w:t>
      </w:r>
      <w:r w:rsidRPr="00796EE1">
        <w:t xml:space="preserve">The habitat distribution model overestimates the </w:t>
      </w:r>
      <w:r w:rsidR="001D3902">
        <w:t>species’</w:t>
      </w:r>
      <w:r w:rsidRPr="00796EE1">
        <w:t xml:space="preserve"> range</w:t>
      </w:r>
      <w:r w:rsidR="00D825B0" w:rsidRPr="00796EE1">
        <w:t xml:space="preserve"> but</w:t>
      </w:r>
      <w:r w:rsidRPr="00796EE1">
        <w:t xml:space="preserve"> has important omissions of known records. </w:t>
      </w:r>
    </w:p>
    <w:p w14:paraId="5BE7584C" w14:textId="77777777" w:rsidR="00BE1D36" w:rsidRDefault="00BE1D36" w:rsidP="00BE1D36">
      <w:pPr>
        <w:pStyle w:val="BodyText"/>
      </w:pPr>
      <w:r>
        <w:t>Current controls for this hazard include:</w:t>
      </w:r>
    </w:p>
    <w:p w14:paraId="553343AF" w14:textId="3117DC32" w:rsidR="00BE1D36" w:rsidRDefault="00BE1D36" w:rsidP="006670D2">
      <w:pPr>
        <w:pStyle w:val="PullOutBoxBullet"/>
      </w:pPr>
      <w:r>
        <w:t xml:space="preserve">The </w:t>
      </w:r>
      <w:r>
        <w:rPr>
          <w:i/>
          <w:iCs/>
        </w:rPr>
        <w:t>Code of Practice for Timber Production 2014</w:t>
      </w:r>
      <w:r w:rsidR="00B36D52">
        <w:rPr>
          <w:i/>
          <w:iCs/>
        </w:rPr>
        <w:t>.</w:t>
      </w:r>
      <w:r w:rsidR="00B36D52" w:rsidRPr="00B36D52">
        <w:rPr>
          <w:rFonts w:cstheme="minorHAnsi"/>
          <w:color w:val="7030A0"/>
          <w:sz w:val="20"/>
          <w:szCs w:val="20"/>
        </w:rPr>
        <w:t xml:space="preserve"> </w:t>
      </w:r>
      <w:r w:rsidR="00B36D52" w:rsidRPr="00915D82">
        <w:t xml:space="preserve">The effectiveness of this control for this species was rated as poor. Concerns regarding the accurate field identification of rainforest following disturbance warrants a more reliable approach to its protection. There is no species-specific prescription for this </w:t>
      </w:r>
      <w:r w:rsidR="001D3902">
        <w:t>species</w:t>
      </w:r>
      <w:r w:rsidR="00B36D52" w:rsidRPr="00915D82">
        <w:t xml:space="preserve"> in the Code, however the Code includes general protections for waterways and rainforest including a prohibition on harvesting, the application of buffers and </w:t>
      </w:r>
      <w:r w:rsidR="000D065A" w:rsidRPr="00C02DCA">
        <w:t>design standards for roads, crossings</w:t>
      </w:r>
      <w:r w:rsidR="00D825B0" w:rsidRPr="00C02DCA">
        <w:t>,</w:t>
      </w:r>
      <w:r w:rsidR="000D065A" w:rsidRPr="00C02DCA">
        <w:t xml:space="preserve"> and coupe infrastructure</w:t>
      </w:r>
      <w:r w:rsidR="000D065A" w:rsidRPr="4F453272">
        <w:t>.</w:t>
      </w:r>
    </w:p>
    <w:p w14:paraId="2AB875E1" w14:textId="4DC28B0A" w:rsidR="00BE1D36" w:rsidRDefault="00BE1D36" w:rsidP="006670D2">
      <w:pPr>
        <w:pStyle w:val="PullOutBoxBullet"/>
        <w:rPr>
          <w:rFonts w:eastAsiaTheme="minorEastAsia" w:cstheme="minorBidi"/>
          <w:sz w:val="22"/>
          <w:szCs w:val="22"/>
        </w:rPr>
      </w:pPr>
      <w:r>
        <w:t xml:space="preserve">The CAR reserve system. </w:t>
      </w:r>
      <w:r w:rsidR="003809EB" w:rsidRPr="00CB51DA">
        <w:rPr>
          <w:rStyle w:val="normaltextrun"/>
        </w:rPr>
        <w:t>The effectiveness of this control for this species has been evaluated</w:t>
      </w:r>
      <w:r w:rsidR="003809EB">
        <w:t xml:space="preserve"> as </w:t>
      </w:r>
      <w:r>
        <w:t xml:space="preserve">satisfactory as 54% of the </w:t>
      </w:r>
      <w:r w:rsidR="001D3902">
        <w:t>species’</w:t>
      </w:r>
      <w:r>
        <w:t xml:space="preserve"> modelled distribution and 76% of important populations are within the reserve system.</w:t>
      </w:r>
    </w:p>
    <w:p w14:paraId="018F0266" w14:textId="08446A7D"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291</w:t>
      </w:r>
      <w:r w:rsidR="000B6788" w:rsidRPr="00B846FE">
        <w:rPr>
          <w:bCs/>
          <w:noProof/>
        </w:rPr>
        <w:fldChar w:fldCharType="end"/>
      </w:r>
      <w:r w:rsidRPr="00FF310C">
        <w:t xml:space="preserve">. White Supplejack protection requirements and recommendations for forestry operations </w:t>
      </w:r>
    </w:p>
    <w:tbl>
      <w:tblPr>
        <w:tblStyle w:val="TableGrid"/>
        <w:tblW w:w="9639" w:type="dxa"/>
        <w:tblLayout w:type="fixed"/>
        <w:tblLook w:val="04A0" w:firstRow="1" w:lastRow="0" w:firstColumn="1" w:lastColumn="0" w:noHBand="0" w:noVBand="1"/>
      </w:tblPr>
      <w:tblGrid>
        <w:gridCol w:w="2268"/>
        <w:gridCol w:w="7371"/>
      </w:tblGrid>
      <w:tr w:rsidR="00351400" w14:paraId="1C149829" w14:textId="77777777" w:rsidTr="0030755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665BA55F"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64E40EB1"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585AB9" w14:paraId="404F2F9D" w14:textId="77777777" w:rsidTr="0045799B">
        <w:tc>
          <w:tcPr>
            <w:tcW w:w="0" w:type="dxa"/>
            <w:tcBorders>
              <w:top w:val="single" w:sz="8" w:space="0" w:color="CDDC29" w:themeColor="text2"/>
              <w:left w:val="nil"/>
              <w:bottom w:val="single" w:sz="8" w:space="0" w:color="CDDC29" w:themeColor="text2"/>
              <w:right w:val="nil"/>
            </w:tcBorders>
            <w:hideMark/>
          </w:tcPr>
          <w:p w14:paraId="5D1E1A09" w14:textId="77777777" w:rsidR="00BE1D36" w:rsidRDefault="00BE1D36" w:rsidP="00B45E4E">
            <w:pPr>
              <w:pStyle w:val="BodyText"/>
            </w:pPr>
            <w:r>
              <w:t>Interim protections</w:t>
            </w:r>
          </w:p>
        </w:tc>
        <w:tc>
          <w:tcPr>
            <w:tcW w:w="0" w:type="dxa"/>
            <w:tcBorders>
              <w:top w:val="single" w:sz="8" w:space="0" w:color="CDDC29" w:themeColor="text2"/>
              <w:left w:val="nil"/>
              <w:bottom w:val="single" w:sz="8" w:space="0" w:color="CDDC29" w:themeColor="text2"/>
              <w:right w:val="nil"/>
            </w:tcBorders>
            <w:hideMark/>
          </w:tcPr>
          <w:p w14:paraId="1A4333B3" w14:textId="3F759C67" w:rsidR="00020A04" w:rsidRPr="00020A04" w:rsidRDefault="00020A04" w:rsidP="00020A04">
            <w:pPr>
              <w:pStyle w:val="BodyText"/>
              <w:rPr>
                <w:rFonts w:eastAsia="Calibri"/>
              </w:rPr>
            </w:pPr>
            <w:r w:rsidRPr="00020A04">
              <w:rPr>
                <w:rFonts w:eastAsia="Calibri"/>
              </w:rPr>
              <w:t xml:space="preserve">Within the </w:t>
            </w:r>
            <w:r w:rsidRPr="00FD57DB">
              <w:rPr>
                <w:rFonts w:eastAsia="Calibri"/>
              </w:rPr>
              <w:t>East Gippsland RFA region</w:t>
            </w:r>
            <w:r w:rsidRPr="00020A04">
              <w:rPr>
                <w:rFonts w:eastAsia="Calibri"/>
              </w:rPr>
              <w:t xml:space="preserve">, the Secretary will establish Special Protection Zone(s) to protect Warm Temperate Rainforest </w:t>
            </w:r>
            <w:r w:rsidR="00507ABD">
              <w:rPr>
                <w:rFonts w:eastAsia="Calibri"/>
              </w:rPr>
              <w:t xml:space="preserve">and Cool Temperate Rainforest </w:t>
            </w:r>
            <w:r w:rsidRPr="00020A04">
              <w:rPr>
                <w:rFonts w:eastAsia="Calibri"/>
              </w:rPr>
              <w:t xml:space="preserve">communities including relevant buffers based on </w:t>
            </w:r>
            <w:r w:rsidR="00225397">
              <w:rPr>
                <w:rFonts w:eastAsia="Calibri"/>
              </w:rPr>
              <w:t xml:space="preserve">the </w:t>
            </w:r>
            <w:r w:rsidRPr="00020A04">
              <w:rPr>
                <w:rFonts w:eastAsia="Calibri"/>
              </w:rPr>
              <w:t xml:space="preserve">Department’s corporate spatial dataset RAINFOR where the rainforest extent has been impacted by high severity fire in the last 10 years (since 2012) (DELWP 2019-20 Fire Severity: Crown Burn and High Crown Scorch). This is to provide protection for the habitat of unrecorded populations of this </w:t>
            </w:r>
            <w:r w:rsidR="001D3902">
              <w:rPr>
                <w:rFonts w:eastAsia="Calibri"/>
              </w:rPr>
              <w:t>species</w:t>
            </w:r>
            <w:r w:rsidRPr="00020A04">
              <w:rPr>
                <w:rFonts w:eastAsia="Calibri"/>
              </w:rPr>
              <w:t xml:space="preserve"> where it has been recently disturbed</w:t>
            </w:r>
            <w:r w:rsidR="003C0F36">
              <w:rPr>
                <w:rFonts w:eastAsia="Calibri"/>
              </w:rPr>
              <w:t xml:space="preserve"> (See Map 4).</w:t>
            </w:r>
          </w:p>
          <w:p w14:paraId="1F2322EF" w14:textId="33A82BC9" w:rsidR="00020A04" w:rsidRPr="00020A04" w:rsidRDefault="00020A04" w:rsidP="00020A04">
            <w:pPr>
              <w:pStyle w:val="BodyText"/>
              <w:rPr>
                <w:rFonts w:eastAsia="Calibri"/>
              </w:rPr>
            </w:pPr>
            <w:r w:rsidRPr="00FD57DB">
              <w:rPr>
                <w:rFonts w:eastAsia="Calibri"/>
              </w:rPr>
              <w:t xml:space="preserve">Within the Central Highlands, East Gippsland and Gippsland RFA regions, the Secretary will establish Special Management Zone(s) of 200 m radius around post-1970 VBA records of this </w:t>
            </w:r>
            <w:r w:rsidR="001D3902">
              <w:rPr>
                <w:rFonts w:eastAsia="Calibri"/>
              </w:rPr>
              <w:t>species</w:t>
            </w:r>
            <w:r w:rsidRPr="00FD57DB">
              <w:rPr>
                <w:rFonts w:eastAsia="Calibri"/>
              </w:rPr>
              <w:t xml:space="preserve"> with 100 m or better accuracy and any new records</w:t>
            </w:r>
            <w:r w:rsidR="003C0F36">
              <w:rPr>
                <w:rFonts w:eastAsia="Calibri"/>
              </w:rPr>
              <w:t xml:space="preserve"> (See Maps 5a and 5b).</w:t>
            </w:r>
          </w:p>
          <w:p w14:paraId="47E1E65C" w14:textId="1EDD709E" w:rsidR="00BE1D36" w:rsidRDefault="00020A04" w:rsidP="00B45E4E">
            <w:pPr>
              <w:pStyle w:val="BodyText"/>
            </w:pPr>
            <w:r w:rsidRPr="00020A04">
              <w:rPr>
                <w:rFonts w:eastAsia="Calibri"/>
              </w:rPr>
              <w:t>Note that permanent protections have been recommended for two Warm Temperate Rainforest communities in East Gippsland (</w:t>
            </w:r>
            <w:r w:rsidRPr="00020A04">
              <w:t>Warm Temperate Rainforest - East Gippsland Alluvial Terraces and Warm Temperate Rainforest - Far East Gippsland)</w:t>
            </w:r>
            <w:r w:rsidRPr="00020A04">
              <w:rPr>
                <w:rFonts w:eastAsia="Calibri"/>
              </w:rPr>
              <w:t>. This measure may also provide additional protection and may overlap with areas identified above.</w:t>
            </w:r>
          </w:p>
        </w:tc>
      </w:tr>
      <w:tr w:rsidR="00585AB9" w14:paraId="49CAA5EC" w14:textId="77777777" w:rsidTr="0045799B">
        <w:tc>
          <w:tcPr>
            <w:tcW w:w="0" w:type="dxa"/>
            <w:tcBorders>
              <w:top w:val="single" w:sz="8" w:space="0" w:color="CDDC29" w:themeColor="text2"/>
              <w:left w:val="nil"/>
              <w:bottom w:val="single" w:sz="8" w:space="0" w:color="CDDC29" w:themeColor="text2"/>
              <w:right w:val="nil"/>
            </w:tcBorders>
          </w:tcPr>
          <w:p w14:paraId="38048F82" w14:textId="7E4C1A55" w:rsidR="00630731" w:rsidRDefault="00630731" w:rsidP="00B45E4E">
            <w:pPr>
              <w:pStyle w:val="BodyText"/>
            </w:pPr>
            <w:r>
              <w:t>Priority management actions</w:t>
            </w:r>
          </w:p>
        </w:tc>
        <w:tc>
          <w:tcPr>
            <w:tcW w:w="0" w:type="dxa"/>
            <w:tcBorders>
              <w:top w:val="single" w:sz="8" w:space="0" w:color="CDDC29" w:themeColor="text2"/>
              <w:left w:val="nil"/>
              <w:bottom w:val="single" w:sz="8" w:space="0" w:color="CDDC29" w:themeColor="text2"/>
              <w:right w:val="nil"/>
            </w:tcBorders>
          </w:tcPr>
          <w:p w14:paraId="42CF47CA" w14:textId="77777777" w:rsidR="00454D5E" w:rsidRPr="00E31362" w:rsidRDefault="00454D5E" w:rsidP="006670D2">
            <w:pPr>
              <w:pStyle w:val="PullOutBoxBullet"/>
            </w:pPr>
            <w:r w:rsidRPr="00E31362">
              <w:t>Comprehensively search likely habitat and map important populations; and</w:t>
            </w:r>
          </w:p>
          <w:p w14:paraId="2202357C" w14:textId="60B9A542" w:rsidR="00630731" w:rsidRDefault="00454D5E" w:rsidP="006670D2">
            <w:pPr>
              <w:pStyle w:val="PullOutBoxBullet"/>
            </w:pPr>
            <w:r w:rsidRPr="00E31362">
              <w:t>Establish monitoring sites and collect baseline data.</w:t>
            </w:r>
          </w:p>
        </w:tc>
      </w:tr>
      <w:tr w:rsidR="00585AB9" w14:paraId="6BDFA572" w14:textId="77777777" w:rsidTr="0045799B">
        <w:tc>
          <w:tcPr>
            <w:tcW w:w="0" w:type="dxa"/>
            <w:tcBorders>
              <w:top w:val="single" w:sz="8" w:space="0" w:color="CDDC29" w:themeColor="text2"/>
              <w:left w:val="nil"/>
              <w:bottom w:val="single" w:sz="8" w:space="0" w:color="CDDC29" w:themeColor="text2"/>
              <w:right w:val="nil"/>
            </w:tcBorders>
            <w:hideMark/>
          </w:tcPr>
          <w:p w14:paraId="38E26BDC" w14:textId="77777777" w:rsidR="00BE1D36" w:rsidRDefault="00BE1D36" w:rsidP="00B45E4E">
            <w:pPr>
              <w:pStyle w:val="BodyText"/>
            </w:pPr>
            <w:r>
              <w:t>Permanent protections</w:t>
            </w:r>
          </w:p>
        </w:tc>
        <w:tc>
          <w:tcPr>
            <w:tcW w:w="0" w:type="dxa"/>
            <w:tcBorders>
              <w:top w:val="single" w:sz="8" w:space="0" w:color="CDDC29" w:themeColor="text2"/>
              <w:left w:val="nil"/>
              <w:bottom w:val="single" w:sz="8" w:space="0" w:color="CDDC29" w:themeColor="text2"/>
              <w:right w:val="nil"/>
            </w:tcBorders>
            <w:hideMark/>
          </w:tcPr>
          <w:p w14:paraId="615097E2" w14:textId="77777777" w:rsidR="00BE1D36" w:rsidRDefault="00BE1D36" w:rsidP="00B45E4E">
            <w:pPr>
              <w:pStyle w:val="BodyText"/>
            </w:pPr>
            <w:r>
              <w:t>Additional permanent protections may be required in the longer-term.</w:t>
            </w:r>
          </w:p>
        </w:tc>
      </w:tr>
      <w:tr w:rsidR="00585AB9" w14:paraId="484B421A" w14:textId="77777777" w:rsidTr="0045799B">
        <w:tc>
          <w:tcPr>
            <w:tcW w:w="0" w:type="dxa"/>
            <w:tcBorders>
              <w:top w:val="single" w:sz="8" w:space="0" w:color="CDDC29" w:themeColor="text2"/>
              <w:left w:val="nil"/>
              <w:bottom w:val="single" w:sz="8" w:space="0" w:color="CDDC29" w:themeColor="text2"/>
              <w:right w:val="nil"/>
            </w:tcBorders>
            <w:hideMark/>
          </w:tcPr>
          <w:p w14:paraId="7DDAF947" w14:textId="77777777" w:rsidR="00BE1D36" w:rsidRDefault="00BE1D36" w:rsidP="00B45E4E">
            <w:pPr>
              <w:pStyle w:val="BodyText"/>
            </w:pPr>
            <w:r>
              <w:t>Management actions</w:t>
            </w:r>
          </w:p>
        </w:tc>
        <w:tc>
          <w:tcPr>
            <w:tcW w:w="0" w:type="dxa"/>
            <w:tcBorders>
              <w:top w:val="single" w:sz="8" w:space="0" w:color="CDDC29" w:themeColor="text2"/>
              <w:left w:val="nil"/>
              <w:bottom w:val="single" w:sz="8" w:space="0" w:color="CDDC29" w:themeColor="text2"/>
              <w:right w:val="nil"/>
            </w:tcBorders>
            <w:hideMark/>
          </w:tcPr>
          <w:p w14:paraId="549A042A" w14:textId="262EE6EC" w:rsidR="00BE1D36" w:rsidRDefault="00182EF4" w:rsidP="006670D2">
            <w:pPr>
              <w:pStyle w:val="PullOutBoxBullet"/>
            </w:pPr>
            <w:r>
              <w:t>I</w:t>
            </w:r>
            <w:r w:rsidR="00BE1D36">
              <w:t xml:space="preserve">mprove protection for rainforest habitat of this </w:t>
            </w:r>
            <w:r w:rsidR="001D3902">
              <w:t>species</w:t>
            </w:r>
            <w:r>
              <w:t>;</w:t>
            </w:r>
          </w:p>
          <w:p w14:paraId="339EA456" w14:textId="1BD2E781" w:rsidR="00BE1D36" w:rsidRDefault="00182EF4" w:rsidP="006670D2">
            <w:pPr>
              <w:pStyle w:val="PullOutBoxBullet"/>
            </w:pPr>
            <w:r>
              <w:t>I</w:t>
            </w:r>
            <w:r w:rsidR="00BE1D36">
              <w:t xml:space="preserve">mprove important populations and HDM mapping to incorporate outlying records, particularly in the Lower Snowy and Jones Creek; and </w:t>
            </w:r>
          </w:p>
          <w:p w14:paraId="6813525A" w14:textId="20E915EC" w:rsidR="00BE1D36" w:rsidRDefault="00182EF4" w:rsidP="006670D2">
            <w:pPr>
              <w:pStyle w:val="PullOutBoxBullet"/>
            </w:pPr>
            <w:r>
              <w:t>I</w:t>
            </w:r>
            <w:r w:rsidR="00BE1D36">
              <w:t>mprove training to better identify application of the prescriptions in the field, with oversight to compliance and regulation groups.</w:t>
            </w:r>
          </w:p>
        </w:tc>
      </w:tr>
    </w:tbl>
    <w:p w14:paraId="0A33BF82" w14:textId="334C963A" w:rsidR="00BE1D36" w:rsidRDefault="00BE1D36" w:rsidP="007E5EBF">
      <w:pPr>
        <w:pStyle w:val="Heading3"/>
      </w:pPr>
      <w:r>
        <w:rPr>
          <w:noProof/>
        </w:rPr>
        <mc:AlternateContent>
          <mc:Choice Requires="wps">
            <w:drawing>
              <wp:anchor distT="0" distB="0" distL="114300" distR="114300" simplePos="0" relativeHeight="251658510" behindDoc="1" locked="1" layoutInCell="1" allowOverlap="1" wp14:anchorId="0116CD18" wp14:editId="4A5829E8">
                <wp:simplePos x="0" y="0"/>
                <wp:positionH relativeFrom="page">
                  <wp:posOffset>359410</wp:posOffset>
                </wp:positionH>
                <wp:positionV relativeFrom="page">
                  <wp:posOffset>9071610</wp:posOffset>
                </wp:positionV>
                <wp:extent cx="6840220" cy="431800"/>
                <wp:effectExtent l="0" t="0" r="0" b="0"/>
                <wp:wrapNone/>
                <wp:docPr id="233" name="Text Box 233" hidden="1" title="Decorative Cover Shape"/>
                <wp:cNvGraphicFramePr/>
                <a:graphic xmlns:a="http://schemas.openxmlformats.org/drawingml/2006/main">
                  <a:graphicData uri="http://schemas.microsoft.com/office/word/2010/wordprocessingShape">
                    <wps:wsp>
                      <wps:cNvSpPr txBox="1"/>
                      <wps:spPr>
                        <a:xfrm>
                          <a:off x="0" y="0"/>
                          <a:ext cx="6840220"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4B441"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CD18" id="Text Box 233" o:spid="_x0000_s1167" type="#_x0000_t202" alt="Title: Decorative Cover Shape" style="position:absolute;left:0;text-align:left;margin-left:28.3pt;margin-top:714.3pt;width:538.6pt;height:34pt;z-index:-25165797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LGSjNp/AgAA&#10;YwUAAA4AAAAAAAAAAAAAAAAALgIAAGRycy9lMm9Eb2MueG1sUEsBAi0AFAAGAAgAAAAhAJFrJtfd&#10;AAAADQEAAA8AAAAAAAAAAAAAAAAA2QQAAGRycy9kb3ducmV2LnhtbFBLBQYAAAAABAAEAPMAAADj&#10;BQAAAAA=&#10;" fillcolor="#201547" stroked="f" strokeweight=".5pt">
                <v:textbox inset="10mm,0,10mm,0">
                  <w:txbxContent>
                    <w:p w14:paraId="1A34B441"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509" behindDoc="0" locked="1" layoutInCell="1" allowOverlap="1" wp14:anchorId="62C6BF33" wp14:editId="79889AD2">
                <wp:simplePos x="0" y="0"/>
                <wp:positionH relativeFrom="page">
                  <wp:posOffset>360045</wp:posOffset>
                </wp:positionH>
                <wp:positionV relativeFrom="page">
                  <wp:posOffset>360045</wp:posOffset>
                </wp:positionV>
                <wp:extent cx="1864995" cy="1976120"/>
                <wp:effectExtent l="0" t="0" r="0" b="0"/>
                <wp:wrapNone/>
                <wp:docPr id="234" name="Freeform: Shape 23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92E519" id="Freeform: Shape 234" o:spid="_x0000_s1026" style="position:absolute;margin-left:28.35pt;margin-top:28.35pt;width:146.85pt;height:155.6pt;z-index:25165850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" path="m1745,3697l,,3496,,1745,3697xe" stroked="f">
                <v:fill r:id="rId76" o:title="" recolor="t" rotate="t" type="frame"/>
                <v:path arrowok="t" o:connecttype="custom" o:connectlocs="930897,1976120;0,0;1864995,0;930897,1976120" o:connectangles="0,0,0,0"/>
                <w10:wrap anchorx="page" anchory="page"/>
                <w10:anchorlock/>
              </v:shape>
            </w:pict>
          </mc:Fallback>
        </mc:AlternateContent>
      </w:r>
      <w:r>
        <w:rPr>
          <w:noProof/>
        </w:rPr>
        <mc:AlternateContent>
          <mc:Choice Requires="wps">
            <w:drawing>
              <wp:anchor distT="0" distB="0" distL="114300" distR="114300" simplePos="0" relativeHeight="251658508" behindDoc="0" locked="1" layoutInCell="1" allowOverlap="1" wp14:anchorId="7DA1EB2E" wp14:editId="724BB5F3">
                <wp:simplePos x="0" y="0"/>
                <wp:positionH relativeFrom="page">
                  <wp:posOffset>359410</wp:posOffset>
                </wp:positionH>
                <wp:positionV relativeFrom="page">
                  <wp:posOffset>359410</wp:posOffset>
                </wp:positionV>
                <wp:extent cx="1864995" cy="1976120"/>
                <wp:effectExtent l="0" t="0" r="0" b="0"/>
                <wp:wrapNone/>
                <wp:docPr id="235" name="Freeform: Shape 23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995"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7BEA320" id="Freeform: Shape 235" o:spid="_x0000_s1026" style="position:absolute;margin-left:28.3pt;margin-top:28.3pt;width:146.85pt;height:155.6pt;z-index:2516585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" path="m,l1469,3114,2939,,,xe" fillcolor="#cddc29 [3202]" stroked="f">
                <v:path arrowok="t" o:connecttype="custom" o:connectlocs="0,0;932180,1976120;1864995,0;0,0" o:connectangles="0,0,0,0"/>
                <w10:wrap anchorx="page" anchory="page"/>
                <w10:anchorlock/>
              </v:shape>
            </w:pict>
          </mc:Fallback>
        </mc:AlternateContent>
      </w:r>
      <w:r>
        <w:rPr>
          <w:noProof/>
        </w:rPr>
        <mc:AlternateContent>
          <mc:Choice Requires="wps">
            <w:drawing>
              <wp:anchor distT="0" distB="0" distL="114300" distR="114300" simplePos="0" relativeHeight="251658507" behindDoc="0" locked="1" layoutInCell="1" allowOverlap="1" wp14:anchorId="47C83F58" wp14:editId="6E39EF59">
                <wp:simplePos x="0" y="0"/>
                <wp:positionH relativeFrom="page">
                  <wp:posOffset>0</wp:posOffset>
                </wp:positionH>
                <wp:positionV relativeFrom="page">
                  <wp:align>bottom</wp:align>
                </wp:positionV>
                <wp:extent cx="3848100" cy="720090"/>
                <wp:effectExtent l="0" t="0" r="0" b="0"/>
                <wp:wrapNone/>
                <wp:docPr id="251" name="Text Box 251" hidden="1"/>
                <wp:cNvGraphicFramePr/>
                <a:graphic xmlns:a="http://schemas.openxmlformats.org/drawingml/2006/main">
                  <a:graphicData uri="http://schemas.microsoft.com/office/word/2010/wordprocessingShape">
                    <wps:wsp>
                      <wps:cNvSpPr txBox="1"/>
                      <wps:spPr>
                        <a:xfrm>
                          <a:off x="0" y="0"/>
                          <a:ext cx="3848100"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5FB21"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3F58" id="Text Box 251" o:spid="_x0000_s1168" type="#_x0000_t202" style="position:absolute;left:0;text-align:left;margin-left:0;margin-top:0;width:303pt;height:56.7pt;z-index:25165850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" filled="f" stroked="f" strokeweight=".5pt">
                <v:textbox inset="20mm">
                  <w:txbxContent>
                    <w:p w14:paraId="12E5FB21" w14:textId="77777777" w:rsidR="00BE1D36" w:rsidRDefault="00BE1D36" w:rsidP="00BE1D36">
                      <w:pPr>
                        <w:pStyle w:val="xWebCoverPage"/>
                      </w:pPr>
                      <w:r>
                        <w:t>delwp.vic.gov.au</w:t>
                      </w:r>
                    </w:p>
                  </w:txbxContent>
                </v:textbox>
                <w10:wrap anchorx="page" anchory="page"/>
                <w10:anchorlock/>
              </v:shape>
            </w:pict>
          </mc:Fallback>
        </mc:AlternateContent>
      </w:r>
      <w:r>
        <w:t>Invasive species</w:t>
      </w:r>
    </w:p>
    <w:p w14:paraId="7E468C74" w14:textId="77777777" w:rsidR="00BE1D36" w:rsidRDefault="00BE1D36" w:rsidP="007E5EBF">
      <w:pPr>
        <w:pStyle w:val="Heading5"/>
      </w:pPr>
      <w:r>
        <w:t>Invasive vertebrate (deer)</w:t>
      </w:r>
    </w:p>
    <w:p w14:paraId="7387411D" w14:textId="029F271B" w:rsidR="00BE1D36" w:rsidRDefault="00BE1D36" w:rsidP="00BE1D36">
      <w:pPr>
        <w:pStyle w:val="BodyText"/>
      </w:pPr>
      <w:r>
        <w:t xml:space="preserve">Sambar have been increasing in population across the East Gippsland region in the last decade (Watter et al. 2020), infiltrating all districts and forest types, often observed congregating in damper habitats including Warm Temperate Rainforest. Although it is unclear whether Sambar actively target the </w:t>
      </w:r>
      <w:r w:rsidR="001D3902">
        <w:t>species</w:t>
      </w:r>
      <w:r>
        <w:t>, they have been documented to impact lowland and coastal rainforest communities, targeting a wide range of tree and shrub species, such as the Listed Threatened canopy tree Yellow</w:t>
      </w:r>
      <w:r w:rsidR="00836B9A">
        <w:t>-</w:t>
      </w:r>
      <w:r>
        <w:t>wood</w:t>
      </w:r>
      <w:r w:rsidR="00D24FCA">
        <w:t xml:space="preserve">, </w:t>
      </w:r>
      <w:r>
        <w:t xml:space="preserve">which has similar foliage texture to the White Supplejack. </w:t>
      </w:r>
      <w:r w:rsidR="006C1EC0">
        <w:t>Many taxa are impacted by</w:t>
      </w:r>
      <w:r>
        <w:t xml:space="preserve"> Sambar either by browsing, antler rubbing, trampling or wallowing</w:t>
      </w:r>
      <w:r w:rsidR="006C1EC0">
        <w:t>,</w:t>
      </w:r>
      <w:r>
        <w:t xml:space="preserve"> and for many of these targeted browsing of juveniles or resprouts has eliminated all recruits or transgressive individuals which will inevitably result in the demise of current populations and their local extinction. The </w:t>
      </w:r>
      <w:r w:rsidR="001D3902">
        <w:t>species</w:t>
      </w:r>
      <w:r>
        <w:t xml:space="preserve"> shares with </w:t>
      </w:r>
      <w:r>
        <w:rPr>
          <w:i/>
          <w:iCs/>
        </w:rPr>
        <w:t>Eupomatia</w:t>
      </w:r>
      <w:r>
        <w:t xml:space="preserve"> the almost unique architecture among Victorian woody plants of being both an upright self-supporting plant with semi-scandent branches often supported by surrounding vegetation as well as a cane-like vine supported by canopy trees and shrubs. These scandent branches are particularly susceptible to being dragged down by Sambar even if they are not intentionally targeted for browsing. Sambar often target regenerating stands following bushfire, planned burns and regenerating </w:t>
      </w:r>
      <w:r w:rsidR="003B3D54">
        <w:t>timber harvesting</w:t>
      </w:r>
      <w:r>
        <w:t xml:space="preserve"> coupes, resulting in recruitment failure of seed recruits or resprouting individuals at their most vulnerable stage of development. This hazard extends across the whole of the </w:t>
      </w:r>
      <w:r w:rsidR="001D3902">
        <w:t>species’</w:t>
      </w:r>
      <w:r>
        <w:t xml:space="preserve"> distribution. </w:t>
      </w:r>
    </w:p>
    <w:p w14:paraId="26D9E2DB" w14:textId="77777777" w:rsidR="00BE1D36" w:rsidRDefault="00BE1D36" w:rsidP="00BE1D36">
      <w:pPr>
        <w:pStyle w:val="BodyText"/>
      </w:pPr>
      <w:r>
        <w:t>Current controls for this hazard include:</w:t>
      </w:r>
    </w:p>
    <w:p w14:paraId="0FE0C600" w14:textId="743A1B8B" w:rsidR="00BE1D36" w:rsidRDefault="00BE1D36" w:rsidP="006670D2">
      <w:pPr>
        <w:pStyle w:val="PullOutBoxBullet"/>
      </w:pPr>
      <w:r>
        <w:t>Targeted deer control. This control has been evaluated as poor because targeted culling is patchy, expensive, and challenging to target in remote forest areas. Sambar deer occur across a large area so there is a reservoir of other areas to recolonise from.</w:t>
      </w:r>
      <w:r w:rsidR="00A000A4">
        <w:t xml:space="preserve"> </w:t>
      </w:r>
      <w:r w:rsidR="00A000A4" w:rsidRPr="00F05594">
        <w:t xml:space="preserve">It is important to note, however, that </w:t>
      </w:r>
      <w:r w:rsidR="00A000A4" w:rsidRPr="00F05594">
        <w:rPr>
          <w:rStyle w:val="eop"/>
          <w:rFonts w:ascii="Arial" w:hAnsi="Arial"/>
          <w:color w:val="363534"/>
        </w:rPr>
        <w:t>recent deer control programs carried out throughout East Gippsland show significant advances in ground-based shooting by using thermal imaging, after-dark hunting and in some cases the use of silencers. Targeted control programs should not be considered inappropriate if program funding is sustainable and the target flora species for protection face significant threat from deer activity.</w:t>
      </w:r>
    </w:p>
    <w:p w14:paraId="3D18AAB1" w14:textId="7900C478"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292</w:t>
      </w:r>
      <w:r w:rsidR="000B6788" w:rsidRPr="00B846FE">
        <w:rPr>
          <w:bCs/>
          <w:noProof/>
        </w:rPr>
        <w:fldChar w:fldCharType="end"/>
      </w:r>
      <w:r w:rsidRPr="00FF310C">
        <w:t>. White Supplejack protection requirements and recommendations for invasive vertebrate (deer)</w:t>
      </w:r>
    </w:p>
    <w:tbl>
      <w:tblPr>
        <w:tblStyle w:val="TableGrid"/>
        <w:tblW w:w="0" w:type="auto"/>
        <w:tblLayout w:type="fixed"/>
        <w:tblLook w:val="04A0" w:firstRow="1" w:lastRow="0" w:firstColumn="1" w:lastColumn="0" w:noHBand="0" w:noVBand="1"/>
      </w:tblPr>
      <w:tblGrid>
        <w:gridCol w:w="2268"/>
        <w:gridCol w:w="7371"/>
      </w:tblGrid>
      <w:tr w:rsidR="00585AB9" w14:paraId="2B083BED" w14:textId="77777777" w:rsidTr="0045799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tcBorders>
              <w:top w:val="single" w:sz="8" w:space="0" w:color="CDDC29" w:themeColor="text2"/>
              <w:left w:val="nil"/>
              <w:bottom w:val="single" w:sz="8" w:space="0" w:color="CDDC29" w:themeColor="text2"/>
              <w:right w:val="nil"/>
            </w:tcBorders>
            <w:vAlign w:val="center"/>
            <w:hideMark/>
          </w:tcPr>
          <w:p w14:paraId="76592715" w14:textId="77777777" w:rsidR="00BE1D36" w:rsidRDefault="00BE1D36">
            <w:pPr>
              <w:pStyle w:val="BodyText"/>
            </w:pPr>
            <w:r>
              <w:t>Requirement</w:t>
            </w:r>
          </w:p>
        </w:tc>
        <w:tc>
          <w:tcPr>
            <w:tcW w:w="0" w:type="dxa"/>
            <w:tcBorders>
              <w:top w:val="single" w:sz="8" w:space="0" w:color="CDDC29" w:themeColor="text2"/>
              <w:left w:val="nil"/>
              <w:bottom w:val="single" w:sz="8" w:space="0" w:color="CDDC29" w:themeColor="text2"/>
              <w:right w:val="nil"/>
            </w:tcBorders>
            <w:vAlign w:val="center"/>
            <w:hideMark/>
          </w:tcPr>
          <w:p w14:paraId="553D4837"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187A7D" w14:paraId="65C8403B" w14:textId="77777777" w:rsidTr="00B45E4E">
        <w:tc>
          <w:tcPr>
            <w:tcW w:w="2268" w:type="dxa"/>
            <w:tcBorders>
              <w:top w:val="single" w:sz="8" w:space="0" w:color="CDDC29" w:themeColor="text2"/>
              <w:left w:val="nil"/>
              <w:bottom w:val="single" w:sz="8" w:space="0" w:color="CDDC29" w:themeColor="text2"/>
              <w:right w:val="nil"/>
            </w:tcBorders>
            <w:hideMark/>
          </w:tcPr>
          <w:p w14:paraId="75EFB3AF" w14:textId="57ECE039" w:rsidR="00BE1D36" w:rsidRDefault="00697F04"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07CD3072" w14:textId="77777777" w:rsidR="00BE1D36" w:rsidRDefault="00BE1D36" w:rsidP="00B45E4E">
            <w:pPr>
              <w:pStyle w:val="BodyText"/>
            </w:pPr>
            <w:r>
              <w:t>Not required for this hazard.</w:t>
            </w:r>
          </w:p>
        </w:tc>
      </w:tr>
      <w:tr w:rsidR="00187A7D" w14:paraId="2EEB6693" w14:textId="77777777" w:rsidTr="00B45E4E">
        <w:tc>
          <w:tcPr>
            <w:tcW w:w="2268" w:type="dxa"/>
            <w:tcBorders>
              <w:top w:val="single" w:sz="8" w:space="0" w:color="CDDC29" w:themeColor="text2"/>
              <w:left w:val="nil"/>
              <w:bottom w:val="single" w:sz="8" w:space="0" w:color="CDDC29" w:themeColor="text2"/>
              <w:right w:val="nil"/>
            </w:tcBorders>
            <w:hideMark/>
          </w:tcPr>
          <w:p w14:paraId="3FC0EF00" w14:textId="7BB4CC9A" w:rsidR="00BE1D36" w:rsidRDefault="00697F04"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679DACE9" w14:textId="621A3C95" w:rsidR="00BE1D36" w:rsidRDefault="00BE1D36" w:rsidP="006670D2">
            <w:pPr>
              <w:pStyle w:val="PullOutBoxBullet"/>
            </w:pPr>
            <w:r>
              <w:t xml:space="preserve">Monitor representative populations following </w:t>
            </w:r>
            <w:r w:rsidR="003B3D54">
              <w:t>timber harvesting</w:t>
            </w:r>
            <w:r>
              <w:t>, planned burning and bushfire, as well as in healthy mature stands, to see evidence of browsing</w:t>
            </w:r>
            <w:r w:rsidR="00182EF4">
              <w:t>; and</w:t>
            </w:r>
          </w:p>
          <w:p w14:paraId="26FF65A6" w14:textId="14131ACC" w:rsidR="00BE1D36" w:rsidRDefault="00182EF4" w:rsidP="006670D2">
            <w:pPr>
              <w:pStyle w:val="PullOutBoxBullet"/>
            </w:pPr>
            <w:r>
              <w:t>T</w:t>
            </w:r>
            <w:r w:rsidR="00BE1D36">
              <w:t>arget Sambar for control particularly after major decline events such as fire or extremely severe drought as there will be a lot more damage following fire or drought.</w:t>
            </w:r>
          </w:p>
        </w:tc>
      </w:tr>
    </w:tbl>
    <w:p w14:paraId="17CAE401" w14:textId="77777777" w:rsidR="00BE1D36" w:rsidRDefault="00BE1D36" w:rsidP="007E5EBF">
      <w:pPr>
        <w:pStyle w:val="Heading5"/>
        <w:rPr>
          <w:sz w:val="18"/>
          <w:szCs w:val="18"/>
        </w:rPr>
      </w:pPr>
      <w:r>
        <w:t>Invasive plant (weeds)</w:t>
      </w:r>
    </w:p>
    <w:p w14:paraId="5D99C298" w14:textId="2FE5B8A7" w:rsidR="00BE1D36" w:rsidRDefault="00BE1D36" w:rsidP="00BE1D36">
      <w:pPr>
        <w:pStyle w:val="BodyText"/>
      </w:pPr>
      <w:r>
        <w:t xml:space="preserve">Some stands of the </w:t>
      </w:r>
      <w:r w:rsidR="001D3902">
        <w:t>species</w:t>
      </w:r>
      <w:r>
        <w:t>, such as those on the Lower Snowy, Cabbage Tree Creek and Bemm River, each of which has extensive upstream areas of freehold farmland which act as reservoirs of invasive exotic plants, are threatened by weed invasion, notably by Blue Periwinkle (</w:t>
      </w:r>
      <w:r>
        <w:rPr>
          <w:i/>
          <w:iCs/>
        </w:rPr>
        <w:t>Vinca major</w:t>
      </w:r>
      <w:r>
        <w:t>), Wandering Jew (</w:t>
      </w:r>
      <w:r>
        <w:rPr>
          <w:i/>
          <w:iCs/>
        </w:rPr>
        <w:t>Tradescantia fluminensis</w:t>
      </w:r>
      <w:r>
        <w:t>) and Cape Ivy (</w:t>
      </w:r>
      <w:r>
        <w:rPr>
          <w:i/>
          <w:iCs/>
        </w:rPr>
        <w:t>Delairea odorata</w:t>
      </w:r>
      <w:r>
        <w:t xml:space="preserve">), each of which is capable of totally dominating the understorey of otherwise intact rainforest. Highly invasive transformer weeds can compete with native plants, particularly during early stages of both vegetative and seed-based recovery following bushfire, escaped planned burns and </w:t>
      </w:r>
      <w:r w:rsidR="003B3D54">
        <w:t>timber harvesting</w:t>
      </w:r>
      <w:r>
        <w:t xml:space="preserve"> operations. Established individuals of the </w:t>
      </w:r>
      <w:r w:rsidR="001D3902">
        <w:t>species</w:t>
      </w:r>
      <w:r>
        <w:t xml:space="preserve"> are unlikely to be seriously threatened by ground cover weeds, although aggressive climbers such as Cape Ivy may compete with mature adult White Supplejack since both can scale the understorey into the canopy.</w:t>
      </w:r>
      <w:r w:rsidR="008F0CA5">
        <w:t xml:space="preserve"> This hazard impacts approximately half of the </w:t>
      </w:r>
      <w:r w:rsidR="001D3902">
        <w:t>species’</w:t>
      </w:r>
      <w:r w:rsidR="008F0CA5">
        <w:t xml:space="preserve"> stands.</w:t>
      </w:r>
    </w:p>
    <w:p w14:paraId="6ECB1EF4" w14:textId="77777777" w:rsidR="00BE1D36" w:rsidRDefault="00BE1D36" w:rsidP="00BE1D36">
      <w:pPr>
        <w:pStyle w:val="BodyText"/>
      </w:pPr>
      <w:r>
        <w:t>Current controls for this hazard include:</w:t>
      </w:r>
    </w:p>
    <w:p w14:paraId="016F5966" w14:textId="66C0E04A" w:rsidR="00434369" w:rsidRDefault="00BE1D36" w:rsidP="006670D2">
      <w:pPr>
        <w:pStyle w:val="PullOutBoxBullet"/>
      </w:pPr>
      <w:r>
        <w:t>Targeted control of highly aggressive invasive exotic weeds. There has been some targeted weed management on the Lower Snow</w:t>
      </w:r>
      <w:r w:rsidR="004A772F">
        <w:t>y</w:t>
      </w:r>
      <w:r>
        <w:t xml:space="preserve"> and some weed control delivered post-fire as part of the BBRR program, but this has been evaluated as poor as it is not applied consistently across affected sites or sustained over time. </w:t>
      </w:r>
    </w:p>
    <w:p w14:paraId="5A2B852E" w14:textId="119A75D6"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293</w:t>
      </w:r>
      <w:r w:rsidR="000B6788" w:rsidRPr="00B846FE">
        <w:rPr>
          <w:bCs/>
          <w:noProof/>
        </w:rPr>
        <w:fldChar w:fldCharType="end"/>
      </w:r>
      <w:r w:rsidRPr="00FF310C">
        <w:t>. White Supplejack protection requirements and recommendations for invasive plants (weeds)</w:t>
      </w:r>
    </w:p>
    <w:tbl>
      <w:tblPr>
        <w:tblStyle w:val="TableGrid"/>
        <w:tblW w:w="0" w:type="auto"/>
        <w:tblLayout w:type="fixed"/>
        <w:tblLook w:val="04A0" w:firstRow="1" w:lastRow="0" w:firstColumn="1" w:lastColumn="0" w:noHBand="0" w:noVBand="1"/>
      </w:tblPr>
      <w:tblGrid>
        <w:gridCol w:w="2268"/>
        <w:gridCol w:w="7371"/>
      </w:tblGrid>
      <w:tr w:rsidR="00585AB9" w14:paraId="332281A2" w14:textId="77777777" w:rsidTr="0045799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tcBorders>
              <w:top w:val="single" w:sz="8" w:space="0" w:color="CDDC29" w:themeColor="text2"/>
              <w:left w:val="nil"/>
              <w:bottom w:val="single" w:sz="8" w:space="0" w:color="CDDC29" w:themeColor="text2"/>
              <w:right w:val="nil"/>
            </w:tcBorders>
            <w:vAlign w:val="center"/>
            <w:hideMark/>
          </w:tcPr>
          <w:p w14:paraId="52A10D6A" w14:textId="77777777" w:rsidR="00BE1D36" w:rsidRDefault="00BE1D36">
            <w:pPr>
              <w:pStyle w:val="BodyText"/>
            </w:pPr>
            <w:r>
              <w:t>Requirement</w:t>
            </w:r>
          </w:p>
        </w:tc>
        <w:tc>
          <w:tcPr>
            <w:tcW w:w="0" w:type="dxa"/>
            <w:tcBorders>
              <w:top w:val="single" w:sz="8" w:space="0" w:color="CDDC29" w:themeColor="text2"/>
              <w:left w:val="nil"/>
              <w:bottom w:val="single" w:sz="8" w:space="0" w:color="CDDC29" w:themeColor="text2"/>
              <w:right w:val="nil"/>
            </w:tcBorders>
            <w:vAlign w:val="center"/>
            <w:hideMark/>
          </w:tcPr>
          <w:p w14:paraId="078C799F"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187A7D" w14:paraId="76A6DF63" w14:textId="77777777" w:rsidTr="00B45E4E">
        <w:tc>
          <w:tcPr>
            <w:tcW w:w="2268" w:type="dxa"/>
            <w:tcBorders>
              <w:top w:val="single" w:sz="8" w:space="0" w:color="CDDC29" w:themeColor="text2"/>
              <w:left w:val="nil"/>
              <w:bottom w:val="single" w:sz="8" w:space="0" w:color="CDDC29" w:themeColor="text2"/>
              <w:right w:val="nil"/>
            </w:tcBorders>
            <w:hideMark/>
          </w:tcPr>
          <w:p w14:paraId="4DD3F885" w14:textId="4B30BBEA" w:rsidR="00BE1D36" w:rsidRDefault="00697F04"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57F1E9E5" w14:textId="77777777" w:rsidR="00BE1D36" w:rsidRDefault="00BE1D36" w:rsidP="00B45E4E">
            <w:pPr>
              <w:pStyle w:val="BodyText"/>
            </w:pPr>
            <w:r>
              <w:t>Not required for this hazard based on the overall risk level of medium.</w:t>
            </w:r>
          </w:p>
        </w:tc>
      </w:tr>
      <w:tr w:rsidR="00187A7D" w14:paraId="58DCA001" w14:textId="77777777" w:rsidTr="00B45E4E">
        <w:tc>
          <w:tcPr>
            <w:tcW w:w="2268" w:type="dxa"/>
            <w:tcBorders>
              <w:top w:val="single" w:sz="8" w:space="0" w:color="CDDC29" w:themeColor="text2"/>
              <w:left w:val="nil"/>
              <w:bottom w:val="single" w:sz="8" w:space="0" w:color="CDDC29" w:themeColor="text2"/>
              <w:right w:val="nil"/>
            </w:tcBorders>
            <w:hideMark/>
          </w:tcPr>
          <w:p w14:paraId="1E4D1DA3" w14:textId="02886146" w:rsidR="00BE1D36" w:rsidRDefault="00697F04"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46547EA3" w14:textId="77777777" w:rsidR="00697F04" w:rsidRDefault="00BE1D36" w:rsidP="006670D2">
            <w:pPr>
              <w:pStyle w:val="PullOutBoxBullet"/>
            </w:pPr>
            <w:r>
              <w:t xml:space="preserve">Targeted weed control needs to be scheduled following major disturbance events including fire and flood; and </w:t>
            </w:r>
          </w:p>
          <w:p w14:paraId="0F76BA7A" w14:textId="45086F8E" w:rsidR="00BE1D36" w:rsidRDefault="00697F04" w:rsidP="006670D2">
            <w:pPr>
              <w:pStyle w:val="PullOutBoxBullet"/>
            </w:pPr>
            <w:r>
              <w:t>O</w:t>
            </w:r>
            <w:r w:rsidR="00BE1D36">
              <w:t>nce established, a weed control program needs to be maintained at regular intervals and monitored for its effectiveness across the highest priority sites most affected by flooding.</w:t>
            </w:r>
          </w:p>
        </w:tc>
      </w:tr>
    </w:tbl>
    <w:p w14:paraId="22F31D5B" w14:textId="77777777" w:rsidR="00BE1D36" w:rsidRDefault="00BE1D36" w:rsidP="00BE1D36">
      <w:pPr>
        <w:rPr>
          <w:rFonts w:cs="Times New Roman"/>
          <w:lang w:eastAsia="en-US"/>
        </w:rPr>
      </w:pPr>
      <w:r>
        <w:rPr>
          <w:color w:val="auto"/>
        </w:rPr>
        <w:br w:type="page"/>
      </w:r>
    </w:p>
    <w:p w14:paraId="63BA017A" w14:textId="076C37B9" w:rsidR="00BE1D36" w:rsidRPr="007C6617" w:rsidRDefault="00BE1D36" w:rsidP="00171F18">
      <w:pPr>
        <w:pStyle w:val="Heading2"/>
        <w:ind w:left="0"/>
        <w:rPr>
          <w:i/>
          <w:iCs/>
        </w:rPr>
      </w:pPr>
      <w:bookmarkStart w:id="1339" w:name="_Toc113271083"/>
      <w:r w:rsidRPr="007C6617">
        <w:t>Whiteroot </w:t>
      </w:r>
      <w:r w:rsidRPr="00F67DF8">
        <w:rPr>
          <w:i/>
          <w:iCs/>
        </w:rPr>
        <w:t>(Lobelia purpurascens)</w:t>
      </w:r>
      <w:bookmarkEnd w:id="1337"/>
      <w:bookmarkEnd w:id="1338"/>
      <w:bookmarkEnd w:id="1339"/>
      <w:r w:rsidRPr="007C6617">
        <w:t> </w:t>
      </w:r>
      <w:bookmarkStart w:id="1340" w:name="_Toc88724807"/>
      <w:bookmarkEnd w:id="1340"/>
    </w:p>
    <w:p w14:paraId="71D781DB" w14:textId="38980026" w:rsidR="00BE1D36" w:rsidRDefault="00BE1D36" w:rsidP="00BE1D36">
      <w:pPr>
        <w:pStyle w:val="BodyText"/>
        <w:rPr>
          <w:rFonts w:ascii="Arial" w:hAnsi="Arial"/>
          <w:color w:val="363534"/>
        </w:rPr>
      </w:pPr>
      <w:r>
        <w:t xml:space="preserve">The Whiteroot was listed as Endangered in Victoria under the FFG Act in May 2021. The </w:t>
      </w:r>
      <w:r w:rsidR="001D3902">
        <w:t>species</w:t>
      </w:r>
      <w:r>
        <w:t xml:space="preserve"> has modelled habitat in the East Gippsland (100% of modelled habitat) RFA region. </w:t>
      </w:r>
      <w:r>
        <w:rPr>
          <w:rStyle w:val="BodyTextChar"/>
        </w:rPr>
        <w:t>Permanent protections are recommended to address any hazards identified at a significant or high risk, and all</w:t>
      </w:r>
      <w:r>
        <w:t xml:space="preserve"> hazards rated a medium risk or higher will be considered in future management planning. </w:t>
      </w:r>
    </w:p>
    <w:p w14:paraId="739D94E8" w14:textId="77777777" w:rsidR="00BE1D36" w:rsidRDefault="00BE1D36" w:rsidP="007E5EBF">
      <w:pPr>
        <w:pStyle w:val="Heading3"/>
        <w:rPr>
          <w:rFonts w:ascii="Arial" w:hAnsi="Arial"/>
          <w:bCs/>
        </w:rPr>
      </w:pPr>
      <w:bookmarkStart w:id="1341" w:name="_Toc88724808"/>
      <w:r>
        <w:t>Risk Assessment</w:t>
      </w:r>
      <w:bookmarkStart w:id="1342" w:name="_Toc88724809"/>
      <w:bookmarkStart w:id="1343" w:name="_Toc88724810"/>
      <w:bookmarkStart w:id="1344" w:name="_Toc88724811"/>
      <w:bookmarkStart w:id="1345" w:name="_Toc88724812"/>
      <w:bookmarkStart w:id="1346" w:name="_Toc88724813"/>
      <w:bookmarkStart w:id="1347" w:name="_Toc88724814"/>
      <w:bookmarkStart w:id="1348" w:name="_Toc88724815"/>
      <w:bookmarkEnd w:id="1341"/>
      <w:bookmarkEnd w:id="1342"/>
      <w:bookmarkEnd w:id="1343"/>
      <w:bookmarkEnd w:id="1344"/>
      <w:bookmarkEnd w:id="1345"/>
      <w:bookmarkEnd w:id="1346"/>
      <w:bookmarkEnd w:id="1347"/>
      <w:bookmarkEnd w:id="1348"/>
    </w:p>
    <w:p w14:paraId="7F668D47" w14:textId="1000E229" w:rsidR="00BE1D36" w:rsidRPr="00FF310C" w:rsidRDefault="00BE1D36" w:rsidP="006670D2">
      <w:pPr>
        <w:pStyle w:val="Caption"/>
        <w:rPr>
          <w:rFonts w:ascii="Arial" w:hAnsi="Arial"/>
          <w:color w:val="auto"/>
        </w:rPr>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294</w:t>
      </w:r>
      <w:r w:rsidR="000B6788" w:rsidRPr="00B846FE">
        <w:rPr>
          <w:bCs/>
          <w:noProof/>
        </w:rPr>
        <w:fldChar w:fldCharType="end"/>
      </w:r>
      <w:r w:rsidRPr="00FF310C">
        <w:t>. Whiteroot risk ratings in the East Gippsland RFA region:</w:t>
      </w:r>
    </w:p>
    <w:tbl>
      <w:tblPr>
        <w:tblStyle w:val="TableGrid"/>
        <w:tblW w:w="10202" w:type="dxa"/>
        <w:tblLook w:val="04A0" w:firstRow="1" w:lastRow="0" w:firstColumn="1" w:lastColumn="0" w:noHBand="0" w:noVBand="1"/>
      </w:tblPr>
      <w:tblGrid>
        <w:gridCol w:w="2040"/>
        <w:gridCol w:w="2040"/>
        <w:gridCol w:w="2041"/>
        <w:gridCol w:w="2040"/>
        <w:gridCol w:w="2041"/>
      </w:tblGrid>
      <w:tr w:rsidR="00BE1D36" w14:paraId="38612076"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40" w:type="dxa"/>
            <w:tcBorders>
              <w:top w:val="single" w:sz="8" w:space="0" w:color="CDDC29" w:themeColor="text2"/>
              <w:left w:val="nil"/>
              <w:bottom w:val="single" w:sz="8" w:space="0" w:color="CDDC29" w:themeColor="text2"/>
              <w:right w:val="nil"/>
            </w:tcBorders>
            <w:vAlign w:val="center"/>
          </w:tcPr>
          <w:p w14:paraId="1C46C685" w14:textId="77777777" w:rsidR="00BE1D36" w:rsidRDefault="00BE1D36" w:rsidP="006670D2">
            <w:pPr>
              <w:pStyle w:val="CaptionImageorFigure"/>
            </w:pPr>
          </w:p>
        </w:tc>
        <w:tc>
          <w:tcPr>
            <w:tcW w:w="2040" w:type="dxa"/>
            <w:tcBorders>
              <w:top w:val="single" w:sz="8" w:space="0" w:color="CDDC29" w:themeColor="text2"/>
              <w:left w:val="nil"/>
              <w:bottom w:val="single" w:sz="8" w:space="0" w:color="CDDC29" w:themeColor="text2"/>
              <w:right w:val="nil"/>
            </w:tcBorders>
            <w:vAlign w:val="center"/>
            <w:hideMark/>
          </w:tcPr>
          <w:p w14:paraId="623A9B2E"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w:t>
            </w:r>
          </w:p>
        </w:tc>
        <w:tc>
          <w:tcPr>
            <w:tcW w:w="2041" w:type="dxa"/>
            <w:tcBorders>
              <w:top w:val="single" w:sz="8" w:space="0" w:color="CDDC29" w:themeColor="text2"/>
              <w:left w:val="nil"/>
              <w:bottom w:val="single" w:sz="8" w:space="0" w:color="CDDC29" w:themeColor="text2"/>
              <w:right w:val="nil"/>
            </w:tcBorders>
            <w:vAlign w:val="center"/>
            <w:hideMark/>
          </w:tcPr>
          <w:p w14:paraId="7D601CC2" w14:textId="08BE77BF" w:rsidR="00BE1D36" w:rsidRDefault="005C774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Increased fire frequency and intensity</w:t>
            </w:r>
          </w:p>
        </w:tc>
        <w:tc>
          <w:tcPr>
            <w:tcW w:w="2040" w:type="dxa"/>
            <w:tcBorders>
              <w:top w:val="single" w:sz="8" w:space="0" w:color="CDDC29" w:themeColor="text2"/>
              <w:left w:val="nil"/>
              <w:bottom w:val="single" w:sz="8" w:space="0" w:color="CDDC29" w:themeColor="text2"/>
              <w:right w:val="nil"/>
            </w:tcBorders>
            <w:vAlign w:val="center"/>
            <w:hideMark/>
          </w:tcPr>
          <w:p w14:paraId="6B3C31A4" w14:textId="5D823FB0" w:rsidR="00BE1D36" w:rsidRDefault="00731E61"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F</w:t>
            </w:r>
            <w:r w:rsidR="00BE1D36">
              <w:t>orestry operations</w:t>
            </w:r>
          </w:p>
        </w:tc>
        <w:tc>
          <w:tcPr>
            <w:tcW w:w="2041" w:type="dxa"/>
            <w:tcBorders>
              <w:top w:val="single" w:sz="8" w:space="0" w:color="CDDC29" w:themeColor="text2"/>
              <w:left w:val="nil"/>
              <w:bottom w:val="single" w:sz="8" w:space="0" w:color="CDDC29" w:themeColor="text2"/>
              <w:right w:val="nil"/>
            </w:tcBorders>
            <w:vAlign w:val="center"/>
            <w:hideMark/>
          </w:tcPr>
          <w:p w14:paraId="7F494175"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w:t>
            </w:r>
          </w:p>
        </w:tc>
      </w:tr>
      <w:tr w:rsidR="00BE1D36" w14:paraId="77CDA83B" w14:textId="77777777" w:rsidTr="00BE1D36">
        <w:tc>
          <w:tcPr>
            <w:tcW w:w="2040" w:type="dxa"/>
            <w:tcBorders>
              <w:top w:val="single" w:sz="8" w:space="0" w:color="CDDC29" w:themeColor="text2"/>
              <w:left w:val="nil"/>
              <w:bottom w:val="single" w:sz="8" w:space="0" w:color="CDDC29" w:themeColor="text2"/>
              <w:right w:val="nil"/>
            </w:tcBorders>
            <w:vAlign w:val="center"/>
            <w:hideMark/>
          </w:tcPr>
          <w:p w14:paraId="01272B8F" w14:textId="77777777" w:rsidR="00BE1D36" w:rsidRDefault="00BE1D36" w:rsidP="00182EF4">
            <w:pPr>
              <w:pStyle w:val="BodyText"/>
              <w:jc w:val="center"/>
            </w:pPr>
            <w:r>
              <w:t>Consequence</w:t>
            </w:r>
          </w:p>
        </w:tc>
        <w:tc>
          <w:tcPr>
            <w:tcW w:w="2040" w:type="dxa"/>
            <w:tcBorders>
              <w:top w:val="single" w:sz="8" w:space="0" w:color="CDDC29" w:themeColor="text2"/>
              <w:left w:val="nil"/>
              <w:bottom w:val="single" w:sz="8" w:space="0" w:color="CDDC29" w:themeColor="text2"/>
              <w:right w:val="nil"/>
            </w:tcBorders>
            <w:vAlign w:val="center"/>
            <w:hideMark/>
          </w:tcPr>
          <w:p w14:paraId="56BEB483" w14:textId="77777777" w:rsidR="00BE1D36" w:rsidRDefault="00BE1D36" w:rsidP="00182EF4">
            <w:pPr>
              <w:pStyle w:val="BodyText"/>
              <w:jc w:val="center"/>
            </w:pPr>
            <w:r>
              <w:t>Major</w:t>
            </w:r>
          </w:p>
        </w:tc>
        <w:tc>
          <w:tcPr>
            <w:tcW w:w="2041" w:type="dxa"/>
            <w:tcBorders>
              <w:top w:val="single" w:sz="8" w:space="0" w:color="CDDC29" w:themeColor="text2"/>
              <w:left w:val="nil"/>
              <w:bottom w:val="single" w:sz="8" w:space="0" w:color="CDDC29" w:themeColor="text2"/>
              <w:right w:val="nil"/>
            </w:tcBorders>
            <w:vAlign w:val="center"/>
            <w:hideMark/>
          </w:tcPr>
          <w:p w14:paraId="6D1FDBD5" w14:textId="77777777" w:rsidR="00BE1D36" w:rsidRDefault="00BE1D36" w:rsidP="00182EF4">
            <w:pPr>
              <w:pStyle w:val="BodyText"/>
              <w:jc w:val="center"/>
            </w:pPr>
            <w:r>
              <w:t>Major</w:t>
            </w:r>
          </w:p>
        </w:tc>
        <w:tc>
          <w:tcPr>
            <w:tcW w:w="2040" w:type="dxa"/>
            <w:tcBorders>
              <w:top w:val="single" w:sz="8" w:space="0" w:color="CDDC29" w:themeColor="text2"/>
              <w:left w:val="nil"/>
              <w:bottom w:val="single" w:sz="8" w:space="0" w:color="CDDC29" w:themeColor="text2"/>
              <w:right w:val="nil"/>
            </w:tcBorders>
            <w:vAlign w:val="center"/>
            <w:hideMark/>
          </w:tcPr>
          <w:p w14:paraId="7A41624D" w14:textId="77777777" w:rsidR="00BE1D36" w:rsidRDefault="00BE1D36" w:rsidP="00182EF4">
            <w:pPr>
              <w:pStyle w:val="BodyText"/>
              <w:jc w:val="center"/>
            </w:pPr>
            <w:r>
              <w:t>Moderate</w:t>
            </w:r>
          </w:p>
        </w:tc>
        <w:tc>
          <w:tcPr>
            <w:tcW w:w="2041" w:type="dxa"/>
            <w:tcBorders>
              <w:top w:val="single" w:sz="8" w:space="0" w:color="CDDC29" w:themeColor="text2"/>
              <w:left w:val="nil"/>
              <w:bottom w:val="single" w:sz="8" w:space="0" w:color="CDDC29" w:themeColor="text2"/>
              <w:right w:val="nil"/>
            </w:tcBorders>
            <w:vAlign w:val="center"/>
            <w:hideMark/>
          </w:tcPr>
          <w:p w14:paraId="396521C7" w14:textId="77777777" w:rsidR="00BE1D36" w:rsidRDefault="00BE1D36" w:rsidP="00182EF4">
            <w:pPr>
              <w:pStyle w:val="BodyText"/>
              <w:jc w:val="center"/>
            </w:pPr>
            <w:r>
              <w:t>Major</w:t>
            </w:r>
          </w:p>
        </w:tc>
      </w:tr>
      <w:tr w:rsidR="00BE1D36" w14:paraId="13D3AD3C" w14:textId="77777777" w:rsidTr="00BE1D36">
        <w:tc>
          <w:tcPr>
            <w:tcW w:w="2040" w:type="dxa"/>
            <w:tcBorders>
              <w:top w:val="single" w:sz="8" w:space="0" w:color="CDDC29" w:themeColor="text2"/>
              <w:left w:val="nil"/>
              <w:bottom w:val="single" w:sz="8" w:space="0" w:color="CDDC29" w:themeColor="text2"/>
              <w:right w:val="nil"/>
            </w:tcBorders>
            <w:vAlign w:val="center"/>
            <w:hideMark/>
          </w:tcPr>
          <w:p w14:paraId="27BBD094" w14:textId="77777777" w:rsidR="00BE1D36" w:rsidRDefault="00BE1D36" w:rsidP="00182EF4">
            <w:pPr>
              <w:pStyle w:val="BodyText"/>
              <w:jc w:val="center"/>
            </w:pPr>
            <w:r>
              <w:t>Likelihood</w:t>
            </w:r>
          </w:p>
        </w:tc>
        <w:tc>
          <w:tcPr>
            <w:tcW w:w="2040" w:type="dxa"/>
            <w:tcBorders>
              <w:top w:val="single" w:sz="8" w:space="0" w:color="CDDC29" w:themeColor="text2"/>
              <w:left w:val="nil"/>
              <w:bottom w:val="single" w:sz="8" w:space="0" w:color="CDDC29" w:themeColor="text2"/>
              <w:right w:val="nil"/>
            </w:tcBorders>
            <w:vAlign w:val="center"/>
            <w:hideMark/>
          </w:tcPr>
          <w:p w14:paraId="6B3D7C07" w14:textId="77777777" w:rsidR="00BE1D36" w:rsidRDefault="00BE1D36" w:rsidP="00182EF4">
            <w:pPr>
              <w:pStyle w:val="BodyText"/>
              <w:jc w:val="center"/>
            </w:pPr>
            <w:r>
              <w:t>Almost certain</w:t>
            </w:r>
          </w:p>
        </w:tc>
        <w:tc>
          <w:tcPr>
            <w:tcW w:w="2041" w:type="dxa"/>
            <w:tcBorders>
              <w:top w:val="single" w:sz="8" w:space="0" w:color="CDDC29" w:themeColor="text2"/>
              <w:left w:val="nil"/>
              <w:bottom w:val="single" w:sz="8" w:space="0" w:color="CDDC29" w:themeColor="text2"/>
              <w:right w:val="nil"/>
            </w:tcBorders>
            <w:vAlign w:val="center"/>
            <w:hideMark/>
          </w:tcPr>
          <w:p w14:paraId="30CC1693" w14:textId="77777777" w:rsidR="00BE1D36" w:rsidRDefault="00BE1D36" w:rsidP="00182EF4">
            <w:pPr>
              <w:pStyle w:val="BodyText"/>
              <w:jc w:val="center"/>
            </w:pPr>
            <w:r>
              <w:t>Likely</w:t>
            </w:r>
          </w:p>
        </w:tc>
        <w:tc>
          <w:tcPr>
            <w:tcW w:w="2040" w:type="dxa"/>
            <w:tcBorders>
              <w:top w:val="single" w:sz="8" w:space="0" w:color="CDDC29" w:themeColor="text2"/>
              <w:left w:val="nil"/>
              <w:bottom w:val="single" w:sz="8" w:space="0" w:color="CDDC29" w:themeColor="text2"/>
              <w:right w:val="nil"/>
            </w:tcBorders>
            <w:vAlign w:val="center"/>
            <w:hideMark/>
          </w:tcPr>
          <w:p w14:paraId="208ACCF6" w14:textId="77777777" w:rsidR="00BE1D36" w:rsidRDefault="00BE1D36" w:rsidP="00182EF4">
            <w:pPr>
              <w:pStyle w:val="BodyText"/>
              <w:jc w:val="center"/>
            </w:pPr>
            <w:r>
              <w:t>Likely</w:t>
            </w:r>
          </w:p>
        </w:tc>
        <w:tc>
          <w:tcPr>
            <w:tcW w:w="2041" w:type="dxa"/>
            <w:tcBorders>
              <w:top w:val="single" w:sz="8" w:space="0" w:color="CDDC29" w:themeColor="text2"/>
              <w:left w:val="nil"/>
              <w:bottom w:val="single" w:sz="8" w:space="0" w:color="CDDC29" w:themeColor="text2"/>
              <w:right w:val="nil"/>
            </w:tcBorders>
            <w:vAlign w:val="center"/>
            <w:hideMark/>
          </w:tcPr>
          <w:p w14:paraId="07E5BEC1" w14:textId="77777777" w:rsidR="00BE1D36" w:rsidRDefault="00BE1D36" w:rsidP="00182EF4">
            <w:pPr>
              <w:pStyle w:val="BodyText"/>
              <w:jc w:val="center"/>
            </w:pPr>
            <w:r>
              <w:t>Likely</w:t>
            </w:r>
          </w:p>
        </w:tc>
      </w:tr>
      <w:tr w:rsidR="00BE1D36" w14:paraId="77C3539D" w14:textId="77777777" w:rsidTr="00BE1D36">
        <w:tc>
          <w:tcPr>
            <w:tcW w:w="2040" w:type="dxa"/>
            <w:tcBorders>
              <w:top w:val="single" w:sz="8" w:space="0" w:color="CDDC29" w:themeColor="text2"/>
              <w:left w:val="nil"/>
              <w:bottom w:val="single" w:sz="8" w:space="0" w:color="CDDC29" w:themeColor="text2"/>
              <w:right w:val="nil"/>
            </w:tcBorders>
            <w:vAlign w:val="center"/>
            <w:hideMark/>
          </w:tcPr>
          <w:p w14:paraId="3AA99656" w14:textId="77777777" w:rsidR="00BE1D36" w:rsidRDefault="00BE1D36" w:rsidP="00182EF4">
            <w:pPr>
              <w:pStyle w:val="BodyText"/>
              <w:jc w:val="center"/>
            </w:pPr>
            <w:r>
              <w:t>Overall risk rating</w:t>
            </w:r>
          </w:p>
        </w:tc>
        <w:tc>
          <w:tcPr>
            <w:tcW w:w="2040" w:type="dxa"/>
            <w:tcBorders>
              <w:top w:val="single" w:sz="8" w:space="0" w:color="CDDC29" w:themeColor="text2"/>
              <w:left w:val="nil"/>
              <w:bottom w:val="single" w:sz="8" w:space="0" w:color="CDDC29" w:themeColor="text2"/>
              <w:right w:val="nil"/>
            </w:tcBorders>
            <w:shd w:val="clear" w:color="auto" w:fill="FF0000"/>
            <w:vAlign w:val="center"/>
            <w:hideMark/>
          </w:tcPr>
          <w:p w14:paraId="16F93C48" w14:textId="77777777" w:rsidR="00BE1D36" w:rsidRDefault="00BE1D36" w:rsidP="00182EF4">
            <w:pPr>
              <w:pStyle w:val="BodyText"/>
              <w:jc w:val="center"/>
            </w:pPr>
            <w:r>
              <w:t>High</w:t>
            </w:r>
          </w:p>
        </w:tc>
        <w:tc>
          <w:tcPr>
            <w:tcW w:w="2041" w:type="dxa"/>
            <w:tcBorders>
              <w:top w:val="single" w:sz="8" w:space="0" w:color="CDDC29" w:themeColor="text2"/>
              <w:left w:val="nil"/>
              <w:bottom w:val="single" w:sz="8" w:space="0" w:color="CDDC29" w:themeColor="text2"/>
              <w:right w:val="nil"/>
            </w:tcBorders>
            <w:shd w:val="clear" w:color="auto" w:fill="FF0000"/>
            <w:vAlign w:val="center"/>
            <w:hideMark/>
          </w:tcPr>
          <w:p w14:paraId="728A643B" w14:textId="77777777" w:rsidR="00BE1D36" w:rsidRDefault="00BE1D36" w:rsidP="00182EF4">
            <w:pPr>
              <w:pStyle w:val="BodyText"/>
              <w:jc w:val="center"/>
            </w:pPr>
            <w:r>
              <w:t>High</w:t>
            </w:r>
          </w:p>
        </w:tc>
        <w:tc>
          <w:tcPr>
            <w:tcW w:w="2040" w:type="dxa"/>
            <w:tcBorders>
              <w:top w:val="single" w:sz="8" w:space="0" w:color="CDDC29" w:themeColor="text2"/>
              <w:left w:val="nil"/>
              <w:bottom w:val="single" w:sz="8" w:space="0" w:color="CDDC29" w:themeColor="text2"/>
              <w:right w:val="nil"/>
            </w:tcBorders>
            <w:shd w:val="clear" w:color="auto" w:fill="FFC000"/>
            <w:vAlign w:val="center"/>
            <w:hideMark/>
          </w:tcPr>
          <w:p w14:paraId="42340F9D" w14:textId="77777777" w:rsidR="00BE1D36" w:rsidRDefault="00BE1D36" w:rsidP="00182EF4">
            <w:pPr>
              <w:pStyle w:val="BodyText"/>
              <w:jc w:val="center"/>
            </w:pPr>
            <w:r>
              <w:t>Significant</w:t>
            </w:r>
          </w:p>
        </w:tc>
        <w:tc>
          <w:tcPr>
            <w:tcW w:w="2041" w:type="dxa"/>
            <w:tcBorders>
              <w:top w:val="single" w:sz="8" w:space="0" w:color="CDDC29" w:themeColor="text2"/>
              <w:left w:val="nil"/>
              <w:bottom w:val="single" w:sz="8" w:space="0" w:color="CDDC29" w:themeColor="text2"/>
              <w:right w:val="nil"/>
            </w:tcBorders>
            <w:shd w:val="clear" w:color="auto" w:fill="FF0000"/>
            <w:vAlign w:val="center"/>
            <w:hideMark/>
          </w:tcPr>
          <w:p w14:paraId="6247CE54" w14:textId="77777777" w:rsidR="00BE1D36" w:rsidRDefault="00BE1D36" w:rsidP="00182EF4">
            <w:pPr>
              <w:pStyle w:val="BodyText"/>
              <w:jc w:val="center"/>
            </w:pPr>
            <w:r>
              <w:t>High</w:t>
            </w:r>
          </w:p>
        </w:tc>
      </w:tr>
    </w:tbl>
    <w:p w14:paraId="1B6BABD8" w14:textId="77777777" w:rsidR="00BE1D36" w:rsidRDefault="00BE1D36" w:rsidP="007E5EBF">
      <w:pPr>
        <w:pStyle w:val="Heading3"/>
      </w:pPr>
      <w:bookmarkStart w:id="1349" w:name="_Toc88724816"/>
      <w:bookmarkStart w:id="1350" w:name="_Toc88724817"/>
      <w:bookmarkStart w:id="1351" w:name="_Toc88724818"/>
      <w:bookmarkStart w:id="1352" w:name="_Toc88724819"/>
      <w:bookmarkStart w:id="1353" w:name="_Toc88724989"/>
      <w:bookmarkStart w:id="1354" w:name="_Toc88724821"/>
      <w:bookmarkStart w:id="1355" w:name="_Toc88724820"/>
      <w:bookmarkEnd w:id="1349"/>
      <w:bookmarkEnd w:id="1350"/>
      <w:bookmarkEnd w:id="1351"/>
      <w:bookmarkEnd w:id="1352"/>
      <w:r>
        <w:t>Climate change</w:t>
      </w:r>
      <w:bookmarkEnd w:id="1353"/>
    </w:p>
    <w:p w14:paraId="0CAC300C" w14:textId="77777777" w:rsidR="00BE1D36" w:rsidRDefault="00BE1D36" w:rsidP="007E5EBF">
      <w:pPr>
        <w:pStyle w:val="Heading5"/>
        <w:rPr>
          <w:rFonts w:ascii="Segoe UI" w:hAnsi="Segoe UI" w:cs="Segoe UI"/>
        </w:rPr>
      </w:pPr>
      <w:r>
        <w:t>Drying climate</w:t>
      </w:r>
    </w:p>
    <w:p w14:paraId="44BC0723" w14:textId="53A88A60" w:rsidR="00BE1D36" w:rsidRDefault="00BE1D36" w:rsidP="00BE1D36">
      <w:pPr>
        <w:pStyle w:val="BodyText"/>
      </w:pPr>
      <w:r>
        <w:t xml:space="preserve">The </w:t>
      </w:r>
      <w:r w:rsidR="001D3902">
        <w:t>species</w:t>
      </w:r>
      <w:r>
        <w:t xml:space="preserve"> is highly susceptible to climatic warming and drying, resulting in </w:t>
      </w:r>
      <w:r w:rsidR="00AD0C32">
        <w:t xml:space="preserve">the </w:t>
      </w:r>
      <w:r>
        <w:t>contraction of available habitat. This hazard is likely to interact with inappropriate fire regimes, in that the dying climate will likely result in more intense bushfire</w:t>
      </w:r>
      <w:r w:rsidR="00AD0C32">
        <w:t>,</w:t>
      </w:r>
      <w:r>
        <w:t xml:space="preserve"> and as a result change the composition of the vegetation to become more fire prone leading to reduce suitable habitat for the </w:t>
      </w:r>
      <w:r w:rsidR="001D3902">
        <w:t>species</w:t>
      </w:r>
      <w:r>
        <w:t xml:space="preserve">. This hazard extends across approximately 70% of the </w:t>
      </w:r>
      <w:r w:rsidR="001D3902">
        <w:t>species’</w:t>
      </w:r>
      <w:r>
        <w:t xml:space="preserve"> habitat.</w:t>
      </w:r>
    </w:p>
    <w:p w14:paraId="7C6AAE31" w14:textId="1347F75A" w:rsidR="00BE1D36" w:rsidRDefault="00BE1D36" w:rsidP="00BE1D36">
      <w:pPr>
        <w:pStyle w:val="BodyText"/>
      </w:pPr>
      <w:r>
        <w:t xml:space="preserve">Current control measures for this hazard are strategic in nature and are not considered effective in managing the risk to this </w:t>
      </w:r>
      <w:r w:rsidR="001D3902">
        <w:t>species</w:t>
      </w:r>
      <w:r>
        <w:t xml:space="preserve"> at the scale relevant to its conservation at this stage.</w:t>
      </w:r>
    </w:p>
    <w:p w14:paraId="23A97DE5" w14:textId="20F34895" w:rsidR="00BE1D36" w:rsidRPr="005C7741"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295</w:t>
      </w:r>
      <w:r w:rsidR="000B6788" w:rsidRPr="00B846FE">
        <w:rPr>
          <w:bCs/>
          <w:noProof/>
        </w:rPr>
        <w:fldChar w:fldCharType="end"/>
      </w:r>
      <w:r w:rsidRPr="00FF310C">
        <w:t>. Whiteroot protection requirements and recommendations for drying climate</w:t>
      </w:r>
    </w:p>
    <w:tbl>
      <w:tblPr>
        <w:tblStyle w:val="TableGrid"/>
        <w:tblW w:w="0" w:type="auto"/>
        <w:tblLook w:val="04A0" w:firstRow="1" w:lastRow="0" w:firstColumn="1" w:lastColumn="0" w:noHBand="0" w:noVBand="1"/>
      </w:tblPr>
      <w:tblGrid>
        <w:gridCol w:w="2268"/>
        <w:gridCol w:w="7371"/>
      </w:tblGrid>
      <w:tr w:rsidR="00BE1D36" w14:paraId="51296E06"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84F89D7"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5E67DA2A"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1EDA5523" w14:textId="77777777" w:rsidTr="00B45E4E">
        <w:tc>
          <w:tcPr>
            <w:tcW w:w="2268" w:type="dxa"/>
            <w:tcBorders>
              <w:top w:val="single" w:sz="8" w:space="0" w:color="CDDC29" w:themeColor="text2"/>
              <w:left w:val="nil"/>
              <w:bottom w:val="single" w:sz="8" w:space="0" w:color="CDDC29" w:themeColor="text2"/>
              <w:right w:val="nil"/>
            </w:tcBorders>
            <w:hideMark/>
          </w:tcPr>
          <w:p w14:paraId="3D6EC42E" w14:textId="424F311E" w:rsidR="00BE1D36" w:rsidRDefault="00697F04"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5D68F70B" w14:textId="77777777" w:rsidR="00BE1D36" w:rsidRDefault="00BE1D36" w:rsidP="00B45E4E">
            <w:pPr>
              <w:pStyle w:val="BodyText"/>
            </w:pPr>
            <w:r>
              <w:t>Not required for this hazard as it is a longer-term threat.</w:t>
            </w:r>
          </w:p>
        </w:tc>
      </w:tr>
      <w:tr w:rsidR="00BE1D36" w14:paraId="47DB671F" w14:textId="77777777" w:rsidTr="00B45E4E">
        <w:tc>
          <w:tcPr>
            <w:tcW w:w="2268" w:type="dxa"/>
            <w:tcBorders>
              <w:top w:val="single" w:sz="8" w:space="0" w:color="CDDC29" w:themeColor="text2"/>
              <w:left w:val="nil"/>
              <w:bottom w:val="single" w:sz="8" w:space="0" w:color="CDDC29" w:themeColor="text2"/>
              <w:right w:val="nil"/>
            </w:tcBorders>
            <w:hideMark/>
          </w:tcPr>
          <w:p w14:paraId="0A71BC01" w14:textId="32A8C9AD" w:rsidR="00BE1D36" w:rsidRDefault="00697F04"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4846313A" w14:textId="522B6F08" w:rsidR="00BE1D36" w:rsidRDefault="00BE1D36" w:rsidP="006670D2">
            <w:pPr>
              <w:pStyle w:val="PullOutBoxBullet"/>
            </w:pPr>
            <w:r>
              <w:t xml:space="preserve">Collect seed for the </w:t>
            </w:r>
            <w:r w:rsidR="005902EF">
              <w:t>VCS</w:t>
            </w:r>
            <w:r>
              <w:t xml:space="preserve"> from across the </w:t>
            </w:r>
            <w:r w:rsidR="001D3902">
              <w:t>species’</w:t>
            </w:r>
            <w:r>
              <w:t xml:space="preserve"> range as insurance against catastrophic loss.</w:t>
            </w:r>
          </w:p>
        </w:tc>
      </w:tr>
    </w:tbl>
    <w:p w14:paraId="470FDD10" w14:textId="67BB9054" w:rsidR="00BE1D36" w:rsidRDefault="00BE1D36" w:rsidP="007E5EBF">
      <w:pPr>
        <w:pStyle w:val="Heading3"/>
      </w:pPr>
      <w:r>
        <w:rPr>
          <w:noProof/>
        </w:rPr>
        <mc:AlternateContent>
          <mc:Choice Requires="wps">
            <w:drawing>
              <wp:anchor distT="0" distB="0" distL="114300" distR="114300" simplePos="0" relativeHeight="251658482" behindDoc="1" locked="1" layoutInCell="1" allowOverlap="1" wp14:anchorId="6832E1B7" wp14:editId="0960F59F">
                <wp:simplePos x="0" y="0"/>
                <wp:positionH relativeFrom="page">
                  <wp:posOffset>359410</wp:posOffset>
                </wp:positionH>
                <wp:positionV relativeFrom="page">
                  <wp:posOffset>9071610</wp:posOffset>
                </wp:positionV>
                <wp:extent cx="6840220" cy="431800"/>
                <wp:effectExtent l="0" t="0" r="0" b="0"/>
                <wp:wrapNone/>
                <wp:docPr id="1506" name="Text Box 1506"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A9E7C"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2E1B7" id="Text Box 1506" o:spid="_x0000_s1169" type="#_x0000_t202" alt="Title: Decorative Cover Shape" style="position:absolute;left:0;text-align:left;margin-left:28.3pt;margin-top:714.3pt;width:538.6pt;height:34pt;z-index:-25165799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" fillcolor="#201547" stroked="f" strokeweight=".5pt">
                <v:textbox inset="10mm,0,10mm,0">
                  <w:txbxContent>
                    <w:p w14:paraId="75FA9E7C"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81" behindDoc="0" locked="1" layoutInCell="1" allowOverlap="1" wp14:anchorId="030A2604" wp14:editId="3028DF77">
                <wp:simplePos x="0" y="0"/>
                <wp:positionH relativeFrom="page">
                  <wp:posOffset>360045</wp:posOffset>
                </wp:positionH>
                <wp:positionV relativeFrom="page">
                  <wp:posOffset>360045</wp:posOffset>
                </wp:positionV>
                <wp:extent cx="1864995" cy="1976120"/>
                <wp:effectExtent l="0" t="0" r="0" b="0"/>
                <wp:wrapNone/>
                <wp:docPr id="1387" name="Freeform: Shape 13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DC61FCD" id="Freeform: Shape 1387" o:spid="_x0000_s1026" style="position:absolute;margin-left:28.35pt;margin-top:28.35pt;width:146.85pt;height:155.6pt;z-index:25165848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480" behindDoc="0" locked="1" layoutInCell="1" allowOverlap="1" wp14:anchorId="37611695" wp14:editId="053E46F0">
                <wp:simplePos x="0" y="0"/>
                <wp:positionH relativeFrom="page">
                  <wp:posOffset>359410</wp:posOffset>
                </wp:positionH>
                <wp:positionV relativeFrom="page">
                  <wp:posOffset>359410</wp:posOffset>
                </wp:positionV>
                <wp:extent cx="1864995" cy="1976120"/>
                <wp:effectExtent l="0" t="0" r="0" b="0"/>
                <wp:wrapNone/>
                <wp:docPr id="1388" name="Freeform: Shape 13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75AB81C" id="Freeform: Shape 1388" o:spid="_x0000_s1026" style="position:absolute;margin-left:28.3pt;margin-top:28.3pt;width:146.85pt;height:155.6pt;z-index:251658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479" behindDoc="0" locked="1" layoutInCell="1" allowOverlap="1" wp14:anchorId="22AC35A3" wp14:editId="4E2A60D7">
                <wp:simplePos x="0" y="0"/>
                <wp:positionH relativeFrom="page">
                  <wp:posOffset>0</wp:posOffset>
                </wp:positionH>
                <wp:positionV relativeFrom="page">
                  <wp:align>bottom</wp:align>
                </wp:positionV>
                <wp:extent cx="3848100" cy="720090"/>
                <wp:effectExtent l="0" t="0" r="0" b="0"/>
                <wp:wrapNone/>
                <wp:docPr id="1509" name="Text Box 1509"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C6D77"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C35A3" id="Text Box 1509" o:spid="_x0000_s1170" type="#_x0000_t202" style="position:absolute;left:0;text-align:left;margin-left:0;margin-top:0;width:303pt;height:56.7pt;z-index:25165847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" filled="f" stroked="f" strokeweight=".5pt">
                <v:textbox inset="20mm">
                  <w:txbxContent>
                    <w:p w14:paraId="2E3C6D77" w14:textId="77777777" w:rsidR="00BE1D36" w:rsidRDefault="00BE1D36" w:rsidP="00BE1D36">
                      <w:pPr>
                        <w:pStyle w:val="xWebCoverPage"/>
                      </w:pPr>
                      <w:r>
                        <w:t>delwp.vic.gov.au</w:t>
                      </w:r>
                    </w:p>
                  </w:txbxContent>
                </v:textbox>
                <w10:wrap anchorx="page" anchory="page"/>
                <w10:anchorlock/>
              </v:shape>
            </w:pict>
          </mc:Fallback>
        </mc:AlternateContent>
      </w:r>
      <w:bookmarkStart w:id="1356" w:name="_Toc88724822"/>
      <w:bookmarkStart w:id="1357" w:name="_Toc88724823"/>
      <w:bookmarkStart w:id="1358" w:name="_Toc88724824"/>
      <w:bookmarkStart w:id="1359" w:name="_Toc88724825"/>
      <w:bookmarkStart w:id="1360" w:name="_Toc88724826"/>
      <w:bookmarkStart w:id="1361" w:name="_Toc88724827"/>
      <w:bookmarkStart w:id="1362" w:name="_Toc88724828"/>
      <w:bookmarkStart w:id="1363" w:name="_Toc88724829"/>
      <w:bookmarkStart w:id="1364" w:name="_Toc88724830"/>
      <w:bookmarkStart w:id="1365" w:name="_Toc88724831"/>
      <w:bookmarkStart w:id="1366" w:name="_Toc88724832"/>
      <w:bookmarkStart w:id="1367" w:name="_Toc88724834"/>
      <w:bookmarkStart w:id="1368" w:name="_Toc88724836"/>
      <w:bookmarkStart w:id="1369" w:name="_Toc88724838"/>
      <w:bookmarkStart w:id="1370" w:name="_Toc88724840"/>
      <w:bookmarkStart w:id="1371" w:name="_Toc88724841"/>
      <w:bookmarkStart w:id="1372" w:name="_Toc88724842"/>
      <w:bookmarkStart w:id="1373" w:name="_Toc88724843"/>
      <w:bookmarkStart w:id="1374" w:name="_Toc88724844"/>
      <w:bookmarkEnd w:id="1354"/>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r>
        <w:t>Fire</w:t>
      </w:r>
      <w:bookmarkEnd w:id="1374"/>
    </w:p>
    <w:p w14:paraId="46A08F9F" w14:textId="0E049762" w:rsidR="00BE1D36" w:rsidRDefault="009D3C19" w:rsidP="007E5EBF">
      <w:pPr>
        <w:pStyle w:val="Heading5"/>
        <w:rPr>
          <w:rFonts w:ascii="Segoe UI" w:hAnsi="Segoe UI" w:cs="Segoe UI"/>
        </w:rPr>
      </w:pPr>
      <w:r>
        <w:t>Increased fire frequency and intensity</w:t>
      </w:r>
    </w:p>
    <w:p w14:paraId="18B29451" w14:textId="669B113F" w:rsidR="00BE1D36" w:rsidRDefault="00BE1D36" w:rsidP="00BE1D36">
      <w:pPr>
        <w:pStyle w:val="BodyText"/>
      </w:pPr>
      <w:r>
        <w:t xml:space="preserve">Bushfire is appearing to become more frequent and severe </w:t>
      </w:r>
      <w:r w:rsidR="00D825B0">
        <w:t>because of</w:t>
      </w:r>
      <w:r>
        <w:t xml:space="preserve"> climate change. This is likely to be a feedback loop where increased effects of climate change lead to more intense and frequent bushfire, leading to habitat becoming unsuitable for the </w:t>
      </w:r>
      <w:r w:rsidR="001D3902">
        <w:t>species</w:t>
      </w:r>
      <w:r>
        <w:t xml:space="preserve"> to survive. This hazard extends across approximately 80% of the </w:t>
      </w:r>
      <w:r w:rsidR="001D3902">
        <w:t>species’</w:t>
      </w:r>
      <w:r>
        <w:t xml:space="preserve"> habitat.</w:t>
      </w:r>
    </w:p>
    <w:p w14:paraId="15F09AD4" w14:textId="77777777" w:rsidR="00BE1D36" w:rsidRDefault="00BE1D36" w:rsidP="00BE1D36">
      <w:pPr>
        <w:pStyle w:val="BodyText"/>
      </w:pPr>
      <w:r>
        <w:t>Current controls for this hazard include:</w:t>
      </w:r>
    </w:p>
    <w:p w14:paraId="4A7081B8" w14:textId="4FFBF3F8" w:rsidR="00BE1D36" w:rsidRDefault="00BE1D36" w:rsidP="006670D2">
      <w:pPr>
        <w:pStyle w:val="PullOutBoxBullet"/>
      </w:pPr>
      <w:r>
        <w:t>Planned burning. This control may be effective in reducing the risk of severe bushfires in this species’ habitat depending on the location of the burns and the time elapsed since their implementation. Strategic fuel</w:t>
      </w:r>
      <w:r w:rsidR="00DF761D">
        <w:t xml:space="preserve"> </w:t>
      </w:r>
      <w:r>
        <w:t>breaks and associated backburning may also provide valuable protection in some cases for this species and its habitat from severe bushfires.</w:t>
      </w:r>
    </w:p>
    <w:p w14:paraId="03E35A8E" w14:textId="77777777" w:rsidR="003F7F1D" w:rsidRDefault="003F7F1D">
      <w:pPr>
        <w:rPr>
          <w:b/>
          <w:sz w:val="16"/>
          <w:szCs w:val="16"/>
        </w:rPr>
      </w:pPr>
      <w:r>
        <w:br w:type="page"/>
      </w:r>
    </w:p>
    <w:p w14:paraId="39FD69E9" w14:textId="600D15F1"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296</w:t>
      </w:r>
      <w:r w:rsidR="000B6788" w:rsidRPr="00B846FE">
        <w:rPr>
          <w:bCs/>
          <w:noProof/>
        </w:rPr>
        <w:fldChar w:fldCharType="end"/>
      </w:r>
      <w:r w:rsidRPr="00FF310C">
        <w:t xml:space="preserve">. Whiteroot protection requirements and recommendations for </w:t>
      </w:r>
      <w:r w:rsidR="009D3C19">
        <w:t>increased fire frequency and intensity</w:t>
      </w:r>
    </w:p>
    <w:tbl>
      <w:tblPr>
        <w:tblStyle w:val="TableGrid"/>
        <w:tblW w:w="0" w:type="auto"/>
        <w:tblLook w:val="04A0" w:firstRow="1" w:lastRow="0" w:firstColumn="1" w:lastColumn="0" w:noHBand="0" w:noVBand="1"/>
      </w:tblPr>
      <w:tblGrid>
        <w:gridCol w:w="2268"/>
        <w:gridCol w:w="7371"/>
      </w:tblGrid>
      <w:tr w:rsidR="00BE1D36" w14:paraId="611C18A6"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49D4DEEB"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0678BDF5"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60E452FE" w14:textId="77777777" w:rsidTr="00B45E4E">
        <w:tc>
          <w:tcPr>
            <w:tcW w:w="2268" w:type="dxa"/>
            <w:tcBorders>
              <w:top w:val="single" w:sz="8" w:space="0" w:color="CDDC29" w:themeColor="text2"/>
              <w:left w:val="nil"/>
              <w:bottom w:val="single" w:sz="8" w:space="0" w:color="CDDC29" w:themeColor="text2"/>
              <w:right w:val="nil"/>
            </w:tcBorders>
            <w:hideMark/>
          </w:tcPr>
          <w:p w14:paraId="0DEA7E6F" w14:textId="11FC6297" w:rsidR="00BE1D36" w:rsidRDefault="00697F04"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780131E7" w14:textId="77777777" w:rsidR="00BE1D36" w:rsidRDefault="00BE1D36" w:rsidP="00B45E4E">
            <w:pPr>
              <w:pStyle w:val="BodyText"/>
            </w:pPr>
            <w:r>
              <w:t>Not required for this hazard.</w:t>
            </w:r>
          </w:p>
        </w:tc>
      </w:tr>
      <w:tr w:rsidR="00BE1D36" w14:paraId="6198C6DD" w14:textId="77777777" w:rsidTr="00B45E4E">
        <w:tc>
          <w:tcPr>
            <w:tcW w:w="2268" w:type="dxa"/>
            <w:tcBorders>
              <w:top w:val="single" w:sz="8" w:space="0" w:color="CDDC29" w:themeColor="text2"/>
              <w:left w:val="nil"/>
              <w:bottom w:val="single" w:sz="8" w:space="0" w:color="CDDC29" w:themeColor="text2"/>
              <w:right w:val="nil"/>
            </w:tcBorders>
            <w:hideMark/>
          </w:tcPr>
          <w:p w14:paraId="2A46A765" w14:textId="26DA021B" w:rsidR="00BE1D36" w:rsidRDefault="00697F04"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73909432" w14:textId="7C7EEDFA" w:rsidR="00BE1D36" w:rsidRDefault="00BE1D36" w:rsidP="006670D2">
            <w:pPr>
              <w:pStyle w:val="PullOutBoxBullet"/>
            </w:pPr>
            <w:r>
              <w:t xml:space="preserve">Collect seed for the </w:t>
            </w:r>
            <w:r w:rsidR="005902EF">
              <w:t>VCS</w:t>
            </w:r>
            <w:r>
              <w:t xml:space="preserve"> from across the </w:t>
            </w:r>
            <w:r w:rsidR="001D3902">
              <w:t>species’</w:t>
            </w:r>
            <w:r>
              <w:t xml:space="preserve"> range as insurance against catastrophic loss</w:t>
            </w:r>
            <w:r w:rsidR="00182EF4">
              <w:t>; and</w:t>
            </w:r>
          </w:p>
          <w:p w14:paraId="0C923F73" w14:textId="19D799FD" w:rsidR="00BE1D36" w:rsidRDefault="00182EF4" w:rsidP="006670D2">
            <w:pPr>
              <w:pStyle w:val="PullOutBoxBullet"/>
            </w:pPr>
            <w:r>
              <w:t>E</w:t>
            </w:r>
            <w:r w:rsidR="00BE1D36">
              <w:t>nsure that important populations are mapped, recorded</w:t>
            </w:r>
            <w:r w:rsidR="002029E4">
              <w:t>,</w:t>
            </w:r>
            <w:r w:rsidR="00BE1D36">
              <w:t xml:space="preserve"> and made available for fire management planning purposes.</w:t>
            </w:r>
          </w:p>
        </w:tc>
      </w:tr>
    </w:tbl>
    <w:p w14:paraId="3D11ECF1" w14:textId="4DA6201E" w:rsidR="00BE1D36" w:rsidRDefault="00BE1D36" w:rsidP="007E5EBF">
      <w:pPr>
        <w:pStyle w:val="Heading3"/>
      </w:pPr>
      <w:bookmarkStart w:id="1375" w:name="_Toc88724845"/>
      <w:r>
        <w:rPr>
          <w:noProof/>
        </w:rPr>
        <mc:AlternateContent>
          <mc:Choice Requires="wps">
            <w:drawing>
              <wp:anchor distT="0" distB="0" distL="114300" distR="114300" simplePos="0" relativeHeight="251658486" behindDoc="1" locked="1" layoutInCell="1" allowOverlap="1" wp14:anchorId="43928116" wp14:editId="27C1B76A">
                <wp:simplePos x="0" y="0"/>
                <wp:positionH relativeFrom="page">
                  <wp:posOffset>359410</wp:posOffset>
                </wp:positionH>
                <wp:positionV relativeFrom="page">
                  <wp:posOffset>9071610</wp:posOffset>
                </wp:positionV>
                <wp:extent cx="6840220" cy="431800"/>
                <wp:effectExtent l="0" t="0" r="0" b="0"/>
                <wp:wrapNone/>
                <wp:docPr id="1511" name="Text Box 1511"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C8C15"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28116" id="Text Box 1511" o:spid="_x0000_s1171" type="#_x0000_t202" alt="Title: Decorative Cover Shape" style="position:absolute;left:0;text-align:left;margin-left:28.3pt;margin-top:714.3pt;width:538.6pt;height:34pt;z-index:-25165799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" fillcolor="#201547" stroked="f" strokeweight=".5pt">
                <v:textbox inset="10mm,0,10mm,0">
                  <w:txbxContent>
                    <w:p w14:paraId="401C8C15"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85" behindDoc="0" locked="1" layoutInCell="1" allowOverlap="1" wp14:anchorId="666EFEC8" wp14:editId="0ECE2910">
                <wp:simplePos x="0" y="0"/>
                <wp:positionH relativeFrom="page">
                  <wp:posOffset>360045</wp:posOffset>
                </wp:positionH>
                <wp:positionV relativeFrom="page">
                  <wp:posOffset>360045</wp:posOffset>
                </wp:positionV>
                <wp:extent cx="1864995" cy="1976120"/>
                <wp:effectExtent l="0" t="0" r="0" b="0"/>
                <wp:wrapNone/>
                <wp:docPr id="1389" name="Freeform: Shape 13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72AEA21" id="Freeform: Shape 1389" o:spid="_x0000_s1026" style="position:absolute;margin-left:28.35pt;margin-top:28.35pt;width:146.85pt;height:155.6pt;z-index:25165848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484" behindDoc="0" locked="1" layoutInCell="1" allowOverlap="1" wp14:anchorId="4B313E09" wp14:editId="39431C7B">
                <wp:simplePos x="0" y="0"/>
                <wp:positionH relativeFrom="page">
                  <wp:posOffset>359410</wp:posOffset>
                </wp:positionH>
                <wp:positionV relativeFrom="page">
                  <wp:posOffset>359410</wp:posOffset>
                </wp:positionV>
                <wp:extent cx="1864995" cy="1976120"/>
                <wp:effectExtent l="0" t="0" r="0" b="0"/>
                <wp:wrapNone/>
                <wp:docPr id="1390" name="Freeform: Shape 13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00601E2" id="Freeform: Shape 1390" o:spid="_x0000_s1026" style="position:absolute;margin-left:28.3pt;margin-top:28.3pt;width:146.85pt;height:155.6pt;z-index:2516584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483" behindDoc="0" locked="1" layoutInCell="1" allowOverlap="1" wp14:anchorId="3B25B104" wp14:editId="0A5CA524">
                <wp:simplePos x="0" y="0"/>
                <wp:positionH relativeFrom="page">
                  <wp:posOffset>0</wp:posOffset>
                </wp:positionH>
                <wp:positionV relativeFrom="page">
                  <wp:align>bottom</wp:align>
                </wp:positionV>
                <wp:extent cx="3848100" cy="720090"/>
                <wp:effectExtent l="0" t="0" r="0" b="0"/>
                <wp:wrapNone/>
                <wp:docPr id="1514" name="Text Box 1514"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F0428"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5B104" id="Text Box 1514" o:spid="_x0000_s1172" type="#_x0000_t202" style="position:absolute;left:0;text-align:left;margin-left:0;margin-top:0;width:303pt;height:56.7pt;z-index:25165848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" filled="f" stroked="f" strokeweight=".5pt">
                <v:textbox inset="20mm">
                  <w:txbxContent>
                    <w:p w14:paraId="2CDF0428" w14:textId="77777777" w:rsidR="00BE1D36" w:rsidRDefault="00BE1D36" w:rsidP="00BE1D36">
                      <w:pPr>
                        <w:pStyle w:val="xWebCoverPage"/>
                      </w:pPr>
                      <w:r>
                        <w:t>delwp.vic.gov.au</w:t>
                      </w:r>
                    </w:p>
                  </w:txbxContent>
                </v:textbox>
                <w10:wrap anchorx="page" anchory="page"/>
                <w10:anchorlock/>
              </v:shape>
            </w:pict>
          </mc:Fallback>
        </mc:AlternateContent>
      </w:r>
      <w:bookmarkStart w:id="1376" w:name="_Toc88724846"/>
      <w:bookmarkStart w:id="1377" w:name="_Toc88724847"/>
      <w:bookmarkStart w:id="1378" w:name="_Toc88724848"/>
      <w:bookmarkStart w:id="1379" w:name="_Toc88724849"/>
      <w:bookmarkStart w:id="1380" w:name="_Toc88724850"/>
      <w:bookmarkStart w:id="1381" w:name="_Toc88724851"/>
      <w:bookmarkStart w:id="1382" w:name="_Toc88724852"/>
      <w:bookmarkStart w:id="1383" w:name="_Toc88724853"/>
      <w:bookmarkStart w:id="1384" w:name="_Toc88724854"/>
      <w:bookmarkStart w:id="1385" w:name="_Toc88724855"/>
      <w:bookmarkStart w:id="1386" w:name="_Toc88724856"/>
      <w:bookmarkStart w:id="1387" w:name="_Toc88724857"/>
      <w:bookmarkStart w:id="1388" w:name="_Toc88724859"/>
      <w:bookmarkStart w:id="1389" w:name="_Toc88724861"/>
      <w:bookmarkStart w:id="1390" w:name="_Toc88724863"/>
      <w:bookmarkStart w:id="1391" w:name="_Toc88724865"/>
      <w:bookmarkStart w:id="1392" w:name="_Toc88724866"/>
      <w:bookmarkStart w:id="1393" w:name="_Toc88724867"/>
      <w:bookmarkStart w:id="1394" w:name="_Toc88724868"/>
      <w:bookmarkStart w:id="1395" w:name="_Toc88724869"/>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r>
        <w:t>Forestry operations</w:t>
      </w:r>
      <w:bookmarkEnd w:id="1395"/>
    </w:p>
    <w:p w14:paraId="73BBBF86" w14:textId="6BC8BE99" w:rsidR="00BE1D36" w:rsidRDefault="00731E61" w:rsidP="00BE1D36">
      <w:pPr>
        <w:spacing w:line="240" w:lineRule="auto"/>
        <w:textAlignment w:val="baseline"/>
      </w:pPr>
      <w:r>
        <w:rPr>
          <w:rFonts w:ascii="Arial" w:hAnsi="Arial"/>
          <w:i/>
          <w:iCs/>
          <w:color w:val="363534"/>
        </w:rPr>
        <w:t>F</w:t>
      </w:r>
      <w:r w:rsidR="00BE1D36">
        <w:rPr>
          <w:rFonts w:ascii="Arial" w:hAnsi="Arial"/>
          <w:i/>
          <w:iCs/>
          <w:color w:val="363534"/>
        </w:rPr>
        <w:t>orestry operations</w:t>
      </w:r>
    </w:p>
    <w:p w14:paraId="5B80A26C" w14:textId="7EACE828" w:rsidR="000175B7" w:rsidRPr="00707F48" w:rsidRDefault="00BE1D36" w:rsidP="000175B7">
      <w:pPr>
        <w:pStyle w:val="BodyText"/>
        <w:rPr>
          <w:color w:val="7030A0"/>
        </w:rPr>
      </w:pPr>
      <w:r>
        <w:t xml:space="preserve">The majority of the </w:t>
      </w:r>
      <w:r w:rsidR="001D3902">
        <w:t>species’</w:t>
      </w:r>
      <w:r>
        <w:t xml:space="preserve"> sites are along river and creek banks that have code prescriptions for buffer zones, and therefore no harvesting, however there </w:t>
      </w:r>
      <w:r w:rsidR="00BC10C8">
        <w:t>are</w:t>
      </w:r>
      <w:r>
        <w:t xml:space="preserve"> still </w:t>
      </w:r>
      <w:r w:rsidR="002029E4">
        <w:t>several</w:t>
      </w:r>
      <w:r>
        <w:t xml:space="preserve"> sites for which a buffer zone would not apply. </w:t>
      </w:r>
      <w:r w:rsidR="005B1CB8">
        <w:t>T</w:t>
      </w:r>
      <w:r w:rsidR="005B1CB8" w:rsidRPr="00915D82">
        <w:t>he species’ habitat has been exposed to timber harvesting in the past</w:t>
      </w:r>
      <w:r w:rsidR="005B1CB8">
        <w:t xml:space="preserve"> and </w:t>
      </w:r>
      <w:r>
        <w:t xml:space="preserve">it is considered that the post </w:t>
      </w:r>
      <w:r w:rsidR="003B3D54">
        <w:t>timber harvesting</w:t>
      </w:r>
      <w:r>
        <w:t xml:space="preserve"> recovery of vegetation will most likely be adversely affected, due to significant disturbance to the forest canopy and ground hydrology, leading to drying of the habitat which will reduce this </w:t>
      </w:r>
      <w:r w:rsidR="001D3902">
        <w:t>species’</w:t>
      </w:r>
      <w:r>
        <w:t xml:space="preserve"> ability to survive in the short to medium term. Habitat </w:t>
      </w:r>
      <w:r w:rsidRPr="00D350A7">
        <w:t xml:space="preserve">disturbance </w:t>
      </w:r>
      <w:r w:rsidR="002029E4" w:rsidRPr="00D350A7">
        <w:t>during</w:t>
      </w:r>
      <w:r w:rsidRPr="00D350A7">
        <w:t xml:space="preserve"> access to coupes can also impact the </w:t>
      </w:r>
      <w:r w:rsidR="001D3902">
        <w:t>species</w:t>
      </w:r>
      <w:r w:rsidRPr="00D350A7">
        <w:t>.</w:t>
      </w:r>
      <w:r w:rsidR="00BA725B" w:rsidRPr="00FD57DB">
        <w:t xml:space="preserve"> </w:t>
      </w:r>
      <w:r w:rsidR="000175B7" w:rsidRPr="00FD57DB">
        <w:t xml:space="preserve">Based on the 2015 net harvest area layer, around 17% of the </w:t>
      </w:r>
      <w:r w:rsidR="001D3902">
        <w:t>species’</w:t>
      </w:r>
      <w:r w:rsidR="000175B7" w:rsidRPr="00FD57DB">
        <w:t xml:space="preserve"> modelled habitat is in merchantable areas. Using the revised operable area layer this is reduced to </w:t>
      </w:r>
      <w:r w:rsidR="00707F48" w:rsidRPr="00FD57DB">
        <w:t>5%.</w:t>
      </w:r>
    </w:p>
    <w:p w14:paraId="5BD03CAD" w14:textId="77777777" w:rsidR="00BE1D36" w:rsidRDefault="00BE1D36" w:rsidP="00BE1D36">
      <w:pPr>
        <w:pStyle w:val="BodyText"/>
      </w:pPr>
      <w:r>
        <w:t>Current controls for this hazard include:</w:t>
      </w:r>
    </w:p>
    <w:p w14:paraId="5EB49D66" w14:textId="13B34F40" w:rsidR="00BE1D36" w:rsidRDefault="00BE1D36" w:rsidP="006670D2">
      <w:pPr>
        <w:pStyle w:val="PullOutBoxBullet"/>
      </w:pPr>
      <w:r>
        <w:t xml:space="preserve">The </w:t>
      </w:r>
      <w:r w:rsidRPr="60664A41">
        <w:rPr>
          <w:i/>
          <w:iCs/>
        </w:rPr>
        <w:t xml:space="preserve">Code of Practice for Timber Production 2014. </w:t>
      </w:r>
      <w:r>
        <w:t xml:space="preserve">This control has been evaluated as poor to satisfactory. There are species-specific prescriptions under the Code, but only in the Otways FMA where this </w:t>
      </w:r>
      <w:r w:rsidR="001D3902">
        <w:t>species</w:t>
      </w:r>
      <w:r>
        <w:t xml:space="preserve"> does not occur</w:t>
      </w:r>
      <w:r w:rsidR="00BD503E">
        <w:t>.</w:t>
      </w:r>
      <w:r>
        <w:t xml:space="preserve"> </w:t>
      </w:r>
      <w:r w:rsidR="00BD503E">
        <w:t>H</w:t>
      </w:r>
      <w:r w:rsidR="006266E4">
        <w:t>owever</w:t>
      </w:r>
      <w:r w:rsidR="00BD503E">
        <w:t>,</w:t>
      </w:r>
      <w:r w:rsidR="006266E4">
        <w:t xml:space="preserve"> </w:t>
      </w:r>
      <w:r>
        <w:t>Code prescriptions for waterway buffers</w:t>
      </w:r>
      <w:r w:rsidR="006266E4">
        <w:t xml:space="preserve"> and rainforest</w:t>
      </w:r>
      <w:r>
        <w:t xml:space="preserve"> would provide some protection to the </w:t>
      </w:r>
      <w:r w:rsidR="001D3902">
        <w:t>species</w:t>
      </w:r>
      <w:r w:rsidR="00BD503E">
        <w:t>.</w:t>
      </w:r>
    </w:p>
    <w:p w14:paraId="5207491D" w14:textId="76F2FFE6" w:rsidR="00BE1D36" w:rsidRDefault="00BE1D36" w:rsidP="006670D2">
      <w:pPr>
        <w:pStyle w:val="PullOutBoxBullet"/>
        <w:rPr>
          <w:rFonts w:eastAsiaTheme="minorEastAsia" w:cstheme="minorBidi"/>
          <w:sz w:val="22"/>
          <w:szCs w:val="22"/>
        </w:rPr>
      </w:pPr>
      <w:r>
        <w:t xml:space="preserve">The CAR reserve system. </w:t>
      </w:r>
      <w:r w:rsidR="003809EB" w:rsidRPr="00CB51DA">
        <w:rPr>
          <w:rStyle w:val="normaltextrun"/>
        </w:rPr>
        <w:t>The effectiveness of this control for this species has been evaluated</w:t>
      </w:r>
      <w:r w:rsidR="003809EB">
        <w:t xml:space="preserve"> as </w:t>
      </w:r>
      <w:r>
        <w:t xml:space="preserve">satisfactory as 60% of the </w:t>
      </w:r>
      <w:r w:rsidR="001D3902">
        <w:t>species’</w:t>
      </w:r>
      <w:r>
        <w:t xml:space="preserve"> modelled distribution and 57% of important populations are within the reserve system.</w:t>
      </w:r>
    </w:p>
    <w:p w14:paraId="7C8CCF6C" w14:textId="2F35305C"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297</w:t>
      </w:r>
      <w:r w:rsidR="000B6788" w:rsidRPr="00B846FE">
        <w:rPr>
          <w:bCs/>
          <w:noProof/>
        </w:rPr>
        <w:fldChar w:fldCharType="end"/>
      </w:r>
      <w:r w:rsidRPr="00FF310C">
        <w:t>. Whiteroot protection requirements and recommendations for forestry operations</w:t>
      </w:r>
    </w:p>
    <w:tbl>
      <w:tblPr>
        <w:tblStyle w:val="TableGrid"/>
        <w:tblW w:w="0" w:type="auto"/>
        <w:tblLook w:val="04A0" w:firstRow="1" w:lastRow="0" w:firstColumn="1" w:lastColumn="0" w:noHBand="0" w:noVBand="1"/>
      </w:tblPr>
      <w:tblGrid>
        <w:gridCol w:w="2268"/>
        <w:gridCol w:w="7371"/>
      </w:tblGrid>
      <w:tr w:rsidR="00BE1D36" w14:paraId="7B03416E"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40FE6609"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A9D2E39"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27A46D39" w14:textId="77777777" w:rsidTr="00B45E4E">
        <w:tc>
          <w:tcPr>
            <w:tcW w:w="2268" w:type="dxa"/>
            <w:tcBorders>
              <w:top w:val="single" w:sz="8" w:space="0" w:color="CDDC29" w:themeColor="text2"/>
              <w:left w:val="nil"/>
              <w:bottom w:val="single" w:sz="8" w:space="0" w:color="CDDC29" w:themeColor="text2"/>
              <w:right w:val="nil"/>
            </w:tcBorders>
            <w:hideMark/>
          </w:tcPr>
          <w:p w14:paraId="46F21B90" w14:textId="6EFD03BF" w:rsidR="00BE1D36" w:rsidRDefault="00BE1D36" w:rsidP="00B45E4E">
            <w:pPr>
              <w:pStyle w:val="BodyText"/>
            </w:pPr>
            <w:r>
              <w:t>Interim protections</w:t>
            </w:r>
            <w:r w:rsidR="00697F04">
              <w:t xml:space="preserve"> </w:t>
            </w:r>
          </w:p>
        </w:tc>
        <w:tc>
          <w:tcPr>
            <w:tcW w:w="7371" w:type="dxa"/>
            <w:tcBorders>
              <w:top w:val="single" w:sz="8" w:space="0" w:color="CDDC29" w:themeColor="text2"/>
              <w:left w:val="nil"/>
              <w:bottom w:val="single" w:sz="8" w:space="0" w:color="CDDC29" w:themeColor="text2"/>
              <w:right w:val="nil"/>
            </w:tcBorders>
            <w:hideMark/>
          </w:tcPr>
          <w:p w14:paraId="51182DDE" w14:textId="77777777" w:rsidR="00BE1D36" w:rsidRDefault="00BE1D36" w:rsidP="00B45E4E">
            <w:pPr>
              <w:pStyle w:val="BodyText"/>
            </w:pPr>
            <w:r>
              <w:t>Not required for this hazard due to the small proportion of its likely habitat impacted by this hazard and its relatively high representation within reserved areas.</w:t>
            </w:r>
          </w:p>
        </w:tc>
      </w:tr>
      <w:tr w:rsidR="00C06E0A" w14:paraId="73BCF618" w14:textId="77777777" w:rsidTr="00B45E4E">
        <w:tc>
          <w:tcPr>
            <w:tcW w:w="2268" w:type="dxa"/>
            <w:tcBorders>
              <w:top w:val="single" w:sz="8" w:space="0" w:color="CDDC29" w:themeColor="text2"/>
              <w:left w:val="nil"/>
              <w:bottom w:val="single" w:sz="8" w:space="0" w:color="CDDC29" w:themeColor="text2"/>
              <w:right w:val="nil"/>
            </w:tcBorders>
          </w:tcPr>
          <w:p w14:paraId="2B248588" w14:textId="641E06F0" w:rsidR="00C06E0A" w:rsidRDefault="00C06E0A"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2FE9CECE" w14:textId="77777777" w:rsidR="00FB08C4" w:rsidRPr="00E31362" w:rsidRDefault="00FB08C4" w:rsidP="006670D2">
            <w:pPr>
              <w:pStyle w:val="PullOutBoxBullet"/>
            </w:pPr>
            <w:r w:rsidRPr="00E31362">
              <w:t>Comprehensively search likely habitat and map important populations; and</w:t>
            </w:r>
          </w:p>
          <w:p w14:paraId="33237E9C" w14:textId="76C2A728" w:rsidR="00C06E0A" w:rsidRDefault="00FB08C4" w:rsidP="006670D2">
            <w:pPr>
              <w:pStyle w:val="PullOutBoxBullet"/>
            </w:pPr>
            <w:r w:rsidRPr="00E31362">
              <w:t>Establish monitoring sites and collect baseline data.</w:t>
            </w:r>
          </w:p>
        </w:tc>
      </w:tr>
      <w:tr w:rsidR="00BE1D36" w14:paraId="2DED4D44" w14:textId="77777777" w:rsidTr="00B45E4E">
        <w:tc>
          <w:tcPr>
            <w:tcW w:w="2268" w:type="dxa"/>
            <w:tcBorders>
              <w:top w:val="single" w:sz="8" w:space="0" w:color="CDDC29" w:themeColor="text2"/>
              <w:left w:val="nil"/>
              <w:bottom w:val="single" w:sz="8" w:space="0" w:color="CDDC29" w:themeColor="text2"/>
              <w:right w:val="nil"/>
            </w:tcBorders>
            <w:hideMark/>
          </w:tcPr>
          <w:p w14:paraId="69FEF9CC" w14:textId="77777777" w:rsidR="00BE1D36" w:rsidRDefault="00BE1D36" w:rsidP="00B45E4E">
            <w:pPr>
              <w:pStyle w:val="BodyText"/>
            </w:pPr>
            <w:r>
              <w:t>Permanent protections</w:t>
            </w:r>
          </w:p>
        </w:tc>
        <w:tc>
          <w:tcPr>
            <w:tcW w:w="7371" w:type="dxa"/>
            <w:tcBorders>
              <w:top w:val="single" w:sz="8" w:space="0" w:color="CDDC29" w:themeColor="text2"/>
              <w:left w:val="nil"/>
              <w:bottom w:val="single" w:sz="8" w:space="0" w:color="CDDC29" w:themeColor="text2"/>
              <w:right w:val="nil"/>
            </w:tcBorders>
            <w:hideMark/>
          </w:tcPr>
          <w:p w14:paraId="75C1FBFF" w14:textId="77777777" w:rsidR="00BE1D36" w:rsidRDefault="00BE1D36" w:rsidP="00B45E4E">
            <w:pPr>
              <w:pStyle w:val="BodyText"/>
            </w:pPr>
            <w:r>
              <w:t>Additional permanent protections may be required in the longer-term.</w:t>
            </w:r>
          </w:p>
        </w:tc>
      </w:tr>
      <w:tr w:rsidR="00BE1D36" w14:paraId="6C14D82E" w14:textId="77777777" w:rsidTr="00B45E4E">
        <w:tc>
          <w:tcPr>
            <w:tcW w:w="2268" w:type="dxa"/>
            <w:tcBorders>
              <w:top w:val="single" w:sz="8" w:space="0" w:color="CDDC29" w:themeColor="text2"/>
              <w:left w:val="nil"/>
              <w:bottom w:val="single" w:sz="8" w:space="0" w:color="CDDC29" w:themeColor="text2"/>
              <w:right w:val="nil"/>
            </w:tcBorders>
            <w:hideMark/>
          </w:tcPr>
          <w:p w14:paraId="03B9E546" w14:textId="72DF2899" w:rsidR="00BE1D36" w:rsidRDefault="00697F04"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4AA639E4" w14:textId="762569DE" w:rsidR="00697F04" w:rsidRDefault="005B3D76" w:rsidP="006670D2">
            <w:pPr>
              <w:pStyle w:val="PullOutBoxBullet"/>
            </w:pPr>
            <w:r>
              <w:t>Where appropriate d</w:t>
            </w:r>
            <w:r w:rsidR="00BE1D36">
              <w:t>ivert proposed roading/track building away from other than dry upper parts of gullies;</w:t>
            </w:r>
          </w:p>
          <w:p w14:paraId="6AE971D8" w14:textId="5D35A028" w:rsidR="00E26FA8" w:rsidRDefault="00E26FA8" w:rsidP="006670D2">
            <w:pPr>
              <w:pStyle w:val="PullOutBoxBullet"/>
            </w:pPr>
            <w:r>
              <w:rPr>
                <w:i/>
                <w:iCs/>
              </w:rPr>
              <w:t>E</w:t>
            </w:r>
            <w:r w:rsidR="00BE1D36">
              <w:rPr>
                <w:i/>
                <w:iCs/>
              </w:rPr>
              <w:t>x-situ</w:t>
            </w:r>
            <w:r w:rsidR="00BE1D36">
              <w:t xml:space="preserve"> propagation and seed collection from a range of populations to store at </w:t>
            </w:r>
            <w:r w:rsidR="005902EF">
              <w:t>VCS</w:t>
            </w:r>
            <w:r w:rsidR="00BE1D36">
              <w:t xml:space="preserve">. This plant is dioecious, so if living collections are maintained, it is critical that both male and female plants are represented. Seed collections probably provide a safer, simpler mode of protection of genetic diversity; and </w:t>
            </w:r>
          </w:p>
          <w:p w14:paraId="0D9D716B" w14:textId="0C568EDD" w:rsidR="00BE1D36" w:rsidRDefault="00E26FA8" w:rsidP="006670D2">
            <w:pPr>
              <w:pStyle w:val="PullOutBoxBullet"/>
            </w:pPr>
            <w:r>
              <w:t>E</w:t>
            </w:r>
            <w:r w:rsidR="00BE1D36">
              <w:t>xpand species-specific code prescriptions to the East Gippsland RFA</w:t>
            </w:r>
            <w:r w:rsidR="009B3219">
              <w:t xml:space="preserve"> region</w:t>
            </w:r>
            <w:r w:rsidR="00BE1D36">
              <w:t xml:space="preserve"> where this </w:t>
            </w:r>
            <w:r w:rsidR="001D3902">
              <w:t>species</w:t>
            </w:r>
            <w:r w:rsidR="00BE1D36">
              <w:t xml:space="preserve"> occurs.</w:t>
            </w:r>
          </w:p>
        </w:tc>
      </w:tr>
    </w:tbl>
    <w:p w14:paraId="76B65365" w14:textId="64025D93" w:rsidR="00BE1D36" w:rsidRDefault="00BE1D36" w:rsidP="007E5EBF">
      <w:pPr>
        <w:pStyle w:val="Heading3"/>
      </w:pPr>
      <w:r>
        <w:t>Invasive species</w:t>
      </w:r>
      <w:bookmarkEnd w:id="1355"/>
    </w:p>
    <w:p w14:paraId="4BAA3F1B" w14:textId="77777777" w:rsidR="00BE1D36" w:rsidRDefault="00BE1D36" w:rsidP="007E5EBF">
      <w:pPr>
        <w:pStyle w:val="Heading5"/>
        <w:rPr>
          <w:rFonts w:ascii="Segoe UI" w:hAnsi="Segoe UI" w:cs="Segoe UI"/>
        </w:rPr>
      </w:pPr>
      <w:r>
        <w:t>Invasive vertebrate (deer)</w:t>
      </w:r>
    </w:p>
    <w:p w14:paraId="5D43BA8F" w14:textId="612B449C" w:rsidR="00BE1D36" w:rsidRDefault="00BE1D36" w:rsidP="00BE1D36">
      <w:pPr>
        <w:pStyle w:val="BodyText"/>
        <w:rPr>
          <w:rFonts w:ascii="Arial" w:hAnsi="Arial"/>
          <w:color w:val="363534"/>
        </w:rPr>
      </w:pPr>
      <w:r>
        <w:t xml:space="preserve">Pugging, wallowing and excavation by Sambar is a threat to the </w:t>
      </w:r>
      <w:r w:rsidR="001D3902">
        <w:t>species</w:t>
      </w:r>
      <w:r>
        <w:t xml:space="preserve">, as it opens the shrub layer leading to the drying of habitat. Browsing and pugging caused by deer is likely to have an adverse cumulative effect in relation to the climate change hazard by rendering areas to be unsuitable habitat. </w:t>
      </w:r>
      <w:r>
        <w:rPr>
          <w:rFonts w:ascii="Arial" w:hAnsi="Arial"/>
          <w:color w:val="363534"/>
        </w:rPr>
        <w:t>With conditions changing to drier, warmer ones, habitat that is attractive to non-native herbivores like Sambar is likely to contract to more permanent streams, focusing destructive activities on those sites, potentially to the further detriment of Whiteroot</w:t>
      </w:r>
      <w:r>
        <w:rPr>
          <w:rFonts w:ascii="Arial" w:hAnsi="Arial"/>
          <w:i/>
          <w:iCs/>
          <w:color w:val="363534"/>
        </w:rPr>
        <w:t>.</w:t>
      </w:r>
      <w:r>
        <w:rPr>
          <w:rFonts w:ascii="Arial" w:hAnsi="Arial"/>
          <w:color w:val="363534"/>
        </w:rPr>
        <w:t xml:space="preserve"> This hazard extends to up to 80% of the </w:t>
      </w:r>
      <w:r w:rsidR="001D3902">
        <w:rPr>
          <w:rFonts w:ascii="Arial" w:hAnsi="Arial"/>
          <w:color w:val="363534"/>
        </w:rPr>
        <w:t>species’</w:t>
      </w:r>
      <w:r>
        <w:rPr>
          <w:rFonts w:ascii="Arial" w:hAnsi="Arial"/>
          <w:color w:val="363534"/>
        </w:rPr>
        <w:t xml:space="preserve"> distribution.</w:t>
      </w:r>
    </w:p>
    <w:p w14:paraId="0A58F24B" w14:textId="6BC699E7" w:rsidR="00BE1D36" w:rsidRDefault="00BE1D36" w:rsidP="00BE1D36">
      <w:pPr>
        <w:pStyle w:val="BodyText"/>
      </w:pPr>
      <w:r>
        <w:t xml:space="preserve">While threats are real and acknowledged, Whiteroot is a </w:t>
      </w:r>
      <w:r w:rsidR="002029E4">
        <w:t>tenacious</w:t>
      </w:r>
      <w:r>
        <w:t xml:space="preserve"> species, with an ability to propagate from disturbed root fragments. In many (not all) contexts, it </w:t>
      </w:r>
      <w:r w:rsidR="002029E4">
        <w:t>can compete</w:t>
      </w:r>
      <w:r>
        <w:t xml:space="preserve"> with other disturbance weeds. </w:t>
      </w:r>
      <w:r w:rsidR="00644FB4">
        <w:t>However, i</w:t>
      </w:r>
      <w:r>
        <w:t>t is rarely a dominant species of the ground layer</w:t>
      </w:r>
      <w:r w:rsidR="002029E4">
        <w:t xml:space="preserve"> and</w:t>
      </w:r>
      <w:r w:rsidR="00644FB4">
        <w:t xml:space="preserve"> is</w:t>
      </w:r>
      <w:r>
        <w:t xml:space="preserve"> typically patchy. </w:t>
      </w:r>
    </w:p>
    <w:p w14:paraId="1153E1C5" w14:textId="77777777" w:rsidR="00BE1D36" w:rsidRDefault="00BE1D36" w:rsidP="00BE1D36">
      <w:pPr>
        <w:pStyle w:val="BodyText"/>
      </w:pPr>
      <w:r>
        <w:t>Current controls for this hazard include:</w:t>
      </w:r>
    </w:p>
    <w:p w14:paraId="5A08F0B9" w14:textId="77777777" w:rsidR="00BE1D36" w:rsidRDefault="00BE1D36" w:rsidP="006670D2">
      <w:pPr>
        <w:pStyle w:val="PullOutBoxBullet"/>
        <w:rPr>
          <w:rFonts w:ascii="Arial" w:hAnsi="Arial"/>
          <w:color w:val="363534"/>
        </w:rPr>
      </w:pPr>
      <w:r>
        <w:t>The Victorian Deer Control Strategy including aerial and ground shooting. This control has been evaluated as poor, as shooting will only have a very minor effect in reducing populations, and damage by Sambar will continue to increase. Similarly damage by pigs is likely in some areas with some significant patches of damage noted along tributaries of the Genoa River (Neville Walsh pers. obs.).</w:t>
      </w:r>
    </w:p>
    <w:p w14:paraId="2407BEDA" w14:textId="498D568C"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298</w:t>
      </w:r>
      <w:r w:rsidR="000B6788" w:rsidRPr="00B846FE">
        <w:rPr>
          <w:bCs/>
          <w:noProof/>
        </w:rPr>
        <w:fldChar w:fldCharType="end"/>
      </w:r>
      <w:r w:rsidRPr="00FF310C">
        <w:t>. Whiteroot protection requirements and recommendations for invasive vertebrate (deer)</w:t>
      </w:r>
    </w:p>
    <w:tbl>
      <w:tblPr>
        <w:tblStyle w:val="TableGrid"/>
        <w:tblW w:w="0" w:type="auto"/>
        <w:tblLook w:val="04A0" w:firstRow="1" w:lastRow="0" w:firstColumn="1" w:lastColumn="0" w:noHBand="0" w:noVBand="1"/>
      </w:tblPr>
      <w:tblGrid>
        <w:gridCol w:w="2268"/>
        <w:gridCol w:w="7371"/>
      </w:tblGrid>
      <w:tr w:rsidR="00BE1D36" w14:paraId="34E7DF7B"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8317C46"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D79636A"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77C0CBC4" w14:textId="77777777" w:rsidTr="00B45E4E">
        <w:tc>
          <w:tcPr>
            <w:tcW w:w="2268" w:type="dxa"/>
            <w:tcBorders>
              <w:top w:val="single" w:sz="8" w:space="0" w:color="CDDC29" w:themeColor="text2"/>
              <w:left w:val="nil"/>
              <w:bottom w:val="single" w:sz="8" w:space="0" w:color="CDDC29" w:themeColor="text2"/>
              <w:right w:val="nil"/>
            </w:tcBorders>
            <w:hideMark/>
          </w:tcPr>
          <w:p w14:paraId="3E7542D5" w14:textId="2239889D" w:rsidR="00BE1D36" w:rsidRDefault="00E26FA8"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3391B45B" w14:textId="09056E2E" w:rsidR="00BE1D36" w:rsidRDefault="00623A33" w:rsidP="00B45E4E">
            <w:pPr>
              <w:pStyle w:val="BodyText"/>
            </w:pPr>
            <w:r w:rsidRPr="00C23B38">
              <w:t>May be required for this hazard</w:t>
            </w:r>
            <w:r>
              <w:t>. This will be addressed through the development of the action statement</w:t>
            </w:r>
            <w:r w:rsidRPr="00C23B38">
              <w:t>.</w:t>
            </w:r>
          </w:p>
        </w:tc>
      </w:tr>
      <w:tr w:rsidR="00BE1D36" w14:paraId="1F063327" w14:textId="77777777" w:rsidTr="00B45E4E">
        <w:tc>
          <w:tcPr>
            <w:tcW w:w="2268" w:type="dxa"/>
            <w:tcBorders>
              <w:top w:val="single" w:sz="8" w:space="0" w:color="CDDC29" w:themeColor="text2"/>
              <w:left w:val="nil"/>
              <w:bottom w:val="single" w:sz="8" w:space="0" w:color="CDDC29" w:themeColor="text2"/>
              <w:right w:val="nil"/>
            </w:tcBorders>
            <w:hideMark/>
          </w:tcPr>
          <w:p w14:paraId="51DB366A" w14:textId="77777777" w:rsidR="00BE1D36" w:rsidRDefault="00BE1D36" w:rsidP="00B45E4E">
            <w:pPr>
              <w:pStyle w:val="BodyText"/>
            </w:pPr>
            <w:r>
              <w:t>Management actions</w:t>
            </w:r>
          </w:p>
        </w:tc>
        <w:tc>
          <w:tcPr>
            <w:tcW w:w="7371" w:type="dxa"/>
            <w:tcBorders>
              <w:top w:val="single" w:sz="8" w:space="0" w:color="CDDC29" w:themeColor="text2"/>
              <w:left w:val="nil"/>
              <w:bottom w:val="single" w:sz="8" w:space="0" w:color="CDDC29" w:themeColor="text2"/>
              <w:right w:val="nil"/>
            </w:tcBorders>
            <w:hideMark/>
          </w:tcPr>
          <w:p w14:paraId="5A32AC04" w14:textId="0B31AA68" w:rsidR="00BE1D36" w:rsidRPr="00915D82" w:rsidRDefault="00182EF4" w:rsidP="006670D2">
            <w:pPr>
              <w:pStyle w:val="PullOutBoxBullet"/>
              <w:rPr>
                <w:rFonts w:ascii="Arial" w:hAnsi="Arial"/>
                <w:color w:val="363534"/>
              </w:rPr>
            </w:pPr>
            <w:r>
              <w:t>I</w:t>
            </w:r>
            <w:r w:rsidR="00BE1D36">
              <w:t>nvestigate feasible and effective options to protect important populations</w:t>
            </w:r>
            <w:r w:rsidR="00CE6966">
              <w:t>; and</w:t>
            </w:r>
          </w:p>
          <w:p w14:paraId="61C35E51" w14:textId="0B6300EC" w:rsidR="00CE6966" w:rsidRDefault="00CE6966" w:rsidP="006670D2">
            <w:pPr>
              <w:pStyle w:val="PullOutBoxBullet"/>
            </w:pPr>
            <w:r>
              <w:t xml:space="preserve">Establish </w:t>
            </w:r>
            <w:r>
              <w:rPr>
                <w:i/>
                <w:iCs/>
              </w:rPr>
              <w:t>ex-situ</w:t>
            </w:r>
            <w:r>
              <w:t xml:space="preserve"> propagation and collecting seeds from a range of populations to store at the </w:t>
            </w:r>
            <w:r w:rsidR="005902EF">
              <w:t>VCS.</w:t>
            </w:r>
          </w:p>
        </w:tc>
      </w:tr>
    </w:tbl>
    <w:p w14:paraId="4BE51DF5" w14:textId="77777777" w:rsidR="00BE1D36" w:rsidRDefault="00BE1D36" w:rsidP="00BE1D36">
      <w:pPr>
        <w:pStyle w:val="ListBullet"/>
        <w:numPr>
          <w:ilvl w:val="0"/>
          <w:numId w:val="0"/>
        </w:numPr>
        <w:ind w:left="397"/>
        <w:rPr>
          <w:szCs w:val="20"/>
        </w:rPr>
      </w:pPr>
    </w:p>
    <w:p w14:paraId="2FBB2216" w14:textId="77777777" w:rsidR="00BE1D36" w:rsidRDefault="00BE1D36" w:rsidP="00BE1D36">
      <w:r>
        <w:rPr>
          <w:color w:val="auto"/>
        </w:rPr>
        <w:br w:type="page"/>
      </w:r>
    </w:p>
    <w:p w14:paraId="391776EA" w14:textId="77777777" w:rsidR="00BE1D36" w:rsidRPr="00780E10" w:rsidRDefault="00BE1D36" w:rsidP="00171F18">
      <w:pPr>
        <w:pStyle w:val="Heading2"/>
        <w:ind w:left="0"/>
        <w:rPr>
          <w:i/>
          <w:iCs/>
        </w:rPr>
      </w:pPr>
      <w:bookmarkStart w:id="1396" w:name="_Toc88568497"/>
      <w:bookmarkStart w:id="1397" w:name="_Toc113271084"/>
      <w:r w:rsidRPr="00780E10">
        <w:t>Wiry Bog-sedge </w:t>
      </w:r>
      <w:r w:rsidRPr="00F67DF8">
        <w:rPr>
          <w:i/>
          <w:iCs/>
        </w:rPr>
        <w:t>(Schoenus carsei)</w:t>
      </w:r>
      <w:bookmarkEnd w:id="1396"/>
      <w:bookmarkEnd w:id="1397"/>
      <w:r w:rsidRPr="00F67DF8">
        <w:rPr>
          <w:i/>
          <w:iCs/>
        </w:rPr>
        <w:t> </w:t>
      </w:r>
    </w:p>
    <w:p w14:paraId="5439CF71" w14:textId="50A482AA" w:rsidR="00BE1D36" w:rsidRDefault="00BE1D36" w:rsidP="00BE1D36">
      <w:pPr>
        <w:pStyle w:val="BodyText"/>
      </w:pPr>
      <w:r>
        <w:t xml:space="preserve">The Wiry Bog-sedge was listed as Endangered in Victoria under the FFG Act in May 2021. The </w:t>
      </w:r>
      <w:r w:rsidR="001D3902">
        <w:t>species</w:t>
      </w:r>
      <w:r>
        <w:t xml:space="preserve"> has modelled habitat in the West (92% of modelled habitat) and Gippsland (8% of modelled habitat) RFA regions.</w:t>
      </w:r>
      <w:r>
        <w:rPr>
          <w:rStyle w:val="BodyTextChar"/>
        </w:rPr>
        <w:t xml:space="preserve"> Permanent protections are recommended to address any hazards identified at a significant or high risk, and all</w:t>
      </w:r>
      <w:r>
        <w:t xml:space="preserve"> hazards rated a medium risk or higher will be considered in future management planning.</w:t>
      </w:r>
    </w:p>
    <w:p w14:paraId="48D7F31F" w14:textId="77777777" w:rsidR="00BE1D36" w:rsidRDefault="00BE1D36" w:rsidP="007E5EBF">
      <w:pPr>
        <w:pStyle w:val="Heading3"/>
      </w:pPr>
      <w:r>
        <w:t>Risk Assessment</w:t>
      </w:r>
    </w:p>
    <w:p w14:paraId="1F96DAA2" w14:textId="5D0D0486"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299</w:t>
      </w:r>
      <w:r w:rsidR="000B6788" w:rsidRPr="00B846FE">
        <w:rPr>
          <w:bCs/>
          <w:noProof/>
        </w:rPr>
        <w:fldChar w:fldCharType="end"/>
      </w:r>
      <w:r w:rsidRPr="00FF310C">
        <w:t>. Wiry Bog-sedge risk ratings in the West and Gippsland RFA regions:</w:t>
      </w:r>
    </w:p>
    <w:tbl>
      <w:tblPr>
        <w:tblStyle w:val="TableGrid"/>
        <w:tblW w:w="6804" w:type="dxa"/>
        <w:tblLook w:val="04A0" w:firstRow="1" w:lastRow="0" w:firstColumn="1" w:lastColumn="0" w:noHBand="0" w:noVBand="1"/>
      </w:tblPr>
      <w:tblGrid>
        <w:gridCol w:w="2268"/>
        <w:gridCol w:w="2268"/>
        <w:gridCol w:w="2268"/>
      </w:tblGrid>
      <w:tr w:rsidR="00BE1D36" w14:paraId="6C89E2E6"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tcPr>
          <w:p w14:paraId="794E41AE" w14:textId="77777777" w:rsidR="00BE1D36" w:rsidRDefault="00BE1D36" w:rsidP="006670D2">
            <w:pPr>
              <w:pStyle w:val="CaptionImageorFigure"/>
            </w:pPr>
          </w:p>
        </w:tc>
        <w:tc>
          <w:tcPr>
            <w:tcW w:w="2268" w:type="dxa"/>
            <w:tcBorders>
              <w:top w:val="single" w:sz="8" w:space="0" w:color="CDDC29" w:themeColor="text2"/>
              <w:left w:val="nil"/>
              <w:bottom w:val="single" w:sz="8" w:space="0" w:color="CDDC29" w:themeColor="text2"/>
              <w:right w:val="nil"/>
            </w:tcBorders>
            <w:vAlign w:val="center"/>
            <w:hideMark/>
          </w:tcPr>
          <w:p w14:paraId="4A3A9F54"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Drying climate</w:t>
            </w:r>
          </w:p>
        </w:tc>
        <w:tc>
          <w:tcPr>
            <w:tcW w:w="2268" w:type="dxa"/>
            <w:tcBorders>
              <w:top w:val="single" w:sz="8" w:space="0" w:color="CDDC29" w:themeColor="text2"/>
              <w:left w:val="nil"/>
              <w:bottom w:val="single" w:sz="8" w:space="0" w:color="CDDC29" w:themeColor="text2"/>
              <w:right w:val="nil"/>
            </w:tcBorders>
            <w:vAlign w:val="center"/>
            <w:hideMark/>
          </w:tcPr>
          <w:p w14:paraId="45FF41BE"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Invasive vertebrate (deer and pigs)</w:t>
            </w:r>
          </w:p>
        </w:tc>
      </w:tr>
      <w:tr w:rsidR="00BE1D36" w14:paraId="5227F7AE" w14:textId="77777777" w:rsidTr="00BE1D36">
        <w:tc>
          <w:tcPr>
            <w:tcW w:w="2268" w:type="dxa"/>
            <w:tcBorders>
              <w:top w:val="single" w:sz="8" w:space="0" w:color="CDDC29" w:themeColor="text2"/>
              <w:left w:val="nil"/>
              <w:bottom w:val="single" w:sz="8" w:space="0" w:color="CDDC29" w:themeColor="text2"/>
              <w:right w:val="nil"/>
            </w:tcBorders>
            <w:vAlign w:val="center"/>
            <w:hideMark/>
          </w:tcPr>
          <w:p w14:paraId="00D27956" w14:textId="77777777" w:rsidR="00BE1D36" w:rsidRDefault="00BE1D36" w:rsidP="00182EF4">
            <w:pPr>
              <w:pStyle w:val="BodyText"/>
              <w:jc w:val="center"/>
            </w:pPr>
            <w:r>
              <w:t>Consequence</w:t>
            </w:r>
          </w:p>
        </w:tc>
        <w:tc>
          <w:tcPr>
            <w:tcW w:w="2268" w:type="dxa"/>
            <w:tcBorders>
              <w:top w:val="single" w:sz="8" w:space="0" w:color="CDDC29" w:themeColor="text2"/>
              <w:left w:val="nil"/>
              <w:bottom w:val="single" w:sz="8" w:space="0" w:color="CDDC29" w:themeColor="text2"/>
              <w:right w:val="nil"/>
            </w:tcBorders>
            <w:vAlign w:val="center"/>
            <w:hideMark/>
          </w:tcPr>
          <w:p w14:paraId="25857B63" w14:textId="77777777" w:rsidR="00BE1D36" w:rsidRDefault="00BE1D36" w:rsidP="00182EF4">
            <w:pPr>
              <w:pStyle w:val="BodyText"/>
              <w:jc w:val="center"/>
            </w:pPr>
            <w:r>
              <w:t>Major</w:t>
            </w:r>
          </w:p>
        </w:tc>
        <w:tc>
          <w:tcPr>
            <w:tcW w:w="2268" w:type="dxa"/>
            <w:tcBorders>
              <w:top w:val="single" w:sz="8" w:space="0" w:color="CDDC29" w:themeColor="text2"/>
              <w:left w:val="nil"/>
              <w:bottom w:val="single" w:sz="8" w:space="0" w:color="CDDC29" w:themeColor="text2"/>
              <w:right w:val="nil"/>
            </w:tcBorders>
            <w:vAlign w:val="center"/>
            <w:hideMark/>
          </w:tcPr>
          <w:p w14:paraId="0CDB3FB7" w14:textId="77777777" w:rsidR="00BE1D36" w:rsidRDefault="00BE1D36" w:rsidP="00182EF4">
            <w:pPr>
              <w:pStyle w:val="BodyText"/>
              <w:jc w:val="center"/>
            </w:pPr>
            <w:r>
              <w:t>Moderate</w:t>
            </w:r>
          </w:p>
        </w:tc>
      </w:tr>
      <w:tr w:rsidR="00BE1D36" w14:paraId="009D79BE" w14:textId="77777777" w:rsidTr="00BE1D36">
        <w:tc>
          <w:tcPr>
            <w:tcW w:w="2268" w:type="dxa"/>
            <w:tcBorders>
              <w:top w:val="single" w:sz="8" w:space="0" w:color="CDDC29" w:themeColor="text2"/>
              <w:left w:val="nil"/>
              <w:bottom w:val="single" w:sz="8" w:space="0" w:color="CDDC29" w:themeColor="text2"/>
              <w:right w:val="nil"/>
            </w:tcBorders>
            <w:vAlign w:val="center"/>
            <w:hideMark/>
          </w:tcPr>
          <w:p w14:paraId="6255A623" w14:textId="77777777" w:rsidR="00BE1D36" w:rsidRDefault="00BE1D36" w:rsidP="00182EF4">
            <w:pPr>
              <w:pStyle w:val="BodyText"/>
              <w:jc w:val="center"/>
            </w:pPr>
            <w:r>
              <w:t>Likelihood</w:t>
            </w:r>
          </w:p>
        </w:tc>
        <w:tc>
          <w:tcPr>
            <w:tcW w:w="2268" w:type="dxa"/>
            <w:tcBorders>
              <w:top w:val="single" w:sz="8" w:space="0" w:color="CDDC29" w:themeColor="text2"/>
              <w:left w:val="nil"/>
              <w:bottom w:val="single" w:sz="8" w:space="0" w:color="CDDC29" w:themeColor="text2"/>
              <w:right w:val="nil"/>
            </w:tcBorders>
            <w:vAlign w:val="center"/>
            <w:hideMark/>
          </w:tcPr>
          <w:p w14:paraId="0AD37FA9" w14:textId="77777777" w:rsidR="00BE1D36" w:rsidRDefault="00BE1D36" w:rsidP="00182EF4">
            <w:pPr>
              <w:pStyle w:val="BodyText"/>
              <w:jc w:val="center"/>
            </w:pPr>
            <w:r>
              <w:t>Likely</w:t>
            </w:r>
          </w:p>
        </w:tc>
        <w:tc>
          <w:tcPr>
            <w:tcW w:w="2268" w:type="dxa"/>
            <w:tcBorders>
              <w:top w:val="single" w:sz="8" w:space="0" w:color="CDDC29" w:themeColor="text2"/>
              <w:left w:val="nil"/>
              <w:bottom w:val="single" w:sz="8" w:space="0" w:color="CDDC29" w:themeColor="text2"/>
              <w:right w:val="nil"/>
            </w:tcBorders>
            <w:vAlign w:val="center"/>
            <w:hideMark/>
          </w:tcPr>
          <w:p w14:paraId="6ED51BEE" w14:textId="77777777" w:rsidR="00BE1D36" w:rsidRDefault="00BE1D36" w:rsidP="00182EF4">
            <w:pPr>
              <w:pStyle w:val="BodyText"/>
              <w:jc w:val="center"/>
            </w:pPr>
            <w:r>
              <w:t>Likely</w:t>
            </w:r>
          </w:p>
        </w:tc>
      </w:tr>
      <w:tr w:rsidR="00BE1D36" w14:paraId="7F721C00" w14:textId="77777777" w:rsidTr="00BE1D36">
        <w:tc>
          <w:tcPr>
            <w:tcW w:w="2268" w:type="dxa"/>
            <w:tcBorders>
              <w:top w:val="single" w:sz="8" w:space="0" w:color="CDDC29" w:themeColor="text2"/>
              <w:left w:val="nil"/>
              <w:bottom w:val="single" w:sz="8" w:space="0" w:color="CDDC29" w:themeColor="text2"/>
              <w:right w:val="nil"/>
            </w:tcBorders>
            <w:vAlign w:val="center"/>
            <w:hideMark/>
          </w:tcPr>
          <w:p w14:paraId="3454204D" w14:textId="77777777" w:rsidR="00BE1D36" w:rsidRDefault="00BE1D36" w:rsidP="00182EF4">
            <w:pPr>
              <w:pStyle w:val="BodyText"/>
              <w:jc w:val="center"/>
            </w:pPr>
            <w:r>
              <w:t>Overall risk rating</w:t>
            </w:r>
          </w:p>
        </w:tc>
        <w:tc>
          <w:tcPr>
            <w:tcW w:w="2268" w:type="dxa"/>
            <w:tcBorders>
              <w:top w:val="single" w:sz="8" w:space="0" w:color="CDDC29" w:themeColor="text2"/>
              <w:left w:val="nil"/>
              <w:bottom w:val="single" w:sz="8" w:space="0" w:color="CDDC29" w:themeColor="text2"/>
              <w:right w:val="nil"/>
            </w:tcBorders>
            <w:shd w:val="clear" w:color="auto" w:fill="FF0000"/>
            <w:vAlign w:val="center"/>
            <w:hideMark/>
          </w:tcPr>
          <w:p w14:paraId="1A67FF3F" w14:textId="77777777" w:rsidR="00BE1D36" w:rsidRDefault="00BE1D36" w:rsidP="00182EF4">
            <w:pPr>
              <w:pStyle w:val="BodyText"/>
              <w:jc w:val="center"/>
            </w:pPr>
            <w:r>
              <w:t>High</w:t>
            </w:r>
          </w:p>
        </w:tc>
        <w:tc>
          <w:tcPr>
            <w:tcW w:w="2268" w:type="dxa"/>
            <w:tcBorders>
              <w:top w:val="single" w:sz="8" w:space="0" w:color="CDDC29" w:themeColor="text2"/>
              <w:left w:val="nil"/>
              <w:bottom w:val="single" w:sz="8" w:space="0" w:color="CDDC29" w:themeColor="text2"/>
              <w:right w:val="nil"/>
            </w:tcBorders>
            <w:shd w:val="clear" w:color="auto" w:fill="FFC000"/>
            <w:vAlign w:val="center"/>
            <w:hideMark/>
          </w:tcPr>
          <w:p w14:paraId="22B7C7A0" w14:textId="77777777" w:rsidR="00BE1D36" w:rsidRDefault="00BE1D36" w:rsidP="00182EF4">
            <w:pPr>
              <w:pStyle w:val="BodyText"/>
              <w:jc w:val="center"/>
            </w:pPr>
            <w:r>
              <w:t>Significant</w:t>
            </w:r>
          </w:p>
        </w:tc>
      </w:tr>
    </w:tbl>
    <w:p w14:paraId="57A93082" w14:textId="438111DC"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300</w:t>
      </w:r>
      <w:r w:rsidR="000B6788" w:rsidRPr="00B846FE">
        <w:rPr>
          <w:bCs/>
          <w:noProof/>
        </w:rPr>
        <w:fldChar w:fldCharType="end"/>
      </w:r>
      <w:r w:rsidRPr="00FF310C">
        <w:t>. Wiry Bog-sedge risk ratings in the West RFA region only:</w:t>
      </w:r>
    </w:p>
    <w:tbl>
      <w:tblPr>
        <w:tblStyle w:val="TableGrid"/>
        <w:tblW w:w="4536" w:type="dxa"/>
        <w:tblLook w:val="04A0" w:firstRow="1" w:lastRow="0" w:firstColumn="1" w:lastColumn="0" w:noHBand="0" w:noVBand="1"/>
      </w:tblPr>
      <w:tblGrid>
        <w:gridCol w:w="2268"/>
        <w:gridCol w:w="2268"/>
      </w:tblGrid>
      <w:tr w:rsidR="00BE1D36" w14:paraId="38ED5B1D"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tcPr>
          <w:p w14:paraId="10B6E13E" w14:textId="77777777" w:rsidR="00BE1D36" w:rsidRDefault="00BE1D36" w:rsidP="006670D2">
            <w:pPr>
              <w:pStyle w:val="CaptionImageorFigure"/>
            </w:pPr>
          </w:p>
        </w:tc>
        <w:tc>
          <w:tcPr>
            <w:tcW w:w="2268" w:type="dxa"/>
            <w:tcBorders>
              <w:top w:val="single" w:sz="8" w:space="0" w:color="CDDC29" w:themeColor="text2"/>
              <w:left w:val="nil"/>
              <w:bottom w:val="single" w:sz="8" w:space="0" w:color="CDDC29" w:themeColor="text2"/>
              <w:right w:val="nil"/>
            </w:tcBorders>
            <w:vAlign w:val="center"/>
            <w:hideMark/>
          </w:tcPr>
          <w:p w14:paraId="52EBBE38" w14:textId="77777777" w:rsidR="00BE1D36" w:rsidRDefault="00BE1D36"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Plantations</w:t>
            </w:r>
          </w:p>
        </w:tc>
      </w:tr>
      <w:tr w:rsidR="00BE1D36" w14:paraId="28092691" w14:textId="77777777" w:rsidTr="00BE1D36">
        <w:tc>
          <w:tcPr>
            <w:tcW w:w="2268" w:type="dxa"/>
            <w:tcBorders>
              <w:top w:val="single" w:sz="8" w:space="0" w:color="CDDC29" w:themeColor="text2"/>
              <w:left w:val="nil"/>
              <w:bottom w:val="single" w:sz="8" w:space="0" w:color="CDDC29" w:themeColor="text2"/>
              <w:right w:val="nil"/>
            </w:tcBorders>
            <w:vAlign w:val="center"/>
            <w:hideMark/>
          </w:tcPr>
          <w:p w14:paraId="04CD292D" w14:textId="77777777" w:rsidR="00BE1D36" w:rsidRDefault="00BE1D36" w:rsidP="00182EF4">
            <w:pPr>
              <w:pStyle w:val="BodyText"/>
              <w:jc w:val="center"/>
            </w:pPr>
            <w:r>
              <w:t>Consequence</w:t>
            </w:r>
          </w:p>
        </w:tc>
        <w:tc>
          <w:tcPr>
            <w:tcW w:w="2268" w:type="dxa"/>
            <w:tcBorders>
              <w:top w:val="single" w:sz="8" w:space="0" w:color="CDDC29" w:themeColor="text2"/>
              <w:left w:val="nil"/>
              <w:bottom w:val="single" w:sz="8" w:space="0" w:color="CDDC29" w:themeColor="text2"/>
              <w:right w:val="nil"/>
            </w:tcBorders>
            <w:vAlign w:val="center"/>
            <w:hideMark/>
          </w:tcPr>
          <w:p w14:paraId="4DB15B52" w14:textId="77777777" w:rsidR="00BE1D36" w:rsidRDefault="00BE1D36" w:rsidP="00182EF4">
            <w:pPr>
              <w:pStyle w:val="BodyText"/>
              <w:jc w:val="center"/>
            </w:pPr>
            <w:r>
              <w:t>Moderate</w:t>
            </w:r>
          </w:p>
        </w:tc>
      </w:tr>
      <w:tr w:rsidR="00BE1D36" w14:paraId="019D901B" w14:textId="77777777" w:rsidTr="00BE1D36">
        <w:tc>
          <w:tcPr>
            <w:tcW w:w="2268" w:type="dxa"/>
            <w:tcBorders>
              <w:top w:val="single" w:sz="8" w:space="0" w:color="CDDC29" w:themeColor="text2"/>
              <w:left w:val="nil"/>
              <w:bottom w:val="single" w:sz="8" w:space="0" w:color="CDDC29" w:themeColor="text2"/>
              <w:right w:val="nil"/>
            </w:tcBorders>
            <w:vAlign w:val="center"/>
            <w:hideMark/>
          </w:tcPr>
          <w:p w14:paraId="021950FC" w14:textId="77777777" w:rsidR="00BE1D36" w:rsidRDefault="00BE1D36" w:rsidP="00182EF4">
            <w:pPr>
              <w:pStyle w:val="BodyText"/>
              <w:jc w:val="center"/>
            </w:pPr>
            <w:r>
              <w:t>Likelihood</w:t>
            </w:r>
          </w:p>
        </w:tc>
        <w:tc>
          <w:tcPr>
            <w:tcW w:w="2268" w:type="dxa"/>
            <w:tcBorders>
              <w:top w:val="single" w:sz="8" w:space="0" w:color="CDDC29" w:themeColor="text2"/>
              <w:left w:val="nil"/>
              <w:bottom w:val="single" w:sz="8" w:space="0" w:color="CDDC29" w:themeColor="text2"/>
              <w:right w:val="nil"/>
            </w:tcBorders>
            <w:vAlign w:val="center"/>
            <w:hideMark/>
          </w:tcPr>
          <w:p w14:paraId="204491E4" w14:textId="77777777" w:rsidR="00BE1D36" w:rsidRDefault="00BE1D36" w:rsidP="00182EF4">
            <w:pPr>
              <w:pStyle w:val="BodyText"/>
              <w:jc w:val="center"/>
            </w:pPr>
            <w:r>
              <w:t>Likely</w:t>
            </w:r>
          </w:p>
        </w:tc>
      </w:tr>
      <w:tr w:rsidR="00BE1D36" w14:paraId="7DE4F908" w14:textId="77777777" w:rsidTr="00BE1D36">
        <w:tc>
          <w:tcPr>
            <w:tcW w:w="2268" w:type="dxa"/>
            <w:tcBorders>
              <w:top w:val="single" w:sz="8" w:space="0" w:color="CDDC29" w:themeColor="text2"/>
              <w:left w:val="nil"/>
              <w:bottom w:val="single" w:sz="8" w:space="0" w:color="CDDC29" w:themeColor="text2"/>
              <w:right w:val="nil"/>
            </w:tcBorders>
            <w:vAlign w:val="center"/>
            <w:hideMark/>
          </w:tcPr>
          <w:p w14:paraId="14AE0FBD" w14:textId="77777777" w:rsidR="00BE1D36" w:rsidRDefault="00BE1D36" w:rsidP="00182EF4">
            <w:pPr>
              <w:pStyle w:val="BodyText"/>
              <w:jc w:val="center"/>
            </w:pPr>
            <w:r>
              <w:t>Overall risk rating</w:t>
            </w:r>
          </w:p>
        </w:tc>
        <w:tc>
          <w:tcPr>
            <w:tcW w:w="2268" w:type="dxa"/>
            <w:tcBorders>
              <w:top w:val="single" w:sz="8" w:space="0" w:color="CDDC29" w:themeColor="text2"/>
              <w:left w:val="nil"/>
              <w:bottom w:val="single" w:sz="8" w:space="0" w:color="CDDC29" w:themeColor="text2"/>
              <w:right w:val="nil"/>
            </w:tcBorders>
            <w:shd w:val="clear" w:color="auto" w:fill="FFC000"/>
            <w:vAlign w:val="center"/>
            <w:hideMark/>
          </w:tcPr>
          <w:p w14:paraId="749E746A" w14:textId="77777777" w:rsidR="00BE1D36" w:rsidRDefault="00BE1D36" w:rsidP="00182EF4">
            <w:pPr>
              <w:pStyle w:val="BodyText"/>
              <w:jc w:val="center"/>
            </w:pPr>
            <w:r>
              <w:t>Significant</w:t>
            </w:r>
          </w:p>
        </w:tc>
      </w:tr>
    </w:tbl>
    <w:p w14:paraId="5432AD81" w14:textId="77777777" w:rsidR="00BE1D36" w:rsidRDefault="00BE1D36" w:rsidP="007E5EBF">
      <w:pPr>
        <w:pStyle w:val="Heading3"/>
      </w:pPr>
      <w:r>
        <w:t>Climate change</w:t>
      </w:r>
    </w:p>
    <w:p w14:paraId="3737029C" w14:textId="77777777" w:rsidR="00BE1D36" w:rsidRDefault="00BE1D36" w:rsidP="007E5EBF">
      <w:pPr>
        <w:pStyle w:val="Heading5"/>
      </w:pPr>
      <w:r>
        <w:t>Drying climate</w:t>
      </w:r>
    </w:p>
    <w:p w14:paraId="546BDEDB" w14:textId="05C14CAA" w:rsidR="00BE1D36" w:rsidRDefault="00BE1D36" w:rsidP="00BE1D36">
      <w:pPr>
        <w:pStyle w:val="BodyText"/>
      </w:pPr>
      <w:r>
        <w:t>Climatic drying increases the risk of lowering water tables and drying out of peaty wetland habitats, resulting in a contraction in the local extent of suitable habitat. This hazard</w:t>
      </w:r>
      <w:r w:rsidR="008E0195">
        <w:t>,</w:t>
      </w:r>
      <w:r>
        <w:t xml:space="preserve"> combined with increased bushfire at repeat intervals approaching the tolerable fire interval for the </w:t>
      </w:r>
      <w:r w:rsidR="001D3902">
        <w:t>species</w:t>
      </w:r>
      <w:r w:rsidR="008E0195">
        <w:t>,</w:t>
      </w:r>
      <w:r>
        <w:t xml:space="preserve"> ha</w:t>
      </w:r>
      <w:r w:rsidR="008E0195">
        <w:t>s</w:t>
      </w:r>
      <w:r>
        <w:t xml:space="preserve"> the capacity to eliminate recruiting stands permanently with little opportunity for recolonisation since the </w:t>
      </w:r>
      <w:r w:rsidR="001D3902">
        <w:t>species</w:t>
      </w:r>
      <w:r>
        <w:t xml:space="preserve"> has no mechanism for long-distance dispersal. This hazard extends across all the </w:t>
      </w:r>
      <w:r w:rsidR="001D3902">
        <w:t>species’</w:t>
      </w:r>
      <w:r>
        <w:t xml:space="preserve"> distribution.</w:t>
      </w:r>
    </w:p>
    <w:p w14:paraId="49515CA3" w14:textId="10BC51E3" w:rsidR="00BE1D36" w:rsidRDefault="00BE1D36" w:rsidP="00BE1D36">
      <w:pPr>
        <w:pStyle w:val="BodyText"/>
      </w:pPr>
      <w:r>
        <w:t xml:space="preserve">Current control measures for this hazard are strategic in nature and are not considered effective in managing the risk to this </w:t>
      </w:r>
      <w:r w:rsidR="001D3902">
        <w:t>species</w:t>
      </w:r>
      <w:r>
        <w:t xml:space="preserve"> at the scale relevant to its conservation at this stage.</w:t>
      </w:r>
    </w:p>
    <w:p w14:paraId="515BB454" w14:textId="51FC9CCD"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301</w:t>
      </w:r>
      <w:r w:rsidR="000B6788" w:rsidRPr="00B846FE">
        <w:rPr>
          <w:bCs/>
          <w:noProof/>
        </w:rPr>
        <w:fldChar w:fldCharType="end"/>
      </w:r>
      <w:r w:rsidRPr="00FF310C">
        <w:t>. Wiry Bog-sedge protection requirements and recommendations for drying climate</w:t>
      </w:r>
    </w:p>
    <w:tbl>
      <w:tblPr>
        <w:tblStyle w:val="TableGrid"/>
        <w:tblW w:w="0" w:type="auto"/>
        <w:tblLook w:val="04A0" w:firstRow="1" w:lastRow="0" w:firstColumn="1" w:lastColumn="0" w:noHBand="0" w:noVBand="1"/>
      </w:tblPr>
      <w:tblGrid>
        <w:gridCol w:w="2268"/>
        <w:gridCol w:w="7371"/>
      </w:tblGrid>
      <w:tr w:rsidR="00BE1D36" w14:paraId="0575FE53"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4621CF8F"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1A248103"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79E9A73C" w14:textId="77777777" w:rsidTr="00B45E4E">
        <w:tc>
          <w:tcPr>
            <w:tcW w:w="2268" w:type="dxa"/>
            <w:tcBorders>
              <w:top w:val="single" w:sz="8" w:space="0" w:color="CDDC29" w:themeColor="text2"/>
              <w:left w:val="nil"/>
              <w:bottom w:val="single" w:sz="8" w:space="0" w:color="CDDC29" w:themeColor="text2"/>
              <w:right w:val="nil"/>
            </w:tcBorders>
            <w:hideMark/>
          </w:tcPr>
          <w:p w14:paraId="1AAA6C67" w14:textId="7027067E" w:rsidR="00BE1D36" w:rsidRDefault="00AA5233"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170D7261" w14:textId="77777777" w:rsidR="00BE1D36" w:rsidRDefault="00BE1D36" w:rsidP="00B45E4E">
            <w:pPr>
              <w:pStyle w:val="BodyText"/>
            </w:pPr>
            <w:r>
              <w:t>Not required for this hazard as it is a longer-term threat.</w:t>
            </w:r>
          </w:p>
        </w:tc>
      </w:tr>
      <w:tr w:rsidR="00BE1D36" w14:paraId="405E1891" w14:textId="77777777" w:rsidTr="00B45E4E">
        <w:tc>
          <w:tcPr>
            <w:tcW w:w="2268" w:type="dxa"/>
            <w:tcBorders>
              <w:top w:val="single" w:sz="8" w:space="0" w:color="CDDC29" w:themeColor="text2"/>
              <w:left w:val="nil"/>
              <w:bottom w:val="single" w:sz="8" w:space="0" w:color="CDDC29" w:themeColor="text2"/>
              <w:right w:val="nil"/>
            </w:tcBorders>
            <w:hideMark/>
          </w:tcPr>
          <w:p w14:paraId="21355893" w14:textId="25623580" w:rsidR="00BE1D36" w:rsidRDefault="00AA5233"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1693D4F9" w14:textId="04104DD5" w:rsidR="00BE1D36" w:rsidRDefault="00BE1D36" w:rsidP="006670D2">
            <w:pPr>
              <w:pStyle w:val="PullOutBoxBullet"/>
              <w:rPr>
                <w:rFonts w:ascii="Arial" w:hAnsi="Arial"/>
                <w:color w:val="363534"/>
              </w:rPr>
            </w:pPr>
            <w:r>
              <w:t xml:space="preserve">Consider options to conserve this </w:t>
            </w:r>
            <w:r w:rsidR="001D3902">
              <w:t>species</w:t>
            </w:r>
            <w:r>
              <w:t xml:space="preserve"> under climate change, including protection of refuges, maintenance of hydrological regimes, translocation to more secure sites and gene mixing to improve its adaptability.</w:t>
            </w:r>
          </w:p>
        </w:tc>
      </w:tr>
    </w:tbl>
    <w:p w14:paraId="74E150C8" w14:textId="77777777" w:rsidR="00BE1D36" w:rsidRDefault="00BE1D36" w:rsidP="007E5EBF">
      <w:pPr>
        <w:pStyle w:val="Heading3"/>
      </w:pPr>
      <w:r>
        <w:t>Forestry operations</w:t>
      </w:r>
    </w:p>
    <w:p w14:paraId="02E50E42" w14:textId="77777777" w:rsidR="00BE1D36" w:rsidRDefault="00BE1D36" w:rsidP="007E5EBF">
      <w:pPr>
        <w:pStyle w:val="Heading5"/>
      </w:pPr>
      <w:r>
        <w:t>Plantations</w:t>
      </w:r>
    </w:p>
    <w:p w14:paraId="2860A85C" w14:textId="1226EFA7" w:rsidR="00BE1D36" w:rsidRDefault="00BE1D36" w:rsidP="00BE1D36">
      <w:pPr>
        <w:pStyle w:val="BodyText"/>
      </w:pPr>
      <w:r>
        <w:t xml:space="preserve">Past </w:t>
      </w:r>
      <w:r w:rsidR="003B3D54">
        <w:t>harvesting</w:t>
      </w:r>
      <w:r>
        <w:t xml:space="preserve"> of surrounding forests, including softwood plantations, increases the risk of lowering water tables and drying out of peaty wetland habitats, resulting in a contraction in the local extent of suitable habitat. A history of recurrent </w:t>
      </w:r>
      <w:r w:rsidR="0021400A">
        <w:t>timber harvesting</w:t>
      </w:r>
      <w:r>
        <w:t xml:space="preserve"> in some districts maintains forests in surrounding catchments in permanently young age classes with well-documented declines in downstream water availability. Approximately 30% of the </w:t>
      </w:r>
      <w:r w:rsidR="001D3902">
        <w:t>species’</w:t>
      </w:r>
      <w:r>
        <w:t xml:space="preserve"> modelled distribution and 9% of the </w:t>
      </w:r>
      <w:r w:rsidR="001D3902">
        <w:t>species’</w:t>
      </w:r>
      <w:r>
        <w:t xml:space="preserve"> VBA points in the West RFA</w:t>
      </w:r>
      <w:r w:rsidR="009B3219">
        <w:t xml:space="preserve"> region</w:t>
      </w:r>
      <w:r>
        <w:t xml:space="preserve"> are within 200 m of plantations and therefore could be impacted. </w:t>
      </w:r>
    </w:p>
    <w:p w14:paraId="1F27959C" w14:textId="77777777" w:rsidR="00BE1D36" w:rsidRDefault="00BE1D36" w:rsidP="00BE1D36">
      <w:pPr>
        <w:pStyle w:val="BodyText"/>
      </w:pPr>
      <w:r>
        <w:t>Current controls for this hazard include:</w:t>
      </w:r>
    </w:p>
    <w:p w14:paraId="4CA35764" w14:textId="77777777" w:rsidR="00BE1D36" w:rsidRDefault="00BE1D36" w:rsidP="006670D2">
      <w:pPr>
        <w:pStyle w:val="PullOutBoxBullet"/>
      </w:pPr>
      <w:r>
        <w:t xml:space="preserve">The </w:t>
      </w:r>
      <w:r>
        <w:rPr>
          <w:i/>
          <w:iCs/>
        </w:rPr>
        <w:t>Code of Practice for Timber Production 2014</w:t>
      </w:r>
      <w:r>
        <w:t>. This has been evaluated as satisfactory as controls are consistently applied and appear to be effective, however this has not been demonstrated.</w:t>
      </w:r>
    </w:p>
    <w:p w14:paraId="315C6960" w14:textId="6521EB2D" w:rsidR="00BE1D36" w:rsidRDefault="00BE1D36" w:rsidP="006670D2">
      <w:pPr>
        <w:pStyle w:val="PullOutBoxBullet"/>
        <w:rPr>
          <w:rFonts w:eastAsiaTheme="minorEastAsia" w:cstheme="minorBidi"/>
          <w:sz w:val="22"/>
          <w:szCs w:val="22"/>
        </w:rPr>
      </w:pPr>
      <w:r>
        <w:t xml:space="preserve">The CAR reserve system. </w:t>
      </w:r>
      <w:r w:rsidR="003809EB" w:rsidRPr="00CB51DA">
        <w:rPr>
          <w:rStyle w:val="normaltextrun"/>
        </w:rPr>
        <w:t>The effectiveness of this control for this species has been evaluated</w:t>
      </w:r>
      <w:r w:rsidR="003809EB">
        <w:t xml:space="preserve"> as </w:t>
      </w:r>
      <w:r>
        <w:t xml:space="preserve">satisfactory as 28% of the </w:t>
      </w:r>
      <w:r w:rsidR="001D3902">
        <w:t>species’</w:t>
      </w:r>
      <w:r>
        <w:t xml:space="preserve"> modelled distribution and 97% of important populations are within the reserve system.</w:t>
      </w:r>
    </w:p>
    <w:p w14:paraId="41435DBE" w14:textId="374239A2"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302</w:t>
      </w:r>
      <w:r w:rsidR="000B6788" w:rsidRPr="00B846FE">
        <w:rPr>
          <w:bCs/>
          <w:noProof/>
        </w:rPr>
        <w:fldChar w:fldCharType="end"/>
      </w:r>
      <w:r w:rsidRPr="00FF310C">
        <w:t>. Wiry Bog-sedge protection requirements and recommendations for plantations</w:t>
      </w:r>
    </w:p>
    <w:tbl>
      <w:tblPr>
        <w:tblStyle w:val="TableGrid"/>
        <w:tblW w:w="0" w:type="auto"/>
        <w:tblLook w:val="04A0" w:firstRow="1" w:lastRow="0" w:firstColumn="1" w:lastColumn="0" w:noHBand="0" w:noVBand="1"/>
      </w:tblPr>
      <w:tblGrid>
        <w:gridCol w:w="2268"/>
        <w:gridCol w:w="7371"/>
      </w:tblGrid>
      <w:tr w:rsidR="00BE1D36" w14:paraId="2FDD816E"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50702202"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78D57459"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55D9E4D2" w14:textId="77777777" w:rsidTr="00B45E4E">
        <w:tc>
          <w:tcPr>
            <w:tcW w:w="2268" w:type="dxa"/>
            <w:tcBorders>
              <w:top w:val="single" w:sz="8" w:space="0" w:color="CDDC29" w:themeColor="text2"/>
              <w:left w:val="nil"/>
              <w:bottom w:val="single" w:sz="8" w:space="0" w:color="CDDC29" w:themeColor="text2"/>
              <w:right w:val="nil"/>
            </w:tcBorders>
            <w:hideMark/>
          </w:tcPr>
          <w:p w14:paraId="5FBB1F9E" w14:textId="73AAD913" w:rsidR="00BE1D36" w:rsidRDefault="00BE1D36" w:rsidP="00B45E4E">
            <w:pPr>
              <w:pStyle w:val="BodyText"/>
            </w:pPr>
            <w:r>
              <w:t>Interim protections</w:t>
            </w:r>
          </w:p>
        </w:tc>
        <w:tc>
          <w:tcPr>
            <w:tcW w:w="7371" w:type="dxa"/>
            <w:tcBorders>
              <w:top w:val="single" w:sz="8" w:space="0" w:color="CDDC29" w:themeColor="text2"/>
              <w:left w:val="nil"/>
              <w:bottom w:val="single" w:sz="8" w:space="0" w:color="CDDC29" w:themeColor="text2"/>
              <w:right w:val="nil"/>
            </w:tcBorders>
            <w:hideMark/>
          </w:tcPr>
          <w:p w14:paraId="28B8D541" w14:textId="77777777" w:rsidR="00BE1D36" w:rsidRDefault="00BE1D36" w:rsidP="00B45E4E">
            <w:pPr>
              <w:pStyle w:val="BodyText"/>
            </w:pPr>
            <w:r>
              <w:t>Not required for this hazard.</w:t>
            </w:r>
          </w:p>
        </w:tc>
      </w:tr>
      <w:tr w:rsidR="000C6287" w14:paraId="3BB06FF8" w14:textId="77777777" w:rsidTr="00B45E4E">
        <w:tc>
          <w:tcPr>
            <w:tcW w:w="2268" w:type="dxa"/>
            <w:tcBorders>
              <w:top w:val="single" w:sz="8" w:space="0" w:color="CDDC29" w:themeColor="text2"/>
              <w:left w:val="nil"/>
              <w:bottom w:val="single" w:sz="8" w:space="0" w:color="CDDC29" w:themeColor="text2"/>
              <w:right w:val="nil"/>
            </w:tcBorders>
          </w:tcPr>
          <w:p w14:paraId="45299C42" w14:textId="3C0C55C2" w:rsidR="000C6287" w:rsidRDefault="000C6287"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tcPr>
          <w:p w14:paraId="685C658B" w14:textId="099D5868" w:rsidR="000C6287" w:rsidRDefault="00A93E74" w:rsidP="006670D2">
            <w:pPr>
              <w:pStyle w:val="PullOutBoxBullet"/>
            </w:pPr>
            <w:r>
              <w:rPr>
                <w:shd w:val="clear" w:color="auto" w:fill="FFFFFF"/>
              </w:rPr>
              <w:t>Work with plantation managers to identify important populations.</w:t>
            </w:r>
          </w:p>
        </w:tc>
      </w:tr>
      <w:tr w:rsidR="006861D0" w14:paraId="47847D28" w14:textId="77777777" w:rsidTr="00B45E4E">
        <w:tc>
          <w:tcPr>
            <w:tcW w:w="2268" w:type="dxa"/>
            <w:tcBorders>
              <w:top w:val="single" w:sz="8" w:space="0" w:color="CDDC29" w:themeColor="text2"/>
              <w:left w:val="nil"/>
              <w:bottom w:val="single" w:sz="8" w:space="0" w:color="CDDC29" w:themeColor="text2"/>
              <w:right w:val="nil"/>
            </w:tcBorders>
          </w:tcPr>
          <w:p w14:paraId="305DCD92" w14:textId="7CDF13A5" w:rsidR="006861D0" w:rsidRDefault="006861D0" w:rsidP="00B45E4E">
            <w:pPr>
              <w:pStyle w:val="BodyText"/>
            </w:pPr>
            <w:r>
              <w:t>Permanent protections</w:t>
            </w:r>
          </w:p>
        </w:tc>
        <w:tc>
          <w:tcPr>
            <w:tcW w:w="7371" w:type="dxa"/>
            <w:tcBorders>
              <w:top w:val="single" w:sz="8" w:space="0" w:color="CDDC29" w:themeColor="text2"/>
              <w:left w:val="nil"/>
              <w:bottom w:val="single" w:sz="8" w:space="0" w:color="CDDC29" w:themeColor="text2"/>
              <w:right w:val="nil"/>
            </w:tcBorders>
          </w:tcPr>
          <w:p w14:paraId="19A419F5" w14:textId="1501905D" w:rsidR="006861D0" w:rsidRDefault="006861D0" w:rsidP="00B45E4E">
            <w:pPr>
              <w:pStyle w:val="BodyText"/>
            </w:pPr>
            <w:r>
              <w:t>Additional permanent protections may be required in the longer-term.</w:t>
            </w:r>
          </w:p>
        </w:tc>
      </w:tr>
      <w:tr w:rsidR="00BE1D36" w14:paraId="118EB6E4" w14:textId="77777777" w:rsidTr="00B45E4E">
        <w:tc>
          <w:tcPr>
            <w:tcW w:w="2268" w:type="dxa"/>
            <w:tcBorders>
              <w:top w:val="single" w:sz="8" w:space="0" w:color="CDDC29" w:themeColor="text2"/>
              <w:left w:val="nil"/>
              <w:bottom w:val="single" w:sz="8" w:space="0" w:color="CDDC29" w:themeColor="text2"/>
              <w:right w:val="nil"/>
            </w:tcBorders>
            <w:hideMark/>
          </w:tcPr>
          <w:p w14:paraId="4A2266E0" w14:textId="65CC954A" w:rsidR="00BE1D36" w:rsidRDefault="00AA5233"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24D16EA7" w14:textId="77777777" w:rsidR="00BE1D36" w:rsidRDefault="00BE1D36" w:rsidP="006670D2">
            <w:pPr>
              <w:pStyle w:val="PullOutBoxBullet"/>
              <w:rPr>
                <w:rFonts w:ascii="Arial" w:hAnsi="Arial"/>
                <w:color w:val="363534"/>
              </w:rPr>
            </w:pPr>
            <w:r>
              <w:t xml:space="preserve">Establish </w:t>
            </w:r>
            <w:r>
              <w:rPr>
                <w:i/>
                <w:iCs/>
              </w:rPr>
              <w:t>ex-situ</w:t>
            </w:r>
            <w:r>
              <w:t xml:space="preserve"> propagation to safeguard populations if there is a drastic decline in populations.</w:t>
            </w:r>
          </w:p>
        </w:tc>
      </w:tr>
    </w:tbl>
    <w:p w14:paraId="2B0B017A" w14:textId="375EFF0B" w:rsidR="00BE1D36" w:rsidRDefault="00BE1D36" w:rsidP="007E5EBF">
      <w:pPr>
        <w:pStyle w:val="Heading3"/>
      </w:pPr>
      <w:r>
        <w:rPr>
          <w:noProof/>
        </w:rPr>
        <mc:AlternateContent>
          <mc:Choice Requires="wps">
            <w:drawing>
              <wp:anchor distT="0" distB="0" distL="114300" distR="114300" simplePos="0" relativeHeight="251658490" behindDoc="1" locked="1" layoutInCell="1" allowOverlap="1" wp14:anchorId="3004C6D0" wp14:editId="55B261CE">
                <wp:simplePos x="0" y="0"/>
                <wp:positionH relativeFrom="page">
                  <wp:posOffset>359410</wp:posOffset>
                </wp:positionH>
                <wp:positionV relativeFrom="page">
                  <wp:posOffset>9071610</wp:posOffset>
                </wp:positionV>
                <wp:extent cx="6840220" cy="431800"/>
                <wp:effectExtent l="0" t="0" r="0" b="0"/>
                <wp:wrapNone/>
                <wp:docPr id="386" name="Text Box 386" hidden="1"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E2894"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wps:txbx>
                      <wps:bodyPr rot="0" spcFirstLastPara="0" vertOverflow="clip" horzOverflow="clip"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4C6D0" id="Text Box 386" o:spid="_x0000_s1173" type="#_x0000_t202" alt="Title: Decorative Cover Shape" style="position:absolute;left:0;text-align:left;margin-left:28.3pt;margin-top:714.3pt;width:538.6pt;height:34pt;z-index:-25165799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" fillcolor="#201547" stroked="f" strokeweight=".5pt">
                <v:textbox inset="10mm,0,10mm,0">
                  <w:txbxContent>
                    <w:p w14:paraId="176E2894" w14:textId="77777777" w:rsidR="00BE1D36" w:rsidRDefault="00BE1D36" w:rsidP="00BE1D36">
                      <w:pPr>
                        <w:pStyle w:val="TitleBarText"/>
                      </w:pPr>
                      <w:r>
                        <w:t xml:space="preserve">Client Report for </w:t>
                      </w:r>
                      <w:r>
                        <w:fldChar w:fldCharType="begin"/>
                      </w:r>
                      <w:r>
                        <w:instrText xml:space="preserve"> Macrobutton NoMacro XXXX</w:instrText>
                      </w:r>
                      <w: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58489" behindDoc="0" locked="1" layoutInCell="1" allowOverlap="1" wp14:anchorId="424BE3AB" wp14:editId="11545E03">
                <wp:simplePos x="0" y="0"/>
                <wp:positionH relativeFrom="page">
                  <wp:posOffset>360045</wp:posOffset>
                </wp:positionH>
                <wp:positionV relativeFrom="page">
                  <wp:posOffset>360045</wp:posOffset>
                </wp:positionV>
                <wp:extent cx="1864995" cy="1976120"/>
                <wp:effectExtent l="0" t="0" r="0" b="0"/>
                <wp:wrapNone/>
                <wp:docPr id="1393" name="Freeform: Shape 139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0E8BD7A" id="Freeform: Shape 1393" o:spid="_x0000_s1026" style="position:absolute;margin-left:28.35pt;margin-top:28.35pt;width:146.85pt;height:155.6pt;z-index:25165848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&#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" path="m1745,3697l,,3496,,1745,3697xe" stroked="f">
                <v:fill r:id="rId76" o:title="" recolor="t" rotate="t" type="frame"/>
                <v:path arrowok="t" o:connecttype="custom" o:connectlocs="930580,1976120;0,0;1864360,0;930580,1976120" o:connectangles="0,0,0,0"/>
                <w10:wrap anchorx="page" anchory="page"/>
                <w10:anchorlock/>
              </v:shape>
            </w:pict>
          </mc:Fallback>
        </mc:AlternateContent>
      </w:r>
      <w:r>
        <w:rPr>
          <w:noProof/>
        </w:rPr>
        <mc:AlternateContent>
          <mc:Choice Requires="wps">
            <w:drawing>
              <wp:anchor distT="0" distB="0" distL="114300" distR="114300" simplePos="0" relativeHeight="251658488" behindDoc="0" locked="1" layoutInCell="1" allowOverlap="1" wp14:anchorId="7469E33F" wp14:editId="7722B705">
                <wp:simplePos x="0" y="0"/>
                <wp:positionH relativeFrom="page">
                  <wp:posOffset>359410</wp:posOffset>
                </wp:positionH>
                <wp:positionV relativeFrom="page">
                  <wp:posOffset>359410</wp:posOffset>
                </wp:positionV>
                <wp:extent cx="1864995" cy="1976120"/>
                <wp:effectExtent l="0" t="0" r="0" b="0"/>
                <wp:wrapNone/>
                <wp:docPr id="1395" name="Freeform: Shape 139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FF9FA67" id="Freeform: Shape 1395" o:spid="_x0000_s1026" style="position:absolute;margin-left:28.3pt;margin-top:28.3pt;width:146.85pt;height:155.6pt;z-index:251658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" path="m,l1469,3114,2939,,,xe" fillcolor="#cddc29 [3202]" stroked="f">
                <v:path arrowok="t" o:connecttype="custom" o:connectlocs="0,0;931863,1976120;1864360,0;0,0" o:connectangles="0,0,0,0"/>
                <w10:wrap anchorx="page" anchory="page"/>
                <w10:anchorlock/>
              </v:shape>
            </w:pict>
          </mc:Fallback>
        </mc:AlternateContent>
      </w:r>
      <w:r>
        <w:rPr>
          <w:noProof/>
        </w:rPr>
        <mc:AlternateContent>
          <mc:Choice Requires="wps">
            <w:drawing>
              <wp:anchor distT="0" distB="0" distL="114300" distR="114300" simplePos="0" relativeHeight="251658487" behindDoc="0" locked="1" layoutInCell="1" allowOverlap="1" wp14:anchorId="1D3FD6B5" wp14:editId="58E8756E">
                <wp:simplePos x="0" y="0"/>
                <wp:positionH relativeFrom="page">
                  <wp:posOffset>0</wp:posOffset>
                </wp:positionH>
                <wp:positionV relativeFrom="page">
                  <wp:align>bottom</wp:align>
                </wp:positionV>
                <wp:extent cx="3848100" cy="720090"/>
                <wp:effectExtent l="0" t="0" r="0" b="0"/>
                <wp:wrapNone/>
                <wp:docPr id="389" name="Text Box 389" hidden="1"/>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368CF" w14:textId="77777777" w:rsidR="00BE1D36" w:rsidRDefault="00BE1D36" w:rsidP="00BE1D36">
                            <w:pPr>
                              <w:pStyle w:val="xWebCoverPage"/>
                            </w:pPr>
                            <w:r>
                              <w:t>delwp.vic.gov.au</w:t>
                            </w:r>
                          </w:p>
                        </w:txbxContent>
                      </wps:txbx>
                      <wps:bodyPr rot="0" spcFirstLastPara="0" vertOverflow="clip" horzOverflow="clip"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FD6B5" id="Text Box 389" o:spid="_x0000_s1174" type="#_x0000_t202" style="position:absolute;left:0;text-align:left;margin-left:0;margin-top:0;width:303pt;height:56.7pt;z-index:25165848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" filled="f" stroked="f" strokeweight=".5pt">
                <v:textbox inset="20mm">
                  <w:txbxContent>
                    <w:p w14:paraId="368368CF" w14:textId="77777777" w:rsidR="00BE1D36" w:rsidRDefault="00BE1D36" w:rsidP="00BE1D36">
                      <w:pPr>
                        <w:pStyle w:val="xWebCoverPage"/>
                      </w:pPr>
                      <w:r>
                        <w:t>delwp.vic.gov.au</w:t>
                      </w:r>
                    </w:p>
                  </w:txbxContent>
                </v:textbox>
                <w10:wrap anchorx="page" anchory="page"/>
                <w10:anchorlock/>
              </v:shape>
            </w:pict>
          </mc:Fallback>
        </mc:AlternateContent>
      </w:r>
      <w:r>
        <w:t>Invasive species</w:t>
      </w:r>
    </w:p>
    <w:p w14:paraId="60446515" w14:textId="77777777" w:rsidR="00BE1D36" w:rsidRDefault="00BE1D36" w:rsidP="007E5EBF">
      <w:pPr>
        <w:pStyle w:val="Heading5"/>
      </w:pPr>
      <w:r>
        <w:t>Invasive vertebrate (deer and pigs)</w:t>
      </w:r>
    </w:p>
    <w:p w14:paraId="3AE6C693" w14:textId="45518BAE" w:rsidR="00BE1D36" w:rsidRDefault="00BE1D36" w:rsidP="00BE1D36">
      <w:pPr>
        <w:pStyle w:val="BodyText"/>
      </w:pPr>
      <w:r>
        <w:t xml:space="preserve">The habitat of the </w:t>
      </w:r>
      <w:r w:rsidR="001D3902">
        <w:t>species</w:t>
      </w:r>
      <w:r>
        <w:t xml:space="preserve"> is susceptible to destructive excavation by feral pigs. Some wetlands are also threatened by pugging and wallowing by Sambar or Hog Deer (</w:t>
      </w:r>
      <w:r>
        <w:rPr>
          <w:i/>
          <w:iCs/>
        </w:rPr>
        <w:t>Axis porcinus</w:t>
      </w:r>
      <w:r>
        <w:t xml:space="preserve">). Combined with the drying climate these hazards are likely to be increased due to deer and pigs seeking out the moist to wet refugia habitat and causing a significant level of habitat damage. This hazard impacts around 20% of the </w:t>
      </w:r>
      <w:r w:rsidR="001D3902">
        <w:t>species’</w:t>
      </w:r>
      <w:r>
        <w:t xml:space="preserve"> distribution. </w:t>
      </w:r>
    </w:p>
    <w:p w14:paraId="425CB71D" w14:textId="77777777" w:rsidR="00BE1D36" w:rsidRDefault="00BE1D36" w:rsidP="00BE1D36">
      <w:pPr>
        <w:pStyle w:val="BodyText"/>
      </w:pPr>
      <w:r>
        <w:t>Current controls for this hazard include:</w:t>
      </w:r>
    </w:p>
    <w:p w14:paraId="79E9B8D6" w14:textId="77777777" w:rsidR="00BE1D36" w:rsidRDefault="00BE1D36" w:rsidP="006670D2">
      <w:pPr>
        <w:pStyle w:val="PullOutBoxBullet"/>
      </w:pPr>
      <w:r>
        <w:t>Aerial and ground shooting. This has been evaluated as poor as controls are consistently applied however appear not to be effective.</w:t>
      </w:r>
    </w:p>
    <w:p w14:paraId="1664D9C3" w14:textId="26475196" w:rsidR="00BE1D36" w:rsidRPr="00FF310C" w:rsidRDefault="00BE1D36" w:rsidP="006670D2">
      <w:pPr>
        <w:pStyle w:val="Caption"/>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303</w:t>
      </w:r>
      <w:r w:rsidR="000B6788" w:rsidRPr="00B846FE">
        <w:rPr>
          <w:bCs/>
          <w:noProof/>
        </w:rPr>
        <w:fldChar w:fldCharType="end"/>
      </w:r>
      <w:r w:rsidRPr="00FF310C">
        <w:t>. Wiry Bog-sedge protection requirements and recommendations for invasive vertebrate (deer and pigs)</w:t>
      </w:r>
    </w:p>
    <w:tbl>
      <w:tblPr>
        <w:tblStyle w:val="TableGrid"/>
        <w:tblW w:w="0" w:type="auto"/>
        <w:tblLook w:val="04A0" w:firstRow="1" w:lastRow="0" w:firstColumn="1" w:lastColumn="0" w:noHBand="0" w:noVBand="1"/>
      </w:tblPr>
      <w:tblGrid>
        <w:gridCol w:w="2268"/>
        <w:gridCol w:w="7371"/>
      </w:tblGrid>
      <w:tr w:rsidR="00BE1D36" w14:paraId="6D439B6B" w14:textId="77777777" w:rsidTr="00BE1D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single" w:sz="8" w:space="0" w:color="CDDC29" w:themeColor="text2"/>
              <w:left w:val="nil"/>
              <w:bottom w:val="single" w:sz="8" w:space="0" w:color="CDDC29" w:themeColor="text2"/>
              <w:right w:val="nil"/>
            </w:tcBorders>
            <w:vAlign w:val="center"/>
            <w:hideMark/>
          </w:tcPr>
          <w:p w14:paraId="3602D699" w14:textId="77777777" w:rsidR="00BE1D36" w:rsidRDefault="00BE1D36">
            <w:pPr>
              <w:pStyle w:val="BodyText"/>
            </w:pPr>
            <w:r>
              <w:t>Requirement</w:t>
            </w:r>
          </w:p>
        </w:tc>
        <w:tc>
          <w:tcPr>
            <w:tcW w:w="7371" w:type="dxa"/>
            <w:tcBorders>
              <w:top w:val="single" w:sz="8" w:space="0" w:color="CDDC29" w:themeColor="text2"/>
              <w:left w:val="nil"/>
              <w:bottom w:val="single" w:sz="8" w:space="0" w:color="CDDC29" w:themeColor="text2"/>
              <w:right w:val="nil"/>
            </w:tcBorders>
            <w:vAlign w:val="center"/>
            <w:hideMark/>
          </w:tcPr>
          <w:p w14:paraId="25EF6D5F" w14:textId="77777777" w:rsidR="00BE1D36" w:rsidRDefault="00BE1D36">
            <w:pPr>
              <w:pStyle w:val="BodyText"/>
              <w:cnfStyle w:val="100000000000" w:firstRow="1" w:lastRow="0" w:firstColumn="0" w:lastColumn="0" w:oddVBand="0" w:evenVBand="0" w:oddHBand="0" w:evenHBand="0" w:firstRowFirstColumn="0" w:firstRowLastColumn="0" w:lastRowFirstColumn="0" w:lastRowLastColumn="0"/>
            </w:pPr>
            <w:r>
              <w:t>Recommendation</w:t>
            </w:r>
          </w:p>
        </w:tc>
      </w:tr>
      <w:tr w:rsidR="00BE1D36" w14:paraId="2B60A26C" w14:textId="77777777" w:rsidTr="00B45E4E">
        <w:tc>
          <w:tcPr>
            <w:tcW w:w="2268" w:type="dxa"/>
            <w:tcBorders>
              <w:top w:val="single" w:sz="8" w:space="0" w:color="CDDC29" w:themeColor="text2"/>
              <w:left w:val="nil"/>
              <w:bottom w:val="single" w:sz="8" w:space="0" w:color="CDDC29" w:themeColor="text2"/>
              <w:right w:val="nil"/>
            </w:tcBorders>
            <w:hideMark/>
          </w:tcPr>
          <w:p w14:paraId="55AE43C4" w14:textId="273E884A" w:rsidR="00BE1D36" w:rsidRDefault="00AA5233" w:rsidP="00B45E4E">
            <w:pPr>
              <w:pStyle w:val="BodyText"/>
            </w:pPr>
            <w:r>
              <w:t>Priority management actions</w:t>
            </w:r>
          </w:p>
        </w:tc>
        <w:tc>
          <w:tcPr>
            <w:tcW w:w="7371" w:type="dxa"/>
            <w:tcBorders>
              <w:top w:val="single" w:sz="8" w:space="0" w:color="CDDC29" w:themeColor="text2"/>
              <w:left w:val="nil"/>
              <w:bottom w:val="single" w:sz="8" w:space="0" w:color="CDDC29" w:themeColor="text2"/>
              <w:right w:val="nil"/>
            </w:tcBorders>
            <w:hideMark/>
          </w:tcPr>
          <w:p w14:paraId="196AA5A0" w14:textId="77777777" w:rsidR="00BE1D36" w:rsidRDefault="00BE1D36" w:rsidP="00B45E4E">
            <w:pPr>
              <w:pStyle w:val="BodyText"/>
            </w:pPr>
            <w:r>
              <w:t>Not required for this hazard.</w:t>
            </w:r>
          </w:p>
        </w:tc>
      </w:tr>
      <w:tr w:rsidR="00BE1D36" w14:paraId="24EE291E" w14:textId="77777777" w:rsidTr="00B45E4E">
        <w:tc>
          <w:tcPr>
            <w:tcW w:w="2268" w:type="dxa"/>
            <w:tcBorders>
              <w:top w:val="single" w:sz="8" w:space="0" w:color="CDDC29" w:themeColor="text2"/>
              <w:left w:val="nil"/>
              <w:bottom w:val="single" w:sz="8" w:space="0" w:color="CDDC29" w:themeColor="text2"/>
              <w:right w:val="nil"/>
            </w:tcBorders>
            <w:hideMark/>
          </w:tcPr>
          <w:p w14:paraId="4C50A83E" w14:textId="15E327E3" w:rsidR="00BE1D36" w:rsidRDefault="00AA5233" w:rsidP="00B45E4E">
            <w:pPr>
              <w:pStyle w:val="BodyText"/>
            </w:pPr>
            <w:r>
              <w:t>Potential m</w:t>
            </w:r>
            <w:r w:rsidR="00BE1D36">
              <w:t>anagement actions</w:t>
            </w:r>
          </w:p>
        </w:tc>
        <w:tc>
          <w:tcPr>
            <w:tcW w:w="7371" w:type="dxa"/>
            <w:tcBorders>
              <w:top w:val="single" w:sz="8" w:space="0" w:color="CDDC29" w:themeColor="text2"/>
              <w:left w:val="nil"/>
              <w:bottom w:val="single" w:sz="8" w:space="0" w:color="CDDC29" w:themeColor="text2"/>
              <w:right w:val="nil"/>
            </w:tcBorders>
            <w:hideMark/>
          </w:tcPr>
          <w:p w14:paraId="4D5335CE" w14:textId="798A6B9B" w:rsidR="00BE1D36" w:rsidRDefault="00BE1D36" w:rsidP="006670D2">
            <w:pPr>
              <w:pStyle w:val="PullOutBoxBullet"/>
            </w:pPr>
            <w:r>
              <w:t xml:space="preserve">Establish </w:t>
            </w:r>
            <w:r>
              <w:rPr>
                <w:i/>
                <w:iCs/>
              </w:rPr>
              <w:t>ex-situ</w:t>
            </w:r>
            <w:r>
              <w:t xml:space="preserve"> propagation as a safeguard in case populations suffer significant declines; </w:t>
            </w:r>
            <w:r w:rsidR="00F5451B">
              <w:t>and</w:t>
            </w:r>
          </w:p>
          <w:p w14:paraId="0C43ED2A" w14:textId="4D3BF532" w:rsidR="00BE1D36" w:rsidRDefault="00F5451B" w:rsidP="006670D2">
            <w:pPr>
              <w:pStyle w:val="PullOutBoxBullet"/>
            </w:pPr>
            <w:r>
              <w:t>I</w:t>
            </w:r>
            <w:r w:rsidR="00BE1D36">
              <w:t>nvestigate feasible and effective options to protect important populations.</w:t>
            </w:r>
          </w:p>
        </w:tc>
      </w:tr>
    </w:tbl>
    <w:p w14:paraId="66CF8CD9" w14:textId="4BF95918" w:rsidR="00AA5233" w:rsidRDefault="00AA5233" w:rsidP="00FF6FC5">
      <w:pPr>
        <w:pStyle w:val="BodyText"/>
        <w:rPr>
          <w:lang w:eastAsia="en-AU"/>
        </w:rPr>
      </w:pPr>
    </w:p>
    <w:p w14:paraId="37DBBF17" w14:textId="77777777" w:rsidR="00AA5233" w:rsidRDefault="00AA5233">
      <w:pPr>
        <w:rPr>
          <w:rFonts w:cs="Times New Roman"/>
          <w:sz w:val="18"/>
          <w:szCs w:val="18"/>
        </w:rPr>
      </w:pPr>
      <w:r>
        <w:br w:type="page"/>
      </w:r>
    </w:p>
    <w:p w14:paraId="58834853" w14:textId="71F44ED5" w:rsidR="003731CD" w:rsidRDefault="00A169C6" w:rsidP="007E5EBF">
      <w:pPr>
        <w:pStyle w:val="Heading1"/>
      </w:pPr>
      <w:bookmarkStart w:id="1398" w:name="_Toc101352174"/>
      <w:bookmarkStart w:id="1399" w:name="_Toc101352428"/>
      <w:bookmarkStart w:id="1400" w:name="_Toc101352220"/>
      <w:bookmarkStart w:id="1401" w:name="_Toc101352474"/>
      <w:bookmarkStart w:id="1402" w:name="_Toc113271085"/>
      <w:bookmarkEnd w:id="1398"/>
      <w:bookmarkEnd w:id="1399"/>
      <w:bookmarkEnd w:id="1400"/>
      <w:bookmarkEnd w:id="1401"/>
      <w:r>
        <w:t>References</w:t>
      </w:r>
      <w:bookmarkEnd w:id="1402"/>
    </w:p>
    <w:p w14:paraId="15079EAE" w14:textId="2F77015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Anson, J. R., Dickman, C. R., Boonstra, R., &amp; Jessop, T. S. (2013). Stress triangle: do introduced predators exert indirect costs on native predators and prey? </w:t>
      </w:r>
      <w:r w:rsidRPr="00812CBC">
        <w:rPr>
          <w:rFonts w:ascii="Arial" w:hAnsi="Arial" w:cs="Arial"/>
          <w:i/>
          <w:iCs/>
          <w:color w:val="222222"/>
          <w:shd w:val="clear" w:color="auto" w:fill="FFFFFF"/>
        </w:rPr>
        <w:t>PLoS One</w:t>
      </w:r>
      <w:r w:rsidRPr="00812CBC">
        <w:rPr>
          <w:rFonts w:ascii="Arial" w:hAnsi="Arial" w:cs="Arial"/>
          <w:color w:val="222222"/>
          <w:shd w:val="clear" w:color="auto" w:fill="FFFFFF"/>
        </w:rPr>
        <w:t>, </w:t>
      </w:r>
      <w:r w:rsidRPr="00812CBC">
        <w:rPr>
          <w:rFonts w:ascii="Arial" w:hAnsi="Arial" w:cs="Arial"/>
          <w:i/>
          <w:iCs/>
          <w:color w:val="222222"/>
          <w:shd w:val="clear" w:color="auto" w:fill="FFFFFF"/>
        </w:rPr>
        <w:t>8</w:t>
      </w:r>
      <w:r w:rsidRPr="00812CBC">
        <w:rPr>
          <w:rFonts w:ascii="Arial" w:hAnsi="Arial" w:cs="Arial"/>
          <w:color w:val="222222"/>
          <w:shd w:val="clear" w:color="auto" w:fill="FFFFFF"/>
        </w:rPr>
        <w:t>(4), e60916.</w:t>
      </w:r>
    </w:p>
    <w:p w14:paraId="605F3347"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Bilney, R. J. (2013). Antler rubbing of yellow-wood by sambar in East Gippsland, Victoria. </w:t>
      </w:r>
      <w:r w:rsidRPr="00812CBC">
        <w:rPr>
          <w:rFonts w:ascii="Arial" w:hAnsi="Arial" w:cs="Arial"/>
          <w:i/>
          <w:iCs/>
          <w:color w:val="222222"/>
          <w:shd w:val="clear" w:color="auto" w:fill="FFFFFF"/>
        </w:rPr>
        <w:t>Victorian Naturalist, The</w:t>
      </w:r>
      <w:r w:rsidRPr="00812CBC">
        <w:rPr>
          <w:rFonts w:ascii="Arial" w:hAnsi="Arial" w:cs="Arial"/>
          <w:color w:val="222222"/>
          <w:shd w:val="clear" w:color="auto" w:fill="FFFFFF"/>
        </w:rPr>
        <w:t>, </w:t>
      </w:r>
      <w:r w:rsidRPr="00812CBC">
        <w:rPr>
          <w:rFonts w:ascii="Arial" w:hAnsi="Arial" w:cs="Arial"/>
          <w:i/>
          <w:iCs/>
          <w:color w:val="222222"/>
          <w:shd w:val="clear" w:color="auto" w:fill="FFFFFF"/>
        </w:rPr>
        <w:t>130</w:t>
      </w:r>
      <w:r w:rsidRPr="00812CBC">
        <w:rPr>
          <w:rFonts w:ascii="Arial" w:hAnsi="Arial" w:cs="Arial"/>
          <w:color w:val="222222"/>
          <w:shd w:val="clear" w:color="auto" w:fill="FFFFFF"/>
        </w:rPr>
        <w:t>(2), 68-74.</w:t>
      </w:r>
    </w:p>
    <w:p w14:paraId="3F3F223B"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Bluff, L. (2016). </w:t>
      </w:r>
      <w:r w:rsidRPr="00812CBC">
        <w:rPr>
          <w:rFonts w:ascii="Arial" w:hAnsi="Arial" w:cs="Arial"/>
          <w:i/>
          <w:iCs/>
          <w:color w:val="222222"/>
          <w:shd w:val="clear" w:color="auto" w:fill="FFFFFF"/>
        </w:rPr>
        <w:t>Reducing the effect of planned burns on hollow-bearing trees</w:t>
      </w:r>
      <w:r w:rsidRPr="00812CBC">
        <w:rPr>
          <w:rFonts w:ascii="Arial" w:hAnsi="Arial" w:cs="Arial"/>
          <w:color w:val="222222"/>
          <w:shd w:val="clear" w:color="auto" w:fill="FFFFFF"/>
        </w:rPr>
        <w:t>. Melbourne, Victoria, Australia: Victorian Government Department of Environment, Land, Water and Planning.</w:t>
      </w:r>
    </w:p>
    <w:p w14:paraId="7410F970"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Bowman, D. M., Williamson, G. J., Gibson, R. K., Bradstock, R. A., &amp; Keenan, R. J. (2021). The severity and extent of the Australia 2019–20 Eucalyptus forest fires are not the legacy of forest management. </w:t>
      </w:r>
      <w:r w:rsidRPr="00812CBC">
        <w:rPr>
          <w:rFonts w:ascii="Arial" w:hAnsi="Arial" w:cs="Arial"/>
          <w:i/>
          <w:iCs/>
          <w:color w:val="222222"/>
          <w:shd w:val="clear" w:color="auto" w:fill="FFFFFF"/>
        </w:rPr>
        <w:t>Nature Ecology &amp; Evolution</w:t>
      </w:r>
      <w:r w:rsidRPr="00812CBC">
        <w:rPr>
          <w:rFonts w:ascii="Arial" w:hAnsi="Arial" w:cs="Arial"/>
          <w:color w:val="222222"/>
          <w:shd w:val="clear" w:color="auto" w:fill="FFFFFF"/>
        </w:rPr>
        <w:t>, </w:t>
      </w:r>
      <w:r w:rsidRPr="00812CBC">
        <w:rPr>
          <w:rFonts w:ascii="Arial" w:hAnsi="Arial" w:cs="Arial"/>
          <w:i/>
          <w:iCs/>
          <w:color w:val="222222"/>
          <w:shd w:val="clear" w:color="auto" w:fill="FFFFFF"/>
        </w:rPr>
        <w:t>5</w:t>
      </w:r>
      <w:r w:rsidRPr="00812CBC">
        <w:rPr>
          <w:rFonts w:ascii="Arial" w:hAnsi="Arial" w:cs="Arial"/>
          <w:color w:val="222222"/>
          <w:shd w:val="clear" w:color="auto" w:fill="FFFFFF"/>
        </w:rPr>
        <w:t>(7), 1003-1010.</w:t>
      </w:r>
    </w:p>
    <w:p w14:paraId="4A3E2CE1"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Bryant, D., Crowther, D., &amp; Papas, P. (2012). </w:t>
      </w:r>
      <w:r w:rsidRPr="00812CBC">
        <w:rPr>
          <w:rFonts w:ascii="Arial" w:hAnsi="Arial" w:cs="Arial"/>
          <w:i/>
          <w:iCs/>
          <w:color w:val="222222"/>
          <w:shd w:val="clear" w:color="auto" w:fill="FFFFFF"/>
        </w:rPr>
        <w:t>Improving survey methods and understanding the effects of fire on burrowing and spiny crayfish in the Bunyip and South Gippsland catchments: Black Saturday Victoria 2009-Natural values fire recovery program</w:t>
      </w:r>
      <w:r w:rsidRPr="00812CBC">
        <w:rPr>
          <w:rFonts w:ascii="Arial" w:hAnsi="Arial" w:cs="Arial"/>
          <w:color w:val="222222"/>
          <w:shd w:val="clear" w:color="auto" w:fill="FFFFFF"/>
        </w:rPr>
        <w:t>. Department of Sustainability and Environment, Melbourne.</w:t>
      </w:r>
    </w:p>
    <w:p w14:paraId="4E4CA2DB" w14:textId="77777777" w:rsidR="00B42F5E" w:rsidRPr="00915D82" w:rsidRDefault="00B42F5E" w:rsidP="00B42F5E">
      <w:pPr>
        <w:pStyle w:val="CommentText"/>
        <w:rPr>
          <w:sz w:val="18"/>
          <w:szCs w:val="18"/>
        </w:rPr>
      </w:pPr>
      <w:r w:rsidRPr="00915D82">
        <w:rPr>
          <w:sz w:val="18"/>
          <w:szCs w:val="18"/>
        </w:rPr>
        <w:t xml:space="preserve">Campbell, I.C., &amp; Doeg, T.J. (1989). Impact of timber harvesting and production on streams: a review. </w:t>
      </w:r>
      <w:r w:rsidRPr="00915D82">
        <w:rPr>
          <w:i/>
          <w:iCs/>
          <w:sz w:val="18"/>
          <w:szCs w:val="18"/>
        </w:rPr>
        <w:t>Marine and Freshwater Research</w:t>
      </w:r>
      <w:r w:rsidRPr="00915D82">
        <w:rPr>
          <w:sz w:val="18"/>
          <w:szCs w:val="18"/>
        </w:rPr>
        <w:t>, 40(5), 519-539.</w:t>
      </w:r>
    </w:p>
    <w:p w14:paraId="6D1093B5" w14:textId="77777777" w:rsidR="00B42F5E" w:rsidRPr="00812CBC" w:rsidRDefault="00B42F5E" w:rsidP="00B42F5E">
      <w:pPr>
        <w:pStyle w:val="BodyText"/>
      </w:pPr>
      <w:r w:rsidRPr="00812CBC">
        <w:t xml:space="preserve">Clarke, J.M., Grose, M., Thatcher, M., Round, V. &amp; Heady, C. (2019). </w:t>
      </w:r>
      <w:r w:rsidRPr="00812CBC">
        <w:rPr>
          <w:i/>
          <w:iCs/>
        </w:rPr>
        <w:t>Central Highlands Climate Projections 2019</w:t>
      </w:r>
      <w:r w:rsidRPr="00812CBC">
        <w:t>. CSIRO, Melbourne, Australia.</w:t>
      </w:r>
    </w:p>
    <w:p w14:paraId="2FFF7307" w14:textId="50D0B652" w:rsidR="00B42F5E" w:rsidRPr="00812CBC" w:rsidRDefault="00B42F5E" w:rsidP="00B42F5E">
      <w:pPr>
        <w:pStyle w:val="BodyText"/>
      </w:pPr>
      <w:r w:rsidRPr="00812CBC">
        <w:t xml:space="preserve">CSIRO &amp; Bureau of Meteorology (2020). </w:t>
      </w:r>
      <w:r w:rsidRPr="00812CBC">
        <w:rPr>
          <w:i/>
          <w:iCs/>
        </w:rPr>
        <w:t>State of the Climate Report 2020.</w:t>
      </w:r>
      <w:r w:rsidRPr="00812CBC">
        <w:t xml:space="preserve"> Commonwealth of Australia. </w:t>
      </w:r>
      <w:hyperlink r:id="rId78" w:history="1">
        <w:r w:rsidRPr="00812CBC">
          <w:rPr>
            <w:rStyle w:val="Hyperlink"/>
          </w:rPr>
          <w:t>http://www.bom.gov.au/state-of-the-climate/documents/State-of-the-Climate-2020.pdf</w:t>
        </w:r>
      </w:hyperlink>
    </w:p>
    <w:p w14:paraId="75EC9926" w14:textId="77777777" w:rsidR="00B42F5E" w:rsidRPr="00812CBC" w:rsidRDefault="00B42F5E" w:rsidP="00B42F5E">
      <w:pPr>
        <w:pStyle w:val="BodyText"/>
      </w:pPr>
      <w:r w:rsidRPr="00812CBC">
        <w:rPr>
          <w:rFonts w:ascii="Arial" w:hAnsi="Arial" w:cs="Arial"/>
          <w:color w:val="222222"/>
          <w:shd w:val="clear" w:color="auto" w:fill="FFFFFF"/>
        </w:rPr>
        <w:t xml:space="preserve">DELWP (2018). </w:t>
      </w:r>
      <w:r w:rsidRPr="00812CBC">
        <w:rPr>
          <w:i/>
          <w:iCs/>
        </w:rPr>
        <w:t>The Procedure for the removal, destruction or lopping of native vegetation on Crown land.</w:t>
      </w:r>
      <w:r w:rsidRPr="00812CBC">
        <w:t xml:space="preserve"> Department of Environment, Land, Water and Planning, Melbourne.</w:t>
      </w:r>
    </w:p>
    <w:p w14:paraId="10BC3D32"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Dexter, N., &amp; Murray, A. (2009). The impact of fox control on the relative abundance of forest mammals in East Gippsland, Victoria. </w:t>
      </w:r>
      <w:r w:rsidRPr="00812CBC">
        <w:rPr>
          <w:rFonts w:ascii="Arial" w:hAnsi="Arial" w:cs="Arial"/>
          <w:i/>
          <w:iCs/>
          <w:color w:val="222222"/>
          <w:shd w:val="clear" w:color="auto" w:fill="FFFFFF"/>
        </w:rPr>
        <w:t>Wildlife Research</w:t>
      </w:r>
      <w:r w:rsidRPr="00812CBC">
        <w:rPr>
          <w:rFonts w:ascii="Arial" w:hAnsi="Arial" w:cs="Arial"/>
          <w:color w:val="222222"/>
          <w:shd w:val="clear" w:color="auto" w:fill="FFFFFF"/>
        </w:rPr>
        <w:t>, </w:t>
      </w:r>
      <w:r w:rsidRPr="00812CBC">
        <w:rPr>
          <w:rFonts w:ascii="Arial" w:hAnsi="Arial" w:cs="Arial"/>
          <w:i/>
          <w:iCs/>
          <w:color w:val="222222"/>
          <w:shd w:val="clear" w:color="auto" w:fill="FFFFFF"/>
        </w:rPr>
        <w:t>36</w:t>
      </w:r>
      <w:r w:rsidRPr="00812CBC">
        <w:rPr>
          <w:rFonts w:ascii="Arial" w:hAnsi="Arial" w:cs="Arial"/>
          <w:color w:val="222222"/>
          <w:shd w:val="clear" w:color="auto" w:fill="FFFFFF"/>
        </w:rPr>
        <w:t>(3), 252-261.</w:t>
      </w:r>
    </w:p>
    <w:p w14:paraId="20845A58"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Driscoll, D. A., Armenteras, D., Bennett, A. F., Brotons, L., Clarke, M. F., Doherty, T. S., ... &amp; Wevill, T. (2021). How fire interacts with habitat loss and fragmentation. </w:t>
      </w:r>
      <w:r w:rsidRPr="00812CBC">
        <w:rPr>
          <w:rFonts w:ascii="Arial" w:hAnsi="Arial" w:cs="Arial"/>
          <w:i/>
          <w:iCs/>
          <w:color w:val="222222"/>
          <w:shd w:val="clear" w:color="auto" w:fill="FFFFFF"/>
        </w:rPr>
        <w:t>Biological Reviews</w:t>
      </w:r>
      <w:r w:rsidRPr="00812CBC">
        <w:rPr>
          <w:rFonts w:ascii="Arial" w:hAnsi="Arial" w:cs="Arial"/>
          <w:color w:val="222222"/>
          <w:shd w:val="clear" w:color="auto" w:fill="FFFFFF"/>
        </w:rPr>
        <w:t>, </w:t>
      </w:r>
      <w:r w:rsidRPr="00812CBC">
        <w:rPr>
          <w:rFonts w:ascii="Arial" w:hAnsi="Arial" w:cs="Arial"/>
          <w:i/>
          <w:iCs/>
          <w:color w:val="222222"/>
          <w:shd w:val="clear" w:color="auto" w:fill="FFFFFF"/>
        </w:rPr>
        <w:t>96</w:t>
      </w:r>
      <w:r w:rsidRPr="00812CBC">
        <w:rPr>
          <w:rFonts w:ascii="Arial" w:hAnsi="Arial" w:cs="Arial"/>
          <w:color w:val="222222"/>
          <w:shd w:val="clear" w:color="auto" w:fill="FFFFFF"/>
        </w:rPr>
        <w:t>(3), 976-998.</w:t>
      </w:r>
    </w:p>
    <w:p w14:paraId="108A97C5"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Englund, G., &amp; Krupa, J. J. (2000). Habitat use by crayfish in stream pools: influence of predators, depth and body size. </w:t>
      </w:r>
      <w:r w:rsidRPr="00812CBC">
        <w:rPr>
          <w:rFonts w:ascii="Arial" w:hAnsi="Arial" w:cs="Arial"/>
          <w:i/>
          <w:iCs/>
          <w:color w:val="222222"/>
          <w:shd w:val="clear" w:color="auto" w:fill="FFFFFF"/>
        </w:rPr>
        <w:t>Freshwater biology</w:t>
      </w:r>
      <w:r w:rsidRPr="00812CBC">
        <w:rPr>
          <w:rFonts w:ascii="Arial" w:hAnsi="Arial" w:cs="Arial"/>
          <w:color w:val="222222"/>
          <w:shd w:val="clear" w:color="auto" w:fill="FFFFFF"/>
        </w:rPr>
        <w:t>, </w:t>
      </w:r>
      <w:r w:rsidRPr="00812CBC">
        <w:rPr>
          <w:rFonts w:ascii="Arial" w:hAnsi="Arial" w:cs="Arial"/>
          <w:i/>
          <w:iCs/>
          <w:color w:val="222222"/>
          <w:shd w:val="clear" w:color="auto" w:fill="FFFFFF"/>
        </w:rPr>
        <w:t>43</w:t>
      </w:r>
      <w:r w:rsidRPr="00812CBC">
        <w:rPr>
          <w:rFonts w:ascii="Arial" w:hAnsi="Arial" w:cs="Arial"/>
          <w:color w:val="222222"/>
          <w:shd w:val="clear" w:color="auto" w:fill="FFFFFF"/>
        </w:rPr>
        <w:t>(1), 75-83.</w:t>
      </w:r>
    </w:p>
    <w:p w14:paraId="2FED2414"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 xml:space="preserve">Furlaud, J. M., Prior, L. D., Williamson, G. J., &amp; Bowman, D. M. (2021). Fire risk and severity decline with stand development in Tasmanian giant </w:t>
      </w:r>
      <w:r w:rsidRPr="00812CBC">
        <w:rPr>
          <w:rFonts w:ascii="Arial" w:hAnsi="Arial" w:cs="Arial"/>
          <w:i/>
          <w:iCs/>
          <w:color w:val="222222"/>
          <w:shd w:val="clear" w:color="auto" w:fill="FFFFFF"/>
        </w:rPr>
        <w:t>Eucalyptus</w:t>
      </w:r>
      <w:r w:rsidRPr="00812CBC">
        <w:rPr>
          <w:rFonts w:ascii="Arial" w:hAnsi="Arial" w:cs="Arial"/>
          <w:color w:val="222222"/>
          <w:shd w:val="clear" w:color="auto" w:fill="FFFFFF"/>
        </w:rPr>
        <w:t xml:space="preserve"> forest. </w:t>
      </w:r>
      <w:r w:rsidRPr="00812CBC">
        <w:rPr>
          <w:rFonts w:ascii="Arial" w:hAnsi="Arial" w:cs="Arial"/>
          <w:i/>
          <w:iCs/>
          <w:color w:val="222222"/>
          <w:shd w:val="clear" w:color="auto" w:fill="FFFFFF"/>
        </w:rPr>
        <w:t>Forest Ecology and Management</w:t>
      </w:r>
      <w:r w:rsidRPr="00812CBC">
        <w:rPr>
          <w:rFonts w:ascii="Arial" w:hAnsi="Arial" w:cs="Arial"/>
          <w:color w:val="222222"/>
          <w:shd w:val="clear" w:color="auto" w:fill="FFFFFF"/>
        </w:rPr>
        <w:t>, </w:t>
      </w:r>
      <w:r w:rsidRPr="00812CBC">
        <w:rPr>
          <w:rFonts w:ascii="Arial" w:hAnsi="Arial" w:cs="Arial"/>
          <w:i/>
          <w:iCs/>
          <w:color w:val="222222"/>
          <w:shd w:val="clear" w:color="auto" w:fill="FFFFFF"/>
        </w:rPr>
        <w:t>502</w:t>
      </w:r>
      <w:r w:rsidRPr="00812CBC">
        <w:rPr>
          <w:rFonts w:ascii="Arial" w:hAnsi="Arial" w:cs="Arial"/>
          <w:color w:val="222222"/>
          <w:shd w:val="clear" w:color="auto" w:fill="FFFFFF"/>
        </w:rPr>
        <w:t>, 119724.</w:t>
      </w:r>
    </w:p>
    <w:p w14:paraId="378DDFFE"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Green, K. (2016). Dieback of Nematolepis ovatifolia (Rutaceae), an endemic shrub in the alpine-subalpine heaths of the Snowy Mountains, is facilitated by climate change. </w:t>
      </w:r>
      <w:r w:rsidRPr="00812CBC">
        <w:rPr>
          <w:rFonts w:ascii="Arial" w:hAnsi="Arial" w:cs="Arial"/>
          <w:i/>
          <w:iCs/>
          <w:color w:val="222222"/>
          <w:shd w:val="clear" w:color="auto" w:fill="FFFFFF"/>
        </w:rPr>
        <w:t>Cunninghamia</w:t>
      </w:r>
      <w:r w:rsidRPr="00812CBC">
        <w:rPr>
          <w:rFonts w:ascii="Arial" w:hAnsi="Arial" w:cs="Arial"/>
          <w:color w:val="222222"/>
          <w:shd w:val="clear" w:color="auto" w:fill="FFFFFF"/>
        </w:rPr>
        <w:t>, </w:t>
      </w:r>
      <w:r w:rsidRPr="00812CBC">
        <w:rPr>
          <w:rFonts w:ascii="Arial" w:hAnsi="Arial" w:cs="Arial"/>
          <w:i/>
          <w:iCs/>
          <w:color w:val="222222"/>
          <w:shd w:val="clear" w:color="auto" w:fill="FFFFFF"/>
        </w:rPr>
        <w:t>16</w:t>
      </w:r>
      <w:r w:rsidRPr="00812CBC">
        <w:rPr>
          <w:rFonts w:ascii="Arial" w:hAnsi="Arial" w:cs="Arial"/>
          <w:color w:val="222222"/>
          <w:shd w:val="clear" w:color="auto" w:fill="FFFFFF"/>
        </w:rPr>
        <w:t>, 1-9.</w:t>
      </w:r>
    </w:p>
    <w:p w14:paraId="58D6ED1C"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Hradsky, B. A., Mildwaters, C., Ritchie, E. G., Christie, F., &amp; Di Stefano, J. (2017). Responses of invasive predators and native prey to a prescribed forest fire. </w:t>
      </w:r>
      <w:r w:rsidRPr="00812CBC">
        <w:rPr>
          <w:rFonts w:ascii="Arial" w:hAnsi="Arial" w:cs="Arial"/>
          <w:i/>
          <w:iCs/>
          <w:color w:val="222222"/>
          <w:shd w:val="clear" w:color="auto" w:fill="FFFFFF"/>
        </w:rPr>
        <w:t>Journal of Mammalogy</w:t>
      </w:r>
      <w:r w:rsidRPr="00812CBC">
        <w:rPr>
          <w:rFonts w:ascii="Arial" w:hAnsi="Arial" w:cs="Arial"/>
          <w:color w:val="222222"/>
          <w:shd w:val="clear" w:color="auto" w:fill="FFFFFF"/>
        </w:rPr>
        <w:t>, </w:t>
      </w:r>
      <w:r w:rsidRPr="00812CBC">
        <w:rPr>
          <w:rFonts w:ascii="Arial" w:hAnsi="Arial" w:cs="Arial"/>
          <w:i/>
          <w:iCs/>
          <w:color w:val="222222"/>
          <w:shd w:val="clear" w:color="auto" w:fill="FFFFFF"/>
        </w:rPr>
        <w:t>98</w:t>
      </w:r>
      <w:r w:rsidRPr="00812CBC">
        <w:rPr>
          <w:rFonts w:ascii="Arial" w:hAnsi="Arial" w:cs="Arial"/>
          <w:color w:val="222222"/>
          <w:shd w:val="clear" w:color="auto" w:fill="FFFFFF"/>
        </w:rPr>
        <w:t>(3), 835-847.</w:t>
      </w:r>
    </w:p>
    <w:p w14:paraId="48534335"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 xml:space="preserve">Hradsky, B. A., Robley, A., Alexander, R., Ritchie, E. G., York, A., &amp; Di Stefano, J. (2017). Human-modified habitats facilitate forest-dwelling populations of an invasive predator, </w:t>
      </w:r>
      <w:r w:rsidRPr="00812CBC">
        <w:rPr>
          <w:rFonts w:ascii="Arial" w:hAnsi="Arial" w:cs="Arial"/>
          <w:i/>
          <w:iCs/>
          <w:color w:val="222222"/>
          <w:shd w:val="clear" w:color="auto" w:fill="FFFFFF"/>
        </w:rPr>
        <w:t>Vulpes vulpes</w:t>
      </w:r>
      <w:r w:rsidRPr="00812CBC">
        <w:rPr>
          <w:rFonts w:ascii="Arial" w:hAnsi="Arial" w:cs="Arial"/>
          <w:color w:val="222222"/>
          <w:shd w:val="clear" w:color="auto" w:fill="FFFFFF"/>
        </w:rPr>
        <w:t>. </w:t>
      </w:r>
      <w:r w:rsidRPr="00812CBC">
        <w:rPr>
          <w:rFonts w:ascii="Arial" w:hAnsi="Arial" w:cs="Arial"/>
          <w:i/>
          <w:iCs/>
          <w:color w:val="222222"/>
          <w:shd w:val="clear" w:color="auto" w:fill="FFFFFF"/>
        </w:rPr>
        <w:t>Scientific Reports</w:t>
      </w:r>
      <w:r w:rsidRPr="00812CBC">
        <w:rPr>
          <w:rFonts w:ascii="Arial" w:hAnsi="Arial" w:cs="Arial"/>
          <w:color w:val="222222"/>
          <w:shd w:val="clear" w:color="auto" w:fill="FFFFFF"/>
        </w:rPr>
        <w:t>, </w:t>
      </w:r>
      <w:r w:rsidRPr="00812CBC">
        <w:rPr>
          <w:rFonts w:ascii="Arial" w:hAnsi="Arial" w:cs="Arial"/>
          <w:i/>
          <w:iCs/>
          <w:color w:val="222222"/>
          <w:shd w:val="clear" w:color="auto" w:fill="FFFFFF"/>
        </w:rPr>
        <w:t>7</w:t>
      </w:r>
      <w:r w:rsidRPr="00812CBC">
        <w:rPr>
          <w:rFonts w:ascii="Arial" w:hAnsi="Arial" w:cs="Arial"/>
          <w:color w:val="222222"/>
          <w:shd w:val="clear" w:color="auto" w:fill="FFFFFF"/>
        </w:rPr>
        <w:t>(1), 1-12.</w:t>
      </w:r>
    </w:p>
    <w:p w14:paraId="3D4621A5"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Hu, Y., Gillespie, G., &amp; Jessop, T. S. (2019). Variable reptile responses to introduced predator control in southern Australia. </w:t>
      </w:r>
      <w:r w:rsidRPr="00812CBC">
        <w:rPr>
          <w:rFonts w:ascii="Arial" w:hAnsi="Arial" w:cs="Arial"/>
          <w:i/>
          <w:iCs/>
          <w:color w:val="222222"/>
          <w:shd w:val="clear" w:color="auto" w:fill="FFFFFF"/>
        </w:rPr>
        <w:t>Wildlife Research</w:t>
      </w:r>
      <w:r w:rsidRPr="00812CBC">
        <w:rPr>
          <w:rFonts w:ascii="Arial" w:hAnsi="Arial" w:cs="Arial"/>
          <w:color w:val="222222"/>
          <w:shd w:val="clear" w:color="auto" w:fill="FFFFFF"/>
        </w:rPr>
        <w:t>, </w:t>
      </w:r>
      <w:r w:rsidRPr="00812CBC">
        <w:rPr>
          <w:rFonts w:ascii="Arial" w:hAnsi="Arial" w:cs="Arial"/>
          <w:i/>
          <w:iCs/>
          <w:color w:val="222222"/>
          <w:shd w:val="clear" w:color="auto" w:fill="FFFFFF"/>
        </w:rPr>
        <w:t>46</w:t>
      </w:r>
      <w:r w:rsidRPr="00812CBC">
        <w:rPr>
          <w:rFonts w:ascii="Arial" w:hAnsi="Arial" w:cs="Arial"/>
          <w:color w:val="222222"/>
          <w:shd w:val="clear" w:color="auto" w:fill="FFFFFF"/>
        </w:rPr>
        <w:t>(1), 64-75.</w:t>
      </w:r>
    </w:p>
    <w:p w14:paraId="4685852B"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Jessop, T. S., Urlus, J., Lockwood, T., &amp; Gillespie, G. (2010). Preying possum: assessment of the diet of lace monitors (</w:t>
      </w:r>
      <w:r w:rsidRPr="00812CBC">
        <w:rPr>
          <w:rFonts w:ascii="Arial" w:hAnsi="Arial" w:cs="Arial"/>
          <w:i/>
          <w:iCs/>
          <w:color w:val="222222"/>
          <w:shd w:val="clear" w:color="auto" w:fill="FFFFFF"/>
        </w:rPr>
        <w:t>Varanus varius</w:t>
      </w:r>
      <w:r w:rsidRPr="00812CBC">
        <w:rPr>
          <w:rFonts w:ascii="Arial" w:hAnsi="Arial" w:cs="Arial"/>
          <w:color w:val="222222"/>
          <w:shd w:val="clear" w:color="auto" w:fill="FFFFFF"/>
        </w:rPr>
        <w:t>) from coastal forests in southeastern Victoria. </w:t>
      </w:r>
      <w:r w:rsidRPr="00812CBC">
        <w:rPr>
          <w:rFonts w:ascii="Arial" w:hAnsi="Arial" w:cs="Arial"/>
          <w:i/>
          <w:iCs/>
          <w:color w:val="222222"/>
          <w:shd w:val="clear" w:color="auto" w:fill="FFFFFF"/>
        </w:rPr>
        <w:t>Biawak</w:t>
      </w:r>
      <w:r w:rsidRPr="00812CBC">
        <w:rPr>
          <w:rFonts w:ascii="Arial" w:hAnsi="Arial" w:cs="Arial"/>
          <w:color w:val="222222"/>
          <w:shd w:val="clear" w:color="auto" w:fill="FFFFFF"/>
        </w:rPr>
        <w:t>, </w:t>
      </w:r>
      <w:r w:rsidRPr="00812CBC">
        <w:rPr>
          <w:rFonts w:ascii="Arial" w:hAnsi="Arial" w:cs="Arial"/>
          <w:i/>
          <w:iCs/>
          <w:color w:val="222222"/>
          <w:shd w:val="clear" w:color="auto" w:fill="FFFFFF"/>
        </w:rPr>
        <w:t>4</w:t>
      </w:r>
      <w:r w:rsidRPr="00812CBC">
        <w:rPr>
          <w:rFonts w:ascii="Arial" w:hAnsi="Arial" w:cs="Arial"/>
          <w:color w:val="222222"/>
          <w:shd w:val="clear" w:color="auto" w:fill="FFFFFF"/>
        </w:rPr>
        <w:t>(2), 59-63.</w:t>
      </w:r>
    </w:p>
    <w:p w14:paraId="0B528E61"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Jessop, T. S., Gillespie, G., &amp; Letnic, M. (2016, January). Examining multi-scale effects of the invasive fox on a large varanid (</w:t>
      </w:r>
      <w:r w:rsidRPr="00812CBC">
        <w:rPr>
          <w:rFonts w:ascii="Arial" w:hAnsi="Arial" w:cs="Arial"/>
          <w:i/>
          <w:iCs/>
          <w:color w:val="222222"/>
          <w:shd w:val="clear" w:color="auto" w:fill="FFFFFF"/>
        </w:rPr>
        <w:t>Varanus varius</w:t>
      </w:r>
      <w:r w:rsidRPr="00812CBC">
        <w:rPr>
          <w:rFonts w:ascii="Arial" w:hAnsi="Arial" w:cs="Arial"/>
          <w:color w:val="222222"/>
          <w:shd w:val="clear" w:color="auto" w:fill="FFFFFF"/>
        </w:rPr>
        <w:t xml:space="preserve"> White, 1790) mesopredator. In </w:t>
      </w:r>
      <w:r w:rsidRPr="00812CBC">
        <w:rPr>
          <w:rFonts w:ascii="Arial" w:hAnsi="Arial" w:cs="Arial"/>
          <w:i/>
          <w:iCs/>
          <w:color w:val="222222"/>
          <w:shd w:val="clear" w:color="auto" w:fill="FFFFFF"/>
        </w:rPr>
        <w:t>Interdisciplinary World Conference on Monitor Lizards,. (Ed. M. Cota.) pp</w:t>
      </w:r>
      <w:r w:rsidRPr="00812CBC">
        <w:rPr>
          <w:rFonts w:ascii="Arial" w:hAnsi="Arial" w:cs="Arial"/>
          <w:color w:val="222222"/>
          <w:shd w:val="clear" w:color="auto" w:fill="FFFFFF"/>
        </w:rPr>
        <w:t> (pp. 221-236).</w:t>
      </w:r>
    </w:p>
    <w:p w14:paraId="792CC4D9" w14:textId="73CF437B" w:rsidR="00B42F5E" w:rsidRPr="00812CBC" w:rsidRDefault="00B42F5E" w:rsidP="00B42F5E">
      <w:pPr>
        <w:pStyle w:val="BodyText"/>
        <w:rPr>
          <w:rFonts w:ascii="Arial" w:hAnsi="Arial" w:cs="Arial"/>
          <w:color w:val="222222"/>
          <w:shd w:val="clear" w:color="auto" w:fill="FFFFFF"/>
        </w:rPr>
      </w:pPr>
      <w:r w:rsidRPr="00915D82">
        <w:rPr>
          <w:rFonts w:ascii="Arial" w:hAnsi="Arial" w:cs="Arial"/>
          <w:color w:val="222222"/>
          <w:shd w:val="clear" w:color="auto" w:fill="FFFFFF"/>
        </w:rPr>
        <w:t>Keenan, R. J., Kanowski, P., Baker, P., Brack, C., Bartlett, T., &amp; Tolhurst, K. (2021). No evidence that timber harvesting increased the scale or severity of the 2019/20 bushfires in south-eastern Australia. </w:t>
      </w:r>
      <w:r w:rsidRPr="00915D82">
        <w:rPr>
          <w:rFonts w:ascii="Arial" w:hAnsi="Arial" w:cs="Arial"/>
          <w:i/>
          <w:iCs/>
          <w:color w:val="222222"/>
          <w:shd w:val="clear" w:color="auto" w:fill="FFFFFF"/>
        </w:rPr>
        <w:t>Australian Forestry</w:t>
      </w:r>
      <w:r w:rsidRPr="00915D82">
        <w:rPr>
          <w:rFonts w:ascii="Arial" w:hAnsi="Arial" w:cs="Arial"/>
          <w:color w:val="222222"/>
          <w:shd w:val="clear" w:color="auto" w:fill="FFFFFF"/>
        </w:rPr>
        <w:t>, </w:t>
      </w:r>
      <w:r w:rsidRPr="00915D82">
        <w:rPr>
          <w:rFonts w:ascii="Arial" w:hAnsi="Arial" w:cs="Arial"/>
          <w:i/>
          <w:iCs/>
          <w:color w:val="222222"/>
          <w:shd w:val="clear" w:color="auto" w:fill="FFFFFF"/>
        </w:rPr>
        <w:t>84</w:t>
      </w:r>
      <w:r w:rsidRPr="00915D82">
        <w:rPr>
          <w:rFonts w:ascii="Arial" w:hAnsi="Arial" w:cs="Arial"/>
          <w:color w:val="222222"/>
          <w:shd w:val="clear" w:color="auto" w:fill="FFFFFF"/>
        </w:rPr>
        <w:t>(3), 133-138.</w:t>
      </w:r>
    </w:p>
    <w:p w14:paraId="4588C014"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Kirshner, D. S. (2007). Multiclutching in captive Lace monitors (Varanus varius). </w:t>
      </w:r>
      <w:r w:rsidRPr="00812CBC">
        <w:rPr>
          <w:rFonts w:ascii="Arial" w:hAnsi="Arial" w:cs="Arial"/>
          <w:i/>
          <w:iCs/>
          <w:color w:val="222222"/>
          <w:shd w:val="clear" w:color="auto" w:fill="FFFFFF"/>
        </w:rPr>
        <w:t>Mertensiella</w:t>
      </w:r>
      <w:r w:rsidRPr="00812CBC">
        <w:rPr>
          <w:rFonts w:ascii="Arial" w:hAnsi="Arial" w:cs="Arial"/>
          <w:color w:val="222222"/>
          <w:shd w:val="clear" w:color="auto" w:fill="FFFFFF"/>
        </w:rPr>
        <w:t>, </w:t>
      </w:r>
      <w:r w:rsidRPr="00812CBC">
        <w:rPr>
          <w:rFonts w:ascii="Arial" w:hAnsi="Arial" w:cs="Arial"/>
          <w:i/>
          <w:iCs/>
          <w:color w:val="222222"/>
          <w:shd w:val="clear" w:color="auto" w:fill="FFFFFF"/>
        </w:rPr>
        <w:t>16</w:t>
      </w:r>
      <w:r w:rsidRPr="00812CBC">
        <w:rPr>
          <w:rFonts w:ascii="Arial" w:hAnsi="Arial" w:cs="Arial"/>
          <w:color w:val="222222"/>
          <w:shd w:val="clear" w:color="auto" w:fill="FFFFFF"/>
        </w:rPr>
        <w:t>, 403-421.</w:t>
      </w:r>
    </w:p>
    <w:p w14:paraId="2A3D93DC"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Lieschke, J. A., Raadik, T. A., &amp; Nicol, M. D. (2014). Brief assessment of the status of Orbost Spiny Crayfish (</w:t>
      </w:r>
      <w:r w:rsidRPr="00812CBC">
        <w:rPr>
          <w:rFonts w:ascii="Arial" w:hAnsi="Arial" w:cs="Arial"/>
          <w:i/>
          <w:iCs/>
          <w:color w:val="222222"/>
          <w:shd w:val="clear" w:color="auto" w:fill="FFFFFF"/>
        </w:rPr>
        <w:t>Euastacus diversus</w:t>
      </w:r>
      <w:r w:rsidRPr="00812CBC">
        <w:rPr>
          <w:rFonts w:ascii="Arial" w:hAnsi="Arial" w:cs="Arial"/>
          <w:color w:val="222222"/>
          <w:shd w:val="clear" w:color="auto" w:fill="FFFFFF"/>
        </w:rPr>
        <w:t>) in the upper Brodribb River system, post Orbost Fire complex, May 2014. </w:t>
      </w:r>
      <w:r w:rsidRPr="00812CBC">
        <w:rPr>
          <w:rFonts w:ascii="Arial" w:hAnsi="Arial" w:cs="Arial"/>
          <w:i/>
          <w:iCs/>
          <w:color w:val="222222"/>
          <w:shd w:val="clear" w:color="auto" w:fill="FFFFFF"/>
        </w:rPr>
        <w:t>Arthur Rylah Institute for Environmental Research Unpublished Client Report for DEPI–Gippsland Region.</w:t>
      </w:r>
      <w:r w:rsidRPr="00812CBC">
        <w:rPr>
          <w:rFonts w:ascii="Arial" w:hAnsi="Arial" w:cs="Arial"/>
          <w:color w:val="222222"/>
          <w:shd w:val="clear" w:color="auto" w:fill="FFFFFF"/>
        </w:rPr>
        <w:t xml:space="preserve"> Department of Environment and Primary Industries, Heidelberg, Victoria.</w:t>
      </w:r>
    </w:p>
    <w:p w14:paraId="175E3B89"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 xml:space="preserve">McCormack, R. B. (2013). Conservation of imperiled crayfish, </w:t>
      </w:r>
      <w:r w:rsidRPr="00812CBC">
        <w:rPr>
          <w:rFonts w:ascii="Arial" w:hAnsi="Arial" w:cs="Arial"/>
          <w:i/>
          <w:iCs/>
          <w:color w:val="222222"/>
          <w:shd w:val="clear" w:color="auto" w:fill="FFFFFF"/>
        </w:rPr>
        <w:t>Euastacus dharawalus</w:t>
      </w:r>
      <w:r w:rsidRPr="00812CBC">
        <w:rPr>
          <w:rFonts w:ascii="Arial" w:hAnsi="Arial" w:cs="Arial"/>
          <w:color w:val="222222"/>
          <w:shd w:val="clear" w:color="auto" w:fill="FFFFFF"/>
        </w:rPr>
        <w:t xml:space="preserve"> (Decapoda: Astacidea: Parastacidae), from the southern highlands of New South Wales, Australia. </w:t>
      </w:r>
      <w:r w:rsidRPr="00812CBC">
        <w:rPr>
          <w:rFonts w:ascii="Arial" w:hAnsi="Arial" w:cs="Arial"/>
          <w:i/>
          <w:iCs/>
          <w:color w:val="222222"/>
          <w:shd w:val="clear" w:color="auto" w:fill="FFFFFF"/>
        </w:rPr>
        <w:t>Journal of Crustacean Biology</w:t>
      </w:r>
      <w:r w:rsidRPr="00812CBC">
        <w:rPr>
          <w:rFonts w:ascii="Arial" w:hAnsi="Arial" w:cs="Arial"/>
          <w:color w:val="222222"/>
          <w:shd w:val="clear" w:color="auto" w:fill="FFFFFF"/>
        </w:rPr>
        <w:t>, </w:t>
      </w:r>
      <w:r w:rsidRPr="00812CBC">
        <w:rPr>
          <w:rFonts w:ascii="Arial" w:hAnsi="Arial" w:cs="Arial"/>
          <w:i/>
          <w:iCs/>
          <w:color w:val="222222"/>
          <w:shd w:val="clear" w:color="auto" w:fill="FFFFFF"/>
        </w:rPr>
        <w:t>33</w:t>
      </w:r>
      <w:r w:rsidRPr="00812CBC">
        <w:rPr>
          <w:rFonts w:ascii="Arial" w:hAnsi="Arial" w:cs="Arial"/>
          <w:color w:val="222222"/>
          <w:shd w:val="clear" w:color="auto" w:fill="FFFFFF"/>
        </w:rPr>
        <w:t>(3), 432-439.</w:t>
      </w:r>
    </w:p>
    <w:p w14:paraId="151EBDBB"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Merrick, J. R. (1995). Diversity, distribution and conservation of freshwater crayfishes in the eastern highlands of New South Wales. In </w:t>
      </w:r>
      <w:r w:rsidRPr="00812CBC">
        <w:rPr>
          <w:rFonts w:ascii="Arial" w:hAnsi="Arial" w:cs="Arial"/>
          <w:i/>
          <w:iCs/>
          <w:color w:val="222222"/>
          <w:shd w:val="clear" w:color="auto" w:fill="FFFFFF"/>
        </w:rPr>
        <w:t>Proceedings of the Linnean Society of New South Wales</w:t>
      </w:r>
      <w:r w:rsidRPr="00812CBC">
        <w:rPr>
          <w:rFonts w:ascii="Arial" w:hAnsi="Arial" w:cs="Arial"/>
          <w:color w:val="222222"/>
          <w:shd w:val="clear" w:color="auto" w:fill="FFFFFF"/>
        </w:rPr>
        <w:t> (Vol. 115, pp. 247-258).</w:t>
      </w:r>
    </w:p>
    <w:p w14:paraId="576162EF" w14:textId="77777777" w:rsidR="00B42F5E"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Murphy, A. H., White, M., &amp; Downe, J. M. (2006). </w:t>
      </w:r>
      <w:r w:rsidRPr="00812CBC">
        <w:rPr>
          <w:rFonts w:ascii="Arial" w:hAnsi="Arial" w:cs="Arial"/>
          <w:i/>
          <w:iCs/>
          <w:color w:val="222222"/>
          <w:shd w:val="clear" w:color="auto" w:fill="FFFFFF"/>
        </w:rPr>
        <w:t>National recovery plan for the Shiny Nematolepis Nematolepis wilsonii</w:t>
      </w:r>
      <w:r w:rsidRPr="00812CBC">
        <w:rPr>
          <w:rFonts w:ascii="Arial" w:hAnsi="Arial" w:cs="Arial"/>
          <w:color w:val="222222"/>
          <w:shd w:val="clear" w:color="auto" w:fill="FFFFFF"/>
        </w:rPr>
        <w:t>. Department of Sustainability and Environment.</w:t>
      </w:r>
    </w:p>
    <w:p w14:paraId="2E40AE68" w14:textId="53F9F492" w:rsidR="008E67AF" w:rsidRPr="008E67AF" w:rsidRDefault="008E67AF" w:rsidP="00B42F5E">
      <w:pPr>
        <w:pStyle w:val="BodyText"/>
        <w:rPr>
          <w:rFonts w:ascii="Arial" w:hAnsi="Arial" w:cs="Arial"/>
          <w:color w:val="222222"/>
          <w:shd w:val="clear" w:color="auto" w:fill="FFFFFF"/>
        </w:rPr>
      </w:pPr>
      <w:r w:rsidRPr="008E67AF">
        <w:rPr>
          <w:rFonts w:ascii="Arial" w:hAnsi="Arial" w:cs="Arial"/>
          <w:color w:val="222222"/>
          <w:shd w:val="clear" w:color="auto" w:fill="FFFFFF"/>
        </w:rPr>
        <w:t xml:space="preserve">Nyman, P, Shelley, J. J., Raadik, T. A., Lyon, J. P., Noske, P. J., Lane, P. N. J., Freeman, M., &amp; Fitzpatrick, B. (2022). </w:t>
      </w:r>
      <w:r w:rsidRPr="008E67AF">
        <w:rPr>
          <w:rFonts w:ascii="Arial" w:hAnsi="Arial" w:cs="Arial"/>
          <w:i/>
          <w:iCs/>
          <w:color w:val="222222"/>
          <w:shd w:val="clear" w:color="auto" w:fill="FFFFFF"/>
        </w:rPr>
        <w:t>Optimising timber harvesting buffer widths to benefit the timber industry and the aquatic environment – Data Report.</w:t>
      </w:r>
      <w:r w:rsidRPr="008E67AF">
        <w:rPr>
          <w:rFonts w:ascii="Arial" w:hAnsi="Arial" w:cs="Arial"/>
          <w:color w:val="222222"/>
          <w:shd w:val="clear" w:color="auto" w:fill="FFFFFF"/>
        </w:rPr>
        <w:t xml:space="preserve"> Arthur Rylah Institute for Environmental Research Technical Report Series. Department of Environment, Land, Water and Planning, Heidelberg, Victoria. </w:t>
      </w:r>
    </w:p>
    <w:p w14:paraId="4E1D46E9"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Ooi, M. K., Denham, A. J., Santana, V. M., &amp; Auld, T. D. (2014). Temperature thresholds of physically dormant seeds and plant functional response to fire: variation among species and relative impact of climate change. </w:t>
      </w:r>
      <w:r w:rsidRPr="00812CBC">
        <w:rPr>
          <w:rFonts w:ascii="Arial" w:hAnsi="Arial" w:cs="Arial"/>
          <w:i/>
          <w:iCs/>
          <w:color w:val="222222"/>
          <w:shd w:val="clear" w:color="auto" w:fill="FFFFFF"/>
        </w:rPr>
        <w:t>Ecology and evolution</w:t>
      </w:r>
      <w:r w:rsidRPr="00812CBC">
        <w:rPr>
          <w:rFonts w:ascii="Arial" w:hAnsi="Arial" w:cs="Arial"/>
          <w:color w:val="222222"/>
          <w:shd w:val="clear" w:color="auto" w:fill="FFFFFF"/>
        </w:rPr>
        <w:t>, </w:t>
      </w:r>
      <w:r w:rsidRPr="00812CBC">
        <w:rPr>
          <w:rFonts w:ascii="Arial" w:hAnsi="Arial" w:cs="Arial"/>
          <w:i/>
          <w:iCs/>
          <w:color w:val="222222"/>
          <w:shd w:val="clear" w:color="auto" w:fill="FFFFFF"/>
        </w:rPr>
        <w:t>4</w:t>
      </w:r>
      <w:r w:rsidRPr="00812CBC">
        <w:rPr>
          <w:rFonts w:ascii="Arial" w:hAnsi="Arial" w:cs="Arial"/>
          <w:color w:val="222222"/>
          <w:shd w:val="clear" w:color="auto" w:fill="FFFFFF"/>
        </w:rPr>
        <w:t>(5), 656-671.</w:t>
      </w:r>
    </w:p>
    <w:p w14:paraId="54363B8D" w14:textId="77777777" w:rsidR="00B42F5E" w:rsidRPr="00812CBC" w:rsidRDefault="00B42F5E" w:rsidP="00B42F5E">
      <w:pPr>
        <w:pStyle w:val="BodyText"/>
      </w:pPr>
      <w:r w:rsidRPr="00812CBC">
        <w:rPr>
          <w:rFonts w:ascii="Arial" w:hAnsi="Arial" w:cs="Arial"/>
          <w:color w:val="222222"/>
          <w:shd w:val="clear" w:color="auto" w:fill="FFFFFF"/>
        </w:rPr>
        <w:t xml:space="preserve">Penman, T. D., Binns, D., Allen, R., Shiels, R., &amp; Plummer, S. (2008). Germination responses of a dry sclerophyll forest soil-stored seedbank to fire related cues. </w:t>
      </w:r>
      <w:r w:rsidRPr="00812CBC">
        <w:rPr>
          <w:i/>
          <w:iCs/>
        </w:rPr>
        <w:t>Cunninghamia 10</w:t>
      </w:r>
      <w:r w:rsidRPr="00812CBC">
        <w:t>(4), 547-555.</w:t>
      </w:r>
    </w:p>
    <w:p w14:paraId="3F976112" w14:textId="77777777" w:rsidR="00B42F5E" w:rsidRPr="00812CBC" w:rsidRDefault="00B42F5E" w:rsidP="00B42F5E">
      <w:pPr>
        <w:pStyle w:val="BodyText"/>
        <w:rPr>
          <w:rFonts w:ascii="Arial" w:hAnsi="Arial"/>
          <w:color w:val="363534"/>
        </w:rPr>
      </w:pPr>
      <w:r w:rsidRPr="00812CBC">
        <w:rPr>
          <w:rFonts w:ascii="Arial" w:hAnsi="Arial" w:cs="Arial"/>
          <w:color w:val="222222"/>
          <w:shd w:val="clear" w:color="auto" w:fill="FFFFFF"/>
        </w:rPr>
        <w:t>Pianka, E., &amp; King, D. (Eds.). (2004). </w:t>
      </w:r>
      <w:r w:rsidRPr="00812CBC">
        <w:rPr>
          <w:rFonts w:ascii="Arial" w:hAnsi="Arial" w:cs="Arial"/>
          <w:i/>
          <w:iCs/>
          <w:color w:val="222222"/>
          <w:shd w:val="clear" w:color="auto" w:fill="FFFFFF"/>
        </w:rPr>
        <w:t>Varanoid lizards of the world</w:t>
      </w:r>
      <w:r w:rsidRPr="00812CBC">
        <w:rPr>
          <w:rFonts w:ascii="Arial" w:hAnsi="Arial" w:cs="Arial"/>
          <w:color w:val="222222"/>
          <w:shd w:val="clear" w:color="auto" w:fill="FFFFFF"/>
        </w:rPr>
        <w:t xml:space="preserve">. Indiana University Press, </w:t>
      </w:r>
      <w:r w:rsidRPr="00812CBC">
        <w:rPr>
          <w:rFonts w:ascii="Arial" w:hAnsi="Arial"/>
          <w:color w:val="363534"/>
        </w:rPr>
        <w:t>pp. 488-515</w:t>
      </w:r>
    </w:p>
    <w:p w14:paraId="2D73C901"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Robertson, P., &amp; Coventry, A. J. (2014). </w:t>
      </w:r>
      <w:r w:rsidRPr="00812CBC">
        <w:rPr>
          <w:rFonts w:ascii="Arial" w:hAnsi="Arial" w:cs="Arial"/>
          <w:i/>
          <w:iCs/>
          <w:color w:val="222222"/>
          <w:shd w:val="clear" w:color="auto" w:fill="FFFFFF"/>
        </w:rPr>
        <w:t>Reptiles of Victoria: a guide to identification and ecology</w:t>
      </w:r>
      <w:r w:rsidRPr="00812CBC">
        <w:rPr>
          <w:rFonts w:ascii="Arial" w:hAnsi="Arial" w:cs="Arial"/>
          <w:color w:val="222222"/>
          <w:shd w:val="clear" w:color="auto" w:fill="FFFFFF"/>
        </w:rPr>
        <w:t>. CSIRO PUBLISHING.</w:t>
      </w:r>
    </w:p>
    <w:p w14:paraId="4DF3008E"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Sgrò, C. M., Lowe, A. J., &amp; Hoffmann, A. A. (2011). Building evolutionary resilience for conserving biodiversity under climate change. </w:t>
      </w:r>
      <w:r w:rsidRPr="00812CBC">
        <w:rPr>
          <w:rFonts w:ascii="Arial" w:hAnsi="Arial" w:cs="Arial"/>
          <w:i/>
          <w:iCs/>
          <w:color w:val="222222"/>
          <w:shd w:val="clear" w:color="auto" w:fill="FFFFFF"/>
        </w:rPr>
        <w:t>Evolutionary applications</w:t>
      </w:r>
      <w:r w:rsidRPr="00812CBC">
        <w:rPr>
          <w:rFonts w:ascii="Arial" w:hAnsi="Arial" w:cs="Arial"/>
          <w:color w:val="222222"/>
          <w:shd w:val="clear" w:color="auto" w:fill="FFFFFF"/>
        </w:rPr>
        <w:t>, </w:t>
      </w:r>
      <w:r w:rsidRPr="00812CBC">
        <w:rPr>
          <w:rFonts w:ascii="Arial" w:hAnsi="Arial" w:cs="Arial"/>
          <w:i/>
          <w:iCs/>
          <w:color w:val="222222"/>
          <w:shd w:val="clear" w:color="auto" w:fill="FFFFFF"/>
        </w:rPr>
        <w:t>4</w:t>
      </w:r>
      <w:r w:rsidRPr="00812CBC">
        <w:rPr>
          <w:rFonts w:ascii="Arial" w:hAnsi="Arial" w:cs="Arial"/>
          <w:color w:val="222222"/>
          <w:shd w:val="clear" w:color="auto" w:fill="FFFFFF"/>
        </w:rPr>
        <w:t>(2), 326-337.</w:t>
      </w:r>
    </w:p>
    <w:p w14:paraId="7E693594"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Sharples, J. J., Cary, G. J., Fox-Hughes, P., Mooney, S., Evans, J. P., Fletcher, M. S., ... &amp; Baker, P. (2016). Natural hazards in Australia: extreme bushfire. </w:t>
      </w:r>
      <w:r w:rsidRPr="00812CBC">
        <w:rPr>
          <w:rFonts w:ascii="Arial" w:hAnsi="Arial" w:cs="Arial"/>
          <w:i/>
          <w:iCs/>
          <w:color w:val="222222"/>
          <w:shd w:val="clear" w:color="auto" w:fill="FFFFFF"/>
        </w:rPr>
        <w:t>Climatic Change</w:t>
      </w:r>
      <w:r w:rsidRPr="00812CBC">
        <w:rPr>
          <w:rFonts w:ascii="Arial" w:hAnsi="Arial" w:cs="Arial"/>
          <w:color w:val="222222"/>
          <w:shd w:val="clear" w:color="auto" w:fill="FFFFFF"/>
        </w:rPr>
        <w:t>, </w:t>
      </w:r>
      <w:r w:rsidRPr="00812CBC">
        <w:rPr>
          <w:rFonts w:ascii="Arial" w:hAnsi="Arial" w:cs="Arial"/>
          <w:i/>
          <w:iCs/>
          <w:color w:val="222222"/>
          <w:shd w:val="clear" w:color="auto" w:fill="FFFFFF"/>
        </w:rPr>
        <w:t>139</w:t>
      </w:r>
      <w:r w:rsidRPr="00812CBC">
        <w:rPr>
          <w:rFonts w:ascii="Arial" w:hAnsi="Arial" w:cs="Arial"/>
          <w:color w:val="222222"/>
          <w:shd w:val="clear" w:color="auto" w:fill="FFFFFF"/>
        </w:rPr>
        <w:t>(1), 85-99.</w:t>
      </w:r>
    </w:p>
    <w:p w14:paraId="2539617C" w14:textId="15F1C142" w:rsidR="00B42F5E" w:rsidRPr="00812CBC" w:rsidRDefault="00B42F5E" w:rsidP="00B42F5E">
      <w:pPr>
        <w:pStyle w:val="BodyText"/>
        <w:rPr>
          <w:rStyle w:val="eop"/>
          <w:rFonts w:cs="Arial"/>
          <w:color w:val="363534"/>
          <w:shd w:val="clear" w:color="auto" w:fill="FFFFFF"/>
        </w:rPr>
      </w:pPr>
      <w:r w:rsidRPr="00812CBC">
        <w:rPr>
          <w:rStyle w:val="normaltextrun"/>
          <w:rFonts w:ascii="Arial" w:hAnsi="Arial" w:cs="Arial"/>
          <w:color w:val="363534"/>
          <w:shd w:val="clear" w:color="auto" w:fill="FFFFFF"/>
        </w:rPr>
        <w:t xml:space="preserve">Stajsic, V., &amp; Molyneux, W. M. (2005).  </w:t>
      </w:r>
      <w:r w:rsidR="001D3902">
        <w:rPr>
          <w:rStyle w:val="normaltextrun"/>
          <w:rFonts w:ascii="Arial" w:hAnsi="Arial" w:cs="Arial"/>
          <w:color w:val="363534"/>
          <w:shd w:val="clear" w:color="auto" w:fill="FFFFFF"/>
        </w:rPr>
        <w:t>Species</w:t>
      </w:r>
      <w:r w:rsidRPr="00812CBC">
        <w:rPr>
          <w:rStyle w:val="normaltextrun"/>
          <w:rFonts w:ascii="Arial" w:hAnsi="Arial" w:cs="Arial"/>
          <w:color w:val="363534"/>
          <w:shd w:val="clear" w:color="auto" w:fill="FFFFFF"/>
        </w:rPr>
        <w:t xml:space="preserve">omic studies in the </w:t>
      </w:r>
      <w:r w:rsidRPr="00812CBC">
        <w:rPr>
          <w:rStyle w:val="normaltextrun"/>
          <w:rFonts w:ascii="Arial" w:hAnsi="Arial" w:cs="Arial"/>
          <w:i/>
          <w:iCs/>
          <w:color w:val="363534"/>
          <w:shd w:val="clear" w:color="auto" w:fill="FFFFFF"/>
        </w:rPr>
        <w:t xml:space="preserve">Grevillea victoriae </w:t>
      </w:r>
      <w:r w:rsidRPr="00812CBC">
        <w:rPr>
          <w:rStyle w:val="normaltextrun"/>
          <w:rFonts w:ascii="Arial" w:hAnsi="Arial" w:cs="Arial"/>
          <w:color w:val="363534"/>
          <w:shd w:val="clear" w:color="auto" w:fill="FFFFFF"/>
        </w:rPr>
        <w:t xml:space="preserve">F.Muell. species complex (Proteaceae: Grevilleoideae) I. Descriptions of nine previously segregated, and three new taxa. </w:t>
      </w:r>
      <w:r w:rsidRPr="00812CBC">
        <w:rPr>
          <w:rStyle w:val="normaltextrun"/>
          <w:rFonts w:ascii="Arial" w:hAnsi="Arial" w:cs="Arial"/>
          <w:i/>
          <w:iCs/>
          <w:color w:val="363534"/>
          <w:shd w:val="clear" w:color="auto" w:fill="FFFFFF"/>
        </w:rPr>
        <w:t xml:space="preserve">Muelleria </w:t>
      </w:r>
      <w:r w:rsidRPr="00812CBC">
        <w:rPr>
          <w:rStyle w:val="normaltextrun"/>
          <w:rFonts w:ascii="Arial" w:hAnsi="Arial" w:cs="Arial"/>
          <w:color w:val="363534"/>
          <w:shd w:val="clear" w:color="auto" w:fill="FFFFFF"/>
        </w:rPr>
        <w:t>22: 22-76.</w:t>
      </w:r>
      <w:r w:rsidRPr="00812CBC">
        <w:rPr>
          <w:rStyle w:val="eop"/>
          <w:rFonts w:cs="Arial"/>
          <w:color w:val="363534"/>
          <w:shd w:val="clear" w:color="auto" w:fill="FFFFFF"/>
        </w:rPr>
        <w:t> </w:t>
      </w:r>
    </w:p>
    <w:p w14:paraId="255D891F"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Stebbins, R. C., &amp; Barwick, R. E. (1968). Radiotelemetric study of thermoregulation in a lace monitor. </w:t>
      </w:r>
      <w:r w:rsidRPr="00812CBC">
        <w:rPr>
          <w:rFonts w:ascii="Arial" w:hAnsi="Arial" w:cs="Arial"/>
          <w:i/>
          <w:iCs/>
          <w:color w:val="222222"/>
          <w:shd w:val="clear" w:color="auto" w:fill="FFFFFF"/>
        </w:rPr>
        <w:t>Copeia</w:t>
      </w:r>
      <w:r w:rsidRPr="00812CBC">
        <w:rPr>
          <w:rFonts w:ascii="Arial" w:hAnsi="Arial" w:cs="Arial"/>
          <w:color w:val="222222"/>
          <w:shd w:val="clear" w:color="auto" w:fill="FFFFFF"/>
        </w:rPr>
        <w:t>, 541-547.</w:t>
      </w:r>
    </w:p>
    <w:p w14:paraId="10623126"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Tay, M. Y., Lymbery, A. J., Beatty, S. J., &amp; Morgan, D. L. (2007). Predation by rainbow trout (</w:t>
      </w:r>
      <w:r w:rsidRPr="00812CBC">
        <w:rPr>
          <w:rFonts w:ascii="Arial" w:hAnsi="Arial" w:cs="Arial"/>
          <w:i/>
          <w:iCs/>
          <w:color w:val="222222"/>
          <w:shd w:val="clear" w:color="auto" w:fill="FFFFFF"/>
        </w:rPr>
        <w:t>Oncorhynchus mykiss</w:t>
      </w:r>
      <w:r w:rsidRPr="00812CBC">
        <w:rPr>
          <w:rFonts w:ascii="Arial" w:hAnsi="Arial" w:cs="Arial"/>
          <w:color w:val="222222"/>
          <w:shd w:val="clear" w:color="auto" w:fill="FFFFFF"/>
        </w:rPr>
        <w:t>) on a Western Australian icon: marron (</w:t>
      </w:r>
      <w:r w:rsidRPr="00812CBC">
        <w:rPr>
          <w:rFonts w:ascii="Arial" w:hAnsi="Arial" w:cs="Arial"/>
          <w:i/>
          <w:iCs/>
          <w:color w:val="222222"/>
          <w:shd w:val="clear" w:color="auto" w:fill="FFFFFF"/>
        </w:rPr>
        <w:t>Cherax cainii</w:t>
      </w:r>
      <w:r w:rsidRPr="00812CBC">
        <w:rPr>
          <w:rFonts w:ascii="Arial" w:hAnsi="Arial" w:cs="Arial"/>
          <w:color w:val="222222"/>
          <w:shd w:val="clear" w:color="auto" w:fill="FFFFFF"/>
        </w:rPr>
        <w:t>).</w:t>
      </w:r>
      <w:r w:rsidRPr="00812CBC">
        <w:t xml:space="preserve"> 41:2, </w:t>
      </w:r>
      <w:r w:rsidRPr="00812CBC">
        <w:rPr>
          <w:rFonts w:ascii="Arial" w:hAnsi="Arial" w:cs="Arial"/>
          <w:color w:val="222222"/>
          <w:shd w:val="clear" w:color="auto" w:fill="FFFFFF"/>
        </w:rPr>
        <w:t>197-204, DOI: 10.1080/00288330709509908</w:t>
      </w:r>
    </w:p>
    <w:p w14:paraId="22042BD7"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Tolsma, A., Sutter, G., &amp; Coates, F. (2012). Recovery of Victorian rare or threatened plant species after the 2009 bushfires–Natural values fire recovery program. </w:t>
      </w:r>
      <w:r w:rsidRPr="00812CBC">
        <w:rPr>
          <w:rFonts w:ascii="Arial" w:hAnsi="Arial" w:cs="Arial"/>
          <w:i/>
          <w:iCs/>
          <w:color w:val="222222"/>
          <w:shd w:val="clear" w:color="auto" w:fill="FFFFFF"/>
        </w:rPr>
        <w:t>Department of Sustainability and Environment, Heidelberg, Victoria</w:t>
      </w:r>
      <w:r w:rsidRPr="00812CBC">
        <w:rPr>
          <w:rFonts w:ascii="Arial" w:hAnsi="Arial" w:cs="Arial"/>
          <w:color w:val="222222"/>
          <w:shd w:val="clear" w:color="auto" w:fill="FFFFFF"/>
        </w:rPr>
        <w:t>.</w:t>
      </w:r>
    </w:p>
    <w:p w14:paraId="151290F4" w14:textId="01DF79C2"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 xml:space="preserve">VicFlora (2014). Flora of Victoria, Royal Botanic Gardens Victoria: </w:t>
      </w:r>
      <w:r w:rsidRPr="00812CBC">
        <w:rPr>
          <w:rFonts w:ascii="Arial" w:hAnsi="Arial" w:cs="Arial"/>
          <w:i/>
          <w:iCs/>
          <w:color w:val="222222"/>
          <w:shd w:val="clear" w:color="auto" w:fill="FFFFFF"/>
        </w:rPr>
        <w:t>Notogrammitis angustifolia</w:t>
      </w:r>
      <w:r w:rsidRPr="00812CBC">
        <w:rPr>
          <w:rFonts w:ascii="Arial" w:hAnsi="Arial" w:cs="Arial"/>
          <w:color w:val="222222"/>
          <w:shd w:val="clear" w:color="auto" w:fill="FFFFFF"/>
        </w:rPr>
        <w:t xml:space="preserve"> subsp.</w:t>
      </w:r>
      <w:r w:rsidRPr="00812CBC">
        <w:rPr>
          <w:rFonts w:ascii="Arial" w:hAnsi="Arial" w:cs="Arial"/>
          <w:i/>
          <w:iCs/>
          <w:color w:val="222222"/>
          <w:shd w:val="clear" w:color="auto" w:fill="FFFFFF"/>
        </w:rPr>
        <w:t xml:space="preserve"> nothofageti</w:t>
      </w:r>
      <w:r w:rsidRPr="00812CBC">
        <w:rPr>
          <w:rFonts w:ascii="Arial" w:hAnsi="Arial" w:cs="Arial"/>
          <w:color w:val="222222"/>
          <w:shd w:val="clear" w:color="auto" w:fill="FFFFFF"/>
        </w:rPr>
        <w:t>. Retrieved from:</w:t>
      </w:r>
      <w:r w:rsidRPr="00812CBC">
        <w:t xml:space="preserve"> </w:t>
      </w:r>
      <w:hyperlink r:id="rId79" w:history="1">
        <w:r w:rsidRPr="00812CBC">
          <w:rPr>
            <w:rStyle w:val="Hyperlink"/>
            <w:rFonts w:ascii="Arial" w:hAnsi="Arial" w:cs="Arial"/>
            <w:shd w:val="clear" w:color="auto" w:fill="FFFFFF"/>
          </w:rPr>
          <w:t>https://vicflora.rbg.vic.gov.au/flora/</w:t>
        </w:r>
        <w:r w:rsidR="001D3902">
          <w:rPr>
            <w:rStyle w:val="Hyperlink"/>
            <w:rFonts w:ascii="Arial" w:hAnsi="Arial" w:cs="Arial"/>
            <w:shd w:val="clear" w:color="auto" w:fill="FFFFFF"/>
          </w:rPr>
          <w:t>species</w:t>
        </w:r>
        <w:r w:rsidRPr="00812CBC">
          <w:rPr>
            <w:rStyle w:val="Hyperlink"/>
            <w:rFonts w:ascii="Arial" w:hAnsi="Arial" w:cs="Arial"/>
            <w:shd w:val="clear" w:color="auto" w:fill="FFFFFF"/>
          </w:rPr>
          <w:t>/05e8fab7-5c07-4a52-b3f4-fc81007d632f</w:t>
        </w:r>
      </w:hyperlink>
      <w:r w:rsidRPr="00812CBC">
        <w:rPr>
          <w:rFonts w:ascii="Arial" w:hAnsi="Arial" w:cs="Arial"/>
          <w:color w:val="222222"/>
          <w:shd w:val="clear" w:color="auto" w:fill="FFFFFF"/>
        </w:rPr>
        <w:t xml:space="preserve"> </w:t>
      </w:r>
    </w:p>
    <w:p w14:paraId="044F9CD0" w14:textId="661C8EB2"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 xml:space="preserve">VicFlora (2021). Flora of Victoria, Royal Botanic Gardens Victoris: </w:t>
      </w:r>
      <w:r w:rsidRPr="00812CBC">
        <w:rPr>
          <w:rFonts w:ascii="Arial" w:hAnsi="Arial" w:cs="Arial"/>
          <w:i/>
          <w:iCs/>
          <w:color w:val="222222"/>
          <w:shd w:val="clear" w:color="auto" w:fill="FFFFFF"/>
        </w:rPr>
        <w:t>Hakea dactyloides</w:t>
      </w:r>
      <w:r w:rsidRPr="00812CBC">
        <w:rPr>
          <w:rFonts w:ascii="Arial" w:hAnsi="Arial" w:cs="Arial"/>
          <w:color w:val="222222"/>
          <w:shd w:val="clear" w:color="auto" w:fill="FFFFFF"/>
        </w:rPr>
        <w:t>. Retrieved from: https://vicflora.rbg.vic.gov.au/flora/</w:t>
      </w:r>
      <w:r w:rsidR="001D3902">
        <w:rPr>
          <w:rFonts w:ascii="Arial" w:hAnsi="Arial" w:cs="Arial"/>
          <w:color w:val="222222"/>
          <w:shd w:val="clear" w:color="auto" w:fill="FFFFFF"/>
        </w:rPr>
        <w:t>species</w:t>
      </w:r>
      <w:r w:rsidRPr="00812CBC">
        <w:rPr>
          <w:rFonts w:ascii="Arial" w:hAnsi="Arial" w:cs="Arial"/>
          <w:color w:val="222222"/>
          <w:shd w:val="clear" w:color="auto" w:fill="FFFFFF"/>
        </w:rPr>
        <w:t>/0ead1cc4-c935-4cf2-b133-e32aed814bd3</w:t>
      </w:r>
    </w:p>
    <w:p w14:paraId="7D3F8591"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 xml:space="preserve">Wan, J. S., McDougall, K. L., &amp; Liew, E. C. (2019). The susceptibility of rare and threatened NSW species to the root-rot pathogen </w:t>
      </w:r>
      <w:r w:rsidRPr="00812CBC">
        <w:rPr>
          <w:rFonts w:ascii="Arial" w:hAnsi="Arial" w:cs="Arial"/>
          <w:i/>
          <w:iCs/>
          <w:color w:val="222222"/>
          <w:shd w:val="clear" w:color="auto" w:fill="FFFFFF"/>
        </w:rPr>
        <w:t>Phytophthora cinnamomi</w:t>
      </w:r>
      <w:r w:rsidRPr="00812CBC">
        <w:rPr>
          <w:rFonts w:ascii="Arial" w:hAnsi="Arial" w:cs="Arial"/>
          <w:color w:val="222222"/>
          <w:shd w:val="clear" w:color="auto" w:fill="FFFFFF"/>
        </w:rPr>
        <w:t>: 1. Initial testing and identification of key research questions. </w:t>
      </w:r>
      <w:r w:rsidRPr="00812CBC">
        <w:rPr>
          <w:rFonts w:ascii="Arial" w:hAnsi="Arial" w:cs="Arial"/>
          <w:i/>
          <w:iCs/>
          <w:color w:val="222222"/>
          <w:shd w:val="clear" w:color="auto" w:fill="FFFFFF"/>
        </w:rPr>
        <w:t>Australian Journal of Botany</w:t>
      </w:r>
      <w:r w:rsidRPr="00812CBC">
        <w:rPr>
          <w:rFonts w:ascii="Arial" w:hAnsi="Arial" w:cs="Arial"/>
          <w:color w:val="222222"/>
          <w:shd w:val="clear" w:color="auto" w:fill="FFFFFF"/>
        </w:rPr>
        <w:t>, </w:t>
      </w:r>
      <w:r w:rsidRPr="00812CBC">
        <w:rPr>
          <w:rFonts w:ascii="Arial" w:hAnsi="Arial" w:cs="Arial"/>
          <w:i/>
          <w:iCs/>
          <w:color w:val="222222"/>
          <w:shd w:val="clear" w:color="auto" w:fill="FFFFFF"/>
        </w:rPr>
        <w:t>67</w:t>
      </w:r>
      <w:r w:rsidRPr="00812CBC">
        <w:rPr>
          <w:rFonts w:ascii="Arial" w:hAnsi="Arial" w:cs="Arial"/>
          <w:color w:val="222222"/>
          <w:shd w:val="clear" w:color="auto" w:fill="FFFFFF"/>
        </w:rPr>
        <w:t>(7), 510-516.</w:t>
      </w:r>
    </w:p>
    <w:p w14:paraId="08F3F9C0"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Watter, K., Thomas, E., White, N., Finch, N., &amp; Murray, P. J. (2020). Reproductive seasonality and rate of increase of wild sambar deer (</w:t>
      </w:r>
      <w:r w:rsidRPr="00812CBC">
        <w:rPr>
          <w:rFonts w:ascii="Arial" w:hAnsi="Arial" w:cs="Arial"/>
          <w:i/>
          <w:iCs/>
          <w:color w:val="222222"/>
          <w:shd w:val="clear" w:color="auto" w:fill="FFFFFF"/>
        </w:rPr>
        <w:t>Rusa unicolor</w:t>
      </w:r>
      <w:r w:rsidRPr="00812CBC">
        <w:rPr>
          <w:rFonts w:ascii="Arial" w:hAnsi="Arial" w:cs="Arial"/>
          <w:color w:val="222222"/>
          <w:shd w:val="clear" w:color="auto" w:fill="FFFFFF"/>
        </w:rPr>
        <w:t>) in a new environment, Victoria, Australia. </w:t>
      </w:r>
      <w:r w:rsidRPr="00812CBC">
        <w:rPr>
          <w:rFonts w:ascii="Arial" w:hAnsi="Arial" w:cs="Arial"/>
          <w:i/>
          <w:iCs/>
          <w:color w:val="222222"/>
          <w:shd w:val="clear" w:color="auto" w:fill="FFFFFF"/>
        </w:rPr>
        <w:t>Animal Reproduction Science</w:t>
      </w:r>
      <w:r w:rsidRPr="00812CBC">
        <w:rPr>
          <w:rFonts w:ascii="Arial" w:hAnsi="Arial" w:cs="Arial"/>
          <w:color w:val="222222"/>
          <w:shd w:val="clear" w:color="auto" w:fill="FFFFFF"/>
        </w:rPr>
        <w:t>, </w:t>
      </w:r>
      <w:r w:rsidRPr="00812CBC">
        <w:rPr>
          <w:rFonts w:ascii="Arial" w:hAnsi="Arial" w:cs="Arial"/>
          <w:i/>
          <w:iCs/>
          <w:color w:val="222222"/>
          <w:shd w:val="clear" w:color="auto" w:fill="FFFFFF"/>
        </w:rPr>
        <w:t>223</w:t>
      </w:r>
      <w:r w:rsidRPr="00812CBC">
        <w:rPr>
          <w:rFonts w:ascii="Arial" w:hAnsi="Arial" w:cs="Arial"/>
          <w:color w:val="222222"/>
          <w:shd w:val="clear" w:color="auto" w:fill="FFFFFF"/>
        </w:rPr>
        <w:t>, 106630.</w:t>
      </w:r>
    </w:p>
    <w:p w14:paraId="12C0E7C9" w14:textId="77777777" w:rsidR="00B42F5E" w:rsidRPr="00812CBC" w:rsidRDefault="00B42F5E" w:rsidP="00B42F5E">
      <w:pPr>
        <w:pStyle w:val="BodyText"/>
        <w:rPr>
          <w:rFonts w:ascii="Arial" w:hAnsi="Arial" w:cs="Arial"/>
          <w:color w:val="222222"/>
          <w:shd w:val="clear" w:color="auto" w:fill="FFFFFF"/>
        </w:rPr>
      </w:pPr>
      <w:r w:rsidRPr="00812CBC">
        <w:rPr>
          <w:rFonts w:ascii="Arial" w:hAnsi="Arial" w:cs="Arial"/>
          <w:color w:val="222222"/>
          <w:shd w:val="clear" w:color="auto" w:fill="FFFFFF"/>
        </w:rPr>
        <w:t>Weavers, B. (1989). Diet of the Lace Monitor Lizard (</w:t>
      </w:r>
      <w:r w:rsidRPr="00812CBC">
        <w:rPr>
          <w:rFonts w:ascii="Arial" w:hAnsi="Arial" w:cs="Arial"/>
          <w:i/>
          <w:iCs/>
          <w:color w:val="222222"/>
          <w:shd w:val="clear" w:color="auto" w:fill="FFFFFF"/>
        </w:rPr>
        <w:t>Varanus varius</w:t>
      </w:r>
      <w:r w:rsidRPr="00812CBC">
        <w:rPr>
          <w:rFonts w:ascii="Arial" w:hAnsi="Arial" w:cs="Arial"/>
          <w:color w:val="222222"/>
          <w:shd w:val="clear" w:color="auto" w:fill="FFFFFF"/>
        </w:rPr>
        <w:t>) in south-eastern Australia. </w:t>
      </w:r>
      <w:r w:rsidRPr="00812CBC">
        <w:rPr>
          <w:rFonts w:ascii="Arial" w:hAnsi="Arial" w:cs="Arial"/>
          <w:i/>
          <w:iCs/>
          <w:color w:val="222222"/>
          <w:shd w:val="clear" w:color="auto" w:fill="FFFFFF"/>
        </w:rPr>
        <w:t>Australian Zoologist</w:t>
      </w:r>
      <w:r w:rsidRPr="00812CBC">
        <w:rPr>
          <w:rFonts w:ascii="Arial" w:hAnsi="Arial" w:cs="Arial"/>
          <w:color w:val="222222"/>
          <w:shd w:val="clear" w:color="auto" w:fill="FFFFFF"/>
        </w:rPr>
        <w:t>, </w:t>
      </w:r>
      <w:r w:rsidRPr="00812CBC">
        <w:rPr>
          <w:rFonts w:ascii="Arial" w:hAnsi="Arial" w:cs="Arial"/>
          <w:i/>
          <w:iCs/>
          <w:color w:val="222222"/>
          <w:shd w:val="clear" w:color="auto" w:fill="FFFFFF"/>
        </w:rPr>
        <w:t>25</w:t>
      </w:r>
      <w:r w:rsidRPr="00812CBC">
        <w:rPr>
          <w:rFonts w:ascii="Arial" w:hAnsi="Arial" w:cs="Arial"/>
          <w:color w:val="222222"/>
          <w:shd w:val="clear" w:color="auto" w:fill="FFFFFF"/>
        </w:rPr>
        <w:t>(3), 83-85.</w:t>
      </w:r>
    </w:p>
    <w:p w14:paraId="2589B1BC" w14:textId="11420305" w:rsidR="00701B9B" w:rsidRDefault="00B42F5E" w:rsidP="00675EEE">
      <w:pPr>
        <w:pStyle w:val="BodyText"/>
      </w:pPr>
      <w:r w:rsidRPr="00812CBC">
        <w:rPr>
          <w:rFonts w:ascii="Arial" w:hAnsi="Arial" w:cs="Arial"/>
          <w:color w:val="222222"/>
          <w:shd w:val="clear" w:color="auto" w:fill="FFFFFF"/>
        </w:rPr>
        <w:t>Woodford, L. P., Robley, A., Maloney, P., &amp; Reside, J. (2012). The impact of 1080 bait removal by Lace Monitors (</w:t>
      </w:r>
      <w:r w:rsidRPr="00812CBC">
        <w:rPr>
          <w:rFonts w:ascii="Arial" w:hAnsi="Arial" w:cs="Arial"/>
          <w:i/>
          <w:iCs/>
          <w:color w:val="222222"/>
          <w:shd w:val="clear" w:color="auto" w:fill="FFFFFF"/>
        </w:rPr>
        <w:t>Varanus varius</w:t>
      </w:r>
      <w:r w:rsidRPr="00812CBC">
        <w:rPr>
          <w:rFonts w:ascii="Arial" w:hAnsi="Arial" w:cs="Arial"/>
          <w:color w:val="222222"/>
          <w:shd w:val="clear" w:color="auto" w:fill="FFFFFF"/>
        </w:rPr>
        <w:t>) on a Red Fox (</w:t>
      </w:r>
      <w:r w:rsidRPr="00812CBC">
        <w:rPr>
          <w:rFonts w:ascii="Arial" w:hAnsi="Arial" w:cs="Arial"/>
          <w:i/>
          <w:iCs/>
          <w:color w:val="222222"/>
          <w:shd w:val="clear" w:color="auto" w:fill="FFFFFF"/>
        </w:rPr>
        <w:t>Vulpes vulpes</w:t>
      </w:r>
      <w:r w:rsidRPr="00812CBC">
        <w:rPr>
          <w:rFonts w:ascii="Arial" w:hAnsi="Arial" w:cs="Arial"/>
          <w:color w:val="222222"/>
          <w:shd w:val="clear" w:color="auto" w:fill="FFFFFF"/>
        </w:rPr>
        <w:t>) control programme. </w:t>
      </w:r>
      <w:r w:rsidRPr="00812CBC">
        <w:rPr>
          <w:rFonts w:ascii="Arial" w:hAnsi="Arial" w:cs="Arial"/>
          <w:i/>
          <w:iCs/>
          <w:color w:val="222222"/>
          <w:shd w:val="clear" w:color="auto" w:fill="FFFFFF"/>
        </w:rPr>
        <w:t>Ecological Management &amp; Restoration</w:t>
      </w:r>
      <w:r w:rsidRPr="00812CBC">
        <w:rPr>
          <w:rFonts w:ascii="Arial" w:hAnsi="Arial" w:cs="Arial"/>
          <w:color w:val="222222"/>
          <w:shd w:val="clear" w:color="auto" w:fill="FFFFFF"/>
        </w:rPr>
        <w:t>, </w:t>
      </w:r>
      <w:r w:rsidRPr="00812CBC">
        <w:rPr>
          <w:rFonts w:ascii="Arial" w:hAnsi="Arial" w:cs="Arial"/>
          <w:i/>
          <w:iCs/>
          <w:color w:val="222222"/>
          <w:shd w:val="clear" w:color="auto" w:fill="FFFFFF"/>
        </w:rPr>
        <w:t>13</w:t>
      </w:r>
      <w:r w:rsidRPr="00812CBC">
        <w:rPr>
          <w:rFonts w:ascii="Arial" w:hAnsi="Arial" w:cs="Arial"/>
          <w:color w:val="222222"/>
          <w:shd w:val="clear" w:color="auto" w:fill="FFFFFF"/>
        </w:rPr>
        <w:t>(3), 306-308.</w:t>
      </w:r>
      <w:r w:rsidR="00701B9B">
        <w:br w:type="page"/>
      </w:r>
    </w:p>
    <w:p w14:paraId="1F82DCC1" w14:textId="1FD7AD26" w:rsidR="00A169C6" w:rsidRDefault="00A169C6" w:rsidP="00915D82">
      <w:pPr>
        <w:pStyle w:val="Heading1"/>
        <w:numPr>
          <w:ilvl w:val="0"/>
          <w:numId w:val="0"/>
        </w:numPr>
      </w:pPr>
      <w:bookmarkStart w:id="1403" w:name="_Toc113271086"/>
      <w:r>
        <w:t>Appendi</w:t>
      </w:r>
      <w:r w:rsidR="00503470">
        <w:t>x 1</w:t>
      </w:r>
      <w:bookmarkEnd w:id="1403"/>
      <w:r w:rsidR="00A84C19">
        <w:t xml:space="preserve"> </w:t>
      </w:r>
      <w:r w:rsidR="00114EB3">
        <w:t>–</w:t>
      </w:r>
      <w:r w:rsidR="00A84C19">
        <w:t xml:space="preserve"> </w:t>
      </w:r>
      <w:r w:rsidR="00114EB3">
        <w:t>Hazards rated Significant or High</w:t>
      </w:r>
    </w:p>
    <w:p w14:paraId="7EE0E43E" w14:textId="348B5D49" w:rsidR="009241D3" w:rsidRPr="00FF310C" w:rsidRDefault="009241D3" w:rsidP="006670D2">
      <w:pPr>
        <w:pStyle w:val="Caption"/>
      </w:pPr>
      <w:r w:rsidRPr="00FF310C">
        <w:t xml:space="preserve">Table </w:t>
      </w:r>
      <w:r w:rsidRPr="00B846FE">
        <w:rPr>
          <w:bCs/>
        </w:rPr>
        <w:fldChar w:fldCharType="begin"/>
      </w:r>
      <w:r w:rsidRPr="00FF310C">
        <w:instrText>SEQ Table \* ARABIC</w:instrText>
      </w:r>
      <w:r w:rsidRPr="00B846FE">
        <w:rPr>
          <w:bCs/>
        </w:rPr>
        <w:fldChar w:fldCharType="separate"/>
      </w:r>
      <w:r w:rsidR="00692F0D">
        <w:rPr>
          <w:noProof/>
        </w:rPr>
        <w:t>304</w:t>
      </w:r>
      <w:r w:rsidRPr="00B846FE">
        <w:rPr>
          <w:bCs/>
        </w:rPr>
        <w:fldChar w:fldCharType="end"/>
      </w:r>
      <w:r w:rsidRPr="00FF310C">
        <w:t>.</w:t>
      </w:r>
      <w:r w:rsidR="00C60FB1" w:rsidRPr="00FF310C">
        <w:t xml:space="preserve"> S</w:t>
      </w:r>
      <w:r w:rsidRPr="00FF310C">
        <w:t xml:space="preserve">pecies with high or significant hazards per RFA </w:t>
      </w:r>
      <w:r w:rsidR="00701B9B" w:rsidRPr="00FF310C">
        <w:t>region</w:t>
      </w:r>
      <w:r w:rsidRPr="00FF310C">
        <w:t>.</w:t>
      </w:r>
    </w:p>
    <w:tbl>
      <w:tblPr>
        <w:tblStyle w:val="TableGrid"/>
        <w:tblW w:w="10348" w:type="dxa"/>
        <w:tblInd w:w="-5" w:type="dxa"/>
        <w:tblBorders>
          <w:top w:val="single" w:sz="4" w:space="0" w:color="CDDC29" w:themeColor="accent2"/>
          <w:left w:val="single" w:sz="4" w:space="0" w:color="CDDC29" w:themeColor="accent2"/>
          <w:bottom w:val="single" w:sz="4" w:space="0" w:color="CDDC29" w:themeColor="accent2"/>
          <w:right w:val="single" w:sz="4" w:space="0" w:color="CDDC29" w:themeColor="accent2"/>
          <w:insideH w:val="single" w:sz="4" w:space="0" w:color="CDDC29" w:themeColor="accent2"/>
          <w:insideV w:val="single" w:sz="4" w:space="0" w:color="CDDC29" w:themeColor="accent2"/>
        </w:tblBorders>
        <w:tblLayout w:type="fixed"/>
        <w:tblLook w:val="04A0" w:firstRow="1" w:lastRow="0" w:firstColumn="1" w:lastColumn="0" w:noHBand="0" w:noVBand="1"/>
      </w:tblPr>
      <w:tblGrid>
        <w:gridCol w:w="2389"/>
        <w:gridCol w:w="2390"/>
        <w:gridCol w:w="787"/>
        <w:gridCol w:w="788"/>
        <w:gridCol w:w="788"/>
        <w:gridCol w:w="787"/>
        <w:gridCol w:w="788"/>
        <w:gridCol w:w="788"/>
        <w:gridCol w:w="843"/>
      </w:tblGrid>
      <w:tr w:rsidR="00564765" w:rsidRPr="00B86E82" w14:paraId="124C8125" w14:textId="77777777" w:rsidTr="00503470">
        <w:trPr>
          <w:gridAfter w:val="1"/>
          <w:cnfStyle w:val="100000000000" w:firstRow="1" w:lastRow="0" w:firstColumn="0" w:lastColumn="0" w:oddVBand="0" w:evenVBand="0" w:oddHBand="0" w:evenHBand="0" w:firstRowFirstColumn="0" w:firstRowLastColumn="0" w:lastRowFirstColumn="0" w:lastRowLastColumn="0"/>
          <w:wAfter w:w="843" w:type="dxa"/>
          <w:trHeight w:val="655"/>
          <w:tblHeader/>
        </w:trPr>
        <w:tc>
          <w:tcPr>
            <w:cnfStyle w:val="000000000100" w:firstRow="0" w:lastRow="0" w:firstColumn="0" w:lastColumn="0" w:oddVBand="0" w:evenVBand="0" w:oddHBand="0" w:evenHBand="0" w:firstRowFirstColumn="1" w:firstRowLastColumn="0" w:lastRowFirstColumn="0" w:lastRowLastColumn="0"/>
            <w:tcW w:w="0" w:type="dxa"/>
            <w:vMerge w:val="restart"/>
            <w:vAlign w:val="center"/>
          </w:tcPr>
          <w:p w14:paraId="3A19DE54" w14:textId="77777777" w:rsidR="00004C1E" w:rsidRPr="00B2328D" w:rsidRDefault="00004C1E" w:rsidP="00915D82">
            <w:pPr>
              <w:pStyle w:val="BodyText"/>
              <w:jc w:val="center"/>
              <w:rPr>
                <w:b/>
                <w:bCs/>
                <w:lang w:eastAsia="en-AU"/>
              </w:rPr>
            </w:pPr>
            <w:bookmarkStart w:id="1404" w:name="_Hlk100663765"/>
            <w:r w:rsidRPr="00B2328D">
              <w:rPr>
                <w:b/>
                <w:bCs/>
                <w:lang w:eastAsia="en-AU"/>
              </w:rPr>
              <w:t>Common name</w:t>
            </w:r>
          </w:p>
        </w:tc>
        <w:tc>
          <w:tcPr>
            <w:tcW w:w="0" w:type="dxa"/>
            <w:vMerge w:val="restart"/>
            <w:vAlign w:val="center"/>
          </w:tcPr>
          <w:p w14:paraId="0D732173" w14:textId="77777777" w:rsidR="00004C1E" w:rsidRPr="00B2328D" w:rsidRDefault="00004C1E" w:rsidP="002A7EFA">
            <w:pPr>
              <w:pStyle w:val="BodyText"/>
              <w:cnfStyle w:val="100000000000" w:firstRow="1" w:lastRow="0" w:firstColumn="0" w:lastColumn="0" w:oddVBand="0" w:evenVBand="0" w:oddHBand="0" w:evenHBand="0" w:firstRowFirstColumn="0" w:firstRowLastColumn="0" w:lastRowFirstColumn="0" w:lastRowLastColumn="0"/>
              <w:rPr>
                <w:b/>
                <w:bCs/>
                <w:lang w:eastAsia="en-AU"/>
              </w:rPr>
            </w:pPr>
            <w:r w:rsidRPr="00B2328D">
              <w:rPr>
                <w:b/>
                <w:bCs/>
                <w:lang w:eastAsia="en-AU"/>
              </w:rPr>
              <w:t>Scientific Name</w:t>
            </w:r>
          </w:p>
        </w:tc>
        <w:tc>
          <w:tcPr>
            <w:tcW w:w="0" w:type="dxa"/>
            <w:gridSpan w:val="6"/>
            <w:vAlign w:val="center"/>
          </w:tcPr>
          <w:p w14:paraId="14D6DF98" w14:textId="77777777" w:rsidR="00004C1E" w:rsidRPr="00413173" w:rsidRDefault="00004C1E" w:rsidP="00931B75">
            <w:pPr>
              <w:pStyle w:val="CaptionImageorFigure"/>
              <w:jc w:val="center"/>
              <w:cnfStyle w:val="100000000000" w:firstRow="1" w:lastRow="0" w:firstColumn="0" w:lastColumn="0" w:oddVBand="0" w:evenVBand="0" w:oddHBand="0" w:evenHBand="0" w:firstRowFirstColumn="0" w:firstRowLastColumn="0" w:lastRowFirstColumn="0" w:lastRowLastColumn="0"/>
            </w:pPr>
            <w:r>
              <w:t>Hazard themes rated as significant or high per RFA region</w:t>
            </w:r>
          </w:p>
        </w:tc>
      </w:tr>
      <w:tr w:rsidR="00004C1E" w:rsidRPr="00B86E82" w14:paraId="4E5EF9D4" w14:textId="77777777" w:rsidTr="00F44CE3">
        <w:trPr>
          <w:gridAfter w:val="1"/>
          <w:wAfter w:w="843" w:type="dxa"/>
          <w:cantSplit/>
          <w:trHeight w:val="2303"/>
        </w:trPr>
        <w:tc>
          <w:tcPr>
            <w:tcW w:w="2389" w:type="dxa"/>
            <w:vMerge/>
            <w:shd w:val="clear" w:color="auto" w:fill="EAF1A9" w:themeFill="text2" w:themeFillTint="66"/>
            <w:vAlign w:val="center"/>
          </w:tcPr>
          <w:p w14:paraId="1C032164" w14:textId="77777777" w:rsidR="00004C1E" w:rsidRPr="00B86E82" w:rsidRDefault="00004C1E" w:rsidP="002A7EFA">
            <w:pPr>
              <w:pStyle w:val="BodyText"/>
              <w:rPr>
                <w:sz w:val="16"/>
                <w:szCs w:val="16"/>
              </w:rPr>
            </w:pPr>
          </w:p>
        </w:tc>
        <w:tc>
          <w:tcPr>
            <w:tcW w:w="2390" w:type="dxa"/>
            <w:vMerge/>
            <w:shd w:val="clear" w:color="auto" w:fill="EAF1A9" w:themeFill="text2" w:themeFillTint="66"/>
            <w:vAlign w:val="center"/>
          </w:tcPr>
          <w:p w14:paraId="3F24AE9A" w14:textId="77777777" w:rsidR="00004C1E" w:rsidRPr="00B86E82" w:rsidRDefault="00004C1E" w:rsidP="002A7EFA">
            <w:pPr>
              <w:pStyle w:val="BodyText"/>
              <w:rPr>
                <w:sz w:val="16"/>
                <w:szCs w:val="16"/>
              </w:rPr>
            </w:pPr>
          </w:p>
        </w:tc>
        <w:tc>
          <w:tcPr>
            <w:tcW w:w="787" w:type="dxa"/>
            <w:shd w:val="clear" w:color="auto" w:fill="EAF1A9" w:themeFill="text2" w:themeFillTint="66"/>
            <w:textDirection w:val="btLr"/>
            <w:vAlign w:val="center"/>
          </w:tcPr>
          <w:p w14:paraId="7D4B2967" w14:textId="77777777" w:rsidR="00004C1E" w:rsidRPr="002D046C" w:rsidRDefault="00004C1E" w:rsidP="00F44CE3">
            <w:pPr>
              <w:pStyle w:val="BodyText"/>
              <w:spacing w:before="0" w:after="0"/>
              <w:rPr>
                <w:b/>
                <w:bCs/>
              </w:rPr>
            </w:pPr>
            <w:r>
              <w:rPr>
                <w:b/>
                <w:bCs/>
              </w:rPr>
              <w:t>Climate Change</w:t>
            </w:r>
          </w:p>
        </w:tc>
        <w:tc>
          <w:tcPr>
            <w:tcW w:w="788" w:type="dxa"/>
            <w:shd w:val="clear" w:color="auto" w:fill="EAF1A9" w:themeFill="text2" w:themeFillTint="66"/>
            <w:textDirection w:val="btLr"/>
            <w:vAlign w:val="center"/>
          </w:tcPr>
          <w:p w14:paraId="47803DFE" w14:textId="77777777" w:rsidR="00004C1E" w:rsidRPr="002D046C" w:rsidRDefault="00004C1E" w:rsidP="00F44CE3">
            <w:pPr>
              <w:pStyle w:val="BodyText"/>
              <w:spacing w:before="0" w:after="0"/>
              <w:rPr>
                <w:b/>
                <w:bCs/>
              </w:rPr>
            </w:pPr>
            <w:r>
              <w:rPr>
                <w:b/>
                <w:bCs/>
              </w:rPr>
              <w:t>Fire</w:t>
            </w:r>
          </w:p>
        </w:tc>
        <w:tc>
          <w:tcPr>
            <w:tcW w:w="788" w:type="dxa"/>
            <w:shd w:val="clear" w:color="auto" w:fill="EAF1A9" w:themeFill="text2" w:themeFillTint="66"/>
            <w:textDirection w:val="btLr"/>
            <w:vAlign w:val="center"/>
          </w:tcPr>
          <w:p w14:paraId="1DD71091" w14:textId="77777777" w:rsidR="00004C1E" w:rsidRPr="002D046C" w:rsidRDefault="00004C1E" w:rsidP="00F44CE3">
            <w:pPr>
              <w:pStyle w:val="BodyText"/>
              <w:spacing w:before="0" w:after="0"/>
              <w:rPr>
                <w:b/>
                <w:bCs/>
              </w:rPr>
            </w:pPr>
            <w:r>
              <w:rPr>
                <w:b/>
                <w:bCs/>
              </w:rPr>
              <w:t>Forestry Operations</w:t>
            </w:r>
          </w:p>
        </w:tc>
        <w:tc>
          <w:tcPr>
            <w:tcW w:w="787" w:type="dxa"/>
            <w:shd w:val="clear" w:color="auto" w:fill="EAF1A9" w:themeFill="text2" w:themeFillTint="66"/>
            <w:textDirection w:val="btLr"/>
            <w:vAlign w:val="center"/>
          </w:tcPr>
          <w:p w14:paraId="5EA3559A" w14:textId="77777777" w:rsidR="00004C1E" w:rsidRPr="002D046C" w:rsidRDefault="00004C1E" w:rsidP="00F44CE3">
            <w:pPr>
              <w:pStyle w:val="BodyText"/>
              <w:spacing w:before="0" w:after="0"/>
              <w:rPr>
                <w:b/>
                <w:bCs/>
              </w:rPr>
            </w:pPr>
            <w:r>
              <w:rPr>
                <w:b/>
                <w:bCs/>
              </w:rPr>
              <w:t>Habitat</w:t>
            </w:r>
          </w:p>
        </w:tc>
        <w:tc>
          <w:tcPr>
            <w:tcW w:w="788" w:type="dxa"/>
            <w:shd w:val="clear" w:color="auto" w:fill="EAF1A9" w:themeFill="text2" w:themeFillTint="66"/>
            <w:textDirection w:val="btLr"/>
            <w:vAlign w:val="center"/>
          </w:tcPr>
          <w:p w14:paraId="3B17E75D" w14:textId="77777777" w:rsidR="00004C1E" w:rsidRPr="002D046C" w:rsidRDefault="00004C1E" w:rsidP="00F44CE3">
            <w:pPr>
              <w:pStyle w:val="BodyText"/>
              <w:spacing w:before="0" w:after="0"/>
              <w:rPr>
                <w:b/>
                <w:bCs/>
              </w:rPr>
            </w:pPr>
            <w:r>
              <w:rPr>
                <w:b/>
                <w:bCs/>
              </w:rPr>
              <w:t>Invasive Species</w:t>
            </w:r>
          </w:p>
        </w:tc>
        <w:tc>
          <w:tcPr>
            <w:tcW w:w="788" w:type="dxa"/>
            <w:shd w:val="clear" w:color="auto" w:fill="EAF1A9" w:themeFill="text2" w:themeFillTint="66"/>
            <w:textDirection w:val="btLr"/>
            <w:vAlign w:val="center"/>
          </w:tcPr>
          <w:p w14:paraId="1F139C46" w14:textId="77777777" w:rsidR="00004C1E" w:rsidRPr="002D046C" w:rsidRDefault="00004C1E" w:rsidP="00F44CE3">
            <w:pPr>
              <w:pStyle w:val="BodyText"/>
              <w:spacing w:before="0" w:after="0"/>
              <w:rPr>
                <w:b/>
                <w:bCs/>
              </w:rPr>
            </w:pPr>
            <w:r>
              <w:rPr>
                <w:b/>
                <w:bCs/>
              </w:rPr>
              <w:t>Population Dynamics</w:t>
            </w:r>
          </w:p>
        </w:tc>
      </w:tr>
      <w:tr w:rsidR="00004C1E" w:rsidRPr="00B86E82" w14:paraId="06AAF0D4" w14:textId="77777777" w:rsidTr="002A7EFA">
        <w:trPr>
          <w:gridAfter w:val="1"/>
          <w:wAfter w:w="843" w:type="dxa"/>
          <w:cantSplit/>
          <w:trHeight w:val="486"/>
        </w:trPr>
        <w:tc>
          <w:tcPr>
            <w:tcW w:w="9505" w:type="dxa"/>
            <w:gridSpan w:val="8"/>
            <w:shd w:val="clear" w:color="auto" w:fill="EAF1A9" w:themeFill="text2" w:themeFillTint="66"/>
            <w:vAlign w:val="center"/>
          </w:tcPr>
          <w:p w14:paraId="2CA31009" w14:textId="77777777" w:rsidR="00004C1E" w:rsidRPr="00EA40AE" w:rsidRDefault="00004C1E" w:rsidP="002A7EFA">
            <w:pPr>
              <w:pStyle w:val="BodyText"/>
              <w:spacing w:before="0" w:after="0"/>
              <w:ind w:right="0"/>
              <w:jc w:val="center"/>
              <w:rPr>
                <w:b/>
                <w:bCs/>
              </w:rPr>
            </w:pPr>
            <w:r>
              <w:rPr>
                <w:b/>
                <w:bCs/>
              </w:rPr>
              <w:t>Reptiles</w:t>
            </w:r>
          </w:p>
        </w:tc>
      </w:tr>
      <w:tr w:rsidR="00004C1E" w:rsidRPr="00B86E82" w14:paraId="7F2C9558" w14:textId="77777777" w:rsidTr="002A7EFA">
        <w:trPr>
          <w:gridAfter w:val="1"/>
          <w:wAfter w:w="843" w:type="dxa"/>
        </w:trPr>
        <w:tc>
          <w:tcPr>
            <w:tcW w:w="2389" w:type="dxa"/>
            <w:vAlign w:val="center"/>
          </w:tcPr>
          <w:p w14:paraId="66E5BA66" w14:textId="77777777" w:rsidR="00004C1E" w:rsidRPr="00B86E82" w:rsidRDefault="00004C1E" w:rsidP="002A7EFA">
            <w:pPr>
              <w:pStyle w:val="BodyText"/>
            </w:pPr>
            <w:r w:rsidRPr="00B86E82">
              <w:t>Lace Monitor</w:t>
            </w:r>
          </w:p>
        </w:tc>
        <w:tc>
          <w:tcPr>
            <w:tcW w:w="2390" w:type="dxa"/>
            <w:vAlign w:val="center"/>
          </w:tcPr>
          <w:p w14:paraId="162CBC8A" w14:textId="77777777" w:rsidR="00004C1E" w:rsidRPr="004023AB" w:rsidRDefault="00004C1E" w:rsidP="002A7EFA">
            <w:pPr>
              <w:pStyle w:val="BodyText"/>
              <w:rPr>
                <w:i/>
                <w:iCs/>
              </w:rPr>
            </w:pPr>
            <w:r w:rsidRPr="004023AB">
              <w:rPr>
                <w:i/>
                <w:iCs/>
              </w:rPr>
              <w:t>Varanus varius</w:t>
            </w:r>
          </w:p>
        </w:tc>
        <w:tc>
          <w:tcPr>
            <w:tcW w:w="787" w:type="dxa"/>
            <w:shd w:val="clear" w:color="auto" w:fill="auto"/>
            <w:vAlign w:val="center"/>
          </w:tcPr>
          <w:p w14:paraId="4D49B9AC" w14:textId="77777777" w:rsidR="00004C1E" w:rsidRPr="006D733F" w:rsidRDefault="00004C1E" w:rsidP="002A7EFA">
            <w:pPr>
              <w:pStyle w:val="BodyText"/>
              <w:jc w:val="center"/>
              <w:rPr>
                <w:b/>
                <w:bCs/>
                <w:sz w:val="16"/>
                <w:szCs w:val="16"/>
              </w:rPr>
            </w:pPr>
          </w:p>
        </w:tc>
        <w:tc>
          <w:tcPr>
            <w:tcW w:w="788" w:type="dxa"/>
            <w:shd w:val="clear" w:color="auto" w:fill="F4F8D4" w:themeFill="text2" w:themeFillTint="33"/>
            <w:vAlign w:val="center"/>
          </w:tcPr>
          <w:p w14:paraId="2064D686" w14:textId="77777777" w:rsidR="00004C1E" w:rsidRPr="001C771A" w:rsidRDefault="00004C1E" w:rsidP="002A7EFA">
            <w:pPr>
              <w:pStyle w:val="BodyText"/>
              <w:jc w:val="center"/>
              <w:rPr>
                <w:rFonts w:ascii="Arial" w:hAnsi="Arial"/>
                <w:b/>
                <w:bCs/>
                <w:color w:val="auto"/>
                <w:sz w:val="16"/>
                <w:szCs w:val="16"/>
              </w:rPr>
            </w:pPr>
            <w:r w:rsidRPr="001C771A">
              <w:rPr>
                <w:rFonts w:cstheme="minorHAnsi"/>
                <w:b/>
                <w:color w:val="00857E" w:themeColor="accent1" w:themeShade="BF"/>
                <w:sz w:val="16"/>
                <w:szCs w:val="16"/>
              </w:rPr>
              <w:t>CH, EG, G, NE, W</w:t>
            </w:r>
          </w:p>
        </w:tc>
        <w:tc>
          <w:tcPr>
            <w:tcW w:w="788" w:type="dxa"/>
            <w:shd w:val="clear" w:color="auto" w:fill="auto"/>
            <w:vAlign w:val="center"/>
          </w:tcPr>
          <w:p w14:paraId="5786A0C1" w14:textId="77777777" w:rsidR="00004C1E" w:rsidRPr="006D733F" w:rsidRDefault="00004C1E" w:rsidP="002A7EFA">
            <w:pPr>
              <w:pStyle w:val="BodyText"/>
              <w:jc w:val="center"/>
              <w:rPr>
                <w:b/>
                <w:bCs/>
                <w:sz w:val="16"/>
                <w:szCs w:val="16"/>
              </w:rPr>
            </w:pPr>
          </w:p>
        </w:tc>
        <w:tc>
          <w:tcPr>
            <w:tcW w:w="787" w:type="dxa"/>
            <w:shd w:val="clear" w:color="auto" w:fill="auto"/>
            <w:vAlign w:val="center"/>
          </w:tcPr>
          <w:p w14:paraId="62D1F04A" w14:textId="77777777" w:rsidR="00004C1E" w:rsidRPr="006D733F" w:rsidRDefault="00004C1E" w:rsidP="002A7EFA">
            <w:pPr>
              <w:pStyle w:val="BodyText"/>
              <w:jc w:val="center"/>
              <w:rPr>
                <w:sz w:val="16"/>
                <w:szCs w:val="16"/>
              </w:rPr>
            </w:pPr>
          </w:p>
        </w:tc>
        <w:tc>
          <w:tcPr>
            <w:tcW w:w="788" w:type="dxa"/>
            <w:shd w:val="clear" w:color="auto" w:fill="auto"/>
            <w:vAlign w:val="center"/>
          </w:tcPr>
          <w:p w14:paraId="2AFC4178" w14:textId="77777777" w:rsidR="00004C1E" w:rsidRPr="006D733F" w:rsidRDefault="00004C1E" w:rsidP="002A7EFA">
            <w:pPr>
              <w:pStyle w:val="BodyText"/>
              <w:jc w:val="center"/>
              <w:rPr>
                <w:sz w:val="16"/>
                <w:szCs w:val="16"/>
              </w:rPr>
            </w:pPr>
          </w:p>
        </w:tc>
        <w:tc>
          <w:tcPr>
            <w:tcW w:w="788" w:type="dxa"/>
            <w:shd w:val="clear" w:color="auto" w:fill="auto"/>
            <w:vAlign w:val="center"/>
          </w:tcPr>
          <w:p w14:paraId="2A68525D" w14:textId="77777777" w:rsidR="00004C1E" w:rsidRPr="006D733F" w:rsidRDefault="00004C1E" w:rsidP="002A7EFA">
            <w:pPr>
              <w:pStyle w:val="BodyText"/>
              <w:jc w:val="center"/>
              <w:rPr>
                <w:rFonts w:ascii="Wingdings-Regular" w:eastAsia="Wingdings-Regular" w:cs="Wingdings-Regular"/>
                <w:sz w:val="16"/>
                <w:szCs w:val="16"/>
              </w:rPr>
            </w:pPr>
          </w:p>
        </w:tc>
      </w:tr>
      <w:tr w:rsidR="00004C1E" w:rsidRPr="00B86E82" w14:paraId="4585190F" w14:textId="77777777" w:rsidTr="002A7EFA">
        <w:trPr>
          <w:gridAfter w:val="1"/>
          <w:wAfter w:w="843" w:type="dxa"/>
        </w:trPr>
        <w:tc>
          <w:tcPr>
            <w:tcW w:w="9505" w:type="dxa"/>
            <w:gridSpan w:val="8"/>
            <w:shd w:val="clear" w:color="auto" w:fill="EAF1A9" w:themeFill="text2" w:themeFillTint="66"/>
            <w:vAlign w:val="center"/>
          </w:tcPr>
          <w:p w14:paraId="6C6A4FD2" w14:textId="77777777" w:rsidR="00004C1E" w:rsidRPr="006D733F" w:rsidRDefault="00004C1E" w:rsidP="002A7EFA">
            <w:pPr>
              <w:pStyle w:val="BodyText"/>
              <w:jc w:val="center"/>
              <w:rPr>
                <w:rFonts w:ascii="Wingdings-Regular" w:eastAsia="Wingdings-Regular" w:cs="Wingdings-Regular"/>
                <w:sz w:val="16"/>
                <w:szCs w:val="16"/>
              </w:rPr>
            </w:pPr>
            <w:r>
              <w:rPr>
                <w:b/>
                <w:bCs/>
              </w:rPr>
              <w:t>Aquatic Fauna</w:t>
            </w:r>
          </w:p>
        </w:tc>
      </w:tr>
      <w:tr w:rsidR="00004C1E" w:rsidRPr="00B86E82" w14:paraId="6007CA32" w14:textId="77777777" w:rsidTr="002A7EFA">
        <w:trPr>
          <w:gridAfter w:val="1"/>
          <w:wAfter w:w="843" w:type="dxa"/>
        </w:trPr>
        <w:tc>
          <w:tcPr>
            <w:tcW w:w="2389" w:type="dxa"/>
            <w:vAlign w:val="center"/>
          </w:tcPr>
          <w:p w14:paraId="1E1F3256" w14:textId="77777777" w:rsidR="00004C1E" w:rsidRPr="00B86E82" w:rsidRDefault="00004C1E" w:rsidP="002A7EFA">
            <w:pPr>
              <w:pStyle w:val="BodyText"/>
            </w:pPr>
            <w:r w:rsidRPr="00B86E82">
              <w:t>Claytons Spiny Crayfish</w:t>
            </w:r>
          </w:p>
        </w:tc>
        <w:tc>
          <w:tcPr>
            <w:tcW w:w="2390" w:type="dxa"/>
            <w:vAlign w:val="center"/>
          </w:tcPr>
          <w:p w14:paraId="2DDAD793" w14:textId="77777777" w:rsidR="00004C1E" w:rsidRPr="004023AB" w:rsidRDefault="00004C1E" w:rsidP="002A7EFA">
            <w:pPr>
              <w:pStyle w:val="BodyText"/>
              <w:rPr>
                <w:i/>
                <w:iCs/>
              </w:rPr>
            </w:pPr>
            <w:r w:rsidRPr="004023AB">
              <w:rPr>
                <w:i/>
                <w:iCs/>
              </w:rPr>
              <w:t>Euastacus claytoni</w:t>
            </w:r>
          </w:p>
        </w:tc>
        <w:tc>
          <w:tcPr>
            <w:tcW w:w="787" w:type="dxa"/>
            <w:shd w:val="clear" w:color="auto" w:fill="F4F8D4" w:themeFill="text2" w:themeFillTint="33"/>
            <w:vAlign w:val="center"/>
          </w:tcPr>
          <w:p w14:paraId="3F8CDD12" w14:textId="77777777" w:rsidR="00004C1E" w:rsidRPr="001C771A" w:rsidRDefault="00004C1E" w:rsidP="002A7EFA">
            <w:pPr>
              <w:pStyle w:val="BodyText"/>
              <w:jc w:val="center"/>
              <w:rPr>
                <w:rFonts w:ascii="Wingdings-Regular" w:eastAsia="Wingdings-Regular" w:cs="Wingdings-Regular"/>
                <w:sz w:val="16"/>
                <w:szCs w:val="16"/>
              </w:rPr>
            </w:pPr>
            <w:r w:rsidRPr="001C771A">
              <w:rPr>
                <w:rFonts w:cstheme="minorHAnsi"/>
                <w:b/>
                <w:color w:val="FF0000"/>
                <w:sz w:val="16"/>
                <w:szCs w:val="16"/>
              </w:rPr>
              <w:t>EG</w:t>
            </w:r>
          </w:p>
        </w:tc>
        <w:tc>
          <w:tcPr>
            <w:tcW w:w="788" w:type="dxa"/>
            <w:shd w:val="clear" w:color="auto" w:fill="F4F8D4" w:themeFill="text2" w:themeFillTint="33"/>
            <w:vAlign w:val="center"/>
          </w:tcPr>
          <w:p w14:paraId="1A09DDFF" w14:textId="77777777" w:rsidR="00004C1E" w:rsidRPr="001C771A" w:rsidRDefault="00004C1E" w:rsidP="002A7EFA">
            <w:pPr>
              <w:pStyle w:val="BodyText"/>
              <w:jc w:val="center"/>
              <w:rPr>
                <w:rFonts w:ascii="Arial" w:hAnsi="Arial"/>
                <w:b/>
                <w:bCs/>
                <w:color w:val="auto"/>
                <w:sz w:val="16"/>
                <w:szCs w:val="16"/>
              </w:rPr>
            </w:pPr>
            <w:r w:rsidRPr="001C771A">
              <w:rPr>
                <w:rFonts w:cstheme="minorHAnsi"/>
                <w:b/>
                <w:color w:val="FF0000"/>
                <w:sz w:val="16"/>
                <w:szCs w:val="16"/>
              </w:rPr>
              <w:t>EG</w:t>
            </w:r>
          </w:p>
        </w:tc>
        <w:tc>
          <w:tcPr>
            <w:tcW w:w="788" w:type="dxa"/>
            <w:shd w:val="clear" w:color="auto" w:fill="F4F8D4" w:themeFill="text2" w:themeFillTint="33"/>
            <w:vAlign w:val="center"/>
          </w:tcPr>
          <w:p w14:paraId="07964D0B" w14:textId="77777777" w:rsidR="00004C1E" w:rsidRPr="001C771A" w:rsidRDefault="00004C1E" w:rsidP="002A7EFA">
            <w:pPr>
              <w:pStyle w:val="BodyText"/>
              <w:jc w:val="center"/>
              <w:rPr>
                <w:rFonts w:ascii="Wingdings-Regular" w:eastAsia="Wingdings-Regular" w:cs="Wingdings-Regular"/>
                <w:sz w:val="16"/>
                <w:szCs w:val="16"/>
              </w:rPr>
            </w:pPr>
            <w:r w:rsidRPr="001C771A">
              <w:rPr>
                <w:rFonts w:cstheme="minorHAnsi"/>
                <w:b/>
                <w:color w:val="FF0000"/>
                <w:sz w:val="16"/>
                <w:szCs w:val="16"/>
              </w:rPr>
              <w:t>EG</w:t>
            </w:r>
          </w:p>
        </w:tc>
        <w:tc>
          <w:tcPr>
            <w:tcW w:w="787" w:type="dxa"/>
            <w:shd w:val="clear" w:color="auto" w:fill="auto"/>
            <w:vAlign w:val="center"/>
          </w:tcPr>
          <w:p w14:paraId="2C164476" w14:textId="77777777" w:rsidR="00004C1E" w:rsidRPr="001C771A" w:rsidRDefault="00004C1E" w:rsidP="002A7EFA">
            <w:pPr>
              <w:pStyle w:val="BodyText"/>
              <w:jc w:val="center"/>
              <w:rPr>
                <w:sz w:val="16"/>
                <w:szCs w:val="16"/>
              </w:rPr>
            </w:pPr>
          </w:p>
        </w:tc>
        <w:tc>
          <w:tcPr>
            <w:tcW w:w="788" w:type="dxa"/>
            <w:shd w:val="clear" w:color="auto" w:fill="F4F8D4" w:themeFill="text2" w:themeFillTint="33"/>
            <w:vAlign w:val="center"/>
          </w:tcPr>
          <w:p w14:paraId="6D4D35CF" w14:textId="77777777" w:rsidR="00004C1E" w:rsidRPr="001C771A" w:rsidRDefault="00004C1E" w:rsidP="002A7EFA">
            <w:pPr>
              <w:pStyle w:val="BodyText"/>
              <w:jc w:val="center"/>
              <w:rPr>
                <w:rFonts w:ascii="Arial" w:hAnsi="Arial"/>
                <w:color w:val="auto"/>
                <w:sz w:val="16"/>
                <w:szCs w:val="16"/>
              </w:rPr>
            </w:pPr>
            <w:r w:rsidRPr="001C771A">
              <w:rPr>
                <w:rFonts w:cstheme="minorHAnsi"/>
                <w:b/>
                <w:color w:val="00857E" w:themeColor="accent1" w:themeShade="BF"/>
                <w:sz w:val="16"/>
                <w:szCs w:val="16"/>
              </w:rPr>
              <w:t>EG</w:t>
            </w:r>
          </w:p>
        </w:tc>
        <w:tc>
          <w:tcPr>
            <w:tcW w:w="788" w:type="dxa"/>
            <w:shd w:val="clear" w:color="auto" w:fill="auto"/>
            <w:vAlign w:val="center"/>
          </w:tcPr>
          <w:p w14:paraId="46164953" w14:textId="77777777" w:rsidR="00004C1E" w:rsidRPr="006D733F" w:rsidRDefault="00004C1E" w:rsidP="002A7EFA">
            <w:pPr>
              <w:pStyle w:val="BodyText"/>
              <w:jc w:val="center"/>
              <w:rPr>
                <w:rFonts w:ascii="Wingdings-Regular" w:eastAsia="Wingdings-Regular" w:cs="Wingdings-Regular"/>
                <w:sz w:val="16"/>
                <w:szCs w:val="16"/>
              </w:rPr>
            </w:pPr>
          </w:p>
        </w:tc>
      </w:tr>
      <w:tr w:rsidR="00004C1E" w:rsidRPr="00B86E82" w14:paraId="68883F34" w14:textId="77777777" w:rsidTr="002A7EFA">
        <w:trPr>
          <w:gridAfter w:val="1"/>
          <w:wAfter w:w="843" w:type="dxa"/>
        </w:trPr>
        <w:tc>
          <w:tcPr>
            <w:tcW w:w="2389" w:type="dxa"/>
            <w:vAlign w:val="center"/>
          </w:tcPr>
          <w:p w14:paraId="25E4C039" w14:textId="77777777" w:rsidR="00004C1E" w:rsidRPr="00B86E82" w:rsidRDefault="00004C1E" w:rsidP="002A7EFA">
            <w:pPr>
              <w:pStyle w:val="BodyText"/>
            </w:pPr>
            <w:r w:rsidRPr="00B86E82">
              <w:t>East Gippsland Spiny Crayfish</w:t>
            </w:r>
          </w:p>
        </w:tc>
        <w:tc>
          <w:tcPr>
            <w:tcW w:w="2390" w:type="dxa"/>
            <w:vAlign w:val="center"/>
          </w:tcPr>
          <w:p w14:paraId="53AF1F4D" w14:textId="77777777" w:rsidR="00004C1E" w:rsidRPr="004023AB" w:rsidRDefault="00004C1E" w:rsidP="002A7EFA">
            <w:pPr>
              <w:pStyle w:val="BodyText"/>
              <w:rPr>
                <w:i/>
                <w:iCs/>
              </w:rPr>
            </w:pPr>
            <w:r w:rsidRPr="004023AB">
              <w:rPr>
                <w:i/>
                <w:iCs/>
              </w:rPr>
              <w:t>Euastacus bidawalus</w:t>
            </w:r>
          </w:p>
        </w:tc>
        <w:tc>
          <w:tcPr>
            <w:tcW w:w="787" w:type="dxa"/>
            <w:shd w:val="clear" w:color="auto" w:fill="F4F8D4" w:themeFill="text2" w:themeFillTint="33"/>
            <w:vAlign w:val="center"/>
          </w:tcPr>
          <w:p w14:paraId="0050A997" w14:textId="77777777" w:rsidR="00004C1E" w:rsidRPr="006D733F" w:rsidRDefault="00004C1E" w:rsidP="002A7EFA">
            <w:pPr>
              <w:pStyle w:val="BodyText"/>
              <w:jc w:val="center"/>
              <w:rPr>
                <w:rFonts w:ascii="Wingdings-Regular" w:eastAsia="Wingdings-Regular" w:cs="Wingdings-Regular"/>
                <w:sz w:val="16"/>
                <w:szCs w:val="16"/>
              </w:rPr>
            </w:pPr>
            <w:r w:rsidRPr="001C771A">
              <w:rPr>
                <w:rFonts w:cstheme="minorHAnsi"/>
                <w:b/>
                <w:color w:val="FF0000"/>
                <w:sz w:val="16"/>
                <w:szCs w:val="16"/>
              </w:rPr>
              <w:t>EG</w:t>
            </w:r>
          </w:p>
        </w:tc>
        <w:tc>
          <w:tcPr>
            <w:tcW w:w="788" w:type="dxa"/>
            <w:shd w:val="clear" w:color="auto" w:fill="F4F8D4" w:themeFill="text2" w:themeFillTint="33"/>
            <w:vAlign w:val="center"/>
          </w:tcPr>
          <w:p w14:paraId="3186A673" w14:textId="77777777" w:rsidR="00004C1E" w:rsidRPr="006D733F" w:rsidRDefault="00004C1E" w:rsidP="002A7EFA">
            <w:pPr>
              <w:pStyle w:val="BodyText"/>
              <w:jc w:val="center"/>
              <w:rPr>
                <w:rFonts w:ascii="Arial" w:hAnsi="Arial"/>
                <w:b/>
                <w:bCs/>
                <w:color w:val="auto"/>
                <w:sz w:val="16"/>
                <w:szCs w:val="16"/>
              </w:rPr>
            </w:pPr>
            <w:r w:rsidRPr="001C771A">
              <w:rPr>
                <w:rFonts w:cstheme="minorHAnsi"/>
                <w:b/>
                <w:color w:val="FF0000"/>
                <w:sz w:val="16"/>
                <w:szCs w:val="16"/>
              </w:rPr>
              <w:t>EG</w:t>
            </w:r>
          </w:p>
        </w:tc>
        <w:tc>
          <w:tcPr>
            <w:tcW w:w="788" w:type="dxa"/>
            <w:shd w:val="clear" w:color="auto" w:fill="F4F8D4" w:themeFill="text2" w:themeFillTint="33"/>
            <w:vAlign w:val="center"/>
          </w:tcPr>
          <w:p w14:paraId="15AC6425" w14:textId="77777777" w:rsidR="00004C1E" w:rsidRPr="006D733F" w:rsidRDefault="00004C1E" w:rsidP="002A7EFA">
            <w:pPr>
              <w:pStyle w:val="BodyText"/>
              <w:jc w:val="center"/>
              <w:rPr>
                <w:rFonts w:ascii="Wingdings-Regular" w:eastAsia="Wingdings-Regular" w:cs="Wingdings-Regular"/>
                <w:sz w:val="16"/>
                <w:szCs w:val="16"/>
              </w:rPr>
            </w:pPr>
            <w:r w:rsidRPr="001C771A">
              <w:rPr>
                <w:rFonts w:cstheme="minorHAnsi"/>
                <w:b/>
                <w:color w:val="00857E" w:themeColor="accent1" w:themeShade="BF"/>
                <w:sz w:val="16"/>
                <w:szCs w:val="16"/>
              </w:rPr>
              <w:t>EG</w:t>
            </w:r>
          </w:p>
        </w:tc>
        <w:tc>
          <w:tcPr>
            <w:tcW w:w="787" w:type="dxa"/>
            <w:shd w:val="clear" w:color="auto" w:fill="auto"/>
            <w:vAlign w:val="center"/>
          </w:tcPr>
          <w:p w14:paraId="118AA38E" w14:textId="77777777" w:rsidR="00004C1E" w:rsidRPr="006D733F" w:rsidRDefault="00004C1E" w:rsidP="002A7EFA">
            <w:pPr>
              <w:pStyle w:val="BodyText"/>
              <w:jc w:val="center"/>
              <w:rPr>
                <w:sz w:val="16"/>
                <w:szCs w:val="16"/>
              </w:rPr>
            </w:pPr>
          </w:p>
        </w:tc>
        <w:tc>
          <w:tcPr>
            <w:tcW w:w="788" w:type="dxa"/>
            <w:shd w:val="clear" w:color="auto" w:fill="auto"/>
            <w:vAlign w:val="center"/>
          </w:tcPr>
          <w:p w14:paraId="0EB13656" w14:textId="77777777" w:rsidR="00004C1E" w:rsidRPr="006D733F" w:rsidRDefault="00004C1E" w:rsidP="002A7EFA">
            <w:pPr>
              <w:pStyle w:val="BodyText"/>
              <w:jc w:val="center"/>
              <w:rPr>
                <w:rFonts w:ascii="Arial" w:hAnsi="Arial"/>
                <w:color w:val="auto"/>
                <w:sz w:val="16"/>
                <w:szCs w:val="16"/>
              </w:rPr>
            </w:pPr>
          </w:p>
        </w:tc>
        <w:tc>
          <w:tcPr>
            <w:tcW w:w="788" w:type="dxa"/>
            <w:shd w:val="clear" w:color="auto" w:fill="auto"/>
            <w:vAlign w:val="center"/>
          </w:tcPr>
          <w:p w14:paraId="3F7E3A1D" w14:textId="77777777" w:rsidR="00004C1E" w:rsidRPr="006D733F" w:rsidRDefault="00004C1E" w:rsidP="002A7EFA">
            <w:pPr>
              <w:pStyle w:val="BodyText"/>
              <w:jc w:val="center"/>
              <w:rPr>
                <w:rFonts w:ascii="Wingdings-Regular" w:eastAsia="Wingdings-Regular" w:cs="Wingdings-Regular"/>
                <w:sz w:val="16"/>
                <w:szCs w:val="16"/>
              </w:rPr>
            </w:pPr>
          </w:p>
        </w:tc>
      </w:tr>
      <w:tr w:rsidR="00004C1E" w:rsidRPr="00B86E82" w14:paraId="0F257A9F" w14:textId="77777777" w:rsidTr="002A7EFA">
        <w:trPr>
          <w:gridAfter w:val="1"/>
          <w:wAfter w:w="843" w:type="dxa"/>
        </w:trPr>
        <w:tc>
          <w:tcPr>
            <w:tcW w:w="2389" w:type="dxa"/>
            <w:vAlign w:val="center"/>
          </w:tcPr>
          <w:p w14:paraId="4DED9178" w14:textId="77777777" w:rsidR="00004C1E" w:rsidRPr="00B86E82" w:rsidRDefault="00004C1E" w:rsidP="002A7EFA">
            <w:pPr>
              <w:pStyle w:val="BodyText"/>
            </w:pPr>
            <w:r w:rsidRPr="00B86E82">
              <w:t>Tubercle Burrowing Crayfish</w:t>
            </w:r>
          </w:p>
        </w:tc>
        <w:tc>
          <w:tcPr>
            <w:tcW w:w="2390" w:type="dxa"/>
            <w:vAlign w:val="center"/>
          </w:tcPr>
          <w:p w14:paraId="2DF291CB" w14:textId="77777777" w:rsidR="00004C1E" w:rsidRPr="004023AB" w:rsidRDefault="00004C1E" w:rsidP="002A7EFA">
            <w:pPr>
              <w:pStyle w:val="BodyText"/>
              <w:rPr>
                <w:i/>
                <w:iCs/>
              </w:rPr>
            </w:pPr>
            <w:r w:rsidRPr="004023AB">
              <w:rPr>
                <w:i/>
                <w:iCs/>
              </w:rPr>
              <w:t>Engaeus tuberculatus</w:t>
            </w:r>
          </w:p>
        </w:tc>
        <w:tc>
          <w:tcPr>
            <w:tcW w:w="787" w:type="dxa"/>
            <w:shd w:val="clear" w:color="auto" w:fill="auto"/>
            <w:vAlign w:val="center"/>
          </w:tcPr>
          <w:p w14:paraId="4DCFF37C" w14:textId="77777777" w:rsidR="00004C1E" w:rsidRPr="006D733F" w:rsidRDefault="00004C1E" w:rsidP="002A7EFA">
            <w:pPr>
              <w:pStyle w:val="BodyText"/>
              <w:jc w:val="center"/>
              <w:rPr>
                <w:rFonts w:ascii="Wingdings-Regular" w:eastAsia="Wingdings-Regular" w:cs="Wingdings-Regular"/>
                <w:sz w:val="16"/>
                <w:szCs w:val="16"/>
              </w:rPr>
            </w:pPr>
          </w:p>
        </w:tc>
        <w:tc>
          <w:tcPr>
            <w:tcW w:w="788" w:type="dxa"/>
            <w:shd w:val="clear" w:color="auto" w:fill="auto"/>
            <w:vAlign w:val="center"/>
          </w:tcPr>
          <w:p w14:paraId="3DBCB49D" w14:textId="77777777" w:rsidR="00004C1E" w:rsidRPr="006D733F" w:rsidRDefault="00004C1E" w:rsidP="002A7EFA">
            <w:pPr>
              <w:pStyle w:val="BodyText"/>
              <w:jc w:val="center"/>
              <w:rPr>
                <w:rFonts w:ascii="Arial" w:hAnsi="Arial"/>
                <w:b/>
                <w:bCs/>
                <w:color w:val="auto"/>
                <w:sz w:val="16"/>
                <w:szCs w:val="16"/>
              </w:rPr>
            </w:pPr>
          </w:p>
        </w:tc>
        <w:tc>
          <w:tcPr>
            <w:tcW w:w="788" w:type="dxa"/>
            <w:shd w:val="clear" w:color="auto" w:fill="F4F8D4" w:themeFill="text2" w:themeFillTint="33"/>
            <w:vAlign w:val="center"/>
          </w:tcPr>
          <w:p w14:paraId="0B69B957" w14:textId="77777777" w:rsidR="00004C1E" w:rsidRPr="006D733F" w:rsidRDefault="00004C1E" w:rsidP="002A7EFA">
            <w:pPr>
              <w:pStyle w:val="BodyText"/>
              <w:jc w:val="center"/>
              <w:rPr>
                <w:rFonts w:ascii="Wingdings-Regular" w:eastAsia="Wingdings-Regular" w:cs="Wingdings-Regular"/>
                <w:sz w:val="16"/>
                <w:szCs w:val="16"/>
              </w:rPr>
            </w:pPr>
            <w:r w:rsidRPr="00FB3C33">
              <w:rPr>
                <w:rFonts w:cstheme="minorHAnsi"/>
                <w:b/>
                <w:color w:val="00857E" w:themeColor="accent1" w:themeShade="BF"/>
                <w:sz w:val="16"/>
                <w:szCs w:val="16"/>
              </w:rPr>
              <w:t>CH</w:t>
            </w:r>
          </w:p>
        </w:tc>
        <w:tc>
          <w:tcPr>
            <w:tcW w:w="787" w:type="dxa"/>
            <w:shd w:val="clear" w:color="auto" w:fill="auto"/>
            <w:vAlign w:val="center"/>
          </w:tcPr>
          <w:p w14:paraId="71F7EAF6" w14:textId="77777777" w:rsidR="00004C1E" w:rsidRPr="006D733F" w:rsidRDefault="00004C1E" w:rsidP="002A7EFA">
            <w:pPr>
              <w:pStyle w:val="BodyText"/>
              <w:jc w:val="center"/>
              <w:rPr>
                <w:sz w:val="16"/>
                <w:szCs w:val="16"/>
              </w:rPr>
            </w:pPr>
          </w:p>
        </w:tc>
        <w:tc>
          <w:tcPr>
            <w:tcW w:w="788" w:type="dxa"/>
            <w:shd w:val="clear" w:color="auto" w:fill="auto"/>
            <w:vAlign w:val="center"/>
          </w:tcPr>
          <w:p w14:paraId="4EFDCD96" w14:textId="77777777" w:rsidR="00004C1E" w:rsidRPr="006D733F" w:rsidRDefault="00004C1E" w:rsidP="002A7EFA">
            <w:pPr>
              <w:pStyle w:val="BodyText"/>
              <w:jc w:val="center"/>
              <w:rPr>
                <w:rFonts w:ascii="Arial" w:hAnsi="Arial"/>
                <w:color w:val="auto"/>
                <w:sz w:val="16"/>
                <w:szCs w:val="16"/>
              </w:rPr>
            </w:pPr>
          </w:p>
        </w:tc>
        <w:tc>
          <w:tcPr>
            <w:tcW w:w="788" w:type="dxa"/>
            <w:shd w:val="clear" w:color="auto" w:fill="auto"/>
            <w:vAlign w:val="center"/>
          </w:tcPr>
          <w:p w14:paraId="79C4D4D2" w14:textId="77777777" w:rsidR="00004C1E" w:rsidRPr="006D733F" w:rsidRDefault="00004C1E" w:rsidP="002A7EFA">
            <w:pPr>
              <w:pStyle w:val="BodyText"/>
              <w:jc w:val="center"/>
              <w:rPr>
                <w:rFonts w:ascii="Wingdings-Regular" w:eastAsia="Wingdings-Regular" w:cs="Wingdings-Regular"/>
                <w:sz w:val="16"/>
                <w:szCs w:val="16"/>
              </w:rPr>
            </w:pPr>
          </w:p>
        </w:tc>
      </w:tr>
      <w:tr w:rsidR="00004C1E" w:rsidRPr="00B86E82" w14:paraId="1C441856" w14:textId="77777777" w:rsidTr="002A7EFA">
        <w:trPr>
          <w:gridAfter w:val="1"/>
          <w:wAfter w:w="843" w:type="dxa"/>
        </w:trPr>
        <w:tc>
          <w:tcPr>
            <w:tcW w:w="2389" w:type="dxa"/>
            <w:vAlign w:val="center"/>
          </w:tcPr>
          <w:p w14:paraId="2BDDE2D4" w14:textId="77777777" w:rsidR="00004C1E" w:rsidRPr="00B86E82" w:rsidRDefault="00004C1E" w:rsidP="002A7EFA">
            <w:pPr>
              <w:pStyle w:val="BodyText"/>
            </w:pPr>
            <w:r w:rsidRPr="00B86E82">
              <w:t>Variable Spiny Crayfish</w:t>
            </w:r>
          </w:p>
        </w:tc>
        <w:tc>
          <w:tcPr>
            <w:tcW w:w="2390" w:type="dxa"/>
            <w:vAlign w:val="center"/>
          </w:tcPr>
          <w:p w14:paraId="7A53BA46" w14:textId="77777777" w:rsidR="00004C1E" w:rsidRPr="004023AB" w:rsidRDefault="00004C1E" w:rsidP="002A7EFA">
            <w:pPr>
              <w:pStyle w:val="BodyText"/>
              <w:rPr>
                <w:i/>
                <w:iCs/>
              </w:rPr>
            </w:pPr>
            <w:r w:rsidRPr="004023AB">
              <w:rPr>
                <w:i/>
                <w:iCs/>
              </w:rPr>
              <w:t>Euastacus yanga</w:t>
            </w:r>
          </w:p>
        </w:tc>
        <w:tc>
          <w:tcPr>
            <w:tcW w:w="787" w:type="dxa"/>
            <w:shd w:val="clear" w:color="auto" w:fill="F4F8D4" w:themeFill="text2" w:themeFillTint="33"/>
            <w:vAlign w:val="center"/>
          </w:tcPr>
          <w:p w14:paraId="791E18C5" w14:textId="77777777" w:rsidR="00004C1E" w:rsidRPr="006D733F" w:rsidRDefault="00004C1E" w:rsidP="002A7EFA">
            <w:pPr>
              <w:pStyle w:val="BodyText"/>
              <w:jc w:val="center"/>
              <w:rPr>
                <w:rFonts w:ascii="Wingdings-Regular" w:eastAsia="Wingdings-Regular" w:cs="Wingdings-Regular"/>
                <w:sz w:val="16"/>
                <w:szCs w:val="16"/>
              </w:rPr>
            </w:pPr>
            <w:r w:rsidRPr="001C771A">
              <w:rPr>
                <w:rFonts w:cstheme="minorHAnsi"/>
                <w:b/>
                <w:color w:val="FF0000"/>
                <w:sz w:val="16"/>
                <w:szCs w:val="16"/>
              </w:rPr>
              <w:t>EG</w:t>
            </w:r>
          </w:p>
        </w:tc>
        <w:tc>
          <w:tcPr>
            <w:tcW w:w="788" w:type="dxa"/>
            <w:shd w:val="clear" w:color="auto" w:fill="F4F8D4" w:themeFill="accent2" w:themeFillTint="33"/>
            <w:vAlign w:val="center"/>
          </w:tcPr>
          <w:p w14:paraId="12A93BD3" w14:textId="77777777" w:rsidR="00004C1E" w:rsidRPr="006D733F" w:rsidRDefault="00004C1E" w:rsidP="002A7EFA">
            <w:pPr>
              <w:pStyle w:val="BodyText"/>
              <w:jc w:val="center"/>
              <w:rPr>
                <w:rFonts w:ascii="Arial" w:hAnsi="Arial"/>
                <w:b/>
                <w:bCs/>
                <w:color w:val="auto"/>
                <w:sz w:val="16"/>
                <w:szCs w:val="16"/>
              </w:rPr>
            </w:pPr>
            <w:r w:rsidRPr="001C771A">
              <w:rPr>
                <w:rFonts w:cstheme="minorHAnsi"/>
                <w:b/>
                <w:color w:val="FF0000"/>
                <w:sz w:val="16"/>
                <w:szCs w:val="16"/>
              </w:rPr>
              <w:t>EG</w:t>
            </w:r>
          </w:p>
        </w:tc>
        <w:tc>
          <w:tcPr>
            <w:tcW w:w="788" w:type="dxa"/>
            <w:shd w:val="clear" w:color="auto" w:fill="F4F8D4" w:themeFill="text2" w:themeFillTint="33"/>
            <w:vAlign w:val="center"/>
          </w:tcPr>
          <w:p w14:paraId="0168C3AE" w14:textId="77777777" w:rsidR="00004C1E" w:rsidRPr="006D733F" w:rsidRDefault="00004C1E" w:rsidP="002A7EFA">
            <w:pPr>
              <w:pStyle w:val="BodyText"/>
              <w:jc w:val="center"/>
              <w:rPr>
                <w:rFonts w:ascii="Wingdings-Regular" w:eastAsia="Wingdings-Regular" w:cs="Wingdings-Regular"/>
                <w:sz w:val="16"/>
                <w:szCs w:val="16"/>
              </w:rPr>
            </w:pPr>
            <w:r w:rsidRPr="001C771A">
              <w:rPr>
                <w:rFonts w:cstheme="minorHAnsi"/>
                <w:b/>
                <w:color w:val="FF0000"/>
                <w:sz w:val="16"/>
                <w:szCs w:val="16"/>
              </w:rPr>
              <w:t>EG</w:t>
            </w:r>
          </w:p>
        </w:tc>
        <w:tc>
          <w:tcPr>
            <w:tcW w:w="787" w:type="dxa"/>
            <w:shd w:val="clear" w:color="auto" w:fill="auto"/>
            <w:vAlign w:val="center"/>
          </w:tcPr>
          <w:p w14:paraId="2B279C44" w14:textId="77777777" w:rsidR="00004C1E" w:rsidRPr="006D733F" w:rsidRDefault="00004C1E" w:rsidP="002A7EFA">
            <w:pPr>
              <w:pStyle w:val="BodyText"/>
              <w:jc w:val="center"/>
              <w:rPr>
                <w:sz w:val="16"/>
                <w:szCs w:val="16"/>
              </w:rPr>
            </w:pPr>
          </w:p>
        </w:tc>
        <w:tc>
          <w:tcPr>
            <w:tcW w:w="788" w:type="dxa"/>
            <w:shd w:val="clear" w:color="auto" w:fill="auto"/>
            <w:vAlign w:val="center"/>
          </w:tcPr>
          <w:p w14:paraId="29A29D12" w14:textId="77777777" w:rsidR="00004C1E" w:rsidRPr="006D733F" w:rsidRDefault="00004C1E" w:rsidP="002A7EFA">
            <w:pPr>
              <w:pStyle w:val="BodyText"/>
              <w:jc w:val="center"/>
              <w:rPr>
                <w:rFonts w:ascii="Arial" w:hAnsi="Arial"/>
                <w:color w:val="auto"/>
                <w:sz w:val="16"/>
                <w:szCs w:val="16"/>
              </w:rPr>
            </w:pPr>
          </w:p>
        </w:tc>
        <w:tc>
          <w:tcPr>
            <w:tcW w:w="788" w:type="dxa"/>
            <w:shd w:val="clear" w:color="auto" w:fill="auto"/>
            <w:vAlign w:val="center"/>
          </w:tcPr>
          <w:p w14:paraId="5E707BA4" w14:textId="77777777" w:rsidR="00004C1E" w:rsidRPr="006D733F" w:rsidRDefault="00004C1E" w:rsidP="002A7EFA">
            <w:pPr>
              <w:pStyle w:val="BodyText"/>
              <w:jc w:val="center"/>
              <w:rPr>
                <w:rFonts w:ascii="Wingdings-Regular" w:eastAsia="Wingdings-Regular" w:cs="Wingdings-Regular"/>
                <w:sz w:val="16"/>
                <w:szCs w:val="16"/>
              </w:rPr>
            </w:pPr>
          </w:p>
        </w:tc>
      </w:tr>
      <w:tr w:rsidR="00004C1E" w:rsidRPr="00B86E82" w14:paraId="2122C0C8" w14:textId="77777777" w:rsidTr="002A7EFA">
        <w:trPr>
          <w:gridAfter w:val="1"/>
          <w:wAfter w:w="843" w:type="dxa"/>
        </w:trPr>
        <w:tc>
          <w:tcPr>
            <w:tcW w:w="9505" w:type="dxa"/>
            <w:gridSpan w:val="8"/>
            <w:shd w:val="clear" w:color="auto" w:fill="EAF1A9" w:themeFill="text2" w:themeFillTint="66"/>
            <w:vAlign w:val="center"/>
          </w:tcPr>
          <w:p w14:paraId="7B665DA0" w14:textId="77777777" w:rsidR="00004C1E" w:rsidRPr="006D733F" w:rsidRDefault="00004C1E" w:rsidP="002A7EFA">
            <w:pPr>
              <w:pStyle w:val="BodyText"/>
              <w:jc w:val="center"/>
              <w:rPr>
                <w:rFonts w:ascii="Wingdings-Regular" w:eastAsia="Wingdings-Regular" w:cs="Wingdings-Regular"/>
                <w:sz w:val="16"/>
                <w:szCs w:val="16"/>
              </w:rPr>
            </w:pPr>
            <w:r>
              <w:rPr>
                <w:b/>
                <w:bCs/>
              </w:rPr>
              <w:t>Plants</w:t>
            </w:r>
          </w:p>
        </w:tc>
      </w:tr>
      <w:tr w:rsidR="00004C1E" w:rsidRPr="00B86E82" w14:paraId="6CD95DDD" w14:textId="77777777" w:rsidTr="002A7EFA">
        <w:trPr>
          <w:gridAfter w:val="1"/>
          <w:wAfter w:w="843" w:type="dxa"/>
        </w:trPr>
        <w:tc>
          <w:tcPr>
            <w:tcW w:w="2389" w:type="dxa"/>
            <w:vAlign w:val="center"/>
          </w:tcPr>
          <w:p w14:paraId="4D4A83A9" w14:textId="77777777" w:rsidR="00004C1E" w:rsidRPr="00B86E82" w:rsidRDefault="00004C1E" w:rsidP="002A7EFA">
            <w:pPr>
              <w:pStyle w:val="BodyText"/>
            </w:pPr>
            <w:r w:rsidRPr="00B86E82">
              <w:t>Baw Baw Berry</w:t>
            </w:r>
          </w:p>
        </w:tc>
        <w:tc>
          <w:tcPr>
            <w:tcW w:w="2390" w:type="dxa"/>
            <w:vAlign w:val="center"/>
          </w:tcPr>
          <w:p w14:paraId="3EA9BD6A" w14:textId="77777777" w:rsidR="00004C1E" w:rsidRPr="004023AB" w:rsidRDefault="00004C1E" w:rsidP="002A7EFA">
            <w:pPr>
              <w:pStyle w:val="BodyText"/>
              <w:rPr>
                <w:i/>
                <w:iCs/>
              </w:rPr>
            </w:pPr>
            <w:r w:rsidRPr="004023AB">
              <w:rPr>
                <w:i/>
                <w:iCs/>
              </w:rPr>
              <w:t>Wittsteinia vacciniacea</w:t>
            </w:r>
          </w:p>
        </w:tc>
        <w:tc>
          <w:tcPr>
            <w:tcW w:w="787" w:type="dxa"/>
            <w:shd w:val="clear" w:color="auto" w:fill="auto"/>
            <w:vAlign w:val="center"/>
          </w:tcPr>
          <w:p w14:paraId="10D46F3E" w14:textId="77777777" w:rsidR="00004C1E" w:rsidRPr="006D733F" w:rsidRDefault="00004C1E" w:rsidP="002A7EFA">
            <w:pPr>
              <w:pStyle w:val="BodyText"/>
              <w:jc w:val="center"/>
              <w:rPr>
                <w:rFonts w:ascii="Wingdings-Regular" w:eastAsia="Wingdings-Regular" w:cs="Wingdings-Regular"/>
                <w:sz w:val="16"/>
                <w:szCs w:val="16"/>
              </w:rPr>
            </w:pPr>
          </w:p>
        </w:tc>
        <w:tc>
          <w:tcPr>
            <w:tcW w:w="788" w:type="dxa"/>
            <w:shd w:val="clear" w:color="auto" w:fill="F4F8D4" w:themeFill="accent2" w:themeFillTint="33"/>
            <w:vAlign w:val="center"/>
          </w:tcPr>
          <w:p w14:paraId="40BC47EF" w14:textId="77777777" w:rsidR="00004C1E" w:rsidRPr="006D733F" w:rsidRDefault="00004C1E" w:rsidP="002A7EFA">
            <w:pPr>
              <w:pStyle w:val="BodyText"/>
              <w:jc w:val="center"/>
              <w:rPr>
                <w:b/>
                <w:bCs/>
                <w:sz w:val="16"/>
                <w:szCs w:val="16"/>
              </w:rPr>
            </w:pPr>
            <w:r w:rsidRPr="00FB3C33">
              <w:rPr>
                <w:rFonts w:cstheme="minorHAnsi"/>
                <w:b/>
                <w:color w:val="FF0000"/>
                <w:sz w:val="16"/>
                <w:szCs w:val="16"/>
              </w:rPr>
              <w:t>EG</w:t>
            </w:r>
          </w:p>
        </w:tc>
        <w:tc>
          <w:tcPr>
            <w:tcW w:w="788" w:type="dxa"/>
            <w:shd w:val="clear" w:color="auto" w:fill="auto"/>
            <w:vAlign w:val="center"/>
          </w:tcPr>
          <w:p w14:paraId="12206E53" w14:textId="77777777" w:rsidR="00004C1E" w:rsidRPr="006D733F" w:rsidRDefault="00004C1E" w:rsidP="002A7EFA">
            <w:pPr>
              <w:pStyle w:val="BodyText"/>
              <w:jc w:val="center"/>
              <w:rPr>
                <w:rFonts w:ascii="Wingdings-Regular" w:eastAsia="Wingdings-Regular" w:cs="Wingdings-Regular"/>
                <w:sz w:val="16"/>
                <w:szCs w:val="16"/>
              </w:rPr>
            </w:pPr>
          </w:p>
        </w:tc>
        <w:tc>
          <w:tcPr>
            <w:tcW w:w="787" w:type="dxa"/>
            <w:shd w:val="clear" w:color="auto" w:fill="auto"/>
            <w:vAlign w:val="center"/>
          </w:tcPr>
          <w:p w14:paraId="0135191C"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6D10E810" w14:textId="77777777" w:rsidR="00004C1E" w:rsidRPr="006D733F" w:rsidRDefault="00004C1E" w:rsidP="002A7EFA">
            <w:pPr>
              <w:pStyle w:val="BodyText"/>
              <w:jc w:val="center"/>
              <w:rPr>
                <w:sz w:val="16"/>
                <w:szCs w:val="16"/>
              </w:rPr>
            </w:pPr>
            <w:r w:rsidRPr="00FB3C33">
              <w:rPr>
                <w:rFonts w:cstheme="minorHAnsi"/>
                <w:b/>
                <w:color w:val="00857E" w:themeColor="accent1" w:themeShade="BF"/>
                <w:sz w:val="16"/>
                <w:szCs w:val="16"/>
              </w:rPr>
              <w:t>EG</w:t>
            </w:r>
          </w:p>
        </w:tc>
        <w:tc>
          <w:tcPr>
            <w:tcW w:w="788" w:type="dxa"/>
            <w:shd w:val="clear" w:color="auto" w:fill="auto"/>
            <w:vAlign w:val="center"/>
          </w:tcPr>
          <w:p w14:paraId="3CA3A40D" w14:textId="77777777" w:rsidR="00004C1E" w:rsidRPr="006D733F" w:rsidRDefault="00004C1E" w:rsidP="002A7EFA">
            <w:pPr>
              <w:pStyle w:val="BodyText"/>
              <w:jc w:val="center"/>
              <w:rPr>
                <w:rFonts w:ascii="Wingdings-Regular" w:eastAsia="Wingdings-Regular" w:cs="Wingdings-Regular"/>
                <w:sz w:val="16"/>
                <w:szCs w:val="16"/>
              </w:rPr>
            </w:pPr>
          </w:p>
        </w:tc>
      </w:tr>
      <w:tr w:rsidR="00004C1E" w:rsidRPr="00B86E82" w14:paraId="12FE93B9" w14:textId="77777777" w:rsidTr="002A7EFA">
        <w:trPr>
          <w:gridAfter w:val="1"/>
          <w:wAfter w:w="843" w:type="dxa"/>
        </w:trPr>
        <w:tc>
          <w:tcPr>
            <w:tcW w:w="2389" w:type="dxa"/>
            <w:vAlign w:val="center"/>
          </w:tcPr>
          <w:p w14:paraId="69F2CAA3" w14:textId="77777777" w:rsidR="00004C1E" w:rsidRPr="00B86E82" w:rsidRDefault="00004C1E" w:rsidP="002A7EFA">
            <w:pPr>
              <w:pStyle w:val="BodyText"/>
            </w:pPr>
            <w:r w:rsidRPr="00B86E82">
              <w:t>Beech Finger-fern</w:t>
            </w:r>
          </w:p>
        </w:tc>
        <w:tc>
          <w:tcPr>
            <w:tcW w:w="2390" w:type="dxa"/>
            <w:vAlign w:val="center"/>
          </w:tcPr>
          <w:p w14:paraId="2254CA06" w14:textId="77777777" w:rsidR="00004C1E" w:rsidRPr="004023AB" w:rsidRDefault="00004C1E" w:rsidP="002A7EFA">
            <w:pPr>
              <w:pStyle w:val="BodyText"/>
              <w:rPr>
                <w:i/>
                <w:iCs/>
              </w:rPr>
            </w:pPr>
            <w:r w:rsidRPr="004023AB">
              <w:rPr>
                <w:i/>
                <w:iCs/>
              </w:rPr>
              <w:t xml:space="preserve">Notogrammitis angustifolia </w:t>
            </w:r>
            <w:r w:rsidRPr="003B150A">
              <w:t>subsp.</w:t>
            </w:r>
            <w:r w:rsidRPr="004023AB">
              <w:rPr>
                <w:i/>
                <w:iCs/>
              </w:rPr>
              <w:t xml:space="preserve"> nothofageti</w:t>
            </w:r>
          </w:p>
        </w:tc>
        <w:tc>
          <w:tcPr>
            <w:tcW w:w="787" w:type="dxa"/>
            <w:shd w:val="clear" w:color="auto" w:fill="F4F8D4" w:themeFill="accent2" w:themeFillTint="33"/>
            <w:vAlign w:val="center"/>
          </w:tcPr>
          <w:p w14:paraId="29D716DB" w14:textId="77777777" w:rsidR="00004C1E" w:rsidRPr="006D733F" w:rsidRDefault="00004C1E" w:rsidP="002A7EFA">
            <w:pPr>
              <w:pStyle w:val="BodyText"/>
              <w:jc w:val="center"/>
              <w:rPr>
                <w:b/>
                <w:bCs/>
                <w:sz w:val="16"/>
                <w:szCs w:val="16"/>
              </w:rPr>
            </w:pPr>
            <w:r w:rsidRPr="00A4694D">
              <w:rPr>
                <w:b/>
                <w:bCs/>
                <w:color w:val="FF0000"/>
                <w:sz w:val="16"/>
                <w:szCs w:val="16"/>
              </w:rPr>
              <w:t>CH, G, W</w:t>
            </w:r>
          </w:p>
        </w:tc>
        <w:tc>
          <w:tcPr>
            <w:tcW w:w="788" w:type="dxa"/>
            <w:shd w:val="clear" w:color="auto" w:fill="F4F8D4" w:themeFill="accent2" w:themeFillTint="33"/>
            <w:vAlign w:val="center"/>
          </w:tcPr>
          <w:p w14:paraId="3B949EC2" w14:textId="77777777" w:rsidR="00004C1E" w:rsidRPr="006D733F" w:rsidRDefault="00004C1E" w:rsidP="002A7EFA">
            <w:pPr>
              <w:pStyle w:val="BodyText"/>
              <w:jc w:val="center"/>
              <w:rPr>
                <w:sz w:val="16"/>
                <w:szCs w:val="16"/>
              </w:rPr>
            </w:pPr>
            <w:r w:rsidRPr="00A4694D">
              <w:rPr>
                <w:b/>
                <w:bCs/>
                <w:color w:val="FF0000"/>
                <w:sz w:val="16"/>
                <w:szCs w:val="16"/>
              </w:rPr>
              <w:t>CH, G, W</w:t>
            </w:r>
          </w:p>
        </w:tc>
        <w:tc>
          <w:tcPr>
            <w:tcW w:w="788" w:type="dxa"/>
            <w:shd w:val="clear" w:color="auto" w:fill="F4F8D4" w:themeFill="accent2" w:themeFillTint="33"/>
            <w:vAlign w:val="center"/>
          </w:tcPr>
          <w:p w14:paraId="4F9B5217" w14:textId="77777777" w:rsidR="00004C1E" w:rsidRPr="00A4694D" w:rsidRDefault="00004C1E" w:rsidP="002A7EFA">
            <w:pPr>
              <w:pStyle w:val="BodyText"/>
              <w:jc w:val="center"/>
              <w:rPr>
                <w:b/>
                <w:bCs/>
                <w:sz w:val="16"/>
                <w:szCs w:val="16"/>
              </w:rPr>
            </w:pPr>
            <w:r w:rsidRPr="00A4694D">
              <w:rPr>
                <w:b/>
                <w:bCs/>
                <w:color w:val="00857E" w:themeColor="accent1" w:themeShade="BF"/>
                <w:sz w:val="16"/>
                <w:szCs w:val="16"/>
              </w:rPr>
              <w:t>G</w:t>
            </w:r>
          </w:p>
        </w:tc>
        <w:tc>
          <w:tcPr>
            <w:tcW w:w="787" w:type="dxa"/>
            <w:shd w:val="clear" w:color="auto" w:fill="auto"/>
            <w:vAlign w:val="center"/>
          </w:tcPr>
          <w:p w14:paraId="14A91F7D"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3729BDCD" w14:textId="77777777" w:rsidR="00004C1E" w:rsidRPr="00A4694D" w:rsidRDefault="00004C1E" w:rsidP="002A7EFA">
            <w:pPr>
              <w:pStyle w:val="BodyText"/>
              <w:jc w:val="center"/>
              <w:rPr>
                <w:b/>
                <w:bCs/>
                <w:sz w:val="16"/>
                <w:szCs w:val="16"/>
              </w:rPr>
            </w:pPr>
            <w:r w:rsidRPr="00A4694D">
              <w:rPr>
                <w:b/>
                <w:bCs/>
                <w:color w:val="00857E" w:themeColor="accent1" w:themeShade="BF"/>
                <w:sz w:val="16"/>
                <w:szCs w:val="16"/>
              </w:rPr>
              <w:t>CH, G</w:t>
            </w:r>
          </w:p>
        </w:tc>
        <w:tc>
          <w:tcPr>
            <w:tcW w:w="788" w:type="dxa"/>
            <w:shd w:val="clear" w:color="auto" w:fill="auto"/>
            <w:vAlign w:val="center"/>
          </w:tcPr>
          <w:p w14:paraId="57632E93" w14:textId="77777777" w:rsidR="00004C1E" w:rsidRPr="006D733F" w:rsidRDefault="00004C1E" w:rsidP="002A7EFA">
            <w:pPr>
              <w:pStyle w:val="BodyText"/>
              <w:jc w:val="center"/>
              <w:rPr>
                <w:sz w:val="16"/>
                <w:szCs w:val="16"/>
              </w:rPr>
            </w:pPr>
          </w:p>
        </w:tc>
      </w:tr>
      <w:tr w:rsidR="00004C1E" w:rsidRPr="00B86E82" w14:paraId="450A739B" w14:textId="77777777" w:rsidTr="002A7EFA">
        <w:trPr>
          <w:gridAfter w:val="1"/>
          <w:wAfter w:w="843" w:type="dxa"/>
        </w:trPr>
        <w:tc>
          <w:tcPr>
            <w:tcW w:w="2389" w:type="dxa"/>
            <w:vAlign w:val="center"/>
          </w:tcPr>
          <w:p w14:paraId="4B75DD46" w14:textId="77777777" w:rsidR="00004C1E" w:rsidRPr="00B86E82" w:rsidRDefault="00004C1E" w:rsidP="002A7EFA">
            <w:pPr>
              <w:pStyle w:val="BodyText"/>
            </w:pPr>
            <w:r w:rsidRPr="00B86E82">
              <w:t>Black Bog-sedge</w:t>
            </w:r>
          </w:p>
        </w:tc>
        <w:tc>
          <w:tcPr>
            <w:tcW w:w="2390" w:type="dxa"/>
            <w:vAlign w:val="center"/>
          </w:tcPr>
          <w:p w14:paraId="03B6A1B2" w14:textId="77777777" w:rsidR="00004C1E" w:rsidRPr="004023AB" w:rsidRDefault="00004C1E" w:rsidP="002A7EFA">
            <w:pPr>
              <w:pStyle w:val="BodyText"/>
              <w:rPr>
                <w:i/>
                <w:iCs/>
              </w:rPr>
            </w:pPr>
            <w:r w:rsidRPr="004023AB">
              <w:rPr>
                <w:i/>
                <w:iCs/>
              </w:rPr>
              <w:t>Schoenus melanostachys</w:t>
            </w:r>
          </w:p>
        </w:tc>
        <w:tc>
          <w:tcPr>
            <w:tcW w:w="787" w:type="dxa"/>
            <w:shd w:val="clear" w:color="auto" w:fill="auto"/>
            <w:vAlign w:val="center"/>
          </w:tcPr>
          <w:p w14:paraId="1065E649" w14:textId="77777777" w:rsidR="00004C1E" w:rsidRPr="006D733F" w:rsidRDefault="00004C1E" w:rsidP="002A7EFA">
            <w:pPr>
              <w:pStyle w:val="BodyText"/>
              <w:jc w:val="center"/>
              <w:rPr>
                <w:b/>
                <w:bCs/>
                <w:sz w:val="16"/>
                <w:szCs w:val="16"/>
              </w:rPr>
            </w:pPr>
          </w:p>
        </w:tc>
        <w:tc>
          <w:tcPr>
            <w:tcW w:w="788" w:type="dxa"/>
            <w:shd w:val="clear" w:color="auto" w:fill="F4F8D4" w:themeFill="accent2" w:themeFillTint="33"/>
            <w:vAlign w:val="center"/>
          </w:tcPr>
          <w:p w14:paraId="30402FF9" w14:textId="77777777" w:rsidR="00004C1E" w:rsidRPr="00950E12" w:rsidRDefault="00004C1E" w:rsidP="002A7EFA">
            <w:pPr>
              <w:pStyle w:val="BodyText"/>
              <w:jc w:val="center"/>
              <w:rPr>
                <w:b/>
                <w:bCs/>
                <w:sz w:val="16"/>
                <w:szCs w:val="16"/>
              </w:rPr>
            </w:pPr>
            <w:r w:rsidRPr="00950E12">
              <w:rPr>
                <w:b/>
                <w:bCs/>
                <w:color w:val="00857E" w:themeColor="accent1" w:themeShade="BF"/>
                <w:sz w:val="16"/>
                <w:szCs w:val="16"/>
              </w:rPr>
              <w:t>EG</w:t>
            </w:r>
          </w:p>
        </w:tc>
        <w:tc>
          <w:tcPr>
            <w:tcW w:w="788" w:type="dxa"/>
            <w:shd w:val="clear" w:color="auto" w:fill="auto"/>
            <w:vAlign w:val="center"/>
          </w:tcPr>
          <w:p w14:paraId="297D38CD" w14:textId="77777777" w:rsidR="00004C1E" w:rsidRPr="006D733F" w:rsidRDefault="00004C1E" w:rsidP="002A7EFA">
            <w:pPr>
              <w:pStyle w:val="BodyText"/>
              <w:jc w:val="center"/>
              <w:rPr>
                <w:sz w:val="16"/>
                <w:szCs w:val="16"/>
              </w:rPr>
            </w:pPr>
          </w:p>
        </w:tc>
        <w:tc>
          <w:tcPr>
            <w:tcW w:w="787" w:type="dxa"/>
            <w:shd w:val="clear" w:color="auto" w:fill="auto"/>
            <w:vAlign w:val="center"/>
          </w:tcPr>
          <w:p w14:paraId="43F8E60A" w14:textId="77777777" w:rsidR="00004C1E" w:rsidRPr="006D733F" w:rsidRDefault="00004C1E" w:rsidP="002A7EFA">
            <w:pPr>
              <w:pStyle w:val="BodyText"/>
              <w:jc w:val="center"/>
              <w:rPr>
                <w:sz w:val="16"/>
                <w:szCs w:val="16"/>
              </w:rPr>
            </w:pPr>
          </w:p>
        </w:tc>
        <w:tc>
          <w:tcPr>
            <w:tcW w:w="788" w:type="dxa"/>
            <w:shd w:val="clear" w:color="auto" w:fill="auto"/>
            <w:vAlign w:val="center"/>
          </w:tcPr>
          <w:p w14:paraId="3E9DF81B" w14:textId="77777777" w:rsidR="00004C1E" w:rsidRPr="006D733F" w:rsidRDefault="00004C1E" w:rsidP="002A7EFA">
            <w:pPr>
              <w:pStyle w:val="BodyText"/>
              <w:jc w:val="center"/>
              <w:rPr>
                <w:sz w:val="16"/>
                <w:szCs w:val="16"/>
              </w:rPr>
            </w:pPr>
          </w:p>
        </w:tc>
        <w:tc>
          <w:tcPr>
            <w:tcW w:w="788" w:type="dxa"/>
            <w:shd w:val="clear" w:color="auto" w:fill="auto"/>
            <w:vAlign w:val="center"/>
          </w:tcPr>
          <w:p w14:paraId="4D4401EB" w14:textId="77777777" w:rsidR="00004C1E" w:rsidRPr="006D733F" w:rsidRDefault="00004C1E" w:rsidP="002A7EFA">
            <w:pPr>
              <w:pStyle w:val="BodyText"/>
              <w:jc w:val="center"/>
              <w:rPr>
                <w:sz w:val="16"/>
                <w:szCs w:val="16"/>
              </w:rPr>
            </w:pPr>
          </w:p>
        </w:tc>
      </w:tr>
      <w:tr w:rsidR="00004C1E" w:rsidRPr="00B86E82" w14:paraId="0B28C193" w14:textId="77777777" w:rsidTr="002A7EFA">
        <w:trPr>
          <w:gridAfter w:val="1"/>
          <w:wAfter w:w="843" w:type="dxa"/>
        </w:trPr>
        <w:tc>
          <w:tcPr>
            <w:tcW w:w="2389" w:type="dxa"/>
            <w:vAlign w:val="center"/>
          </w:tcPr>
          <w:p w14:paraId="3D01D5FA" w14:textId="77777777" w:rsidR="00004C1E" w:rsidRPr="00B86E82" w:rsidRDefault="00004C1E" w:rsidP="002A7EFA">
            <w:pPr>
              <w:pStyle w:val="BodyText"/>
            </w:pPr>
            <w:r w:rsidRPr="00B86E82">
              <w:t>Bog Saw-sedge</w:t>
            </w:r>
          </w:p>
        </w:tc>
        <w:tc>
          <w:tcPr>
            <w:tcW w:w="2390" w:type="dxa"/>
            <w:vAlign w:val="center"/>
          </w:tcPr>
          <w:p w14:paraId="0A7ABB67" w14:textId="77777777" w:rsidR="00004C1E" w:rsidRPr="004023AB" w:rsidRDefault="00004C1E" w:rsidP="002A7EFA">
            <w:pPr>
              <w:pStyle w:val="BodyText"/>
              <w:rPr>
                <w:i/>
                <w:iCs/>
              </w:rPr>
            </w:pPr>
            <w:r w:rsidRPr="004023AB">
              <w:rPr>
                <w:i/>
                <w:iCs/>
              </w:rPr>
              <w:t>Gahnia subaequiglumis</w:t>
            </w:r>
          </w:p>
        </w:tc>
        <w:tc>
          <w:tcPr>
            <w:tcW w:w="787" w:type="dxa"/>
            <w:shd w:val="clear" w:color="auto" w:fill="F4F8D4" w:themeFill="accent2" w:themeFillTint="33"/>
            <w:vAlign w:val="center"/>
          </w:tcPr>
          <w:p w14:paraId="21742142" w14:textId="77777777" w:rsidR="00004C1E" w:rsidRPr="00950E12" w:rsidRDefault="00004C1E" w:rsidP="002A7EFA">
            <w:pPr>
              <w:pStyle w:val="BodyText"/>
              <w:jc w:val="center"/>
              <w:rPr>
                <w:b/>
                <w:bCs/>
                <w:sz w:val="16"/>
                <w:szCs w:val="16"/>
              </w:rPr>
            </w:pPr>
            <w:r w:rsidRPr="00950E12">
              <w:rPr>
                <w:b/>
                <w:bCs/>
                <w:color w:val="00857E" w:themeColor="accent1" w:themeShade="BF"/>
                <w:sz w:val="16"/>
                <w:szCs w:val="16"/>
              </w:rPr>
              <w:t>EG</w:t>
            </w:r>
          </w:p>
        </w:tc>
        <w:tc>
          <w:tcPr>
            <w:tcW w:w="788" w:type="dxa"/>
            <w:shd w:val="clear" w:color="auto" w:fill="auto"/>
            <w:vAlign w:val="center"/>
          </w:tcPr>
          <w:p w14:paraId="7F2C9559" w14:textId="77777777" w:rsidR="00004C1E" w:rsidRPr="006D733F" w:rsidRDefault="00004C1E" w:rsidP="002A7EFA">
            <w:pPr>
              <w:pStyle w:val="BodyText"/>
              <w:jc w:val="center"/>
              <w:rPr>
                <w:b/>
                <w:bCs/>
                <w:sz w:val="16"/>
                <w:szCs w:val="16"/>
              </w:rPr>
            </w:pPr>
          </w:p>
        </w:tc>
        <w:tc>
          <w:tcPr>
            <w:tcW w:w="788" w:type="dxa"/>
            <w:shd w:val="clear" w:color="auto" w:fill="F4F8D4" w:themeFill="accent2" w:themeFillTint="33"/>
            <w:vAlign w:val="center"/>
          </w:tcPr>
          <w:p w14:paraId="6C6A7642" w14:textId="77777777" w:rsidR="00004C1E" w:rsidRPr="00950E12" w:rsidRDefault="00004C1E" w:rsidP="002A7EFA">
            <w:pPr>
              <w:pStyle w:val="BodyText"/>
              <w:jc w:val="center"/>
              <w:rPr>
                <w:b/>
                <w:bCs/>
                <w:sz w:val="16"/>
                <w:szCs w:val="16"/>
              </w:rPr>
            </w:pPr>
            <w:r w:rsidRPr="00950E12">
              <w:rPr>
                <w:b/>
                <w:bCs/>
                <w:color w:val="00857E" w:themeColor="accent1" w:themeShade="BF"/>
                <w:sz w:val="16"/>
                <w:szCs w:val="16"/>
              </w:rPr>
              <w:t>EG</w:t>
            </w:r>
          </w:p>
        </w:tc>
        <w:tc>
          <w:tcPr>
            <w:tcW w:w="787" w:type="dxa"/>
            <w:shd w:val="clear" w:color="auto" w:fill="auto"/>
            <w:vAlign w:val="center"/>
          </w:tcPr>
          <w:p w14:paraId="4B47B6CA" w14:textId="77777777" w:rsidR="00004C1E" w:rsidRPr="006D733F" w:rsidRDefault="00004C1E" w:rsidP="002A7EFA">
            <w:pPr>
              <w:pStyle w:val="BodyText"/>
              <w:jc w:val="center"/>
              <w:rPr>
                <w:sz w:val="16"/>
                <w:szCs w:val="16"/>
              </w:rPr>
            </w:pPr>
          </w:p>
        </w:tc>
        <w:tc>
          <w:tcPr>
            <w:tcW w:w="788" w:type="dxa"/>
            <w:shd w:val="clear" w:color="auto" w:fill="auto"/>
            <w:vAlign w:val="center"/>
          </w:tcPr>
          <w:p w14:paraId="193C441E" w14:textId="77777777" w:rsidR="00004C1E" w:rsidRPr="006D733F" w:rsidRDefault="00004C1E" w:rsidP="002A7EFA">
            <w:pPr>
              <w:pStyle w:val="BodyText"/>
              <w:jc w:val="center"/>
              <w:rPr>
                <w:sz w:val="16"/>
                <w:szCs w:val="16"/>
              </w:rPr>
            </w:pPr>
          </w:p>
        </w:tc>
        <w:tc>
          <w:tcPr>
            <w:tcW w:w="788" w:type="dxa"/>
            <w:shd w:val="clear" w:color="auto" w:fill="auto"/>
            <w:vAlign w:val="center"/>
          </w:tcPr>
          <w:p w14:paraId="380DF97B" w14:textId="77777777" w:rsidR="00004C1E" w:rsidRPr="006D733F" w:rsidRDefault="00004C1E" w:rsidP="002A7EFA">
            <w:pPr>
              <w:pStyle w:val="BodyText"/>
              <w:jc w:val="center"/>
              <w:rPr>
                <w:sz w:val="16"/>
                <w:szCs w:val="16"/>
              </w:rPr>
            </w:pPr>
          </w:p>
        </w:tc>
      </w:tr>
      <w:tr w:rsidR="00004C1E" w:rsidRPr="00B86E82" w14:paraId="11F616AB" w14:textId="77777777" w:rsidTr="002A7EFA">
        <w:trPr>
          <w:gridAfter w:val="1"/>
          <w:wAfter w:w="843" w:type="dxa"/>
        </w:trPr>
        <w:tc>
          <w:tcPr>
            <w:tcW w:w="2389" w:type="dxa"/>
            <w:vAlign w:val="center"/>
          </w:tcPr>
          <w:p w14:paraId="3596C85E" w14:textId="77777777" w:rsidR="00004C1E" w:rsidRPr="00B86E82" w:rsidRDefault="00004C1E" w:rsidP="002A7EFA">
            <w:pPr>
              <w:pStyle w:val="BodyText"/>
            </w:pPr>
            <w:r w:rsidRPr="00B86E82">
              <w:t>Bolwarra</w:t>
            </w:r>
          </w:p>
        </w:tc>
        <w:tc>
          <w:tcPr>
            <w:tcW w:w="2390" w:type="dxa"/>
            <w:vAlign w:val="center"/>
          </w:tcPr>
          <w:p w14:paraId="74919F2D" w14:textId="77777777" w:rsidR="00004C1E" w:rsidRPr="00B86E82" w:rsidRDefault="00004C1E" w:rsidP="002A7EFA">
            <w:pPr>
              <w:pStyle w:val="BodyText"/>
              <w:rPr>
                <w:sz w:val="16"/>
                <w:szCs w:val="16"/>
              </w:rPr>
            </w:pPr>
            <w:r w:rsidRPr="004023AB">
              <w:rPr>
                <w:i/>
                <w:iCs/>
              </w:rPr>
              <w:t>Eupomatia laurina</w:t>
            </w:r>
          </w:p>
        </w:tc>
        <w:tc>
          <w:tcPr>
            <w:tcW w:w="787" w:type="dxa"/>
            <w:shd w:val="clear" w:color="auto" w:fill="F4F8D4" w:themeFill="accent2" w:themeFillTint="33"/>
            <w:vAlign w:val="center"/>
          </w:tcPr>
          <w:p w14:paraId="11948A2B" w14:textId="77777777" w:rsidR="00004C1E" w:rsidRPr="006D733F" w:rsidRDefault="00004C1E" w:rsidP="002A7EFA">
            <w:pPr>
              <w:pStyle w:val="BodyText"/>
              <w:jc w:val="center"/>
              <w:rPr>
                <w:b/>
                <w:bCs/>
                <w:sz w:val="16"/>
                <w:szCs w:val="16"/>
              </w:rPr>
            </w:pPr>
            <w:r w:rsidRPr="00950E12">
              <w:rPr>
                <w:b/>
                <w:bCs/>
                <w:color w:val="FF0000"/>
                <w:sz w:val="16"/>
                <w:szCs w:val="16"/>
              </w:rPr>
              <w:t>EG</w:t>
            </w:r>
          </w:p>
        </w:tc>
        <w:tc>
          <w:tcPr>
            <w:tcW w:w="788" w:type="dxa"/>
            <w:shd w:val="clear" w:color="auto" w:fill="F4F8D4" w:themeFill="accent2" w:themeFillTint="33"/>
            <w:vAlign w:val="center"/>
          </w:tcPr>
          <w:p w14:paraId="0A85612D" w14:textId="77777777" w:rsidR="00004C1E" w:rsidRPr="006D733F" w:rsidRDefault="00004C1E" w:rsidP="002A7EFA">
            <w:pPr>
              <w:pStyle w:val="BodyText"/>
              <w:jc w:val="center"/>
              <w:rPr>
                <w:b/>
                <w:bCs/>
                <w:sz w:val="16"/>
                <w:szCs w:val="16"/>
              </w:rPr>
            </w:pPr>
            <w:r w:rsidRPr="00144F61">
              <w:rPr>
                <w:b/>
                <w:bCs/>
                <w:color w:val="FF0000"/>
                <w:sz w:val="16"/>
                <w:szCs w:val="16"/>
              </w:rPr>
              <w:t>EG</w:t>
            </w:r>
          </w:p>
        </w:tc>
        <w:tc>
          <w:tcPr>
            <w:tcW w:w="788" w:type="dxa"/>
            <w:shd w:val="clear" w:color="auto" w:fill="F4F8D4" w:themeFill="accent2" w:themeFillTint="33"/>
            <w:vAlign w:val="center"/>
          </w:tcPr>
          <w:p w14:paraId="39EDAEC0" w14:textId="77777777" w:rsidR="00004C1E" w:rsidRPr="00144F61" w:rsidRDefault="00004C1E" w:rsidP="002A7EFA">
            <w:pPr>
              <w:pStyle w:val="BodyText"/>
              <w:jc w:val="center"/>
              <w:rPr>
                <w:b/>
                <w:bCs/>
                <w:sz w:val="16"/>
                <w:szCs w:val="16"/>
              </w:rPr>
            </w:pPr>
            <w:r w:rsidRPr="00144F61">
              <w:rPr>
                <w:b/>
                <w:bCs/>
                <w:color w:val="00857E" w:themeColor="accent1" w:themeShade="BF"/>
                <w:sz w:val="16"/>
                <w:szCs w:val="16"/>
              </w:rPr>
              <w:t>EG</w:t>
            </w:r>
          </w:p>
        </w:tc>
        <w:tc>
          <w:tcPr>
            <w:tcW w:w="787" w:type="dxa"/>
            <w:shd w:val="clear" w:color="auto" w:fill="auto"/>
            <w:vAlign w:val="center"/>
          </w:tcPr>
          <w:p w14:paraId="6E55C673"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6BAB2DA6" w14:textId="77777777" w:rsidR="00004C1E" w:rsidRPr="00144F61" w:rsidRDefault="00004C1E" w:rsidP="002A7EFA">
            <w:pPr>
              <w:pStyle w:val="BodyText"/>
              <w:jc w:val="center"/>
              <w:rPr>
                <w:b/>
                <w:bCs/>
                <w:sz w:val="16"/>
                <w:szCs w:val="16"/>
              </w:rPr>
            </w:pPr>
            <w:r w:rsidRPr="00144F61">
              <w:rPr>
                <w:b/>
                <w:bCs/>
                <w:color w:val="00857E" w:themeColor="accent1" w:themeShade="BF"/>
                <w:sz w:val="16"/>
                <w:szCs w:val="16"/>
              </w:rPr>
              <w:t>EG</w:t>
            </w:r>
          </w:p>
        </w:tc>
        <w:tc>
          <w:tcPr>
            <w:tcW w:w="788" w:type="dxa"/>
            <w:shd w:val="clear" w:color="auto" w:fill="auto"/>
            <w:vAlign w:val="center"/>
          </w:tcPr>
          <w:p w14:paraId="21032D85" w14:textId="77777777" w:rsidR="00004C1E" w:rsidRPr="006D733F" w:rsidRDefault="00004C1E" w:rsidP="002A7EFA">
            <w:pPr>
              <w:pStyle w:val="BodyText"/>
              <w:jc w:val="center"/>
              <w:rPr>
                <w:sz w:val="16"/>
                <w:szCs w:val="16"/>
              </w:rPr>
            </w:pPr>
          </w:p>
        </w:tc>
      </w:tr>
      <w:tr w:rsidR="00004C1E" w:rsidRPr="00B86E82" w14:paraId="2D8072A7" w14:textId="77777777" w:rsidTr="002A7EFA">
        <w:trPr>
          <w:gridAfter w:val="1"/>
          <w:wAfter w:w="843" w:type="dxa"/>
        </w:trPr>
        <w:tc>
          <w:tcPr>
            <w:tcW w:w="2389" w:type="dxa"/>
            <w:vAlign w:val="center"/>
          </w:tcPr>
          <w:p w14:paraId="28D05F4F" w14:textId="77777777" w:rsidR="00004C1E" w:rsidRPr="00B86E82" w:rsidRDefault="00004C1E" w:rsidP="002A7EFA">
            <w:pPr>
              <w:pStyle w:val="BodyText"/>
            </w:pPr>
            <w:r w:rsidRPr="00B86E82">
              <w:t>Brackish Plains Buttercup</w:t>
            </w:r>
          </w:p>
        </w:tc>
        <w:tc>
          <w:tcPr>
            <w:tcW w:w="2390" w:type="dxa"/>
            <w:vAlign w:val="center"/>
          </w:tcPr>
          <w:p w14:paraId="5CE53496" w14:textId="77777777" w:rsidR="00004C1E" w:rsidRPr="00B86E82" w:rsidRDefault="00004C1E" w:rsidP="002A7EFA">
            <w:pPr>
              <w:pStyle w:val="BodyText"/>
              <w:rPr>
                <w:sz w:val="16"/>
                <w:szCs w:val="16"/>
              </w:rPr>
            </w:pPr>
            <w:r w:rsidRPr="004023AB">
              <w:rPr>
                <w:i/>
                <w:iCs/>
              </w:rPr>
              <w:t>Ranunculus diminutus</w:t>
            </w:r>
          </w:p>
        </w:tc>
        <w:tc>
          <w:tcPr>
            <w:tcW w:w="787" w:type="dxa"/>
            <w:shd w:val="clear" w:color="auto" w:fill="F4F8D4" w:themeFill="accent2" w:themeFillTint="33"/>
            <w:vAlign w:val="center"/>
          </w:tcPr>
          <w:p w14:paraId="601F44FE" w14:textId="77777777" w:rsidR="00004C1E" w:rsidRPr="006F7F3C" w:rsidRDefault="00004C1E" w:rsidP="002A7EFA">
            <w:pPr>
              <w:pStyle w:val="BodyText"/>
              <w:jc w:val="center"/>
              <w:rPr>
                <w:b/>
                <w:bCs/>
                <w:color w:val="FF0000"/>
                <w:sz w:val="16"/>
                <w:szCs w:val="16"/>
              </w:rPr>
            </w:pPr>
            <w:r w:rsidRPr="006F7F3C">
              <w:rPr>
                <w:b/>
                <w:bCs/>
                <w:color w:val="FF0000"/>
                <w:sz w:val="16"/>
                <w:szCs w:val="16"/>
              </w:rPr>
              <w:t>CH, G, NE, W</w:t>
            </w:r>
          </w:p>
        </w:tc>
        <w:tc>
          <w:tcPr>
            <w:tcW w:w="788" w:type="dxa"/>
            <w:shd w:val="clear" w:color="auto" w:fill="auto"/>
            <w:vAlign w:val="center"/>
          </w:tcPr>
          <w:p w14:paraId="2AA6B0B2" w14:textId="77777777" w:rsidR="00004C1E" w:rsidRPr="006F7F3C" w:rsidRDefault="00004C1E" w:rsidP="002A7EFA">
            <w:pPr>
              <w:pStyle w:val="BodyText"/>
              <w:jc w:val="center"/>
              <w:rPr>
                <w:b/>
                <w:bCs/>
                <w:color w:val="FF0000"/>
                <w:sz w:val="16"/>
                <w:szCs w:val="16"/>
              </w:rPr>
            </w:pPr>
          </w:p>
        </w:tc>
        <w:tc>
          <w:tcPr>
            <w:tcW w:w="788" w:type="dxa"/>
            <w:shd w:val="clear" w:color="auto" w:fill="auto"/>
            <w:vAlign w:val="center"/>
          </w:tcPr>
          <w:p w14:paraId="57D57022" w14:textId="77777777" w:rsidR="00004C1E" w:rsidRPr="006F7F3C" w:rsidRDefault="00004C1E" w:rsidP="002A7EFA">
            <w:pPr>
              <w:pStyle w:val="BodyText"/>
              <w:jc w:val="center"/>
              <w:rPr>
                <w:b/>
                <w:bCs/>
                <w:color w:val="FF0000"/>
                <w:sz w:val="16"/>
                <w:szCs w:val="16"/>
              </w:rPr>
            </w:pPr>
          </w:p>
        </w:tc>
        <w:tc>
          <w:tcPr>
            <w:tcW w:w="787" w:type="dxa"/>
            <w:shd w:val="clear" w:color="auto" w:fill="F4F8D4" w:themeFill="accent2" w:themeFillTint="33"/>
            <w:vAlign w:val="center"/>
          </w:tcPr>
          <w:p w14:paraId="323BAF87" w14:textId="77777777" w:rsidR="00004C1E" w:rsidRPr="006F7F3C" w:rsidRDefault="00004C1E" w:rsidP="002A7EFA">
            <w:pPr>
              <w:pStyle w:val="BodyText"/>
              <w:jc w:val="center"/>
              <w:rPr>
                <w:b/>
                <w:bCs/>
                <w:color w:val="FF0000"/>
                <w:sz w:val="16"/>
                <w:szCs w:val="16"/>
              </w:rPr>
            </w:pPr>
            <w:r w:rsidRPr="006F7F3C">
              <w:rPr>
                <w:b/>
                <w:bCs/>
                <w:color w:val="FF0000"/>
                <w:sz w:val="16"/>
                <w:szCs w:val="16"/>
              </w:rPr>
              <w:t>CH, G, NE, W</w:t>
            </w:r>
          </w:p>
        </w:tc>
        <w:tc>
          <w:tcPr>
            <w:tcW w:w="788" w:type="dxa"/>
            <w:shd w:val="clear" w:color="auto" w:fill="F4F8D4" w:themeFill="accent2" w:themeFillTint="33"/>
            <w:vAlign w:val="center"/>
          </w:tcPr>
          <w:p w14:paraId="36C9AC74" w14:textId="77777777" w:rsidR="00004C1E" w:rsidRPr="006F7F3C" w:rsidRDefault="00004C1E" w:rsidP="002A7EFA">
            <w:pPr>
              <w:pStyle w:val="BodyText"/>
              <w:jc w:val="center"/>
              <w:rPr>
                <w:b/>
                <w:bCs/>
                <w:color w:val="FF0000"/>
                <w:sz w:val="16"/>
                <w:szCs w:val="16"/>
              </w:rPr>
            </w:pPr>
            <w:r w:rsidRPr="006F7F3C">
              <w:rPr>
                <w:b/>
                <w:bCs/>
                <w:color w:val="FF0000"/>
                <w:sz w:val="16"/>
                <w:szCs w:val="16"/>
              </w:rPr>
              <w:t>CH, G, NE, W</w:t>
            </w:r>
          </w:p>
        </w:tc>
        <w:tc>
          <w:tcPr>
            <w:tcW w:w="788" w:type="dxa"/>
            <w:shd w:val="clear" w:color="auto" w:fill="auto"/>
            <w:vAlign w:val="center"/>
          </w:tcPr>
          <w:p w14:paraId="71E9B2E2" w14:textId="77777777" w:rsidR="00004C1E" w:rsidRPr="006D733F" w:rsidRDefault="00004C1E" w:rsidP="002A7EFA">
            <w:pPr>
              <w:pStyle w:val="BodyText"/>
              <w:jc w:val="center"/>
              <w:rPr>
                <w:sz w:val="16"/>
                <w:szCs w:val="16"/>
              </w:rPr>
            </w:pPr>
          </w:p>
        </w:tc>
      </w:tr>
      <w:tr w:rsidR="00004C1E" w:rsidRPr="00B86E82" w14:paraId="604128F6" w14:textId="77777777" w:rsidTr="002A7EFA">
        <w:trPr>
          <w:gridAfter w:val="1"/>
          <w:wAfter w:w="843" w:type="dxa"/>
        </w:trPr>
        <w:tc>
          <w:tcPr>
            <w:tcW w:w="2389" w:type="dxa"/>
            <w:vAlign w:val="center"/>
          </w:tcPr>
          <w:p w14:paraId="33BB2F89" w14:textId="77777777" w:rsidR="00004C1E" w:rsidRPr="00B86E82" w:rsidRDefault="00004C1E" w:rsidP="002A7EFA">
            <w:pPr>
              <w:pStyle w:val="BodyText"/>
            </w:pPr>
            <w:r w:rsidRPr="00B86E82">
              <w:t>Bristly Shield-fern</w:t>
            </w:r>
          </w:p>
        </w:tc>
        <w:tc>
          <w:tcPr>
            <w:tcW w:w="2390" w:type="dxa"/>
            <w:vAlign w:val="center"/>
          </w:tcPr>
          <w:p w14:paraId="2F1B5D75" w14:textId="77777777" w:rsidR="00004C1E" w:rsidRPr="004023AB" w:rsidRDefault="00004C1E" w:rsidP="002A7EFA">
            <w:pPr>
              <w:pStyle w:val="BodyText"/>
              <w:rPr>
                <w:i/>
                <w:iCs/>
              </w:rPr>
            </w:pPr>
            <w:r w:rsidRPr="004023AB">
              <w:rPr>
                <w:i/>
                <w:iCs/>
              </w:rPr>
              <w:t>Lastreopsis hispida</w:t>
            </w:r>
          </w:p>
        </w:tc>
        <w:tc>
          <w:tcPr>
            <w:tcW w:w="787" w:type="dxa"/>
            <w:shd w:val="clear" w:color="auto" w:fill="auto"/>
            <w:vAlign w:val="center"/>
          </w:tcPr>
          <w:p w14:paraId="47DD1E4E"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08E07726" w14:textId="77777777" w:rsidR="00004C1E" w:rsidRPr="006D733F" w:rsidRDefault="00004C1E" w:rsidP="002A7EFA">
            <w:pPr>
              <w:pStyle w:val="BodyText"/>
              <w:jc w:val="center"/>
              <w:rPr>
                <w:sz w:val="16"/>
                <w:szCs w:val="16"/>
              </w:rPr>
            </w:pPr>
            <w:r w:rsidRPr="00AD1AC2">
              <w:rPr>
                <w:b/>
                <w:bCs/>
                <w:color w:val="FF0000"/>
                <w:sz w:val="16"/>
                <w:szCs w:val="16"/>
              </w:rPr>
              <w:t>CH, EG, W</w:t>
            </w:r>
          </w:p>
        </w:tc>
        <w:tc>
          <w:tcPr>
            <w:tcW w:w="788" w:type="dxa"/>
            <w:shd w:val="clear" w:color="auto" w:fill="F4F8D4" w:themeFill="accent2" w:themeFillTint="33"/>
            <w:vAlign w:val="center"/>
          </w:tcPr>
          <w:p w14:paraId="264793FE" w14:textId="77777777" w:rsidR="00004C1E" w:rsidRPr="00AD1AC2" w:rsidRDefault="00004C1E" w:rsidP="002A7EFA">
            <w:pPr>
              <w:pStyle w:val="BodyText"/>
              <w:jc w:val="center"/>
              <w:rPr>
                <w:b/>
                <w:bCs/>
                <w:color w:val="00857E" w:themeColor="accent1" w:themeShade="BF"/>
                <w:sz w:val="16"/>
                <w:szCs w:val="16"/>
              </w:rPr>
            </w:pPr>
            <w:r w:rsidRPr="00AD1AC2">
              <w:rPr>
                <w:b/>
                <w:bCs/>
                <w:color w:val="00857E" w:themeColor="accent1" w:themeShade="BF"/>
                <w:sz w:val="16"/>
                <w:szCs w:val="16"/>
              </w:rPr>
              <w:t>CH, EG</w:t>
            </w:r>
          </w:p>
        </w:tc>
        <w:tc>
          <w:tcPr>
            <w:tcW w:w="787" w:type="dxa"/>
            <w:shd w:val="clear" w:color="auto" w:fill="auto"/>
            <w:vAlign w:val="center"/>
          </w:tcPr>
          <w:p w14:paraId="2305510A" w14:textId="77777777" w:rsidR="00004C1E" w:rsidRPr="00AD1AC2" w:rsidRDefault="00004C1E" w:rsidP="002A7EFA">
            <w:pPr>
              <w:pStyle w:val="BodyText"/>
              <w:jc w:val="center"/>
              <w:rPr>
                <w:b/>
                <w:bCs/>
                <w:color w:val="00857E" w:themeColor="accent1" w:themeShade="BF"/>
                <w:sz w:val="16"/>
                <w:szCs w:val="16"/>
              </w:rPr>
            </w:pPr>
          </w:p>
        </w:tc>
        <w:tc>
          <w:tcPr>
            <w:tcW w:w="788" w:type="dxa"/>
            <w:shd w:val="clear" w:color="auto" w:fill="F4F8D4" w:themeFill="accent2" w:themeFillTint="33"/>
            <w:vAlign w:val="center"/>
          </w:tcPr>
          <w:p w14:paraId="1E02B757" w14:textId="77777777" w:rsidR="00004C1E" w:rsidRPr="00AD1AC2" w:rsidRDefault="00004C1E" w:rsidP="002A7EFA">
            <w:pPr>
              <w:pStyle w:val="BodyText"/>
              <w:jc w:val="center"/>
              <w:rPr>
                <w:b/>
                <w:bCs/>
                <w:color w:val="00857E" w:themeColor="accent1" w:themeShade="BF"/>
                <w:sz w:val="16"/>
                <w:szCs w:val="16"/>
              </w:rPr>
            </w:pPr>
            <w:r w:rsidRPr="00AD1AC2">
              <w:rPr>
                <w:b/>
                <w:bCs/>
                <w:color w:val="00857E" w:themeColor="accent1" w:themeShade="BF"/>
                <w:sz w:val="16"/>
                <w:szCs w:val="16"/>
              </w:rPr>
              <w:t>CH, EG</w:t>
            </w:r>
          </w:p>
        </w:tc>
        <w:tc>
          <w:tcPr>
            <w:tcW w:w="788" w:type="dxa"/>
            <w:shd w:val="clear" w:color="auto" w:fill="auto"/>
            <w:vAlign w:val="center"/>
          </w:tcPr>
          <w:p w14:paraId="69403BC0" w14:textId="77777777" w:rsidR="00004C1E" w:rsidRPr="006D733F" w:rsidRDefault="00004C1E" w:rsidP="002A7EFA">
            <w:pPr>
              <w:pStyle w:val="BodyText"/>
              <w:jc w:val="center"/>
              <w:rPr>
                <w:sz w:val="16"/>
                <w:szCs w:val="16"/>
              </w:rPr>
            </w:pPr>
          </w:p>
        </w:tc>
      </w:tr>
      <w:tr w:rsidR="00004C1E" w:rsidRPr="00B86E82" w14:paraId="4D8243C1" w14:textId="77777777" w:rsidTr="002A7EFA">
        <w:trPr>
          <w:gridAfter w:val="1"/>
          <w:wAfter w:w="843" w:type="dxa"/>
        </w:trPr>
        <w:tc>
          <w:tcPr>
            <w:tcW w:w="2389" w:type="dxa"/>
            <w:vAlign w:val="center"/>
          </w:tcPr>
          <w:p w14:paraId="3ECD5B01" w14:textId="77777777" w:rsidR="00004C1E" w:rsidRPr="00B86E82" w:rsidRDefault="00004C1E" w:rsidP="002A7EFA">
            <w:pPr>
              <w:pStyle w:val="BodyText"/>
            </w:pPr>
            <w:r w:rsidRPr="00B86E82">
              <w:t>Creeping Shield-fern</w:t>
            </w:r>
          </w:p>
        </w:tc>
        <w:tc>
          <w:tcPr>
            <w:tcW w:w="2390" w:type="dxa"/>
            <w:vAlign w:val="center"/>
          </w:tcPr>
          <w:p w14:paraId="672915F2" w14:textId="77777777" w:rsidR="00004C1E" w:rsidRPr="004023AB" w:rsidRDefault="00004C1E" w:rsidP="002A7EFA">
            <w:pPr>
              <w:pStyle w:val="BodyText"/>
              <w:rPr>
                <w:i/>
                <w:iCs/>
              </w:rPr>
            </w:pPr>
            <w:r w:rsidRPr="004023AB">
              <w:rPr>
                <w:i/>
                <w:iCs/>
              </w:rPr>
              <w:t xml:space="preserve">Lastreopsis microsora </w:t>
            </w:r>
            <w:r w:rsidRPr="003B150A">
              <w:t>subsp.</w:t>
            </w:r>
            <w:r w:rsidRPr="004023AB">
              <w:rPr>
                <w:i/>
                <w:iCs/>
              </w:rPr>
              <w:t xml:space="preserve"> microsora</w:t>
            </w:r>
          </w:p>
        </w:tc>
        <w:tc>
          <w:tcPr>
            <w:tcW w:w="787" w:type="dxa"/>
            <w:shd w:val="clear" w:color="auto" w:fill="auto"/>
            <w:vAlign w:val="center"/>
          </w:tcPr>
          <w:p w14:paraId="2E3BC3ED"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45D81ADD" w14:textId="77777777" w:rsidR="00004C1E" w:rsidRPr="006D733F" w:rsidRDefault="00004C1E" w:rsidP="002A7EFA">
            <w:pPr>
              <w:pStyle w:val="BodyText"/>
              <w:jc w:val="center"/>
              <w:rPr>
                <w:sz w:val="16"/>
                <w:szCs w:val="16"/>
              </w:rPr>
            </w:pPr>
            <w:r w:rsidRPr="00AD1AC2">
              <w:rPr>
                <w:b/>
                <w:bCs/>
                <w:color w:val="FF0000"/>
                <w:sz w:val="16"/>
                <w:szCs w:val="16"/>
              </w:rPr>
              <w:t>EG</w:t>
            </w:r>
          </w:p>
        </w:tc>
        <w:tc>
          <w:tcPr>
            <w:tcW w:w="788" w:type="dxa"/>
            <w:shd w:val="clear" w:color="auto" w:fill="F4F8D4" w:themeFill="accent2" w:themeFillTint="33"/>
            <w:vAlign w:val="center"/>
          </w:tcPr>
          <w:p w14:paraId="0E8B59DE" w14:textId="77777777" w:rsidR="00004C1E" w:rsidRPr="00AD1AC2" w:rsidRDefault="00004C1E" w:rsidP="002A7EFA">
            <w:pPr>
              <w:pStyle w:val="BodyText"/>
              <w:jc w:val="center"/>
              <w:rPr>
                <w:b/>
                <w:bCs/>
                <w:color w:val="00857E" w:themeColor="accent1" w:themeShade="BF"/>
                <w:sz w:val="16"/>
                <w:szCs w:val="16"/>
              </w:rPr>
            </w:pPr>
            <w:r w:rsidRPr="00AD1AC2">
              <w:rPr>
                <w:b/>
                <w:bCs/>
                <w:color w:val="00857E" w:themeColor="accent1" w:themeShade="BF"/>
                <w:sz w:val="16"/>
                <w:szCs w:val="16"/>
              </w:rPr>
              <w:t>EG</w:t>
            </w:r>
          </w:p>
        </w:tc>
        <w:tc>
          <w:tcPr>
            <w:tcW w:w="787" w:type="dxa"/>
            <w:shd w:val="clear" w:color="auto" w:fill="auto"/>
            <w:vAlign w:val="center"/>
          </w:tcPr>
          <w:p w14:paraId="13035B5D" w14:textId="77777777" w:rsidR="00004C1E" w:rsidRPr="00AD1AC2" w:rsidRDefault="00004C1E" w:rsidP="002A7EFA">
            <w:pPr>
              <w:pStyle w:val="BodyText"/>
              <w:jc w:val="center"/>
              <w:rPr>
                <w:b/>
                <w:bCs/>
                <w:color w:val="00857E" w:themeColor="accent1" w:themeShade="BF"/>
                <w:sz w:val="16"/>
                <w:szCs w:val="16"/>
              </w:rPr>
            </w:pPr>
          </w:p>
        </w:tc>
        <w:tc>
          <w:tcPr>
            <w:tcW w:w="788" w:type="dxa"/>
            <w:shd w:val="clear" w:color="auto" w:fill="F4F8D4" w:themeFill="accent2" w:themeFillTint="33"/>
            <w:vAlign w:val="center"/>
          </w:tcPr>
          <w:p w14:paraId="02D4BDBB" w14:textId="77777777" w:rsidR="00004C1E" w:rsidRPr="00AD1AC2" w:rsidRDefault="00004C1E" w:rsidP="002A7EFA">
            <w:pPr>
              <w:pStyle w:val="BodyText"/>
              <w:jc w:val="center"/>
              <w:rPr>
                <w:b/>
                <w:bCs/>
                <w:color w:val="00857E" w:themeColor="accent1" w:themeShade="BF"/>
                <w:sz w:val="16"/>
                <w:szCs w:val="16"/>
              </w:rPr>
            </w:pPr>
            <w:r w:rsidRPr="00AD1AC2">
              <w:rPr>
                <w:b/>
                <w:bCs/>
                <w:color w:val="00857E" w:themeColor="accent1" w:themeShade="BF"/>
                <w:sz w:val="16"/>
                <w:szCs w:val="16"/>
              </w:rPr>
              <w:t>EG</w:t>
            </w:r>
          </w:p>
        </w:tc>
        <w:tc>
          <w:tcPr>
            <w:tcW w:w="788" w:type="dxa"/>
            <w:shd w:val="clear" w:color="auto" w:fill="auto"/>
            <w:vAlign w:val="center"/>
          </w:tcPr>
          <w:p w14:paraId="367F523A" w14:textId="77777777" w:rsidR="00004C1E" w:rsidRPr="006D733F" w:rsidRDefault="00004C1E" w:rsidP="002A7EFA">
            <w:pPr>
              <w:pStyle w:val="BodyText"/>
              <w:jc w:val="center"/>
              <w:rPr>
                <w:sz w:val="16"/>
                <w:szCs w:val="16"/>
              </w:rPr>
            </w:pPr>
          </w:p>
        </w:tc>
      </w:tr>
      <w:tr w:rsidR="00004C1E" w:rsidRPr="00B86E82" w14:paraId="42B8CD83" w14:textId="77777777" w:rsidTr="002A7EFA">
        <w:trPr>
          <w:gridAfter w:val="1"/>
          <w:wAfter w:w="843" w:type="dxa"/>
        </w:trPr>
        <w:tc>
          <w:tcPr>
            <w:tcW w:w="2389" w:type="dxa"/>
            <w:vAlign w:val="center"/>
          </w:tcPr>
          <w:p w14:paraId="196E14F0" w14:textId="77777777" w:rsidR="00004C1E" w:rsidRPr="00B86E82" w:rsidRDefault="00004C1E" w:rsidP="002A7EFA">
            <w:pPr>
              <w:pStyle w:val="BodyText"/>
            </w:pPr>
            <w:r w:rsidRPr="00B86E82">
              <w:t>Eastern Pomaderris</w:t>
            </w:r>
          </w:p>
        </w:tc>
        <w:tc>
          <w:tcPr>
            <w:tcW w:w="2390" w:type="dxa"/>
            <w:vAlign w:val="center"/>
          </w:tcPr>
          <w:p w14:paraId="2F25FC27" w14:textId="77777777" w:rsidR="00004C1E" w:rsidRPr="00B86E82" w:rsidRDefault="00004C1E" w:rsidP="002A7EFA">
            <w:pPr>
              <w:pStyle w:val="BodyText"/>
              <w:rPr>
                <w:sz w:val="16"/>
                <w:szCs w:val="16"/>
              </w:rPr>
            </w:pPr>
            <w:r w:rsidRPr="004023AB">
              <w:rPr>
                <w:i/>
                <w:iCs/>
              </w:rPr>
              <w:t>Pomaderris discolor</w:t>
            </w:r>
          </w:p>
        </w:tc>
        <w:tc>
          <w:tcPr>
            <w:tcW w:w="787" w:type="dxa"/>
            <w:shd w:val="clear" w:color="auto" w:fill="auto"/>
            <w:vAlign w:val="center"/>
          </w:tcPr>
          <w:p w14:paraId="5F472A26" w14:textId="77777777" w:rsidR="00004C1E" w:rsidRPr="006D733F" w:rsidRDefault="00004C1E" w:rsidP="002A7EFA">
            <w:pPr>
              <w:pStyle w:val="BodyText"/>
              <w:jc w:val="center"/>
              <w:rPr>
                <w:sz w:val="16"/>
                <w:szCs w:val="16"/>
              </w:rPr>
            </w:pPr>
          </w:p>
        </w:tc>
        <w:tc>
          <w:tcPr>
            <w:tcW w:w="788" w:type="dxa"/>
            <w:shd w:val="clear" w:color="auto" w:fill="auto"/>
            <w:vAlign w:val="center"/>
          </w:tcPr>
          <w:p w14:paraId="4828E6AB" w14:textId="77777777" w:rsidR="00004C1E" w:rsidRPr="006D733F" w:rsidRDefault="00004C1E" w:rsidP="002A7EFA">
            <w:pPr>
              <w:pStyle w:val="BodyText"/>
              <w:jc w:val="center"/>
              <w:rPr>
                <w:sz w:val="16"/>
                <w:szCs w:val="16"/>
              </w:rPr>
            </w:pPr>
          </w:p>
        </w:tc>
        <w:tc>
          <w:tcPr>
            <w:tcW w:w="788" w:type="dxa"/>
            <w:shd w:val="clear" w:color="auto" w:fill="auto"/>
            <w:vAlign w:val="center"/>
          </w:tcPr>
          <w:p w14:paraId="6426196B" w14:textId="77777777" w:rsidR="00004C1E" w:rsidRPr="006D733F" w:rsidRDefault="00004C1E" w:rsidP="002A7EFA">
            <w:pPr>
              <w:pStyle w:val="BodyText"/>
              <w:jc w:val="center"/>
              <w:rPr>
                <w:sz w:val="16"/>
                <w:szCs w:val="16"/>
              </w:rPr>
            </w:pPr>
          </w:p>
        </w:tc>
        <w:tc>
          <w:tcPr>
            <w:tcW w:w="787" w:type="dxa"/>
            <w:shd w:val="clear" w:color="auto" w:fill="auto"/>
            <w:vAlign w:val="center"/>
          </w:tcPr>
          <w:p w14:paraId="24A9FBE8" w14:textId="77777777" w:rsidR="00004C1E" w:rsidRPr="006D733F" w:rsidRDefault="00004C1E" w:rsidP="002A7EFA">
            <w:pPr>
              <w:pStyle w:val="BodyText"/>
              <w:jc w:val="center"/>
              <w:rPr>
                <w:sz w:val="16"/>
                <w:szCs w:val="16"/>
              </w:rPr>
            </w:pPr>
          </w:p>
        </w:tc>
        <w:tc>
          <w:tcPr>
            <w:tcW w:w="788" w:type="dxa"/>
            <w:shd w:val="clear" w:color="auto" w:fill="auto"/>
            <w:vAlign w:val="center"/>
          </w:tcPr>
          <w:p w14:paraId="2831CB8C" w14:textId="77777777" w:rsidR="00004C1E" w:rsidRPr="006D733F" w:rsidRDefault="00004C1E" w:rsidP="002A7EFA">
            <w:pPr>
              <w:pStyle w:val="BodyText"/>
              <w:jc w:val="center"/>
              <w:rPr>
                <w:sz w:val="16"/>
                <w:szCs w:val="16"/>
              </w:rPr>
            </w:pPr>
          </w:p>
        </w:tc>
        <w:tc>
          <w:tcPr>
            <w:tcW w:w="788" w:type="dxa"/>
            <w:shd w:val="clear" w:color="auto" w:fill="auto"/>
            <w:vAlign w:val="center"/>
          </w:tcPr>
          <w:p w14:paraId="195A92A7" w14:textId="77777777" w:rsidR="00004C1E" w:rsidRPr="006D733F" w:rsidRDefault="00004C1E" w:rsidP="002A7EFA">
            <w:pPr>
              <w:pStyle w:val="BodyText"/>
              <w:jc w:val="center"/>
              <w:rPr>
                <w:sz w:val="16"/>
                <w:szCs w:val="16"/>
              </w:rPr>
            </w:pPr>
          </w:p>
        </w:tc>
      </w:tr>
      <w:tr w:rsidR="00004C1E" w:rsidRPr="00B86E82" w14:paraId="3F75EA2B" w14:textId="77777777" w:rsidTr="002A7EFA">
        <w:trPr>
          <w:gridAfter w:val="1"/>
          <w:wAfter w:w="843" w:type="dxa"/>
        </w:trPr>
        <w:tc>
          <w:tcPr>
            <w:tcW w:w="2389" w:type="dxa"/>
            <w:vAlign w:val="center"/>
          </w:tcPr>
          <w:p w14:paraId="46B0E0F3" w14:textId="77777777" w:rsidR="00004C1E" w:rsidRPr="00B86E82" w:rsidRDefault="00004C1E" w:rsidP="002A7EFA">
            <w:pPr>
              <w:pStyle w:val="BodyText"/>
            </w:pPr>
            <w:r w:rsidRPr="00B86E82">
              <w:t>Errinundra Pepper</w:t>
            </w:r>
          </w:p>
        </w:tc>
        <w:tc>
          <w:tcPr>
            <w:tcW w:w="2390" w:type="dxa"/>
            <w:vAlign w:val="center"/>
          </w:tcPr>
          <w:p w14:paraId="0AB29343" w14:textId="77777777" w:rsidR="00004C1E" w:rsidRPr="00B86E82" w:rsidRDefault="00004C1E" w:rsidP="002A7EFA">
            <w:pPr>
              <w:pStyle w:val="BodyText"/>
              <w:rPr>
                <w:sz w:val="16"/>
                <w:szCs w:val="16"/>
              </w:rPr>
            </w:pPr>
            <w:r w:rsidRPr="004023AB">
              <w:rPr>
                <w:i/>
                <w:iCs/>
              </w:rPr>
              <w:t xml:space="preserve">Tasmannia xerophila </w:t>
            </w:r>
            <w:r w:rsidRPr="003B150A">
              <w:t>subsp</w:t>
            </w:r>
            <w:r w:rsidRPr="004023AB">
              <w:rPr>
                <w:i/>
                <w:iCs/>
              </w:rPr>
              <w:t>. robusta</w:t>
            </w:r>
          </w:p>
        </w:tc>
        <w:tc>
          <w:tcPr>
            <w:tcW w:w="787" w:type="dxa"/>
            <w:shd w:val="clear" w:color="auto" w:fill="F4F8D4" w:themeFill="accent2" w:themeFillTint="33"/>
            <w:vAlign w:val="center"/>
          </w:tcPr>
          <w:p w14:paraId="7FC821AA" w14:textId="77777777" w:rsidR="00004C1E" w:rsidRPr="00351F29" w:rsidRDefault="00004C1E" w:rsidP="002A7EFA">
            <w:pPr>
              <w:pStyle w:val="BodyText"/>
              <w:jc w:val="center"/>
              <w:rPr>
                <w:b/>
                <w:bCs/>
                <w:color w:val="FF0000"/>
                <w:sz w:val="16"/>
                <w:szCs w:val="16"/>
              </w:rPr>
            </w:pPr>
            <w:r w:rsidRPr="00351F29">
              <w:rPr>
                <w:b/>
                <w:bCs/>
                <w:color w:val="FF0000"/>
                <w:sz w:val="16"/>
                <w:szCs w:val="16"/>
              </w:rPr>
              <w:t>EG</w:t>
            </w:r>
          </w:p>
        </w:tc>
        <w:tc>
          <w:tcPr>
            <w:tcW w:w="788" w:type="dxa"/>
            <w:shd w:val="clear" w:color="auto" w:fill="F4F8D4" w:themeFill="accent2" w:themeFillTint="33"/>
            <w:vAlign w:val="center"/>
          </w:tcPr>
          <w:p w14:paraId="3BC07D08" w14:textId="77777777" w:rsidR="00004C1E" w:rsidRPr="00351F29" w:rsidRDefault="00004C1E" w:rsidP="002A7EFA">
            <w:pPr>
              <w:pStyle w:val="BodyText"/>
              <w:jc w:val="center"/>
              <w:rPr>
                <w:b/>
                <w:bCs/>
                <w:color w:val="FF0000"/>
                <w:sz w:val="16"/>
                <w:szCs w:val="16"/>
              </w:rPr>
            </w:pPr>
            <w:r w:rsidRPr="00351F29">
              <w:rPr>
                <w:b/>
                <w:bCs/>
                <w:color w:val="FF0000"/>
                <w:sz w:val="16"/>
                <w:szCs w:val="16"/>
              </w:rPr>
              <w:t>EG</w:t>
            </w:r>
          </w:p>
        </w:tc>
        <w:tc>
          <w:tcPr>
            <w:tcW w:w="788" w:type="dxa"/>
            <w:shd w:val="clear" w:color="auto" w:fill="F4F8D4" w:themeFill="text2" w:themeFillTint="33"/>
            <w:vAlign w:val="center"/>
          </w:tcPr>
          <w:p w14:paraId="62896290" w14:textId="77777777" w:rsidR="00004C1E" w:rsidRPr="00351F29" w:rsidRDefault="00004C1E" w:rsidP="002A7EFA">
            <w:pPr>
              <w:pStyle w:val="BodyText"/>
              <w:jc w:val="center"/>
              <w:rPr>
                <w:b/>
                <w:bCs/>
                <w:sz w:val="16"/>
                <w:szCs w:val="16"/>
              </w:rPr>
            </w:pPr>
            <w:r w:rsidRPr="00351F29">
              <w:rPr>
                <w:b/>
                <w:bCs/>
                <w:color w:val="00857E" w:themeColor="accent1" w:themeShade="BF"/>
                <w:sz w:val="16"/>
                <w:szCs w:val="16"/>
              </w:rPr>
              <w:t>EG</w:t>
            </w:r>
          </w:p>
        </w:tc>
        <w:tc>
          <w:tcPr>
            <w:tcW w:w="787" w:type="dxa"/>
            <w:shd w:val="clear" w:color="auto" w:fill="auto"/>
            <w:vAlign w:val="center"/>
          </w:tcPr>
          <w:p w14:paraId="4B97132A" w14:textId="77777777" w:rsidR="00004C1E" w:rsidRPr="006D733F" w:rsidRDefault="00004C1E" w:rsidP="002A7EFA">
            <w:pPr>
              <w:pStyle w:val="BodyText"/>
              <w:jc w:val="center"/>
              <w:rPr>
                <w:sz w:val="16"/>
                <w:szCs w:val="16"/>
              </w:rPr>
            </w:pPr>
          </w:p>
        </w:tc>
        <w:tc>
          <w:tcPr>
            <w:tcW w:w="788" w:type="dxa"/>
            <w:shd w:val="clear" w:color="auto" w:fill="auto"/>
            <w:vAlign w:val="center"/>
          </w:tcPr>
          <w:p w14:paraId="7DC71ED3" w14:textId="77777777" w:rsidR="00004C1E" w:rsidRPr="006D733F" w:rsidRDefault="00004C1E" w:rsidP="002A7EFA">
            <w:pPr>
              <w:pStyle w:val="BodyText"/>
              <w:jc w:val="center"/>
              <w:rPr>
                <w:sz w:val="16"/>
                <w:szCs w:val="16"/>
              </w:rPr>
            </w:pPr>
          </w:p>
        </w:tc>
        <w:tc>
          <w:tcPr>
            <w:tcW w:w="788" w:type="dxa"/>
            <w:shd w:val="clear" w:color="auto" w:fill="auto"/>
            <w:vAlign w:val="center"/>
          </w:tcPr>
          <w:p w14:paraId="5AF68C6C" w14:textId="77777777" w:rsidR="00004C1E" w:rsidRPr="006D733F" w:rsidRDefault="00004C1E" w:rsidP="002A7EFA">
            <w:pPr>
              <w:pStyle w:val="BodyText"/>
              <w:jc w:val="center"/>
              <w:rPr>
                <w:sz w:val="16"/>
                <w:szCs w:val="16"/>
              </w:rPr>
            </w:pPr>
          </w:p>
        </w:tc>
      </w:tr>
      <w:tr w:rsidR="00004C1E" w:rsidRPr="00B86E82" w14:paraId="006C3CB7" w14:textId="77777777" w:rsidTr="002A7EFA">
        <w:trPr>
          <w:gridAfter w:val="1"/>
          <w:wAfter w:w="843" w:type="dxa"/>
        </w:trPr>
        <w:tc>
          <w:tcPr>
            <w:tcW w:w="2389" w:type="dxa"/>
            <w:vAlign w:val="center"/>
          </w:tcPr>
          <w:p w14:paraId="29A552C8" w14:textId="77777777" w:rsidR="00004C1E" w:rsidRPr="00B86E82" w:rsidRDefault="00004C1E" w:rsidP="002A7EFA">
            <w:pPr>
              <w:pStyle w:val="BodyText"/>
            </w:pPr>
            <w:r w:rsidRPr="00B86E82">
              <w:t>Errinundra Shining Gum</w:t>
            </w:r>
          </w:p>
        </w:tc>
        <w:tc>
          <w:tcPr>
            <w:tcW w:w="2390" w:type="dxa"/>
            <w:vAlign w:val="center"/>
          </w:tcPr>
          <w:p w14:paraId="4665905B" w14:textId="77777777" w:rsidR="00004C1E" w:rsidRPr="00B86E82" w:rsidRDefault="00004C1E" w:rsidP="002A7EFA">
            <w:pPr>
              <w:pStyle w:val="BodyText"/>
              <w:rPr>
                <w:sz w:val="16"/>
                <w:szCs w:val="16"/>
              </w:rPr>
            </w:pPr>
            <w:r w:rsidRPr="004023AB">
              <w:rPr>
                <w:i/>
                <w:iCs/>
              </w:rPr>
              <w:t>Eucalyptus denticulata</w:t>
            </w:r>
          </w:p>
        </w:tc>
        <w:tc>
          <w:tcPr>
            <w:tcW w:w="787" w:type="dxa"/>
            <w:shd w:val="clear" w:color="auto" w:fill="auto"/>
            <w:vAlign w:val="center"/>
          </w:tcPr>
          <w:p w14:paraId="415FDAC2" w14:textId="77777777" w:rsidR="00004C1E" w:rsidRPr="006D733F" w:rsidRDefault="00004C1E" w:rsidP="002A7EFA">
            <w:pPr>
              <w:pStyle w:val="BodyText"/>
              <w:jc w:val="center"/>
              <w:rPr>
                <w:sz w:val="16"/>
                <w:szCs w:val="16"/>
              </w:rPr>
            </w:pPr>
          </w:p>
        </w:tc>
        <w:tc>
          <w:tcPr>
            <w:tcW w:w="788" w:type="dxa"/>
            <w:shd w:val="clear" w:color="auto" w:fill="auto"/>
            <w:vAlign w:val="center"/>
          </w:tcPr>
          <w:p w14:paraId="15582D4E" w14:textId="77777777" w:rsidR="00004C1E" w:rsidRPr="006D733F" w:rsidRDefault="00004C1E" w:rsidP="002A7EFA">
            <w:pPr>
              <w:pStyle w:val="BodyText"/>
              <w:jc w:val="center"/>
              <w:rPr>
                <w:sz w:val="16"/>
                <w:szCs w:val="16"/>
              </w:rPr>
            </w:pPr>
          </w:p>
        </w:tc>
        <w:tc>
          <w:tcPr>
            <w:tcW w:w="788" w:type="dxa"/>
            <w:shd w:val="clear" w:color="auto" w:fill="auto"/>
            <w:vAlign w:val="center"/>
          </w:tcPr>
          <w:p w14:paraId="72CEC13B" w14:textId="77777777" w:rsidR="00004C1E" w:rsidRPr="006D733F" w:rsidRDefault="00004C1E" w:rsidP="002A7EFA">
            <w:pPr>
              <w:pStyle w:val="BodyText"/>
              <w:jc w:val="center"/>
              <w:rPr>
                <w:sz w:val="16"/>
                <w:szCs w:val="16"/>
              </w:rPr>
            </w:pPr>
          </w:p>
        </w:tc>
        <w:tc>
          <w:tcPr>
            <w:tcW w:w="787" w:type="dxa"/>
            <w:shd w:val="clear" w:color="auto" w:fill="auto"/>
            <w:vAlign w:val="center"/>
          </w:tcPr>
          <w:p w14:paraId="00D7E19C" w14:textId="77777777" w:rsidR="00004C1E" w:rsidRPr="006D733F" w:rsidRDefault="00004C1E" w:rsidP="002A7EFA">
            <w:pPr>
              <w:pStyle w:val="BodyText"/>
              <w:jc w:val="center"/>
              <w:rPr>
                <w:sz w:val="16"/>
                <w:szCs w:val="16"/>
              </w:rPr>
            </w:pPr>
          </w:p>
        </w:tc>
        <w:tc>
          <w:tcPr>
            <w:tcW w:w="788" w:type="dxa"/>
            <w:shd w:val="clear" w:color="auto" w:fill="auto"/>
            <w:vAlign w:val="center"/>
          </w:tcPr>
          <w:p w14:paraId="74F6C3CF" w14:textId="77777777" w:rsidR="00004C1E" w:rsidRPr="006D733F" w:rsidRDefault="00004C1E" w:rsidP="002A7EFA">
            <w:pPr>
              <w:pStyle w:val="BodyText"/>
              <w:jc w:val="center"/>
              <w:rPr>
                <w:sz w:val="16"/>
                <w:szCs w:val="16"/>
              </w:rPr>
            </w:pPr>
          </w:p>
        </w:tc>
        <w:tc>
          <w:tcPr>
            <w:tcW w:w="788" w:type="dxa"/>
            <w:shd w:val="clear" w:color="auto" w:fill="auto"/>
            <w:vAlign w:val="center"/>
          </w:tcPr>
          <w:p w14:paraId="39C2C780" w14:textId="77777777" w:rsidR="00004C1E" w:rsidRPr="006D733F" w:rsidRDefault="00004C1E" w:rsidP="002A7EFA">
            <w:pPr>
              <w:pStyle w:val="BodyText"/>
              <w:jc w:val="center"/>
              <w:rPr>
                <w:sz w:val="16"/>
                <w:szCs w:val="16"/>
              </w:rPr>
            </w:pPr>
          </w:p>
        </w:tc>
      </w:tr>
      <w:tr w:rsidR="00004C1E" w:rsidRPr="00B86E82" w14:paraId="3A963187" w14:textId="77777777" w:rsidTr="002A7EFA">
        <w:trPr>
          <w:gridAfter w:val="1"/>
          <w:wAfter w:w="843" w:type="dxa"/>
        </w:trPr>
        <w:tc>
          <w:tcPr>
            <w:tcW w:w="2389" w:type="dxa"/>
            <w:vAlign w:val="center"/>
          </w:tcPr>
          <w:p w14:paraId="5361E955" w14:textId="77777777" w:rsidR="00004C1E" w:rsidRPr="00B86E82" w:rsidRDefault="00004C1E" w:rsidP="002A7EFA">
            <w:pPr>
              <w:pStyle w:val="BodyText"/>
            </w:pPr>
            <w:r w:rsidRPr="00B86E82">
              <w:t>Finger Hakea</w:t>
            </w:r>
          </w:p>
        </w:tc>
        <w:tc>
          <w:tcPr>
            <w:tcW w:w="2390" w:type="dxa"/>
            <w:vAlign w:val="center"/>
          </w:tcPr>
          <w:p w14:paraId="6E414C33" w14:textId="77777777" w:rsidR="00004C1E" w:rsidRPr="00B86E82" w:rsidRDefault="00004C1E" w:rsidP="002A7EFA">
            <w:pPr>
              <w:pStyle w:val="BodyText"/>
              <w:rPr>
                <w:sz w:val="16"/>
                <w:szCs w:val="16"/>
              </w:rPr>
            </w:pPr>
            <w:r w:rsidRPr="004023AB">
              <w:rPr>
                <w:i/>
                <w:iCs/>
              </w:rPr>
              <w:t>Hakea dactyloides</w:t>
            </w:r>
          </w:p>
        </w:tc>
        <w:tc>
          <w:tcPr>
            <w:tcW w:w="787" w:type="dxa"/>
            <w:shd w:val="clear" w:color="auto" w:fill="F4F8D4" w:themeFill="accent2" w:themeFillTint="33"/>
            <w:vAlign w:val="center"/>
          </w:tcPr>
          <w:p w14:paraId="5A154287" w14:textId="77777777" w:rsidR="00004C1E" w:rsidRPr="008B1114" w:rsidRDefault="00004C1E" w:rsidP="002A7EFA">
            <w:pPr>
              <w:pStyle w:val="BodyText"/>
              <w:jc w:val="center"/>
              <w:rPr>
                <w:b/>
                <w:bCs/>
                <w:color w:val="FF0000"/>
                <w:sz w:val="16"/>
                <w:szCs w:val="16"/>
              </w:rPr>
            </w:pPr>
            <w:r w:rsidRPr="008B1114">
              <w:rPr>
                <w:b/>
                <w:bCs/>
                <w:color w:val="FF0000"/>
                <w:sz w:val="16"/>
                <w:szCs w:val="16"/>
              </w:rPr>
              <w:t>EG</w:t>
            </w:r>
          </w:p>
        </w:tc>
        <w:tc>
          <w:tcPr>
            <w:tcW w:w="788" w:type="dxa"/>
            <w:shd w:val="clear" w:color="auto" w:fill="F4F8D4" w:themeFill="accent2" w:themeFillTint="33"/>
            <w:vAlign w:val="center"/>
          </w:tcPr>
          <w:p w14:paraId="7CA61493" w14:textId="77777777" w:rsidR="00004C1E" w:rsidRPr="008B1114" w:rsidRDefault="00004C1E" w:rsidP="002A7EFA">
            <w:pPr>
              <w:pStyle w:val="BodyText"/>
              <w:jc w:val="center"/>
              <w:rPr>
                <w:b/>
                <w:bCs/>
                <w:color w:val="FF0000"/>
                <w:sz w:val="16"/>
                <w:szCs w:val="16"/>
              </w:rPr>
            </w:pPr>
            <w:r w:rsidRPr="008B1114">
              <w:rPr>
                <w:b/>
                <w:bCs/>
                <w:color w:val="FF0000"/>
                <w:sz w:val="16"/>
                <w:szCs w:val="16"/>
              </w:rPr>
              <w:t>EG</w:t>
            </w:r>
          </w:p>
        </w:tc>
        <w:tc>
          <w:tcPr>
            <w:tcW w:w="788" w:type="dxa"/>
            <w:shd w:val="clear" w:color="auto" w:fill="F4F8D4" w:themeFill="accent2" w:themeFillTint="33"/>
            <w:vAlign w:val="center"/>
          </w:tcPr>
          <w:p w14:paraId="0A703BF3" w14:textId="77777777" w:rsidR="00004C1E" w:rsidRPr="008B1114" w:rsidRDefault="00004C1E" w:rsidP="002A7EFA">
            <w:pPr>
              <w:pStyle w:val="BodyText"/>
              <w:jc w:val="center"/>
              <w:rPr>
                <w:b/>
                <w:bCs/>
                <w:sz w:val="16"/>
                <w:szCs w:val="16"/>
              </w:rPr>
            </w:pPr>
            <w:r w:rsidRPr="008B1114">
              <w:rPr>
                <w:b/>
                <w:bCs/>
                <w:color w:val="00857E" w:themeColor="accent1" w:themeShade="BF"/>
                <w:sz w:val="16"/>
                <w:szCs w:val="16"/>
              </w:rPr>
              <w:t>EG</w:t>
            </w:r>
          </w:p>
        </w:tc>
        <w:tc>
          <w:tcPr>
            <w:tcW w:w="787" w:type="dxa"/>
            <w:shd w:val="clear" w:color="auto" w:fill="auto"/>
            <w:vAlign w:val="center"/>
          </w:tcPr>
          <w:p w14:paraId="0EB8862A"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57FFA52A" w14:textId="77777777" w:rsidR="00004C1E" w:rsidRPr="008B1114" w:rsidRDefault="00004C1E" w:rsidP="002A7EFA">
            <w:pPr>
              <w:pStyle w:val="BodyText"/>
              <w:jc w:val="center"/>
              <w:rPr>
                <w:b/>
                <w:bCs/>
                <w:color w:val="FF0000"/>
                <w:sz w:val="16"/>
                <w:szCs w:val="16"/>
              </w:rPr>
            </w:pPr>
            <w:r w:rsidRPr="008B1114">
              <w:rPr>
                <w:b/>
                <w:bCs/>
                <w:color w:val="FF0000"/>
                <w:sz w:val="16"/>
                <w:szCs w:val="16"/>
              </w:rPr>
              <w:t>EG</w:t>
            </w:r>
          </w:p>
        </w:tc>
        <w:tc>
          <w:tcPr>
            <w:tcW w:w="788" w:type="dxa"/>
            <w:shd w:val="clear" w:color="auto" w:fill="F4F8D4" w:themeFill="accent2" w:themeFillTint="33"/>
            <w:vAlign w:val="center"/>
          </w:tcPr>
          <w:p w14:paraId="05702709" w14:textId="77777777" w:rsidR="00004C1E" w:rsidRPr="008B1114" w:rsidRDefault="00004C1E" w:rsidP="002A7EFA">
            <w:pPr>
              <w:pStyle w:val="BodyText"/>
              <w:jc w:val="center"/>
              <w:rPr>
                <w:b/>
                <w:bCs/>
                <w:color w:val="FF0000"/>
                <w:sz w:val="16"/>
                <w:szCs w:val="16"/>
              </w:rPr>
            </w:pPr>
            <w:r w:rsidRPr="008B1114">
              <w:rPr>
                <w:b/>
                <w:bCs/>
                <w:color w:val="FF0000"/>
                <w:sz w:val="16"/>
                <w:szCs w:val="16"/>
              </w:rPr>
              <w:t>EG</w:t>
            </w:r>
          </w:p>
        </w:tc>
      </w:tr>
      <w:tr w:rsidR="00004C1E" w:rsidRPr="00B86E82" w14:paraId="190EF9AF" w14:textId="77777777" w:rsidTr="002A7EFA">
        <w:trPr>
          <w:gridAfter w:val="1"/>
          <w:wAfter w:w="843" w:type="dxa"/>
        </w:trPr>
        <w:tc>
          <w:tcPr>
            <w:tcW w:w="2389" w:type="dxa"/>
            <w:vAlign w:val="center"/>
          </w:tcPr>
          <w:p w14:paraId="2EF6D6CB" w14:textId="77777777" w:rsidR="00004C1E" w:rsidRPr="00B86E82" w:rsidRDefault="00004C1E" w:rsidP="002A7EFA">
            <w:pPr>
              <w:pStyle w:val="BodyText"/>
            </w:pPr>
            <w:r w:rsidRPr="00B86E82">
              <w:t>Fingerwort</w:t>
            </w:r>
          </w:p>
        </w:tc>
        <w:tc>
          <w:tcPr>
            <w:tcW w:w="2390" w:type="dxa"/>
            <w:vAlign w:val="center"/>
          </w:tcPr>
          <w:p w14:paraId="4E9AFFEA" w14:textId="77777777" w:rsidR="00004C1E" w:rsidRPr="004023AB" w:rsidRDefault="00004C1E" w:rsidP="002A7EFA">
            <w:pPr>
              <w:pStyle w:val="BodyText"/>
              <w:rPr>
                <w:i/>
                <w:iCs/>
              </w:rPr>
            </w:pPr>
            <w:r w:rsidRPr="004023AB">
              <w:rPr>
                <w:i/>
                <w:iCs/>
              </w:rPr>
              <w:t>Lepidozia procera</w:t>
            </w:r>
          </w:p>
        </w:tc>
        <w:tc>
          <w:tcPr>
            <w:tcW w:w="787" w:type="dxa"/>
            <w:shd w:val="clear" w:color="auto" w:fill="auto"/>
            <w:vAlign w:val="center"/>
          </w:tcPr>
          <w:p w14:paraId="2B588981"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7E9FD700" w14:textId="77777777" w:rsidR="00004C1E" w:rsidRPr="006D733F" w:rsidRDefault="00004C1E" w:rsidP="002A7EFA">
            <w:pPr>
              <w:pStyle w:val="BodyText"/>
              <w:jc w:val="center"/>
              <w:rPr>
                <w:sz w:val="16"/>
                <w:szCs w:val="16"/>
              </w:rPr>
            </w:pPr>
            <w:r w:rsidRPr="008B1114">
              <w:rPr>
                <w:b/>
                <w:bCs/>
                <w:color w:val="FF0000"/>
                <w:sz w:val="16"/>
                <w:szCs w:val="16"/>
              </w:rPr>
              <w:t>CH</w:t>
            </w:r>
          </w:p>
        </w:tc>
        <w:tc>
          <w:tcPr>
            <w:tcW w:w="788" w:type="dxa"/>
            <w:shd w:val="clear" w:color="auto" w:fill="auto"/>
            <w:vAlign w:val="center"/>
          </w:tcPr>
          <w:p w14:paraId="55082398" w14:textId="77777777" w:rsidR="00004C1E" w:rsidRPr="006D733F" w:rsidRDefault="00004C1E" w:rsidP="002A7EFA">
            <w:pPr>
              <w:pStyle w:val="BodyText"/>
              <w:jc w:val="center"/>
              <w:rPr>
                <w:sz w:val="16"/>
                <w:szCs w:val="16"/>
              </w:rPr>
            </w:pPr>
          </w:p>
        </w:tc>
        <w:tc>
          <w:tcPr>
            <w:tcW w:w="787" w:type="dxa"/>
            <w:shd w:val="clear" w:color="auto" w:fill="F4F8D4" w:themeFill="accent2" w:themeFillTint="33"/>
            <w:vAlign w:val="center"/>
          </w:tcPr>
          <w:p w14:paraId="344A5D27" w14:textId="77777777" w:rsidR="00004C1E" w:rsidRPr="008B1114" w:rsidRDefault="00004C1E" w:rsidP="002A7EFA">
            <w:pPr>
              <w:pStyle w:val="BodyText"/>
              <w:jc w:val="center"/>
              <w:rPr>
                <w:b/>
                <w:bCs/>
                <w:sz w:val="16"/>
                <w:szCs w:val="16"/>
              </w:rPr>
            </w:pPr>
            <w:r w:rsidRPr="008B1114">
              <w:rPr>
                <w:b/>
                <w:bCs/>
                <w:color w:val="00857E" w:themeColor="accent1" w:themeShade="BF"/>
                <w:sz w:val="16"/>
                <w:szCs w:val="16"/>
              </w:rPr>
              <w:t>CH</w:t>
            </w:r>
          </w:p>
        </w:tc>
        <w:tc>
          <w:tcPr>
            <w:tcW w:w="788" w:type="dxa"/>
            <w:shd w:val="clear" w:color="auto" w:fill="auto"/>
            <w:vAlign w:val="center"/>
          </w:tcPr>
          <w:p w14:paraId="23E48054" w14:textId="77777777" w:rsidR="00004C1E" w:rsidRPr="006D733F" w:rsidRDefault="00004C1E" w:rsidP="002A7EFA">
            <w:pPr>
              <w:pStyle w:val="BodyText"/>
              <w:jc w:val="center"/>
              <w:rPr>
                <w:b/>
                <w:bCs/>
                <w:sz w:val="16"/>
                <w:szCs w:val="16"/>
              </w:rPr>
            </w:pPr>
          </w:p>
        </w:tc>
        <w:tc>
          <w:tcPr>
            <w:tcW w:w="788" w:type="dxa"/>
            <w:shd w:val="clear" w:color="auto" w:fill="auto"/>
            <w:vAlign w:val="center"/>
          </w:tcPr>
          <w:p w14:paraId="101BE438" w14:textId="77777777" w:rsidR="00004C1E" w:rsidRPr="006D733F" w:rsidRDefault="00004C1E" w:rsidP="002A7EFA">
            <w:pPr>
              <w:pStyle w:val="BodyText"/>
              <w:jc w:val="center"/>
              <w:rPr>
                <w:sz w:val="16"/>
                <w:szCs w:val="16"/>
              </w:rPr>
            </w:pPr>
          </w:p>
        </w:tc>
      </w:tr>
      <w:tr w:rsidR="00004C1E" w:rsidRPr="00B86E82" w14:paraId="6B3EBEAD" w14:textId="77777777" w:rsidTr="002A7EFA">
        <w:trPr>
          <w:gridAfter w:val="1"/>
          <w:wAfter w:w="843" w:type="dxa"/>
        </w:trPr>
        <w:tc>
          <w:tcPr>
            <w:tcW w:w="2389" w:type="dxa"/>
            <w:vAlign w:val="center"/>
          </w:tcPr>
          <w:p w14:paraId="6E8D7108" w14:textId="77777777" w:rsidR="00004C1E" w:rsidRPr="00B86E82" w:rsidRDefault="00004C1E" w:rsidP="002A7EFA">
            <w:pPr>
              <w:pStyle w:val="BodyText"/>
            </w:pPr>
            <w:r w:rsidRPr="00B86E82">
              <w:t>Flat Raspwort</w:t>
            </w:r>
          </w:p>
        </w:tc>
        <w:tc>
          <w:tcPr>
            <w:tcW w:w="2390" w:type="dxa"/>
            <w:vAlign w:val="center"/>
          </w:tcPr>
          <w:p w14:paraId="43364488" w14:textId="77777777" w:rsidR="00004C1E" w:rsidRPr="00B86E82" w:rsidRDefault="00004C1E" w:rsidP="002A7EFA">
            <w:pPr>
              <w:pStyle w:val="BodyText"/>
              <w:rPr>
                <w:sz w:val="16"/>
                <w:szCs w:val="16"/>
              </w:rPr>
            </w:pPr>
            <w:r w:rsidRPr="004023AB">
              <w:rPr>
                <w:i/>
                <w:iCs/>
              </w:rPr>
              <w:t>Gonocarpus serpyllifolius</w:t>
            </w:r>
          </w:p>
        </w:tc>
        <w:tc>
          <w:tcPr>
            <w:tcW w:w="787" w:type="dxa"/>
            <w:shd w:val="clear" w:color="auto" w:fill="F4F8D4" w:themeFill="accent2" w:themeFillTint="33"/>
            <w:vAlign w:val="center"/>
          </w:tcPr>
          <w:p w14:paraId="13EFDC5E" w14:textId="77777777" w:rsidR="00004C1E" w:rsidRPr="00CE37C3" w:rsidRDefault="00004C1E" w:rsidP="002A7EFA">
            <w:pPr>
              <w:pStyle w:val="BodyText"/>
              <w:jc w:val="center"/>
              <w:rPr>
                <w:b/>
                <w:bCs/>
                <w:sz w:val="16"/>
                <w:szCs w:val="16"/>
              </w:rPr>
            </w:pPr>
            <w:r w:rsidRPr="00CE37C3">
              <w:rPr>
                <w:b/>
                <w:bCs/>
                <w:color w:val="00857E" w:themeColor="accent1" w:themeShade="BF"/>
                <w:sz w:val="16"/>
                <w:szCs w:val="16"/>
              </w:rPr>
              <w:t>EG</w:t>
            </w:r>
          </w:p>
        </w:tc>
        <w:tc>
          <w:tcPr>
            <w:tcW w:w="788" w:type="dxa"/>
            <w:shd w:val="clear" w:color="auto" w:fill="auto"/>
            <w:vAlign w:val="center"/>
          </w:tcPr>
          <w:p w14:paraId="73E5B625" w14:textId="77777777" w:rsidR="00004C1E" w:rsidRPr="006D733F" w:rsidRDefault="00004C1E" w:rsidP="002A7EFA">
            <w:pPr>
              <w:pStyle w:val="BodyText"/>
              <w:jc w:val="center"/>
              <w:rPr>
                <w:sz w:val="16"/>
                <w:szCs w:val="16"/>
              </w:rPr>
            </w:pPr>
          </w:p>
        </w:tc>
        <w:tc>
          <w:tcPr>
            <w:tcW w:w="788" w:type="dxa"/>
            <w:shd w:val="clear" w:color="auto" w:fill="auto"/>
            <w:vAlign w:val="center"/>
          </w:tcPr>
          <w:p w14:paraId="4E89ABE4" w14:textId="77777777" w:rsidR="00004C1E" w:rsidRPr="006D733F" w:rsidRDefault="00004C1E" w:rsidP="002A7EFA">
            <w:pPr>
              <w:pStyle w:val="BodyText"/>
              <w:jc w:val="center"/>
              <w:rPr>
                <w:sz w:val="16"/>
                <w:szCs w:val="16"/>
              </w:rPr>
            </w:pPr>
          </w:p>
        </w:tc>
        <w:tc>
          <w:tcPr>
            <w:tcW w:w="787" w:type="dxa"/>
            <w:shd w:val="clear" w:color="auto" w:fill="auto"/>
            <w:vAlign w:val="center"/>
          </w:tcPr>
          <w:p w14:paraId="12942CD0"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5987D904" w14:textId="77777777" w:rsidR="00004C1E" w:rsidRPr="006D733F" w:rsidRDefault="00004C1E" w:rsidP="002A7EFA">
            <w:pPr>
              <w:pStyle w:val="BodyText"/>
              <w:jc w:val="center"/>
              <w:rPr>
                <w:b/>
                <w:bCs/>
                <w:sz w:val="16"/>
                <w:szCs w:val="16"/>
              </w:rPr>
            </w:pPr>
            <w:r w:rsidRPr="00CE37C3">
              <w:rPr>
                <w:b/>
                <w:bCs/>
                <w:color w:val="FF0000"/>
                <w:sz w:val="16"/>
                <w:szCs w:val="16"/>
              </w:rPr>
              <w:t>EG</w:t>
            </w:r>
          </w:p>
        </w:tc>
        <w:tc>
          <w:tcPr>
            <w:tcW w:w="788" w:type="dxa"/>
            <w:shd w:val="clear" w:color="auto" w:fill="auto"/>
            <w:vAlign w:val="center"/>
          </w:tcPr>
          <w:p w14:paraId="4B9D43CC" w14:textId="77777777" w:rsidR="00004C1E" w:rsidRPr="006D733F" w:rsidRDefault="00004C1E" w:rsidP="002A7EFA">
            <w:pPr>
              <w:pStyle w:val="BodyText"/>
              <w:jc w:val="center"/>
              <w:rPr>
                <w:sz w:val="16"/>
                <w:szCs w:val="16"/>
              </w:rPr>
            </w:pPr>
          </w:p>
        </w:tc>
      </w:tr>
      <w:tr w:rsidR="00004C1E" w:rsidRPr="00B86E82" w14:paraId="5053F33A" w14:textId="77777777" w:rsidTr="002A7EFA">
        <w:trPr>
          <w:gridAfter w:val="1"/>
          <w:wAfter w:w="843" w:type="dxa"/>
        </w:trPr>
        <w:tc>
          <w:tcPr>
            <w:tcW w:w="2389" w:type="dxa"/>
            <w:vAlign w:val="center"/>
          </w:tcPr>
          <w:p w14:paraId="6125DD52" w14:textId="77777777" w:rsidR="00004C1E" w:rsidRPr="00B86E82" w:rsidRDefault="00004C1E" w:rsidP="002A7EFA">
            <w:pPr>
              <w:pStyle w:val="BodyText"/>
            </w:pPr>
            <w:r w:rsidRPr="00B86E82">
              <w:t>Floodplain Violet</w:t>
            </w:r>
          </w:p>
        </w:tc>
        <w:tc>
          <w:tcPr>
            <w:tcW w:w="2390" w:type="dxa"/>
            <w:vAlign w:val="center"/>
          </w:tcPr>
          <w:p w14:paraId="04A870FA" w14:textId="77777777" w:rsidR="00004C1E" w:rsidRPr="00B86E82" w:rsidRDefault="00004C1E" w:rsidP="002A7EFA">
            <w:pPr>
              <w:pStyle w:val="BodyText"/>
              <w:rPr>
                <w:sz w:val="16"/>
                <w:szCs w:val="16"/>
              </w:rPr>
            </w:pPr>
            <w:r w:rsidRPr="004023AB">
              <w:rPr>
                <w:i/>
                <w:iCs/>
              </w:rPr>
              <w:t xml:space="preserve">Viola betonicifolia </w:t>
            </w:r>
            <w:r w:rsidRPr="003B150A">
              <w:t>subsp.</w:t>
            </w:r>
            <w:r w:rsidRPr="004023AB">
              <w:rPr>
                <w:i/>
                <w:iCs/>
              </w:rPr>
              <w:t xml:space="preserve"> novaguineensis</w:t>
            </w:r>
          </w:p>
        </w:tc>
        <w:tc>
          <w:tcPr>
            <w:tcW w:w="787" w:type="dxa"/>
            <w:shd w:val="clear" w:color="auto" w:fill="F4F8D4" w:themeFill="accent2" w:themeFillTint="33"/>
            <w:vAlign w:val="center"/>
          </w:tcPr>
          <w:p w14:paraId="4D02E6A9" w14:textId="77777777" w:rsidR="00004C1E" w:rsidRPr="00CE37C3" w:rsidRDefault="00004C1E" w:rsidP="002A7EFA">
            <w:pPr>
              <w:pStyle w:val="BodyText"/>
              <w:jc w:val="center"/>
              <w:rPr>
                <w:b/>
                <w:bCs/>
                <w:sz w:val="16"/>
                <w:szCs w:val="16"/>
              </w:rPr>
            </w:pPr>
            <w:r w:rsidRPr="00CE37C3">
              <w:rPr>
                <w:b/>
                <w:bCs/>
                <w:color w:val="00857E" w:themeColor="accent1" w:themeShade="BF"/>
                <w:sz w:val="16"/>
                <w:szCs w:val="16"/>
              </w:rPr>
              <w:t>CH, EG, G, NE, W</w:t>
            </w:r>
          </w:p>
        </w:tc>
        <w:tc>
          <w:tcPr>
            <w:tcW w:w="788" w:type="dxa"/>
            <w:shd w:val="clear" w:color="auto" w:fill="auto"/>
            <w:vAlign w:val="center"/>
          </w:tcPr>
          <w:p w14:paraId="0357B1F2" w14:textId="77777777" w:rsidR="00004C1E" w:rsidRPr="006D733F" w:rsidRDefault="00004C1E" w:rsidP="002A7EFA">
            <w:pPr>
              <w:pStyle w:val="BodyText"/>
              <w:jc w:val="center"/>
              <w:rPr>
                <w:sz w:val="16"/>
                <w:szCs w:val="16"/>
              </w:rPr>
            </w:pPr>
          </w:p>
        </w:tc>
        <w:tc>
          <w:tcPr>
            <w:tcW w:w="788" w:type="dxa"/>
            <w:shd w:val="clear" w:color="auto" w:fill="auto"/>
            <w:vAlign w:val="center"/>
          </w:tcPr>
          <w:p w14:paraId="56524E81" w14:textId="77777777" w:rsidR="00004C1E" w:rsidRPr="006D733F" w:rsidRDefault="00004C1E" w:rsidP="002A7EFA">
            <w:pPr>
              <w:pStyle w:val="BodyText"/>
              <w:jc w:val="center"/>
              <w:rPr>
                <w:sz w:val="16"/>
                <w:szCs w:val="16"/>
              </w:rPr>
            </w:pPr>
          </w:p>
        </w:tc>
        <w:tc>
          <w:tcPr>
            <w:tcW w:w="787" w:type="dxa"/>
            <w:shd w:val="clear" w:color="auto" w:fill="auto"/>
            <w:vAlign w:val="center"/>
          </w:tcPr>
          <w:p w14:paraId="2E9A908B" w14:textId="77777777" w:rsidR="00004C1E" w:rsidRPr="00000B5D" w:rsidRDefault="00004C1E" w:rsidP="002A7EFA">
            <w:pPr>
              <w:pStyle w:val="BodyText"/>
              <w:jc w:val="center"/>
              <w:rPr>
                <w:b/>
                <w:bCs/>
                <w:sz w:val="16"/>
                <w:szCs w:val="16"/>
              </w:rPr>
            </w:pPr>
          </w:p>
        </w:tc>
        <w:tc>
          <w:tcPr>
            <w:tcW w:w="788" w:type="dxa"/>
            <w:shd w:val="clear" w:color="auto" w:fill="F4F8D4" w:themeFill="accent2" w:themeFillTint="33"/>
            <w:vAlign w:val="center"/>
          </w:tcPr>
          <w:p w14:paraId="7AA7EAA0" w14:textId="77777777" w:rsidR="00004C1E" w:rsidRPr="00000B5D" w:rsidRDefault="00004C1E" w:rsidP="002A7EFA">
            <w:pPr>
              <w:pStyle w:val="BodyText"/>
              <w:jc w:val="center"/>
              <w:rPr>
                <w:b/>
                <w:bCs/>
                <w:sz w:val="16"/>
                <w:szCs w:val="16"/>
              </w:rPr>
            </w:pPr>
            <w:r w:rsidRPr="00CE37C3">
              <w:rPr>
                <w:b/>
                <w:bCs/>
                <w:color w:val="FF0000"/>
                <w:sz w:val="16"/>
                <w:szCs w:val="16"/>
              </w:rPr>
              <w:t>CH, EG, G, NE, W</w:t>
            </w:r>
          </w:p>
        </w:tc>
        <w:tc>
          <w:tcPr>
            <w:tcW w:w="788" w:type="dxa"/>
            <w:shd w:val="clear" w:color="auto" w:fill="auto"/>
            <w:vAlign w:val="center"/>
          </w:tcPr>
          <w:p w14:paraId="16E0FCEE" w14:textId="77777777" w:rsidR="00004C1E" w:rsidRPr="006D733F" w:rsidRDefault="00004C1E" w:rsidP="002A7EFA">
            <w:pPr>
              <w:pStyle w:val="BodyText"/>
              <w:jc w:val="center"/>
              <w:rPr>
                <w:sz w:val="16"/>
                <w:szCs w:val="16"/>
              </w:rPr>
            </w:pPr>
          </w:p>
        </w:tc>
      </w:tr>
      <w:tr w:rsidR="00004C1E" w:rsidRPr="00B86E82" w14:paraId="09C519D1" w14:textId="77777777" w:rsidTr="002A7EFA">
        <w:trPr>
          <w:gridAfter w:val="1"/>
          <w:wAfter w:w="843" w:type="dxa"/>
        </w:trPr>
        <w:tc>
          <w:tcPr>
            <w:tcW w:w="2389" w:type="dxa"/>
            <w:vAlign w:val="center"/>
          </w:tcPr>
          <w:p w14:paraId="3FA6DDD3" w14:textId="77777777" w:rsidR="00004C1E" w:rsidRPr="00B86E82" w:rsidRDefault="00004C1E" w:rsidP="002A7EFA">
            <w:pPr>
              <w:pStyle w:val="BodyText"/>
            </w:pPr>
            <w:r w:rsidRPr="00B86E82">
              <w:t>Forest Geebung</w:t>
            </w:r>
          </w:p>
        </w:tc>
        <w:tc>
          <w:tcPr>
            <w:tcW w:w="2390" w:type="dxa"/>
            <w:vAlign w:val="center"/>
          </w:tcPr>
          <w:p w14:paraId="7F98B4C0" w14:textId="77777777" w:rsidR="00004C1E" w:rsidRPr="00B86E82" w:rsidRDefault="00004C1E" w:rsidP="002A7EFA">
            <w:pPr>
              <w:pStyle w:val="BodyText"/>
              <w:rPr>
                <w:sz w:val="16"/>
                <w:szCs w:val="16"/>
              </w:rPr>
            </w:pPr>
            <w:r w:rsidRPr="004023AB">
              <w:rPr>
                <w:i/>
                <w:iCs/>
              </w:rPr>
              <w:t>Persoonia silvatica</w:t>
            </w:r>
          </w:p>
        </w:tc>
        <w:tc>
          <w:tcPr>
            <w:tcW w:w="787" w:type="dxa"/>
            <w:shd w:val="clear" w:color="auto" w:fill="F4F8D4" w:themeFill="accent2" w:themeFillTint="33"/>
            <w:vAlign w:val="center"/>
          </w:tcPr>
          <w:p w14:paraId="205B266F" w14:textId="77777777" w:rsidR="00004C1E" w:rsidRPr="00CE37C3" w:rsidRDefault="00004C1E" w:rsidP="002A7EFA">
            <w:pPr>
              <w:pStyle w:val="BodyText"/>
              <w:jc w:val="center"/>
              <w:rPr>
                <w:b/>
                <w:bCs/>
                <w:color w:val="FF0000"/>
                <w:sz w:val="16"/>
                <w:szCs w:val="16"/>
              </w:rPr>
            </w:pPr>
            <w:r w:rsidRPr="00CE37C3">
              <w:rPr>
                <w:b/>
                <w:bCs/>
                <w:color w:val="FF0000"/>
                <w:sz w:val="16"/>
                <w:szCs w:val="16"/>
              </w:rPr>
              <w:t>EG, G</w:t>
            </w:r>
          </w:p>
        </w:tc>
        <w:tc>
          <w:tcPr>
            <w:tcW w:w="788" w:type="dxa"/>
            <w:shd w:val="clear" w:color="auto" w:fill="F4F8D4" w:themeFill="accent2" w:themeFillTint="33"/>
            <w:vAlign w:val="center"/>
          </w:tcPr>
          <w:p w14:paraId="63DE2D64" w14:textId="77777777" w:rsidR="00004C1E" w:rsidRPr="00CE37C3" w:rsidRDefault="00004C1E" w:rsidP="002A7EFA">
            <w:pPr>
              <w:pStyle w:val="BodyText"/>
              <w:jc w:val="center"/>
              <w:rPr>
                <w:b/>
                <w:bCs/>
                <w:color w:val="FF0000"/>
                <w:sz w:val="16"/>
                <w:szCs w:val="16"/>
              </w:rPr>
            </w:pPr>
            <w:r w:rsidRPr="00CE37C3">
              <w:rPr>
                <w:b/>
                <w:bCs/>
                <w:color w:val="FF0000"/>
                <w:sz w:val="16"/>
                <w:szCs w:val="16"/>
              </w:rPr>
              <w:t>EG, G</w:t>
            </w:r>
          </w:p>
        </w:tc>
        <w:tc>
          <w:tcPr>
            <w:tcW w:w="788" w:type="dxa"/>
            <w:shd w:val="clear" w:color="auto" w:fill="F4F8D4" w:themeFill="accent2" w:themeFillTint="33"/>
            <w:vAlign w:val="center"/>
          </w:tcPr>
          <w:p w14:paraId="5D803097" w14:textId="77777777" w:rsidR="00004C1E" w:rsidRPr="00CE37C3" w:rsidRDefault="00004C1E" w:rsidP="002A7EFA">
            <w:pPr>
              <w:pStyle w:val="BodyText"/>
              <w:jc w:val="center"/>
              <w:rPr>
                <w:b/>
                <w:bCs/>
                <w:color w:val="00857E" w:themeColor="accent1" w:themeShade="BF"/>
                <w:sz w:val="16"/>
                <w:szCs w:val="16"/>
              </w:rPr>
            </w:pPr>
            <w:r w:rsidRPr="00CE37C3">
              <w:rPr>
                <w:b/>
                <w:bCs/>
                <w:color w:val="00857E" w:themeColor="accent1" w:themeShade="BF"/>
                <w:sz w:val="16"/>
                <w:szCs w:val="16"/>
              </w:rPr>
              <w:t>EG</w:t>
            </w:r>
          </w:p>
        </w:tc>
        <w:tc>
          <w:tcPr>
            <w:tcW w:w="787" w:type="dxa"/>
            <w:shd w:val="clear" w:color="auto" w:fill="auto"/>
            <w:vAlign w:val="center"/>
          </w:tcPr>
          <w:p w14:paraId="19D4F3D7" w14:textId="77777777" w:rsidR="00004C1E" w:rsidRPr="00CE37C3" w:rsidRDefault="00004C1E" w:rsidP="002A7EFA">
            <w:pPr>
              <w:pStyle w:val="BodyText"/>
              <w:jc w:val="center"/>
              <w:rPr>
                <w:b/>
                <w:bCs/>
                <w:color w:val="00857E" w:themeColor="accent1" w:themeShade="BF"/>
                <w:sz w:val="16"/>
                <w:szCs w:val="16"/>
              </w:rPr>
            </w:pPr>
          </w:p>
        </w:tc>
        <w:tc>
          <w:tcPr>
            <w:tcW w:w="788" w:type="dxa"/>
            <w:shd w:val="clear" w:color="auto" w:fill="F4F8D4" w:themeFill="accent2" w:themeFillTint="33"/>
            <w:vAlign w:val="center"/>
          </w:tcPr>
          <w:p w14:paraId="199B3090" w14:textId="77777777" w:rsidR="00004C1E" w:rsidRPr="00CE37C3" w:rsidRDefault="00004C1E" w:rsidP="002A7EFA">
            <w:pPr>
              <w:pStyle w:val="BodyText"/>
              <w:jc w:val="center"/>
              <w:rPr>
                <w:b/>
                <w:bCs/>
                <w:color w:val="00857E" w:themeColor="accent1" w:themeShade="BF"/>
                <w:sz w:val="16"/>
                <w:szCs w:val="16"/>
              </w:rPr>
            </w:pPr>
            <w:r w:rsidRPr="00CE37C3">
              <w:rPr>
                <w:b/>
                <w:bCs/>
                <w:color w:val="00857E" w:themeColor="accent1" w:themeShade="BF"/>
                <w:sz w:val="16"/>
                <w:szCs w:val="16"/>
              </w:rPr>
              <w:t>EG, G</w:t>
            </w:r>
          </w:p>
        </w:tc>
        <w:tc>
          <w:tcPr>
            <w:tcW w:w="788" w:type="dxa"/>
            <w:shd w:val="clear" w:color="auto" w:fill="auto"/>
            <w:vAlign w:val="center"/>
          </w:tcPr>
          <w:p w14:paraId="71A2B34A" w14:textId="77777777" w:rsidR="00004C1E" w:rsidRPr="006D733F" w:rsidRDefault="00004C1E" w:rsidP="002A7EFA">
            <w:pPr>
              <w:pStyle w:val="BodyText"/>
              <w:jc w:val="center"/>
              <w:rPr>
                <w:sz w:val="16"/>
                <w:szCs w:val="16"/>
              </w:rPr>
            </w:pPr>
          </w:p>
        </w:tc>
      </w:tr>
      <w:tr w:rsidR="00004C1E" w:rsidRPr="00B86E82" w14:paraId="737659EA" w14:textId="77777777" w:rsidTr="002A7EFA">
        <w:trPr>
          <w:gridAfter w:val="1"/>
          <w:wAfter w:w="843" w:type="dxa"/>
        </w:trPr>
        <w:tc>
          <w:tcPr>
            <w:tcW w:w="2389" w:type="dxa"/>
            <w:vAlign w:val="center"/>
          </w:tcPr>
          <w:p w14:paraId="697C2B2F" w14:textId="77777777" w:rsidR="00004C1E" w:rsidRPr="00B86E82" w:rsidRDefault="00004C1E" w:rsidP="002A7EFA">
            <w:pPr>
              <w:pStyle w:val="BodyText"/>
            </w:pPr>
            <w:r w:rsidRPr="00B86E82">
              <w:t>Forest Phebalium</w:t>
            </w:r>
          </w:p>
        </w:tc>
        <w:tc>
          <w:tcPr>
            <w:tcW w:w="2390" w:type="dxa"/>
            <w:vAlign w:val="center"/>
          </w:tcPr>
          <w:p w14:paraId="5B91961F" w14:textId="77777777" w:rsidR="00004C1E" w:rsidRPr="00B86E82" w:rsidRDefault="00004C1E" w:rsidP="002A7EFA">
            <w:pPr>
              <w:pStyle w:val="BodyText"/>
              <w:rPr>
                <w:sz w:val="16"/>
                <w:szCs w:val="16"/>
              </w:rPr>
            </w:pPr>
            <w:r w:rsidRPr="004023AB">
              <w:rPr>
                <w:i/>
                <w:iCs/>
              </w:rPr>
              <w:t xml:space="preserve">Phebalium squamulosum </w:t>
            </w:r>
            <w:r w:rsidRPr="003B150A">
              <w:t>subsp</w:t>
            </w:r>
            <w:r w:rsidRPr="004023AB">
              <w:rPr>
                <w:i/>
                <w:iCs/>
              </w:rPr>
              <w:t>. squamulosum</w:t>
            </w:r>
          </w:p>
        </w:tc>
        <w:tc>
          <w:tcPr>
            <w:tcW w:w="787" w:type="dxa"/>
            <w:shd w:val="clear" w:color="auto" w:fill="auto"/>
            <w:vAlign w:val="center"/>
          </w:tcPr>
          <w:p w14:paraId="7B38FA40" w14:textId="77777777" w:rsidR="00004C1E" w:rsidRPr="006D733F" w:rsidRDefault="00004C1E" w:rsidP="002A7EFA">
            <w:pPr>
              <w:pStyle w:val="BodyText"/>
              <w:ind w:left="0" w:right="0"/>
              <w:jc w:val="center"/>
              <w:rPr>
                <w:sz w:val="16"/>
                <w:szCs w:val="16"/>
              </w:rPr>
            </w:pPr>
          </w:p>
        </w:tc>
        <w:tc>
          <w:tcPr>
            <w:tcW w:w="788" w:type="dxa"/>
            <w:shd w:val="clear" w:color="auto" w:fill="auto"/>
            <w:vAlign w:val="center"/>
          </w:tcPr>
          <w:p w14:paraId="53E56508" w14:textId="77777777" w:rsidR="00004C1E" w:rsidRPr="006D733F" w:rsidRDefault="00004C1E" w:rsidP="002A7EFA">
            <w:pPr>
              <w:pStyle w:val="BodyText"/>
              <w:ind w:left="0" w:right="0"/>
              <w:jc w:val="center"/>
              <w:rPr>
                <w:sz w:val="16"/>
                <w:szCs w:val="16"/>
              </w:rPr>
            </w:pPr>
          </w:p>
        </w:tc>
        <w:tc>
          <w:tcPr>
            <w:tcW w:w="788" w:type="dxa"/>
            <w:shd w:val="clear" w:color="auto" w:fill="F4F8D4" w:themeFill="accent2" w:themeFillTint="33"/>
            <w:vAlign w:val="center"/>
          </w:tcPr>
          <w:p w14:paraId="2261C072" w14:textId="77777777" w:rsidR="00004C1E" w:rsidRPr="00CE37C3" w:rsidRDefault="00004C1E" w:rsidP="002A7EFA">
            <w:pPr>
              <w:pStyle w:val="BodyText"/>
              <w:ind w:left="0" w:right="0"/>
              <w:jc w:val="center"/>
              <w:rPr>
                <w:b/>
                <w:bCs/>
                <w:color w:val="00857E" w:themeColor="accent1" w:themeShade="BF"/>
                <w:sz w:val="16"/>
                <w:szCs w:val="16"/>
              </w:rPr>
            </w:pPr>
            <w:r w:rsidRPr="00CE37C3">
              <w:rPr>
                <w:b/>
                <w:bCs/>
                <w:color w:val="00857E" w:themeColor="accent1" w:themeShade="BF"/>
                <w:sz w:val="16"/>
                <w:szCs w:val="16"/>
              </w:rPr>
              <w:t xml:space="preserve"> CH, EG, G</w:t>
            </w:r>
          </w:p>
        </w:tc>
        <w:tc>
          <w:tcPr>
            <w:tcW w:w="787" w:type="dxa"/>
            <w:shd w:val="clear" w:color="auto" w:fill="auto"/>
            <w:vAlign w:val="center"/>
          </w:tcPr>
          <w:p w14:paraId="1B209568" w14:textId="77777777" w:rsidR="00004C1E" w:rsidRPr="006D733F" w:rsidRDefault="00004C1E" w:rsidP="002A7EFA">
            <w:pPr>
              <w:pStyle w:val="BodyText"/>
              <w:ind w:left="0" w:right="0"/>
              <w:jc w:val="center"/>
              <w:rPr>
                <w:sz w:val="16"/>
                <w:szCs w:val="16"/>
              </w:rPr>
            </w:pPr>
          </w:p>
        </w:tc>
        <w:tc>
          <w:tcPr>
            <w:tcW w:w="788" w:type="dxa"/>
            <w:shd w:val="clear" w:color="auto" w:fill="auto"/>
            <w:vAlign w:val="center"/>
          </w:tcPr>
          <w:p w14:paraId="4C106EE7" w14:textId="77777777" w:rsidR="00004C1E" w:rsidRPr="006D733F" w:rsidRDefault="00004C1E" w:rsidP="002A7EFA">
            <w:pPr>
              <w:pStyle w:val="BodyText"/>
              <w:ind w:left="0" w:right="0"/>
              <w:jc w:val="center"/>
              <w:rPr>
                <w:sz w:val="16"/>
                <w:szCs w:val="16"/>
              </w:rPr>
            </w:pPr>
          </w:p>
        </w:tc>
        <w:tc>
          <w:tcPr>
            <w:tcW w:w="788" w:type="dxa"/>
            <w:shd w:val="clear" w:color="auto" w:fill="auto"/>
            <w:vAlign w:val="center"/>
          </w:tcPr>
          <w:p w14:paraId="2D7B6FA2" w14:textId="77777777" w:rsidR="00004C1E" w:rsidRPr="006D733F" w:rsidRDefault="00004C1E" w:rsidP="002A7EFA">
            <w:pPr>
              <w:pStyle w:val="BodyText"/>
              <w:ind w:left="0" w:right="0"/>
              <w:jc w:val="center"/>
              <w:rPr>
                <w:sz w:val="16"/>
                <w:szCs w:val="16"/>
              </w:rPr>
            </w:pPr>
          </w:p>
        </w:tc>
      </w:tr>
      <w:tr w:rsidR="00004C1E" w:rsidRPr="00B86E82" w14:paraId="70C58BDE" w14:textId="77777777" w:rsidTr="002A7EFA">
        <w:trPr>
          <w:gridAfter w:val="1"/>
          <w:wAfter w:w="843" w:type="dxa"/>
        </w:trPr>
        <w:tc>
          <w:tcPr>
            <w:tcW w:w="2389" w:type="dxa"/>
            <w:vAlign w:val="center"/>
          </w:tcPr>
          <w:p w14:paraId="1E644B77" w14:textId="77777777" w:rsidR="00004C1E" w:rsidRPr="00B86E82" w:rsidRDefault="00004C1E" w:rsidP="002A7EFA">
            <w:pPr>
              <w:pStyle w:val="BodyText"/>
            </w:pPr>
            <w:r w:rsidRPr="00B86E82">
              <w:t>Forest Sedge</w:t>
            </w:r>
          </w:p>
        </w:tc>
        <w:tc>
          <w:tcPr>
            <w:tcW w:w="2390" w:type="dxa"/>
            <w:vAlign w:val="center"/>
          </w:tcPr>
          <w:p w14:paraId="08AFC59D" w14:textId="77777777" w:rsidR="00004C1E" w:rsidRPr="004023AB" w:rsidRDefault="00004C1E" w:rsidP="002A7EFA">
            <w:pPr>
              <w:pStyle w:val="BodyText"/>
              <w:rPr>
                <w:i/>
                <w:iCs/>
              </w:rPr>
            </w:pPr>
            <w:r w:rsidRPr="004023AB">
              <w:rPr>
                <w:i/>
                <w:iCs/>
              </w:rPr>
              <w:t>Carex alsophila</w:t>
            </w:r>
          </w:p>
        </w:tc>
        <w:tc>
          <w:tcPr>
            <w:tcW w:w="787" w:type="dxa"/>
            <w:shd w:val="clear" w:color="auto" w:fill="auto"/>
            <w:vAlign w:val="center"/>
          </w:tcPr>
          <w:p w14:paraId="5A3CC00C" w14:textId="77777777" w:rsidR="00004C1E" w:rsidRPr="006D733F" w:rsidRDefault="00004C1E" w:rsidP="002A7EFA">
            <w:pPr>
              <w:pStyle w:val="BodyText"/>
              <w:jc w:val="center"/>
              <w:rPr>
                <w:sz w:val="16"/>
                <w:szCs w:val="16"/>
              </w:rPr>
            </w:pPr>
          </w:p>
        </w:tc>
        <w:tc>
          <w:tcPr>
            <w:tcW w:w="788" w:type="dxa"/>
            <w:shd w:val="clear" w:color="auto" w:fill="auto"/>
            <w:vAlign w:val="center"/>
          </w:tcPr>
          <w:p w14:paraId="67A0660C" w14:textId="77777777" w:rsidR="00004C1E" w:rsidRPr="006D733F" w:rsidRDefault="00004C1E" w:rsidP="002A7EFA">
            <w:pPr>
              <w:pStyle w:val="BodyText"/>
              <w:jc w:val="center"/>
              <w:rPr>
                <w:sz w:val="16"/>
                <w:szCs w:val="16"/>
              </w:rPr>
            </w:pPr>
          </w:p>
        </w:tc>
        <w:tc>
          <w:tcPr>
            <w:tcW w:w="788" w:type="dxa"/>
            <w:shd w:val="clear" w:color="auto" w:fill="auto"/>
            <w:vAlign w:val="center"/>
          </w:tcPr>
          <w:p w14:paraId="0F77C476" w14:textId="77777777" w:rsidR="00004C1E" w:rsidRPr="006D733F" w:rsidRDefault="00004C1E" w:rsidP="002A7EFA">
            <w:pPr>
              <w:pStyle w:val="BodyText"/>
              <w:jc w:val="center"/>
              <w:rPr>
                <w:sz w:val="16"/>
                <w:szCs w:val="16"/>
              </w:rPr>
            </w:pPr>
          </w:p>
        </w:tc>
        <w:tc>
          <w:tcPr>
            <w:tcW w:w="787" w:type="dxa"/>
            <w:shd w:val="clear" w:color="auto" w:fill="auto"/>
            <w:vAlign w:val="center"/>
          </w:tcPr>
          <w:p w14:paraId="00B89E24" w14:textId="77777777" w:rsidR="00004C1E" w:rsidRPr="006D733F" w:rsidRDefault="00004C1E" w:rsidP="002A7EFA">
            <w:pPr>
              <w:pStyle w:val="BodyText"/>
              <w:jc w:val="center"/>
              <w:rPr>
                <w:sz w:val="16"/>
                <w:szCs w:val="16"/>
              </w:rPr>
            </w:pPr>
          </w:p>
        </w:tc>
        <w:tc>
          <w:tcPr>
            <w:tcW w:w="788" w:type="dxa"/>
            <w:shd w:val="clear" w:color="auto" w:fill="auto"/>
            <w:vAlign w:val="center"/>
          </w:tcPr>
          <w:p w14:paraId="45977231" w14:textId="77777777" w:rsidR="00004C1E" w:rsidRPr="006D733F" w:rsidRDefault="00004C1E" w:rsidP="002A7EFA">
            <w:pPr>
              <w:pStyle w:val="BodyText"/>
              <w:jc w:val="center"/>
              <w:rPr>
                <w:sz w:val="16"/>
                <w:szCs w:val="16"/>
              </w:rPr>
            </w:pPr>
          </w:p>
        </w:tc>
        <w:tc>
          <w:tcPr>
            <w:tcW w:w="788" w:type="dxa"/>
            <w:shd w:val="clear" w:color="auto" w:fill="auto"/>
            <w:vAlign w:val="center"/>
          </w:tcPr>
          <w:p w14:paraId="5E049499" w14:textId="77777777" w:rsidR="00004C1E" w:rsidRPr="006D733F" w:rsidRDefault="00004C1E" w:rsidP="002A7EFA">
            <w:pPr>
              <w:pStyle w:val="BodyText"/>
              <w:jc w:val="center"/>
              <w:rPr>
                <w:sz w:val="16"/>
                <w:szCs w:val="16"/>
              </w:rPr>
            </w:pPr>
          </w:p>
        </w:tc>
      </w:tr>
      <w:tr w:rsidR="00004C1E" w:rsidRPr="00B86E82" w14:paraId="12969051" w14:textId="77777777" w:rsidTr="002A7EFA">
        <w:trPr>
          <w:gridAfter w:val="1"/>
          <w:wAfter w:w="843" w:type="dxa"/>
        </w:trPr>
        <w:tc>
          <w:tcPr>
            <w:tcW w:w="2389" w:type="dxa"/>
            <w:vAlign w:val="center"/>
          </w:tcPr>
          <w:p w14:paraId="6593BF21" w14:textId="77777777" w:rsidR="00004C1E" w:rsidRPr="00B86E82" w:rsidRDefault="00004C1E" w:rsidP="002A7EFA">
            <w:pPr>
              <w:pStyle w:val="BodyText"/>
            </w:pPr>
            <w:r w:rsidRPr="00B86E82">
              <w:t>Gippsland Stringybark</w:t>
            </w:r>
          </w:p>
        </w:tc>
        <w:tc>
          <w:tcPr>
            <w:tcW w:w="2390" w:type="dxa"/>
            <w:vAlign w:val="center"/>
          </w:tcPr>
          <w:p w14:paraId="70183C03" w14:textId="77777777" w:rsidR="00004C1E" w:rsidRPr="00B86E82" w:rsidRDefault="00004C1E" w:rsidP="002A7EFA">
            <w:pPr>
              <w:pStyle w:val="BodyText"/>
              <w:rPr>
                <w:sz w:val="16"/>
                <w:szCs w:val="16"/>
              </w:rPr>
            </w:pPr>
            <w:r w:rsidRPr="004023AB">
              <w:rPr>
                <w:i/>
                <w:iCs/>
              </w:rPr>
              <w:t>Eucalyptus mackintii</w:t>
            </w:r>
          </w:p>
        </w:tc>
        <w:tc>
          <w:tcPr>
            <w:tcW w:w="787" w:type="dxa"/>
            <w:shd w:val="clear" w:color="auto" w:fill="auto"/>
            <w:vAlign w:val="center"/>
          </w:tcPr>
          <w:p w14:paraId="6CC335EC" w14:textId="77777777" w:rsidR="00004C1E" w:rsidRPr="006D733F" w:rsidRDefault="00004C1E" w:rsidP="002A7EFA">
            <w:pPr>
              <w:pStyle w:val="BodyText"/>
              <w:ind w:left="0" w:right="0"/>
              <w:jc w:val="center"/>
              <w:rPr>
                <w:sz w:val="16"/>
                <w:szCs w:val="16"/>
              </w:rPr>
            </w:pPr>
          </w:p>
        </w:tc>
        <w:tc>
          <w:tcPr>
            <w:tcW w:w="788" w:type="dxa"/>
            <w:shd w:val="clear" w:color="auto" w:fill="auto"/>
            <w:vAlign w:val="center"/>
          </w:tcPr>
          <w:p w14:paraId="17F8A23C" w14:textId="77777777" w:rsidR="00004C1E" w:rsidRPr="006D733F" w:rsidRDefault="00004C1E" w:rsidP="002A7EFA">
            <w:pPr>
              <w:pStyle w:val="BodyText"/>
              <w:ind w:left="0" w:right="0"/>
              <w:jc w:val="center"/>
              <w:rPr>
                <w:sz w:val="16"/>
                <w:szCs w:val="16"/>
              </w:rPr>
            </w:pPr>
          </w:p>
        </w:tc>
        <w:tc>
          <w:tcPr>
            <w:tcW w:w="788" w:type="dxa"/>
            <w:shd w:val="clear" w:color="auto" w:fill="auto"/>
            <w:vAlign w:val="center"/>
          </w:tcPr>
          <w:p w14:paraId="3874A93F" w14:textId="77777777" w:rsidR="00004C1E" w:rsidRPr="006D733F" w:rsidRDefault="00004C1E" w:rsidP="002A7EFA">
            <w:pPr>
              <w:pStyle w:val="BodyText"/>
              <w:ind w:left="0" w:right="0"/>
              <w:jc w:val="center"/>
              <w:rPr>
                <w:sz w:val="16"/>
                <w:szCs w:val="16"/>
              </w:rPr>
            </w:pPr>
          </w:p>
        </w:tc>
        <w:tc>
          <w:tcPr>
            <w:tcW w:w="787" w:type="dxa"/>
            <w:shd w:val="clear" w:color="auto" w:fill="auto"/>
            <w:vAlign w:val="center"/>
          </w:tcPr>
          <w:p w14:paraId="6E8D9A5E" w14:textId="77777777" w:rsidR="00004C1E" w:rsidRPr="006D733F" w:rsidRDefault="00004C1E" w:rsidP="002A7EFA">
            <w:pPr>
              <w:pStyle w:val="BodyText"/>
              <w:ind w:left="0" w:right="0"/>
              <w:jc w:val="center"/>
              <w:rPr>
                <w:sz w:val="16"/>
                <w:szCs w:val="16"/>
              </w:rPr>
            </w:pPr>
          </w:p>
        </w:tc>
        <w:tc>
          <w:tcPr>
            <w:tcW w:w="788" w:type="dxa"/>
            <w:shd w:val="clear" w:color="auto" w:fill="auto"/>
            <w:vAlign w:val="center"/>
          </w:tcPr>
          <w:p w14:paraId="4968091A" w14:textId="77777777" w:rsidR="00004C1E" w:rsidRPr="006D733F" w:rsidRDefault="00004C1E" w:rsidP="002A7EFA">
            <w:pPr>
              <w:pStyle w:val="BodyText"/>
              <w:ind w:left="0" w:right="0"/>
              <w:jc w:val="center"/>
              <w:rPr>
                <w:sz w:val="16"/>
                <w:szCs w:val="16"/>
              </w:rPr>
            </w:pPr>
          </w:p>
        </w:tc>
        <w:tc>
          <w:tcPr>
            <w:tcW w:w="788" w:type="dxa"/>
            <w:shd w:val="clear" w:color="auto" w:fill="auto"/>
            <w:vAlign w:val="center"/>
          </w:tcPr>
          <w:p w14:paraId="3731F526" w14:textId="77777777" w:rsidR="00004C1E" w:rsidRPr="006D733F" w:rsidRDefault="00004C1E" w:rsidP="002A7EFA">
            <w:pPr>
              <w:pStyle w:val="BodyText"/>
              <w:ind w:left="0" w:right="0"/>
              <w:jc w:val="center"/>
              <w:rPr>
                <w:sz w:val="16"/>
                <w:szCs w:val="16"/>
              </w:rPr>
            </w:pPr>
          </w:p>
        </w:tc>
      </w:tr>
      <w:tr w:rsidR="00004C1E" w:rsidRPr="00B86E82" w14:paraId="229BD044" w14:textId="77777777" w:rsidTr="002A7EFA">
        <w:trPr>
          <w:gridAfter w:val="1"/>
          <w:wAfter w:w="843" w:type="dxa"/>
        </w:trPr>
        <w:tc>
          <w:tcPr>
            <w:tcW w:w="2389" w:type="dxa"/>
            <w:vAlign w:val="center"/>
          </w:tcPr>
          <w:p w14:paraId="352B4147" w14:textId="77777777" w:rsidR="00004C1E" w:rsidRPr="00B86E82" w:rsidRDefault="00004C1E" w:rsidP="002A7EFA">
            <w:pPr>
              <w:pStyle w:val="BodyText"/>
            </w:pPr>
            <w:r w:rsidRPr="00B86E82">
              <w:t>Jungle Bristle-fern</w:t>
            </w:r>
          </w:p>
        </w:tc>
        <w:tc>
          <w:tcPr>
            <w:tcW w:w="2390" w:type="dxa"/>
            <w:vAlign w:val="center"/>
          </w:tcPr>
          <w:p w14:paraId="57741011" w14:textId="77777777" w:rsidR="00004C1E" w:rsidRPr="004023AB" w:rsidRDefault="00004C1E" w:rsidP="002A7EFA">
            <w:pPr>
              <w:pStyle w:val="BodyText"/>
              <w:rPr>
                <w:i/>
                <w:iCs/>
              </w:rPr>
            </w:pPr>
            <w:r w:rsidRPr="004023AB">
              <w:rPr>
                <w:i/>
                <w:iCs/>
              </w:rPr>
              <w:t>Abrodictyum caudatum</w:t>
            </w:r>
          </w:p>
        </w:tc>
        <w:tc>
          <w:tcPr>
            <w:tcW w:w="787" w:type="dxa"/>
            <w:shd w:val="clear" w:color="auto" w:fill="auto"/>
            <w:vAlign w:val="center"/>
          </w:tcPr>
          <w:p w14:paraId="1A993CC3" w14:textId="77777777" w:rsidR="00004C1E" w:rsidRPr="006D733F" w:rsidRDefault="00004C1E" w:rsidP="002A7EFA">
            <w:pPr>
              <w:pStyle w:val="BodyText"/>
              <w:jc w:val="center"/>
              <w:rPr>
                <w:b/>
                <w:bCs/>
                <w:sz w:val="16"/>
                <w:szCs w:val="16"/>
              </w:rPr>
            </w:pPr>
          </w:p>
        </w:tc>
        <w:tc>
          <w:tcPr>
            <w:tcW w:w="788" w:type="dxa"/>
            <w:shd w:val="clear" w:color="auto" w:fill="F4F8D4" w:themeFill="accent2" w:themeFillTint="33"/>
            <w:vAlign w:val="center"/>
          </w:tcPr>
          <w:p w14:paraId="03BCBD7D" w14:textId="77777777" w:rsidR="00004C1E" w:rsidRPr="006D733F" w:rsidRDefault="00004C1E" w:rsidP="002A7EFA">
            <w:pPr>
              <w:pStyle w:val="BodyText"/>
              <w:jc w:val="center"/>
              <w:rPr>
                <w:sz w:val="16"/>
                <w:szCs w:val="16"/>
              </w:rPr>
            </w:pPr>
            <w:r w:rsidRPr="00CE37C3">
              <w:rPr>
                <w:b/>
                <w:bCs/>
                <w:color w:val="FF0000"/>
                <w:sz w:val="16"/>
                <w:szCs w:val="16"/>
              </w:rPr>
              <w:t>CH, EG</w:t>
            </w:r>
          </w:p>
        </w:tc>
        <w:tc>
          <w:tcPr>
            <w:tcW w:w="788" w:type="dxa"/>
            <w:shd w:val="clear" w:color="auto" w:fill="F4F8D4" w:themeFill="accent2" w:themeFillTint="33"/>
            <w:vAlign w:val="center"/>
          </w:tcPr>
          <w:p w14:paraId="7ABE242C" w14:textId="77777777" w:rsidR="00004C1E" w:rsidRPr="00CE37C3" w:rsidRDefault="00004C1E" w:rsidP="002A7EFA">
            <w:pPr>
              <w:pStyle w:val="BodyText"/>
              <w:jc w:val="center"/>
              <w:rPr>
                <w:b/>
                <w:bCs/>
                <w:color w:val="00857E" w:themeColor="accent1" w:themeShade="BF"/>
                <w:sz w:val="16"/>
                <w:szCs w:val="16"/>
              </w:rPr>
            </w:pPr>
            <w:r w:rsidRPr="00CE37C3">
              <w:rPr>
                <w:b/>
                <w:bCs/>
                <w:color w:val="00857E" w:themeColor="accent1" w:themeShade="BF"/>
                <w:sz w:val="16"/>
                <w:szCs w:val="16"/>
              </w:rPr>
              <w:t>EG</w:t>
            </w:r>
          </w:p>
        </w:tc>
        <w:tc>
          <w:tcPr>
            <w:tcW w:w="787" w:type="dxa"/>
            <w:shd w:val="clear" w:color="auto" w:fill="F4F8D4" w:themeFill="accent2" w:themeFillTint="33"/>
            <w:vAlign w:val="center"/>
          </w:tcPr>
          <w:p w14:paraId="6B7E9BED" w14:textId="77777777" w:rsidR="00004C1E" w:rsidRPr="00CE37C3" w:rsidRDefault="00004C1E" w:rsidP="002A7EFA">
            <w:pPr>
              <w:pStyle w:val="BodyText"/>
              <w:jc w:val="center"/>
              <w:rPr>
                <w:b/>
                <w:bCs/>
                <w:color w:val="00857E" w:themeColor="accent1" w:themeShade="BF"/>
                <w:sz w:val="16"/>
                <w:szCs w:val="16"/>
              </w:rPr>
            </w:pPr>
            <w:r w:rsidRPr="00CE37C3">
              <w:rPr>
                <w:b/>
                <w:bCs/>
                <w:color w:val="00857E" w:themeColor="accent1" w:themeShade="BF"/>
                <w:sz w:val="16"/>
                <w:szCs w:val="16"/>
              </w:rPr>
              <w:t>CH, EG</w:t>
            </w:r>
          </w:p>
        </w:tc>
        <w:tc>
          <w:tcPr>
            <w:tcW w:w="788" w:type="dxa"/>
            <w:shd w:val="clear" w:color="auto" w:fill="auto"/>
            <w:vAlign w:val="center"/>
          </w:tcPr>
          <w:p w14:paraId="7330BB52" w14:textId="77777777" w:rsidR="00004C1E" w:rsidRPr="006D733F" w:rsidRDefault="00004C1E" w:rsidP="002A7EFA">
            <w:pPr>
              <w:pStyle w:val="BodyText"/>
              <w:jc w:val="center"/>
              <w:rPr>
                <w:b/>
                <w:bCs/>
                <w:sz w:val="16"/>
                <w:szCs w:val="16"/>
              </w:rPr>
            </w:pPr>
          </w:p>
        </w:tc>
        <w:tc>
          <w:tcPr>
            <w:tcW w:w="788" w:type="dxa"/>
            <w:shd w:val="clear" w:color="auto" w:fill="auto"/>
            <w:vAlign w:val="center"/>
          </w:tcPr>
          <w:p w14:paraId="2F8F2C1B" w14:textId="77777777" w:rsidR="00004C1E" w:rsidRPr="006D733F" w:rsidRDefault="00004C1E" w:rsidP="002A7EFA">
            <w:pPr>
              <w:pStyle w:val="BodyText"/>
              <w:jc w:val="center"/>
              <w:rPr>
                <w:sz w:val="16"/>
                <w:szCs w:val="16"/>
              </w:rPr>
            </w:pPr>
          </w:p>
        </w:tc>
      </w:tr>
      <w:tr w:rsidR="00004C1E" w:rsidRPr="00B86E82" w14:paraId="07A6C470" w14:textId="77777777" w:rsidTr="002A7EFA">
        <w:trPr>
          <w:gridAfter w:val="1"/>
          <w:wAfter w:w="843" w:type="dxa"/>
        </w:trPr>
        <w:tc>
          <w:tcPr>
            <w:tcW w:w="2389" w:type="dxa"/>
            <w:vAlign w:val="center"/>
          </w:tcPr>
          <w:p w14:paraId="4E918CFB" w14:textId="77777777" w:rsidR="00004C1E" w:rsidRPr="00B86E82" w:rsidRDefault="00004C1E" w:rsidP="002A7EFA">
            <w:pPr>
              <w:pStyle w:val="BodyText"/>
            </w:pPr>
            <w:r w:rsidRPr="00B86E82">
              <w:t>Lacey River Buttercup</w:t>
            </w:r>
          </w:p>
        </w:tc>
        <w:tc>
          <w:tcPr>
            <w:tcW w:w="2390" w:type="dxa"/>
            <w:vAlign w:val="center"/>
          </w:tcPr>
          <w:p w14:paraId="40DA4F94" w14:textId="77777777" w:rsidR="00004C1E" w:rsidRPr="00B86E82" w:rsidRDefault="00004C1E" w:rsidP="002A7EFA">
            <w:pPr>
              <w:pStyle w:val="BodyText"/>
              <w:rPr>
                <w:sz w:val="16"/>
                <w:szCs w:val="16"/>
              </w:rPr>
            </w:pPr>
            <w:r w:rsidRPr="004023AB">
              <w:rPr>
                <w:i/>
                <w:iCs/>
              </w:rPr>
              <w:t>Ranunculus amplus</w:t>
            </w:r>
          </w:p>
        </w:tc>
        <w:tc>
          <w:tcPr>
            <w:tcW w:w="787" w:type="dxa"/>
            <w:shd w:val="clear" w:color="auto" w:fill="F4F8D4" w:themeFill="accent2" w:themeFillTint="33"/>
            <w:vAlign w:val="center"/>
          </w:tcPr>
          <w:p w14:paraId="122BA4CE" w14:textId="77777777" w:rsidR="00004C1E" w:rsidRPr="006D733F" w:rsidRDefault="00004C1E" w:rsidP="002A7EFA">
            <w:pPr>
              <w:pStyle w:val="BodyText"/>
              <w:ind w:left="0" w:right="0"/>
              <w:jc w:val="center"/>
              <w:rPr>
                <w:b/>
                <w:bCs/>
                <w:sz w:val="16"/>
                <w:szCs w:val="16"/>
              </w:rPr>
            </w:pPr>
            <w:r w:rsidRPr="00CE37C3">
              <w:rPr>
                <w:b/>
                <w:bCs/>
                <w:color w:val="FF0000"/>
                <w:sz w:val="16"/>
                <w:szCs w:val="16"/>
              </w:rPr>
              <w:t>G, W</w:t>
            </w:r>
          </w:p>
        </w:tc>
        <w:tc>
          <w:tcPr>
            <w:tcW w:w="788" w:type="dxa"/>
            <w:shd w:val="clear" w:color="auto" w:fill="auto"/>
            <w:vAlign w:val="center"/>
          </w:tcPr>
          <w:p w14:paraId="2F5E239E" w14:textId="77777777" w:rsidR="00004C1E" w:rsidRPr="006D733F" w:rsidRDefault="00004C1E" w:rsidP="002A7EFA">
            <w:pPr>
              <w:pStyle w:val="BodyText"/>
              <w:ind w:left="0" w:right="0"/>
              <w:jc w:val="center"/>
              <w:rPr>
                <w:sz w:val="16"/>
                <w:szCs w:val="16"/>
              </w:rPr>
            </w:pPr>
          </w:p>
        </w:tc>
        <w:tc>
          <w:tcPr>
            <w:tcW w:w="788" w:type="dxa"/>
            <w:shd w:val="clear" w:color="auto" w:fill="F4F8D4" w:themeFill="accent2" w:themeFillTint="33"/>
            <w:vAlign w:val="center"/>
          </w:tcPr>
          <w:p w14:paraId="49892164" w14:textId="77777777" w:rsidR="00004C1E" w:rsidRPr="00CE37C3" w:rsidRDefault="00004C1E" w:rsidP="002A7EFA">
            <w:pPr>
              <w:pStyle w:val="BodyText"/>
              <w:ind w:left="0" w:right="0"/>
              <w:jc w:val="center"/>
              <w:rPr>
                <w:b/>
                <w:bCs/>
                <w:sz w:val="16"/>
                <w:szCs w:val="16"/>
              </w:rPr>
            </w:pPr>
            <w:r w:rsidRPr="00CE37C3">
              <w:rPr>
                <w:b/>
                <w:bCs/>
                <w:color w:val="00857E" w:themeColor="accent1" w:themeShade="BF"/>
                <w:sz w:val="16"/>
                <w:szCs w:val="16"/>
              </w:rPr>
              <w:t>G, W</w:t>
            </w:r>
          </w:p>
        </w:tc>
        <w:tc>
          <w:tcPr>
            <w:tcW w:w="787" w:type="dxa"/>
            <w:shd w:val="clear" w:color="auto" w:fill="F4F8D4" w:themeFill="accent2" w:themeFillTint="33"/>
            <w:vAlign w:val="center"/>
          </w:tcPr>
          <w:p w14:paraId="2CD2CDA0" w14:textId="77777777" w:rsidR="00004C1E" w:rsidRPr="00CE37C3" w:rsidRDefault="00004C1E" w:rsidP="002A7EFA">
            <w:pPr>
              <w:pStyle w:val="BodyText"/>
              <w:ind w:left="0" w:right="0"/>
              <w:jc w:val="center"/>
              <w:rPr>
                <w:b/>
                <w:bCs/>
                <w:sz w:val="16"/>
                <w:szCs w:val="16"/>
              </w:rPr>
            </w:pPr>
            <w:r w:rsidRPr="00CE37C3">
              <w:rPr>
                <w:b/>
                <w:bCs/>
                <w:color w:val="00857E" w:themeColor="accent1" w:themeShade="BF"/>
                <w:sz w:val="16"/>
                <w:szCs w:val="16"/>
              </w:rPr>
              <w:t xml:space="preserve">G, </w:t>
            </w:r>
            <w:r w:rsidRPr="00CE37C3">
              <w:rPr>
                <w:b/>
                <w:bCs/>
                <w:color w:val="FF0000"/>
                <w:sz w:val="16"/>
                <w:szCs w:val="16"/>
              </w:rPr>
              <w:t>W</w:t>
            </w:r>
          </w:p>
        </w:tc>
        <w:tc>
          <w:tcPr>
            <w:tcW w:w="788" w:type="dxa"/>
            <w:shd w:val="clear" w:color="auto" w:fill="F4F8D4" w:themeFill="accent2" w:themeFillTint="33"/>
            <w:vAlign w:val="center"/>
          </w:tcPr>
          <w:p w14:paraId="2E2733DD" w14:textId="77777777" w:rsidR="00004C1E" w:rsidRPr="006D733F" w:rsidRDefault="00004C1E" w:rsidP="002A7EFA">
            <w:pPr>
              <w:pStyle w:val="BodyText"/>
              <w:ind w:left="0" w:right="0"/>
              <w:jc w:val="center"/>
              <w:rPr>
                <w:b/>
                <w:bCs/>
                <w:sz w:val="16"/>
                <w:szCs w:val="16"/>
              </w:rPr>
            </w:pPr>
            <w:r w:rsidRPr="00CE37C3">
              <w:rPr>
                <w:b/>
                <w:bCs/>
                <w:color w:val="FF0000"/>
                <w:sz w:val="16"/>
                <w:szCs w:val="16"/>
              </w:rPr>
              <w:t>G, W</w:t>
            </w:r>
          </w:p>
        </w:tc>
        <w:tc>
          <w:tcPr>
            <w:tcW w:w="788" w:type="dxa"/>
            <w:shd w:val="clear" w:color="auto" w:fill="auto"/>
            <w:vAlign w:val="center"/>
          </w:tcPr>
          <w:p w14:paraId="30FD7CBA" w14:textId="77777777" w:rsidR="00004C1E" w:rsidRPr="006D733F" w:rsidRDefault="00004C1E" w:rsidP="002A7EFA">
            <w:pPr>
              <w:pStyle w:val="BodyText"/>
              <w:ind w:left="0" w:right="0"/>
              <w:jc w:val="center"/>
              <w:rPr>
                <w:sz w:val="16"/>
                <w:szCs w:val="16"/>
              </w:rPr>
            </w:pPr>
          </w:p>
        </w:tc>
      </w:tr>
      <w:tr w:rsidR="00004C1E" w:rsidRPr="00B86E82" w14:paraId="08DCAEC5" w14:textId="77777777" w:rsidTr="002A7EFA">
        <w:trPr>
          <w:gridAfter w:val="1"/>
          <w:wAfter w:w="843" w:type="dxa"/>
        </w:trPr>
        <w:tc>
          <w:tcPr>
            <w:tcW w:w="2389" w:type="dxa"/>
            <w:vAlign w:val="center"/>
          </w:tcPr>
          <w:p w14:paraId="23CAC080" w14:textId="77777777" w:rsidR="00004C1E" w:rsidRPr="00B86E82" w:rsidRDefault="00004C1E" w:rsidP="002A7EFA">
            <w:pPr>
              <w:pStyle w:val="BodyText"/>
            </w:pPr>
            <w:r w:rsidRPr="00B86E82">
              <w:t>Lake Mountain Grevillea</w:t>
            </w:r>
          </w:p>
        </w:tc>
        <w:tc>
          <w:tcPr>
            <w:tcW w:w="2390" w:type="dxa"/>
            <w:vAlign w:val="center"/>
          </w:tcPr>
          <w:p w14:paraId="3447B0BD" w14:textId="77777777" w:rsidR="00004C1E" w:rsidRPr="00B86E82" w:rsidRDefault="00004C1E" w:rsidP="002A7EFA">
            <w:pPr>
              <w:pStyle w:val="BodyText"/>
              <w:rPr>
                <w:sz w:val="16"/>
                <w:szCs w:val="16"/>
              </w:rPr>
            </w:pPr>
            <w:r w:rsidRPr="004023AB">
              <w:rPr>
                <w:i/>
                <w:iCs/>
              </w:rPr>
              <w:t>Grevillea monslacana</w:t>
            </w:r>
          </w:p>
        </w:tc>
        <w:tc>
          <w:tcPr>
            <w:tcW w:w="787" w:type="dxa"/>
            <w:shd w:val="clear" w:color="auto" w:fill="auto"/>
            <w:vAlign w:val="center"/>
          </w:tcPr>
          <w:p w14:paraId="3D540C04" w14:textId="77777777" w:rsidR="00004C1E" w:rsidRPr="006D733F" w:rsidRDefault="00004C1E" w:rsidP="002A7EFA">
            <w:pPr>
              <w:pStyle w:val="BodyText"/>
              <w:ind w:left="0" w:right="0"/>
              <w:jc w:val="center"/>
              <w:rPr>
                <w:sz w:val="16"/>
                <w:szCs w:val="16"/>
              </w:rPr>
            </w:pPr>
          </w:p>
        </w:tc>
        <w:tc>
          <w:tcPr>
            <w:tcW w:w="788" w:type="dxa"/>
            <w:shd w:val="clear" w:color="auto" w:fill="auto"/>
            <w:vAlign w:val="center"/>
          </w:tcPr>
          <w:p w14:paraId="5C5DC89F" w14:textId="77777777" w:rsidR="00004C1E" w:rsidRPr="006D733F" w:rsidRDefault="00004C1E" w:rsidP="002A7EFA">
            <w:pPr>
              <w:pStyle w:val="BodyText"/>
              <w:ind w:left="0" w:right="0"/>
              <w:jc w:val="center"/>
              <w:rPr>
                <w:sz w:val="16"/>
                <w:szCs w:val="16"/>
              </w:rPr>
            </w:pPr>
          </w:p>
        </w:tc>
        <w:tc>
          <w:tcPr>
            <w:tcW w:w="788" w:type="dxa"/>
            <w:shd w:val="clear" w:color="auto" w:fill="auto"/>
            <w:vAlign w:val="center"/>
          </w:tcPr>
          <w:p w14:paraId="14E66D6E" w14:textId="77777777" w:rsidR="00004C1E" w:rsidRPr="006D733F" w:rsidRDefault="00004C1E" w:rsidP="002A7EFA">
            <w:pPr>
              <w:pStyle w:val="BodyText"/>
              <w:ind w:left="0" w:right="0"/>
              <w:jc w:val="center"/>
              <w:rPr>
                <w:sz w:val="16"/>
                <w:szCs w:val="16"/>
              </w:rPr>
            </w:pPr>
          </w:p>
        </w:tc>
        <w:tc>
          <w:tcPr>
            <w:tcW w:w="787" w:type="dxa"/>
            <w:shd w:val="clear" w:color="auto" w:fill="auto"/>
            <w:vAlign w:val="center"/>
          </w:tcPr>
          <w:p w14:paraId="6700DD7D" w14:textId="77777777" w:rsidR="00004C1E" w:rsidRPr="006D733F" w:rsidRDefault="00004C1E" w:rsidP="002A7EFA">
            <w:pPr>
              <w:pStyle w:val="BodyText"/>
              <w:ind w:left="0" w:right="0"/>
              <w:jc w:val="center"/>
              <w:rPr>
                <w:sz w:val="16"/>
                <w:szCs w:val="16"/>
              </w:rPr>
            </w:pPr>
          </w:p>
        </w:tc>
        <w:tc>
          <w:tcPr>
            <w:tcW w:w="788" w:type="dxa"/>
            <w:shd w:val="clear" w:color="auto" w:fill="auto"/>
            <w:vAlign w:val="center"/>
          </w:tcPr>
          <w:p w14:paraId="273DFE05" w14:textId="77777777" w:rsidR="00004C1E" w:rsidRPr="006D733F" w:rsidRDefault="00004C1E" w:rsidP="002A7EFA">
            <w:pPr>
              <w:pStyle w:val="BodyText"/>
              <w:ind w:left="0" w:right="0"/>
              <w:jc w:val="center"/>
              <w:rPr>
                <w:sz w:val="16"/>
                <w:szCs w:val="16"/>
              </w:rPr>
            </w:pPr>
          </w:p>
        </w:tc>
        <w:tc>
          <w:tcPr>
            <w:tcW w:w="788" w:type="dxa"/>
            <w:shd w:val="clear" w:color="auto" w:fill="auto"/>
            <w:vAlign w:val="center"/>
          </w:tcPr>
          <w:p w14:paraId="1046D817" w14:textId="77777777" w:rsidR="00004C1E" w:rsidRPr="006D733F" w:rsidRDefault="00004C1E" w:rsidP="002A7EFA">
            <w:pPr>
              <w:pStyle w:val="BodyText"/>
              <w:ind w:left="0" w:right="0"/>
              <w:jc w:val="center"/>
              <w:rPr>
                <w:sz w:val="16"/>
                <w:szCs w:val="16"/>
              </w:rPr>
            </w:pPr>
          </w:p>
        </w:tc>
      </w:tr>
      <w:tr w:rsidR="00004C1E" w:rsidRPr="00B86E82" w14:paraId="4D4BE703" w14:textId="77777777" w:rsidTr="002A7EFA">
        <w:trPr>
          <w:gridAfter w:val="1"/>
          <w:wAfter w:w="843" w:type="dxa"/>
        </w:trPr>
        <w:tc>
          <w:tcPr>
            <w:tcW w:w="2389" w:type="dxa"/>
            <w:vAlign w:val="center"/>
          </w:tcPr>
          <w:p w14:paraId="152968D3" w14:textId="77777777" w:rsidR="00004C1E" w:rsidRPr="00B86E82" w:rsidRDefault="00004C1E" w:rsidP="002A7EFA">
            <w:pPr>
              <w:pStyle w:val="BodyText"/>
            </w:pPr>
            <w:r w:rsidRPr="00B86E82">
              <w:t>Lax Twig-sedge</w:t>
            </w:r>
          </w:p>
        </w:tc>
        <w:tc>
          <w:tcPr>
            <w:tcW w:w="2390" w:type="dxa"/>
            <w:vAlign w:val="center"/>
          </w:tcPr>
          <w:p w14:paraId="70A73566" w14:textId="77777777" w:rsidR="00004C1E" w:rsidRPr="004023AB" w:rsidRDefault="00004C1E" w:rsidP="002A7EFA">
            <w:pPr>
              <w:pStyle w:val="BodyText"/>
              <w:rPr>
                <w:i/>
                <w:iCs/>
              </w:rPr>
            </w:pPr>
            <w:r w:rsidRPr="004023AB">
              <w:rPr>
                <w:i/>
                <w:iCs/>
              </w:rPr>
              <w:t>Baumea laxa</w:t>
            </w:r>
          </w:p>
        </w:tc>
        <w:tc>
          <w:tcPr>
            <w:tcW w:w="787" w:type="dxa"/>
            <w:shd w:val="clear" w:color="auto" w:fill="F4F8D4" w:themeFill="accent2" w:themeFillTint="33"/>
            <w:vAlign w:val="center"/>
          </w:tcPr>
          <w:p w14:paraId="59B88696" w14:textId="77777777" w:rsidR="00004C1E" w:rsidRPr="006D733F" w:rsidRDefault="00004C1E" w:rsidP="002A7EFA">
            <w:pPr>
              <w:pStyle w:val="BodyText"/>
              <w:jc w:val="center"/>
              <w:rPr>
                <w:sz w:val="16"/>
                <w:szCs w:val="16"/>
              </w:rPr>
            </w:pPr>
            <w:r w:rsidRPr="00CE37C3">
              <w:rPr>
                <w:b/>
                <w:bCs/>
                <w:color w:val="FF0000"/>
                <w:sz w:val="16"/>
                <w:szCs w:val="16"/>
              </w:rPr>
              <w:t>G, W</w:t>
            </w:r>
          </w:p>
        </w:tc>
        <w:tc>
          <w:tcPr>
            <w:tcW w:w="788" w:type="dxa"/>
            <w:shd w:val="clear" w:color="auto" w:fill="auto"/>
            <w:vAlign w:val="center"/>
          </w:tcPr>
          <w:p w14:paraId="170FFE23" w14:textId="77777777" w:rsidR="00004C1E" w:rsidRDefault="00004C1E" w:rsidP="002A7EFA">
            <w:pPr>
              <w:pStyle w:val="BodyText"/>
              <w:jc w:val="center"/>
              <w:rPr>
                <w:sz w:val="16"/>
                <w:szCs w:val="16"/>
              </w:rPr>
            </w:pPr>
          </w:p>
        </w:tc>
        <w:tc>
          <w:tcPr>
            <w:tcW w:w="788" w:type="dxa"/>
            <w:shd w:val="clear" w:color="auto" w:fill="auto"/>
            <w:vAlign w:val="center"/>
          </w:tcPr>
          <w:p w14:paraId="5B954FCB" w14:textId="77777777" w:rsidR="00004C1E" w:rsidRDefault="00004C1E" w:rsidP="002A7EFA">
            <w:pPr>
              <w:pStyle w:val="BodyText"/>
              <w:jc w:val="center"/>
              <w:rPr>
                <w:sz w:val="16"/>
                <w:szCs w:val="16"/>
              </w:rPr>
            </w:pPr>
          </w:p>
        </w:tc>
        <w:tc>
          <w:tcPr>
            <w:tcW w:w="787" w:type="dxa"/>
            <w:shd w:val="clear" w:color="auto" w:fill="F4F8D4" w:themeFill="accent2" w:themeFillTint="33"/>
            <w:vAlign w:val="center"/>
          </w:tcPr>
          <w:p w14:paraId="0A22F8BD" w14:textId="77777777" w:rsidR="00004C1E" w:rsidRPr="00CE37C3" w:rsidRDefault="00004C1E" w:rsidP="002A7EFA">
            <w:pPr>
              <w:pStyle w:val="BodyText"/>
              <w:jc w:val="center"/>
              <w:rPr>
                <w:b/>
                <w:bCs/>
                <w:sz w:val="16"/>
                <w:szCs w:val="16"/>
              </w:rPr>
            </w:pPr>
            <w:r w:rsidRPr="00CE37C3">
              <w:rPr>
                <w:b/>
                <w:bCs/>
                <w:color w:val="00857E" w:themeColor="accent1" w:themeShade="BF"/>
                <w:sz w:val="16"/>
                <w:szCs w:val="16"/>
              </w:rPr>
              <w:t>G, W</w:t>
            </w:r>
          </w:p>
        </w:tc>
        <w:tc>
          <w:tcPr>
            <w:tcW w:w="788" w:type="dxa"/>
            <w:shd w:val="clear" w:color="auto" w:fill="auto"/>
            <w:vAlign w:val="center"/>
          </w:tcPr>
          <w:p w14:paraId="7AAD23E7" w14:textId="77777777" w:rsidR="00004C1E" w:rsidRDefault="00004C1E" w:rsidP="002A7EFA">
            <w:pPr>
              <w:pStyle w:val="BodyText"/>
              <w:jc w:val="center"/>
              <w:rPr>
                <w:sz w:val="16"/>
                <w:szCs w:val="16"/>
              </w:rPr>
            </w:pPr>
          </w:p>
        </w:tc>
        <w:tc>
          <w:tcPr>
            <w:tcW w:w="788" w:type="dxa"/>
            <w:shd w:val="clear" w:color="auto" w:fill="auto"/>
            <w:vAlign w:val="center"/>
          </w:tcPr>
          <w:p w14:paraId="5F474C6D" w14:textId="77777777" w:rsidR="00004C1E" w:rsidRDefault="00004C1E" w:rsidP="002A7EFA">
            <w:pPr>
              <w:pStyle w:val="BodyText"/>
              <w:jc w:val="center"/>
              <w:rPr>
                <w:sz w:val="16"/>
                <w:szCs w:val="16"/>
              </w:rPr>
            </w:pPr>
          </w:p>
        </w:tc>
      </w:tr>
      <w:tr w:rsidR="00004C1E" w:rsidRPr="00B86E82" w14:paraId="7E2C1C5F" w14:textId="77777777" w:rsidTr="002A7EFA">
        <w:trPr>
          <w:gridAfter w:val="1"/>
          <w:wAfter w:w="843" w:type="dxa"/>
        </w:trPr>
        <w:tc>
          <w:tcPr>
            <w:tcW w:w="2389" w:type="dxa"/>
            <w:vAlign w:val="center"/>
          </w:tcPr>
          <w:p w14:paraId="73EA29C4" w14:textId="77777777" w:rsidR="00004C1E" w:rsidRPr="00B86E82" w:rsidRDefault="00004C1E" w:rsidP="002A7EFA">
            <w:pPr>
              <w:pStyle w:val="BodyText"/>
            </w:pPr>
            <w:r w:rsidRPr="00B86E82">
              <w:t>Leafless Pink-bells</w:t>
            </w:r>
          </w:p>
        </w:tc>
        <w:tc>
          <w:tcPr>
            <w:tcW w:w="2390" w:type="dxa"/>
            <w:vAlign w:val="center"/>
          </w:tcPr>
          <w:p w14:paraId="79512F92" w14:textId="77777777" w:rsidR="00004C1E" w:rsidRPr="00B86E82" w:rsidRDefault="00004C1E" w:rsidP="002A7EFA">
            <w:pPr>
              <w:pStyle w:val="BodyText"/>
              <w:rPr>
                <w:sz w:val="16"/>
                <w:szCs w:val="16"/>
              </w:rPr>
            </w:pPr>
            <w:r w:rsidRPr="004023AB">
              <w:rPr>
                <w:i/>
                <w:iCs/>
              </w:rPr>
              <w:t>Tetratheca subaphylla</w:t>
            </w:r>
          </w:p>
        </w:tc>
        <w:tc>
          <w:tcPr>
            <w:tcW w:w="787" w:type="dxa"/>
            <w:shd w:val="clear" w:color="auto" w:fill="auto"/>
            <w:vAlign w:val="center"/>
          </w:tcPr>
          <w:p w14:paraId="3A9AFF7B" w14:textId="77777777" w:rsidR="00004C1E" w:rsidRPr="006D733F" w:rsidRDefault="00004C1E" w:rsidP="002A7EFA">
            <w:pPr>
              <w:pStyle w:val="BodyText"/>
              <w:ind w:left="0" w:right="0"/>
              <w:jc w:val="center"/>
              <w:rPr>
                <w:sz w:val="16"/>
                <w:szCs w:val="16"/>
              </w:rPr>
            </w:pPr>
          </w:p>
        </w:tc>
        <w:tc>
          <w:tcPr>
            <w:tcW w:w="788" w:type="dxa"/>
            <w:shd w:val="clear" w:color="auto" w:fill="F4F8D4" w:themeFill="accent2" w:themeFillTint="33"/>
            <w:vAlign w:val="center"/>
          </w:tcPr>
          <w:p w14:paraId="6747ECDF" w14:textId="77777777" w:rsidR="00004C1E" w:rsidRPr="00CE37C3" w:rsidRDefault="00004C1E" w:rsidP="002A7EFA">
            <w:pPr>
              <w:pStyle w:val="BodyText"/>
              <w:ind w:left="0" w:right="0"/>
              <w:jc w:val="center"/>
              <w:rPr>
                <w:b/>
                <w:bCs/>
                <w:sz w:val="16"/>
                <w:szCs w:val="16"/>
              </w:rPr>
            </w:pPr>
            <w:r w:rsidRPr="00CE37C3">
              <w:rPr>
                <w:b/>
                <w:bCs/>
                <w:color w:val="00857E" w:themeColor="accent1" w:themeShade="BF"/>
                <w:sz w:val="16"/>
                <w:szCs w:val="16"/>
              </w:rPr>
              <w:t>EG, G</w:t>
            </w:r>
          </w:p>
        </w:tc>
        <w:tc>
          <w:tcPr>
            <w:tcW w:w="788" w:type="dxa"/>
            <w:shd w:val="clear" w:color="auto" w:fill="F4F8D4" w:themeFill="accent2" w:themeFillTint="33"/>
            <w:vAlign w:val="center"/>
          </w:tcPr>
          <w:p w14:paraId="4D570306" w14:textId="77777777" w:rsidR="00004C1E" w:rsidRPr="00CE37C3" w:rsidRDefault="00004C1E" w:rsidP="002A7EFA">
            <w:pPr>
              <w:pStyle w:val="BodyText"/>
              <w:ind w:left="0" w:right="0"/>
              <w:jc w:val="center"/>
              <w:rPr>
                <w:b/>
                <w:bCs/>
                <w:sz w:val="16"/>
                <w:szCs w:val="16"/>
              </w:rPr>
            </w:pPr>
            <w:r w:rsidRPr="00CE37C3">
              <w:rPr>
                <w:b/>
                <w:bCs/>
                <w:color w:val="00857E" w:themeColor="accent1" w:themeShade="BF"/>
                <w:sz w:val="16"/>
                <w:szCs w:val="16"/>
              </w:rPr>
              <w:t>EG</w:t>
            </w:r>
          </w:p>
        </w:tc>
        <w:tc>
          <w:tcPr>
            <w:tcW w:w="787" w:type="dxa"/>
            <w:shd w:val="clear" w:color="auto" w:fill="auto"/>
            <w:vAlign w:val="center"/>
          </w:tcPr>
          <w:p w14:paraId="1E1BD91E" w14:textId="77777777" w:rsidR="00004C1E" w:rsidRPr="006D733F" w:rsidRDefault="00004C1E" w:rsidP="002A7EFA">
            <w:pPr>
              <w:pStyle w:val="BodyText"/>
              <w:ind w:left="0" w:right="0"/>
              <w:jc w:val="center"/>
              <w:rPr>
                <w:sz w:val="16"/>
                <w:szCs w:val="16"/>
              </w:rPr>
            </w:pPr>
          </w:p>
        </w:tc>
        <w:tc>
          <w:tcPr>
            <w:tcW w:w="788" w:type="dxa"/>
            <w:shd w:val="clear" w:color="auto" w:fill="F4F8D4" w:themeFill="accent2" w:themeFillTint="33"/>
            <w:vAlign w:val="center"/>
          </w:tcPr>
          <w:p w14:paraId="2D6528DE" w14:textId="77777777" w:rsidR="00004C1E" w:rsidRPr="00CE37C3" w:rsidRDefault="00004C1E" w:rsidP="002A7EFA">
            <w:pPr>
              <w:pStyle w:val="BodyText"/>
              <w:ind w:left="0" w:right="0"/>
              <w:jc w:val="center"/>
              <w:rPr>
                <w:b/>
                <w:bCs/>
                <w:color w:val="00857E" w:themeColor="accent1" w:themeShade="BF"/>
                <w:sz w:val="16"/>
                <w:szCs w:val="16"/>
              </w:rPr>
            </w:pPr>
            <w:r w:rsidRPr="00CE37C3">
              <w:rPr>
                <w:b/>
                <w:bCs/>
                <w:color w:val="00857E" w:themeColor="accent1" w:themeShade="BF"/>
                <w:sz w:val="16"/>
                <w:szCs w:val="16"/>
              </w:rPr>
              <w:t>EG, G</w:t>
            </w:r>
          </w:p>
        </w:tc>
        <w:tc>
          <w:tcPr>
            <w:tcW w:w="788" w:type="dxa"/>
            <w:shd w:val="clear" w:color="auto" w:fill="F4F8D4" w:themeFill="accent2" w:themeFillTint="33"/>
            <w:vAlign w:val="center"/>
          </w:tcPr>
          <w:p w14:paraId="1CDDA5BE" w14:textId="77777777" w:rsidR="00004C1E" w:rsidRPr="00CE37C3" w:rsidRDefault="00004C1E" w:rsidP="002A7EFA">
            <w:pPr>
              <w:pStyle w:val="BodyText"/>
              <w:ind w:left="0" w:right="0"/>
              <w:jc w:val="center"/>
              <w:rPr>
                <w:b/>
                <w:bCs/>
                <w:color w:val="00857E" w:themeColor="accent1" w:themeShade="BF"/>
                <w:sz w:val="16"/>
                <w:szCs w:val="16"/>
              </w:rPr>
            </w:pPr>
            <w:r w:rsidRPr="00CE37C3">
              <w:rPr>
                <w:b/>
                <w:bCs/>
                <w:color w:val="00857E" w:themeColor="accent1" w:themeShade="BF"/>
                <w:sz w:val="16"/>
                <w:szCs w:val="16"/>
              </w:rPr>
              <w:t>EG, G</w:t>
            </w:r>
          </w:p>
        </w:tc>
      </w:tr>
      <w:tr w:rsidR="00004C1E" w:rsidRPr="00B86E82" w14:paraId="0BF30E12" w14:textId="77777777" w:rsidTr="002A7EFA">
        <w:trPr>
          <w:gridAfter w:val="1"/>
          <w:wAfter w:w="843" w:type="dxa"/>
        </w:trPr>
        <w:tc>
          <w:tcPr>
            <w:tcW w:w="2389" w:type="dxa"/>
            <w:vAlign w:val="center"/>
          </w:tcPr>
          <w:p w14:paraId="7D496B1C" w14:textId="77777777" w:rsidR="00004C1E" w:rsidRPr="00B86E82" w:rsidRDefault="00004C1E" w:rsidP="002A7EFA">
            <w:pPr>
              <w:pStyle w:val="BodyText"/>
            </w:pPr>
            <w:r w:rsidRPr="00B86E82">
              <w:t>Long Pink-bells</w:t>
            </w:r>
          </w:p>
        </w:tc>
        <w:tc>
          <w:tcPr>
            <w:tcW w:w="2390" w:type="dxa"/>
            <w:vAlign w:val="center"/>
          </w:tcPr>
          <w:p w14:paraId="049F0218" w14:textId="77777777" w:rsidR="00004C1E" w:rsidRPr="00672BB2" w:rsidRDefault="00004C1E" w:rsidP="002A7EFA">
            <w:pPr>
              <w:pStyle w:val="BodyText"/>
              <w:rPr>
                <w:i/>
                <w:iCs/>
              </w:rPr>
            </w:pPr>
            <w:r w:rsidRPr="004023AB">
              <w:rPr>
                <w:i/>
                <w:iCs/>
              </w:rPr>
              <w:t>Tetratheca stenocarpa</w:t>
            </w:r>
          </w:p>
        </w:tc>
        <w:tc>
          <w:tcPr>
            <w:tcW w:w="787" w:type="dxa"/>
            <w:shd w:val="clear" w:color="auto" w:fill="F4F8D4" w:themeFill="accent2" w:themeFillTint="33"/>
            <w:vAlign w:val="center"/>
          </w:tcPr>
          <w:p w14:paraId="631FFC01" w14:textId="77777777" w:rsidR="00004C1E" w:rsidRPr="00CE37C3" w:rsidRDefault="00004C1E" w:rsidP="002A7EFA">
            <w:pPr>
              <w:pStyle w:val="BodyText"/>
              <w:ind w:left="0" w:right="0"/>
              <w:jc w:val="center"/>
              <w:rPr>
                <w:b/>
                <w:bCs/>
                <w:sz w:val="16"/>
                <w:szCs w:val="16"/>
              </w:rPr>
            </w:pPr>
            <w:r w:rsidRPr="00CE37C3">
              <w:rPr>
                <w:b/>
                <w:bCs/>
                <w:color w:val="00857E" w:themeColor="accent1" w:themeShade="BF"/>
                <w:sz w:val="16"/>
                <w:szCs w:val="16"/>
              </w:rPr>
              <w:t>CH</w:t>
            </w:r>
          </w:p>
        </w:tc>
        <w:tc>
          <w:tcPr>
            <w:tcW w:w="788" w:type="dxa"/>
            <w:shd w:val="clear" w:color="auto" w:fill="auto"/>
            <w:vAlign w:val="center"/>
          </w:tcPr>
          <w:p w14:paraId="5D138F6C" w14:textId="77777777" w:rsidR="00004C1E" w:rsidRPr="00CE37C3" w:rsidRDefault="00004C1E" w:rsidP="002A7EFA">
            <w:pPr>
              <w:pStyle w:val="BodyText"/>
              <w:ind w:left="0" w:right="0"/>
              <w:jc w:val="center"/>
              <w:rPr>
                <w:b/>
                <w:bCs/>
                <w:sz w:val="16"/>
                <w:szCs w:val="16"/>
              </w:rPr>
            </w:pPr>
          </w:p>
        </w:tc>
        <w:tc>
          <w:tcPr>
            <w:tcW w:w="788" w:type="dxa"/>
            <w:shd w:val="clear" w:color="auto" w:fill="auto"/>
            <w:vAlign w:val="center"/>
          </w:tcPr>
          <w:p w14:paraId="52721300" w14:textId="77777777" w:rsidR="00004C1E" w:rsidRPr="00CE37C3" w:rsidRDefault="00004C1E" w:rsidP="002A7EFA">
            <w:pPr>
              <w:pStyle w:val="BodyText"/>
              <w:ind w:left="0" w:right="0"/>
              <w:jc w:val="center"/>
              <w:rPr>
                <w:b/>
                <w:bCs/>
                <w:sz w:val="16"/>
                <w:szCs w:val="16"/>
              </w:rPr>
            </w:pPr>
          </w:p>
        </w:tc>
        <w:tc>
          <w:tcPr>
            <w:tcW w:w="787" w:type="dxa"/>
            <w:shd w:val="clear" w:color="auto" w:fill="F4F8D4" w:themeFill="accent2" w:themeFillTint="33"/>
            <w:vAlign w:val="center"/>
          </w:tcPr>
          <w:p w14:paraId="7D4FCEFF" w14:textId="77777777" w:rsidR="00004C1E" w:rsidRPr="00CE37C3" w:rsidRDefault="00004C1E" w:rsidP="002A7EFA">
            <w:pPr>
              <w:pStyle w:val="BodyText"/>
              <w:ind w:left="0" w:right="0"/>
              <w:jc w:val="center"/>
              <w:rPr>
                <w:b/>
                <w:bCs/>
                <w:color w:val="00857E" w:themeColor="accent1" w:themeShade="BF"/>
                <w:sz w:val="16"/>
                <w:szCs w:val="16"/>
              </w:rPr>
            </w:pPr>
            <w:r w:rsidRPr="00CE37C3">
              <w:rPr>
                <w:b/>
                <w:bCs/>
                <w:color w:val="00857E" w:themeColor="accent1" w:themeShade="BF"/>
                <w:sz w:val="16"/>
                <w:szCs w:val="16"/>
              </w:rPr>
              <w:t>CH</w:t>
            </w:r>
          </w:p>
        </w:tc>
        <w:tc>
          <w:tcPr>
            <w:tcW w:w="788" w:type="dxa"/>
            <w:shd w:val="clear" w:color="auto" w:fill="F4F8D4" w:themeFill="accent2" w:themeFillTint="33"/>
            <w:vAlign w:val="center"/>
          </w:tcPr>
          <w:p w14:paraId="79C51155" w14:textId="77777777" w:rsidR="00004C1E" w:rsidRPr="00CE37C3" w:rsidRDefault="00004C1E" w:rsidP="002A7EFA">
            <w:pPr>
              <w:pStyle w:val="BodyText"/>
              <w:ind w:left="0" w:right="0"/>
              <w:jc w:val="center"/>
              <w:rPr>
                <w:b/>
                <w:bCs/>
                <w:color w:val="00857E" w:themeColor="accent1" w:themeShade="BF"/>
                <w:sz w:val="16"/>
                <w:szCs w:val="16"/>
              </w:rPr>
            </w:pPr>
            <w:r w:rsidRPr="00CE37C3">
              <w:rPr>
                <w:b/>
                <w:bCs/>
                <w:color w:val="00857E" w:themeColor="accent1" w:themeShade="BF"/>
                <w:sz w:val="16"/>
                <w:szCs w:val="16"/>
              </w:rPr>
              <w:t>CH, NE</w:t>
            </w:r>
          </w:p>
        </w:tc>
        <w:tc>
          <w:tcPr>
            <w:tcW w:w="788" w:type="dxa"/>
            <w:shd w:val="clear" w:color="auto" w:fill="auto"/>
            <w:vAlign w:val="center"/>
          </w:tcPr>
          <w:p w14:paraId="1836DE18" w14:textId="77777777" w:rsidR="00004C1E" w:rsidRPr="006D733F" w:rsidRDefault="00004C1E" w:rsidP="002A7EFA">
            <w:pPr>
              <w:pStyle w:val="BodyText"/>
              <w:ind w:left="0" w:right="0"/>
              <w:jc w:val="center"/>
              <w:rPr>
                <w:sz w:val="16"/>
                <w:szCs w:val="16"/>
              </w:rPr>
            </w:pPr>
          </w:p>
        </w:tc>
      </w:tr>
      <w:tr w:rsidR="00004C1E" w:rsidRPr="00B86E82" w14:paraId="1728C7C7" w14:textId="77777777" w:rsidTr="002A7EFA">
        <w:trPr>
          <w:gridAfter w:val="1"/>
          <w:wAfter w:w="843" w:type="dxa"/>
        </w:trPr>
        <w:tc>
          <w:tcPr>
            <w:tcW w:w="2389" w:type="dxa"/>
            <w:vAlign w:val="center"/>
          </w:tcPr>
          <w:p w14:paraId="066F89BB" w14:textId="77777777" w:rsidR="00004C1E" w:rsidRPr="00B86E82" w:rsidRDefault="00004C1E" w:rsidP="002A7EFA">
            <w:pPr>
              <w:pStyle w:val="BodyText"/>
            </w:pPr>
            <w:r w:rsidRPr="00B86E82">
              <w:t>Mountain Bird-orchid</w:t>
            </w:r>
          </w:p>
        </w:tc>
        <w:tc>
          <w:tcPr>
            <w:tcW w:w="2390" w:type="dxa"/>
            <w:vAlign w:val="center"/>
          </w:tcPr>
          <w:p w14:paraId="00037F76" w14:textId="77777777" w:rsidR="00004C1E" w:rsidRPr="004023AB" w:rsidRDefault="00004C1E" w:rsidP="002A7EFA">
            <w:pPr>
              <w:pStyle w:val="BodyText"/>
              <w:rPr>
                <w:i/>
                <w:iCs/>
              </w:rPr>
            </w:pPr>
            <w:r w:rsidRPr="004023AB">
              <w:rPr>
                <w:i/>
                <w:iCs/>
              </w:rPr>
              <w:t>Chiloglottis jeanesii</w:t>
            </w:r>
          </w:p>
        </w:tc>
        <w:tc>
          <w:tcPr>
            <w:tcW w:w="787" w:type="dxa"/>
            <w:shd w:val="clear" w:color="auto" w:fill="auto"/>
            <w:vAlign w:val="center"/>
          </w:tcPr>
          <w:p w14:paraId="213D9202" w14:textId="77777777" w:rsidR="00004C1E" w:rsidRPr="006F254C" w:rsidRDefault="00004C1E" w:rsidP="002A7EFA">
            <w:pPr>
              <w:pStyle w:val="BodyText"/>
              <w:jc w:val="center"/>
              <w:rPr>
                <w:b/>
                <w:bCs/>
                <w:sz w:val="16"/>
                <w:szCs w:val="16"/>
              </w:rPr>
            </w:pPr>
          </w:p>
        </w:tc>
        <w:tc>
          <w:tcPr>
            <w:tcW w:w="788" w:type="dxa"/>
            <w:shd w:val="clear" w:color="auto" w:fill="auto"/>
            <w:vAlign w:val="center"/>
          </w:tcPr>
          <w:p w14:paraId="52171CC9" w14:textId="77777777" w:rsidR="00004C1E" w:rsidRDefault="00004C1E" w:rsidP="002A7EFA">
            <w:pPr>
              <w:pStyle w:val="BodyText"/>
              <w:jc w:val="center"/>
              <w:rPr>
                <w:sz w:val="16"/>
                <w:szCs w:val="16"/>
              </w:rPr>
            </w:pPr>
          </w:p>
        </w:tc>
        <w:tc>
          <w:tcPr>
            <w:tcW w:w="788" w:type="dxa"/>
            <w:shd w:val="clear" w:color="auto" w:fill="F4F8D4" w:themeFill="accent2" w:themeFillTint="33"/>
            <w:vAlign w:val="center"/>
          </w:tcPr>
          <w:p w14:paraId="5BB82C50" w14:textId="77777777" w:rsidR="00004C1E" w:rsidRPr="00CE37C3" w:rsidRDefault="00004C1E" w:rsidP="002A7EFA">
            <w:pPr>
              <w:pStyle w:val="BodyText"/>
              <w:jc w:val="center"/>
              <w:rPr>
                <w:b/>
                <w:bCs/>
                <w:sz w:val="16"/>
                <w:szCs w:val="16"/>
              </w:rPr>
            </w:pPr>
            <w:r w:rsidRPr="00CE37C3">
              <w:rPr>
                <w:b/>
                <w:bCs/>
                <w:color w:val="00857E" w:themeColor="accent1" w:themeShade="BF"/>
                <w:sz w:val="16"/>
                <w:szCs w:val="16"/>
              </w:rPr>
              <w:t>CH</w:t>
            </w:r>
          </w:p>
        </w:tc>
        <w:tc>
          <w:tcPr>
            <w:tcW w:w="787" w:type="dxa"/>
            <w:vAlign w:val="center"/>
          </w:tcPr>
          <w:p w14:paraId="4388E0C3" w14:textId="77777777" w:rsidR="00004C1E" w:rsidRPr="006D733F" w:rsidRDefault="00004C1E" w:rsidP="002A7EFA">
            <w:pPr>
              <w:pStyle w:val="BodyText"/>
              <w:jc w:val="center"/>
              <w:rPr>
                <w:sz w:val="16"/>
                <w:szCs w:val="16"/>
              </w:rPr>
            </w:pPr>
          </w:p>
        </w:tc>
        <w:tc>
          <w:tcPr>
            <w:tcW w:w="788" w:type="dxa"/>
            <w:shd w:val="clear" w:color="auto" w:fill="auto"/>
            <w:vAlign w:val="center"/>
          </w:tcPr>
          <w:p w14:paraId="752381A9" w14:textId="77777777" w:rsidR="00004C1E" w:rsidRPr="006F254C" w:rsidRDefault="00004C1E" w:rsidP="002A7EFA">
            <w:pPr>
              <w:pStyle w:val="BodyText"/>
              <w:jc w:val="center"/>
              <w:rPr>
                <w:b/>
                <w:bCs/>
                <w:sz w:val="16"/>
                <w:szCs w:val="16"/>
              </w:rPr>
            </w:pPr>
          </w:p>
        </w:tc>
        <w:tc>
          <w:tcPr>
            <w:tcW w:w="788" w:type="dxa"/>
            <w:vAlign w:val="center"/>
          </w:tcPr>
          <w:p w14:paraId="6E323504" w14:textId="77777777" w:rsidR="00004C1E" w:rsidRPr="006D733F" w:rsidRDefault="00004C1E" w:rsidP="002A7EFA">
            <w:pPr>
              <w:pStyle w:val="BodyText"/>
              <w:jc w:val="center"/>
              <w:rPr>
                <w:sz w:val="16"/>
                <w:szCs w:val="16"/>
              </w:rPr>
            </w:pPr>
          </w:p>
        </w:tc>
      </w:tr>
      <w:tr w:rsidR="00004C1E" w:rsidRPr="00B86E82" w14:paraId="561C76B3" w14:textId="77777777" w:rsidTr="002A7EFA">
        <w:trPr>
          <w:gridAfter w:val="1"/>
          <w:wAfter w:w="843" w:type="dxa"/>
        </w:trPr>
        <w:tc>
          <w:tcPr>
            <w:tcW w:w="2389" w:type="dxa"/>
            <w:vAlign w:val="center"/>
          </w:tcPr>
          <w:p w14:paraId="1284D15F" w14:textId="77777777" w:rsidR="00004C1E" w:rsidRPr="00B86E82" w:rsidRDefault="00004C1E" w:rsidP="002A7EFA">
            <w:pPr>
              <w:pStyle w:val="BodyText"/>
            </w:pPr>
            <w:r w:rsidRPr="00B86E82">
              <w:t>Naked Sun-orchid</w:t>
            </w:r>
          </w:p>
        </w:tc>
        <w:tc>
          <w:tcPr>
            <w:tcW w:w="2390" w:type="dxa"/>
            <w:vAlign w:val="center"/>
          </w:tcPr>
          <w:p w14:paraId="0C60E635" w14:textId="77777777" w:rsidR="00004C1E" w:rsidRPr="004023AB" w:rsidRDefault="00004C1E" w:rsidP="002A7EFA">
            <w:pPr>
              <w:pStyle w:val="BodyText"/>
              <w:rPr>
                <w:i/>
                <w:iCs/>
              </w:rPr>
            </w:pPr>
            <w:r w:rsidRPr="004023AB">
              <w:rPr>
                <w:i/>
                <w:iCs/>
              </w:rPr>
              <w:t>Thelymitra circumsepta</w:t>
            </w:r>
          </w:p>
        </w:tc>
        <w:tc>
          <w:tcPr>
            <w:tcW w:w="787" w:type="dxa"/>
            <w:shd w:val="clear" w:color="auto" w:fill="auto"/>
            <w:vAlign w:val="center"/>
          </w:tcPr>
          <w:p w14:paraId="7C6C37AC" w14:textId="77777777" w:rsidR="00004C1E" w:rsidRPr="006F254C" w:rsidRDefault="00004C1E" w:rsidP="002A7EFA">
            <w:pPr>
              <w:pStyle w:val="BodyText"/>
              <w:jc w:val="center"/>
              <w:rPr>
                <w:b/>
                <w:bCs/>
                <w:sz w:val="16"/>
                <w:szCs w:val="16"/>
              </w:rPr>
            </w:pPr>
          </w:p>
        </w:tc>
        <w:tc>
          <w:tcPr>
            <w:tcW w:w="788" w:type="dxa"/>
            <w:shd w:val="clear" w:color="auto" w:fill="F4F8D4" w:themeFill="accent2" w:themeFillTint="33"/>
            <w:vAlign w:val="center"/>
          </w:tcPr>
          <w:p w14:paraId="5EA0B912" w14:textId="77777777" w:rsidR="00004C1E" w:rsidRPr="00CE37C3" w:rsidRDefault="00004C1E" w:rsidP="002A7EFA">
            <w:pPr>
              <w:pStyle w:val="BodyText"/>
              <w:jc w:val="center"/>
              <w:rPr>
                <w:b/>
                <w:bCs/>
                <w:sz w:val="16"/>
                <w:szCs w:val="16"/>
              </w:rPr>
            </w:pPr>
            <w:r w:rsidRPr="00CE37C3">
              <w:rPr>
                <w:b/>
                <w:bCs/>
                <w:color w:val="00857E" w:themeColor="accent1" w:themeShade="BF"/>
                <w:sz w:val="16"/>
                <w:szCs w:val="16"/>
              </w:rPr>
              <w:t>EG, G, W</w:t>
            </w:r>
          </w:p>
        </w:tc>
        <w:tc>
          <w:tcPr>
            <w:tcW w:w="788" w:type="dxa"/>
            <w:shd w:val="clear" w:color="auto" w:fill="F4F8D4" w:themeFill="accent2" w:themeFillTint="33"/>
            <w:vAlign w:val="center"/>
          </w:tcPr>
          <w:p w14:paraId="56E8BD7B" w14:textId="77777777" w:rsidR="00004C1E" w:rsidRPr="00CE37C3" w:rsidRDefault="00004C1E" w:rsidP="002A7EFA">
            <w:pPr>
              <w:pStyle w:val="BodyText"/>
              <w:jc w:val="center"/>
              <w:rPr>
                <w:b/>
                <w:bCs/>
                <w:sz w:val="16"/>
                <w:szCs w:val="16"/>
              </w:rPr>
            </w:pPr>
            <w:r w:rsidRPr="00CE37C3">
              <w:rPr>
                <w:b/>
                <w:bCs/>
                <w:color w:val="00857E" w:themeColor="accent1" w:themeShade="BF"/>
                <w:sz w:val="16"/>
                <w:szCs w:val="16"/>
              </w:rPr>
              <w:t>EG, G, W</w:t>
            </w:r>
          </w:p>
        </w:tc>
        <w:tc>
          <w:tcPr>
            <w:tcW w:w="787" w:type="dxa"/>
            <w:vAlign w:val="center"/>
          </w:tcPr>
          <w:p w14:paraId="39B9FEA3"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2F6A7CB9" w14:textId="77777777" w:rsidR="00004C1E" w:rsidRPr="006F254C" w:rsidRDefault="00004C1E" w:rsidP="002A7EFA">
            <w:pPr>
              <w:pStyle w:val="BodyText"/>
              <w:jc w:val="center"/>
              <w:rPr>
                <w:b/>
                <w:bCs/>
                <w:sz w:val="16"/>
                <w:szCs w:val="16"/>
              </w:rPr>
            </w:pPr>
            <w:r w:rsidRPr="00CE37C3">
              <w:rPr>
                <w:b/>
                <w:bCs/>
                <w:color w:val="FF0000"/>
                <w:sz w:val="16"/>
                <w:szCs w:val="16"/>
              </w:rPr>
              <w:t>EG, G</w:t>
            </w:r>
          </w:p>
        </w:tc>
        <w:tc>
          <w:tcPr>
            <w:tcW w:w="788" w:type="dxa"/>
            <w:vAlign w:val="center"/>
          </w:tcPr>
          <w:p w14:paraId="233F7FF4" w14:textId="77777777" w:rsidR="00004C1E" w:rsidRPr="006D733F" w:rsidRDefault="00004C1E" w:rsidP="002A7EFA">
            <w:pPr>
              <w:pStyle w:val="BodyText"/>
              <w:jc w:val="center"/>
              <w:rPr>
                <w:sz w:val="16"/>
                <w:szCs w:val="16"/>
              </w:rPr>
            </w:pPr>
          </w:p>
        </w:tc>
      </w:tr>
      <w:tr w:rsidR="00004C1E" w:rsidRPr="00B86E82" w14:paraId="7138BE42" w14:textId="77777777" w:rsidTr="002A7EFA">
        <w:trPr>
          <w:gridAfter w:val="1"/>
          <w:wAfter w:w="843" w:type="dxa"/>
        </w:trPr>
        <w:tc>
          <w:tcPr>
            <w:tcW w:w="2389" w:type="dxa"/>
            <w:vAlign w:val="center"/>
          </w:tcPr>
          <w:p w14:paraId="1D02A0AC" w14:textId="77777777" w:rsidR="00004C1E" w:rsidRPr="00B86E82" w:rsidRDefault="00004C1E" w:rsidP="002A7EFA">
            <w:pPr>
              <w:pStyle w:val="BodyText"/>
            </w:pPr>
            <w:r w:rsidRPr="00B86E82">
              <w:t>Native Hemp</w:t>
            </w:r>
          </w:p>
        </w:tc>
        <w:tc>
          <w:tcPr>
            <w:tcW w:w="2390" w:type="dxa"/>
            <w:vAlign w:val="center"/>
          </w:tcPr>
          <w:p w14:paraId="08DAB2B1" w14:textId="77777777" w:rsidR="00004C1E" w:rsidRPr="00B86E82" w:rsidRDefault="00004C1E" w:rsidP="002A7EFA">
            <w:pPr>
              <w:pStyle w:val="BodyText"/>
              <w:rPr>
                <w:sz w:val="16"/>
                <w:szCs w:val="16"/>
              </w:rPr>
            </w:pPr>
            <w:r w:rsidRPr="004023AB">
              <w:rPr>
                <w:i/>
                <w:iCs/>
              </w:rPr>
              <w:t>Androcalva rossii</w:t>
            </w:r>
          </w:p>
        </w:tc>
        <w:tc>
          <w:tcPr>
            <w:tcW w:w="787" w:type="dxa"/>
            <w:shd w:val="clear" w:color="auto" w:fill="F4F8D4" w:themeFill="accent2" w:themeFillTint="33"/>
            <w:vAlign w:val="center"/>
          </w:tcPr>
          <w:p w14:paraId="4905D95C" w14:textId="77777777" w:rsidR="00004C1E" w:rsidRPr="006F254C" w:rsidRDefault="00004C1E" w:rsidP="002A7EFA">
            <w:pPr>
              <w:pStyle w:val="BodyText"/>
              <w:ind w:left="0" w:right="0"/>
              <w:jc w:val="center"/>
              <w:rPr>
                <w:b/>
                <w:bCs/>
                <w:sz w:val="16"/>
                <w:szCs w:val="16"/>
              </w:rPr>
            </w:pPr>
            <w:r w:rsidRPr="00CE37C3">
              <w:rPr>
                <w:b/>
                <w:bCs/>
                <w:color w:val="FF0000"/>
                <w:sz w:val="16"/>
                <w:szCs w:val="16"/>
              </w:rPr>
              <w:t>EG</w:t>
            </w:r>
          </w:p>
        </w:tc>
        <w:tc>
          <w:tcPr>
            <w:tcW w:w="788" w:type="dxa"/>
            <w:shd w:val="clear" w:color="auto" w:fill="F4F8D4" w:themeFill="accent2" w:themeFillTint="33"/>
            <w:vAlign w:val="center"/>
          </w:tcPr>
          <w:p w14:paraId="00708CF2" w14:textId="77777777" w:rsidR="00004C1E" w:rsidRPr="00CE37C3" w:rsidRDefault="00004C1E" w:rsidP="002A7EFA">
            <w:pPr>
              <w:pStyle w:val="BodyText"/>
              <w:ind w:left="0" w:right="0"/>
              <w:jc w:val="center"/>
              <w:rPr>
                <w:b/>
                <w:bCs/>
                <w:sz w:val="16"/>
                <w:szCs w:val="16"/>
              </w:rPr>
            </w:pPr>
            <w:r w:rsidRPr="00CE37C3">
              <w:rPr>
                <w:b/>
                <w:bCs/>
                <w:color w:val="00857E" w:themeColor="accent1" w:themeShade="BF"/>
                <w:sz w:val="16"/>
                <w:szCs w:val="16"/>
              </w:rPr>
              <w:t>EG</w:t>
            </w:r>
          </w:p>
        </w:tc>
        <w:tc>
          <w:tcPr>
            <w:tcW w:w="788" w:type="dxa"/>
            <w:vAlign w:val="center"/>
          </w:tcPr>
          <w:p w14:paraId="78DBD051" w14:textId="77777777" w:rsidR="00004C1E" w:rsidRPr="006D733F" w:rsidRDefault="00004C1E" w:rsidP="002A7EFA">
            <w:pPr>
              <w:pStyle w:val="BodyText"/>
              <w:ind w:left="0" w:right="0"/>
              <w:jc w:val="center"/>
              <w:rPr>
                <w:sz w:val="16"/>
                <w:szCs w:val="16"/>
              </w:rPr>
            </w:pPr>
          </w:p>
        </w:tc>
        <w:tc>
          <w:tcPr>
            <w:tcW w:w="787" w:type="dxa"/>
            <w:vAlign w:val="center"/>
          </w:tcPr>
          <w:p w14:paraId="23D39A4E" w14:textId="77777777" w:rsidR="00004C1E" w:rsidRPr="006D733F" w:rsidRDefault="00004C1E" w:rsidP="002A7EFA">
            <w:pPr>
              <w:pStyle w:val="BodyText"/>
              <w:ind w:left="0" w:right="0"/>
              <w:jc w:val="center"/>
              <w:rPr>
                <w:sz w:val="16"/>
                <w:szCs w:val="16"/>
              </w:rPr>
            </w:pPr>
          </w:p>
        </w:tc>
        <w:tc>
          <w:tcPr>
            <w:tcW w:w="788" w:type="dxa"/>
            <w:shd w:val="clear" w:color="auto" w:fill="F4F8D4" w:themeFill="accent2" w:themeFillTint="33"/>
            <w:vAlign w:val="center"/>
          </w:tcPr>
          <w:p w14:paraId="07D3707D" w14:textId="77777777" w:rsidR="00004C1E" w:rsidRPr="006F254C" w:rsidRDefault="00004C1E" w:rsidP="002A7EFA">
            <w:pPr>
              <w:pStyle w:val="BodyText"/>
              <w:ind w:left="0" w:right="0"/>
              <w:jc w:val="center"/>
              <w:rPr>
                <w:b/>
                <w:bCs/>
                <w:sz w:val="16"/>
                <w:szCs w:val="16"/>
              </w:rPr>
            </w:pPr>
            <w:r w:rsidRPr="00CE37C3">
              <w:rPr>
                <w:b/>
                <w:bCs/>
                <w:color w:val="FF0000"/>
                <w:sz w:val="16"/>
                <w:szCs w:val="16"/>
              </w:rPr>
              <w:t>EG</w:t>
            </w:r>
          </w:p>
        </w:tc>
        <w:tc>
          <w:tcPr>
            <w:tcW w:w="788" w:type="dxa"/>
            <w:vAlign w:val="center"/>
          </w:tcPr>
          <w:p w14:paraId="558F3031" w14:textId="77777777" w:rsidR="00004C1E" w:rsidRPr="006D733F" w:rsidRDefault="00004C1E" w:rsidP="002A7EFA">
            <w:pPr>
              <w:pStyle w:val="BodyText"/>
              <w:ind w:left="0" w:right="0"/>
              <w:jc w:val="center"/>
              <w:rPr>
                <w:sz w:val="16"/>
                <w:szCs w:val="16"/>
              </w:rPr>
            </w:pPr>
          </w:p>
        </w:tc>
      </w:tr>
      <w:tr w:rsidR="00004C1E" w:rsidRPr="00B86E82" w14:paraId="49C5BF5C" w14:textId="77777777" w:rsidTr="002A7EFA">
        <w:trPr>
          <w:gridAfter w:val="1"/>
          <w:wAfter w:w="843" w:type="dxa"/>
        </w:trPr>
        <w:tc>
          <w:tcPr>
            <w:tcW w:w="2389" w:type="dxa"/>
            <w:vAlign w:val="center"/>
          </w:tcPr>
          <w:p w14:paraId="28E7F0D9" w14:textId="77777777" w:rsidR="00004C1E" w:rsidRPr="00B86E82" w:rsidRDefault="00004C1E" w:rsidP="002A7EFA">
            <w:pPr>
              <w:pStyle w:val="BodyText"/>
            </w:pPr>
            <w:r w:rsidRPr="00B86E82">
              <w:t>Oval Fork-fern</w:t>
            </w:r>
          </w:p>
        </w:tc>
        <w:tc>
          <w:tcPr>
            <w:tcW w:w="2390" w:type="dxa"/>
            <w:vAlign w:val="center"/>
          </w:tcPr>
          <w:p w14:paraId="650F8CDF" w14:textId="77777777" w:rsidR="00004C1E" w:rsidRPr="004023AB" w:rsidRDefault="00004C1E" w:rsidP="002A7EFA">
            <w:pPr>
              <w:pStyle w:val="BodyText"/>
              <w:rPr>
                <w:i/>
                <w:iCs/>
              </w:rPr>
            </w:pPr>
            <w:r w:rsidRPr="004023AB">
              <w:rPr>
                <w:i/>
                <w:iCs/>
              </w:rPr>
              <w:t>Tmesipteris ovata</w:t>
            </w:r>
          </w:p>
        </w:tc>
        <w:tc>
          <w:tcPr>
            <w:tcW w:w="787" w:type="dxa"/>
            <w:shd w:val="clear" w:color="auto" w:fill="F4F8D4" w:themeFill="accent2" w:themeFillTint="33"/>
            <w:vAlign w:val="center"/>
          </w:tcPr>
          <w:p w14:paraId="209C3143" w14:textId="77777777" w:rsidR="00004C1E" w:rsidRPr="00C64D1C" w:rsidRDefault="00004C1E" w:rsidP="002A7EFA">
            <w:pPr>
              <w:pStyle w:val="BodyText"/>
              <w:jc w:val="center"/>
              <w:rPr>
                <w:color w:val="FF0000"/>
                <w:sz w:val="16"/>
                <w:szCs w:val="16"/>
              </w:rPr>
            </w:pPr>
            <w:r w:rsidRPr="00C64D1C">
              <w:rPr>
                <w:b/>
                <w:bCs/>
                <w:color w:val="FF0000"/>
                <w:sz w:val="16"/>
                <w:szCs w:val="16"/>
              </w:rPr>
              <w:t>CH, EG, G</w:t>
            </w:r>
          </w:p>
        </w:tc>
        <w:tc>
          <w:tcPr>
            <w:tcW w:w="788" w:type="dxa"/>
            <w:shd w:val="clear" w:color="auto" w:fill="F4F8D4" w:themeFill="accent2" w:themeFillTint="33"/>
            <w:vAlign w:val="center"/>
          </w:tcPr>
          <w:p w14:paraId="231AA08C" w14:textId="77777777" w:rsidR="00004C1E" w:rsidRPr="00C64D1C" w:rsidRDefault="00004C1E" w:rsidP="002A7EFA">
            <w:pPr>
              <w:pStyle w:val="BodyText"/>
              <w:jc w:val="center"/>
              <w:rPr>
                <w:color w:val="FF0000"/>
                <w:sz w:val="16"/>
                <w:szCs w:val="16"/>
              </w:rPr>
            </w:pPr>
            <w:r w:rsidRPr="00C64D1C">
              <w:rPr>
                <w:b/>
                <w:bCs/>
                <w:color w:val="FF0000"/>
                <w:sz w:val="16"/>
                <w:szCs w:val="16"/>
              </w:rPr>
              <w:t>CH, EG, G</w:t>
            </w:r>
          </w:p>
        </w:tc>
        <w:tc>
          <w:tcPr>
            <w:tcW w:w="788" w:type="dxa"/>
            <w:shd w:val="clear" w:color="auto" w:fill="F4F8D4" w:themeFill="accent2" w:themeFillTint="33"/>
            <w:vAlign w:val="center"/>
          </w:tcPr>
          <w:p w14:paraId="4F8DE018" w14:textId="77777777" w:rsidR="00004C1E" w:rsidRPr="00C64D1C" w:rsidRDefault="00004C1E" w:rsidP="002A7EFA">
            <w:pPr>
              <w:pStyle w:val="BodyText"/>
              <w:jc w:val="center"/>
              <w:rPr>
                <w:b/>
                <w:bCs/>
                <w:sz w:val="16"/>
                <w:szCs w:val="16"/>
              </w:rPr>
            </w:pPr>
            <w:r w:rsidRPr="00C64D1C">
              <w:rPr>
                <w:b/>
                <w:bCs/>
                <w:color w:val="00857E" w:themeColor="accent1" w:themeShade="BF"/>
                <w:sz w:val="16"/>
                <w:szCs w:val="16"/>
              </w:rPr>
              <w:t>EG</w:t>
            </w:r>
          </w:p>
        </w:tc>
        <w:tc>
          <w:tcPr>
            <w:tcW w:w="787" w:type="dxa"/>
            <w:shd w:val="clear" w:color="auto" w:fill="auto"/>
            <w:vAlign w:val="center"/>
          </w:tcPr>
          <w:p w14:paraId="10DACC44" w14:textId="77777777" w:rsidR="00004C1E" w:rsidRDefault="00004C1E" w:rsidP="002A7EFA">
            <w:pPr>
              <w:pStyle w:val="BodyText"/>
              <w:jc w:val="center"/>
              <w:rPr>
                <w:sz w:val="16"/>
                <w:szCs w:val="16"/>
              </w:rPr>
            </w:pPr>
          </w:p>
        </w:tc>
        <w:tc>
          <w:tcPr>
            <w:tcW w:w="788" w:type="dxa"/>
            <w:shd w:val="clear" w:color="auto" w:fill="auto"/>
            <w:vAlign w:val="center"/>
          </w:tcPr>
          <w:p w14:paraId="34DB147C" w14:textId="77777777" w:rsidR="00004C1E" w:rsidRDefault="00004C1E" w:rsidP="002A7EFA">
            <w:pPr>
              <w:pStyle w:val="BodyText"/>
              <w:jc w:val="center"/>
              <w:rPr>
                <w:sz w:val="16"/>
                <w:szCs w:val="16"/>
              </w:rPr>
            </w:pPr>
          </w:p>
        </w:tc>
        <w:tc>
          <w:tcPr>
            <w:tcW w:w="788" w:type="dxa"/>
            <w:vAlign w:val="center"/>
          </w:tcPr>
          <w:p w14:paraId="53ADB356" w14:textId="77777777" w:rsidR="00004C1E" w:rsidRPr="006D733F" w:rsidRDefault="00004C1E" w:rsidP="002A7EFA">
            <w:pPr>
              <w:pStyle w:val="BodyText"/>
              <w:jc w:val="center"/>
              <w:rPr>
                <w:sz w:val="16"/>
                <w:szCs w:val="16"/>
              </w:rPr>
            </w:pPr>
          </w:p>
        </w:tc>
      </w:tr>
      <w:tr w:rsidR="00004C1E" w:rsidRPr="00B86E82" w14:paraId="76AB38FA" w14:textId="77777777" w:rsidTr="002A7EFA">
        <w:trPr>
          <w:gridAfter w:val="1"/>
          <w:wAfter w:w="843" w:type="dxa"/>
        </w:trPr>
        <w:tc>
          <w:tcPr>
            <w:tcW w:w="2389" w:type="dxa"/>
            <w:vAlign w:val="center"/>
          </w:tcPr>
          <w:p w14:paraId="424B1373" w14:textId="77777777" w:rsidR="00004C1E" w:rsidRPr="00B86E82" w:rsidRDefault="00004C1E" w:rsidP="002A7EFA">
            <w:pPr>
              <w:pStyle w:val="BodyText"/>
            </w:pPr>
            <w:r w:rsidRPr="00B86E82">
              <w:t>Pale Hickory-wattle</w:t>
            </w:r>
          </w:p>
        </w:tc>
        <w:tc>
          <w:tcPr>
            <w:tcW w:w="2390" w:type="dxa"/>
            <w:vAlign w:val="center"/>
          </w:tcPr>
          <w:p w14:paraId="5535F340" w14:textId="77777777" w:rsidR="00004C1E" w:rsidRPr="00B86E82" w:rsidRDefault="00004C1E" w:rsidP="002A7EFA">
            <w:pPr>
              <w:pStyle w:val="BodyText"/>
              <w:rPr>
                <w:sz w:val="16"/>
                <w:szCs w:val="16"/>
              </w:rPr>
            </w:pPr>
            <w:r w:rsidRPr="004023AB">
              <w:rPr>
                <w:i/>
                <w:iCs/>
              </w:rPr>
              <w:t>Acacia sporadica</w:t>
            </w:r>
          </w:p>
        </w:tc>
        <w:tc>
          <w:tcPr>
            <w:tcW w:w="787" w:type="dxa"/>
            <w:vAlign w:val="center"/>
          </w:tcPr>
          <w:p w14:paraId="11C1BB3D" w14:textId="77777777" w:rsidR="00004C1E" w:rsidRPr="006D733F" w:rsidRDefault="00004C1E" w:rsidP="002A7EFA">
            <w:pPr>
              <w:pStyle w:val="BodyText"/>
              <w:ind w:left="0" w:right="0"/>
              <w:jc w:val="center"/>
              <w:rPr>
                <w:sz w:val="16"/>
                <w:szCs w:val="16"/>
              </w:rPr>
            </w:pPr>
          </w:p>
        </w:tc>
        <w:tc>
          <w:tcPr>
            <w:tcW w:w="788" w:type="dxa"/>
            <w:vAlign w:val="center"/>
          </w:tcPr>
          <w:p w14:paraId="5038D698" w14:textId="77777777" w:rsidR="00004C1E" w:rsidRPr="006D733F" w:rsidRDefault="00004C1E" w:rsidP="002A7EFA">
            <w:pPr>
              <w:pStyle w:val="BodyText"/>
              <w:ind w:left="0" w:right="0"/>
              <w:jc w:val="center"/>
              <w:rPr>
                <w:sz w:val="16"/>
                <w:szCs w:val="16"/>
              </w:rPr>
            </w:pPr>
          </w:p>
        </w:tc>
        <w:tc>
          <w:tcPr>
            <w:tcW w:w="788" w:type="dxa"/>
            <w:shd w:val="clear" w:color="auto" w:fill="F4F8D4" w:themeFill="accent2" w:themeFillTint="33"/>
            <w:vAlign w:val="center"/>
          </w:tcPr>
          <w:p w14:paraId="2F8D7157" w14:textId="77777777" w:rsidR="00004C1E" w:rsidRPr="00C64D1C" w:rsidRDefault="00004C1E" w:rsidP="002A7EFA">
            <w:pPr>
              <w:pStyle w:val="BodyText"/>
              <w:ind w:left="0" w:right="0"/>
              <w:jc w:val="center"/>
              <w:rPr>
                <w:b/>
                <w:bCs/>
                <w:color w:val="00857E" w:themeColor="accent1" w:themeShade="BF"/>
                <w:sz w:val="16"/>
                <w:szCs w:val="16"/>
              </w:rPr>
            </w:pPr>
            <w:r w:rsidRPr="00C64D1C">
              <w:rPr>
                <w:b/>
                <w:bCs/>
                <w:color w:val="00857E" w:themeColor="accent1" w:themeShade="BF"/>
                <w:sz w:val="16"/>
                <w:szCs w:val="16"/>
              </w:rPr>
              <w:t>NE</w:t>
            </w:r>
          </w:p>
        </w:tc>
        <w:tc>
          <w:tcPr>
            <w:tcW w:w="787" w:type="dxa"/>
            <w:shd w:val="clear" w:color="auto" w:fill="F4F8D4" w:themeFill="accent2" w:themeFillTint="33"/>
            <w:vAlign w:val="center"/>
          </w:tcPr>
          <w:p w14:paraId="6041F490" w14:textId="77777777" w:rsidR="00004C1E" w:rsidRPr="00C64D1C" w:rsidRDefault="00004C1E" w:rsidP="002A7EFA">
            <w:pPr>
              <w:pStyle w:val="BodyText"/>
              <w:ind w:left="0" w:right="0"/>
              <w:jc w:val="center"/>
              <w:rPr>
                <w:b/>
                <w:bCs/>
                <w:color w:val="00857E" w:themeColor="accent1" w:themeShade="BF"/>
                <w:sz w:val="16"/>
                <w:szCs w:val="16"/>
              </w:rPr>
            </w:pPr>
            <w:r w:rsidRPr="00C64D1C">
              <w:rPr>
                <w:b/>
                <w:bCs/>
                <w:color w:val="00857E" w:themeColor="accent1" w:themeShade="BF"/>
                <w:sz w:val="16"/>
                <w:szCs w:val="16"/>
              </w:rPr>
              <w:t>NE</w:t>
            </w:r>
          </w:p>
        </w:tc>
        <w:tc>
          <w:tcPr>
            <w:tcW w:w="788" w:type="dxa"/>
            <w:shd w:val="clear" w:color="auto" w:fill="F4F8D4" w:themeFill="accent2" w:themeFillTint="33"/>
            <w:vAlign w:val="center"/>
          </w:tcPr>
          <w:p w14:paraId="5D502FF9" w14:textId="77777777" w:rsidR="00004C1E" w:rsidRPr="00C64D1C" w:rsidRDefault="00004C1E" w:rsidP="002A7EFA">
            <w:pPr>
              <w:pStyle w:val="BodyText"/>
              <w:ind w:left="0" w:right="0"/>
              <w:jc w:val="center"/>
              <w:rPr>
                <w:b/>
                <w:bCs/>
                <w:color w:val="00857E" w:themeColor="accent1" w:themeShade="BF"/>
                <w:sz w:val="16"/>
                <w:szCs w:val="16"/>
              </w:rPr>
            </w:pPr>
            <w:r w:rsidRPr="00C64D1C">
              <w:rPr>
                <w:b/>
                <w:bCs/>
                <w:color w:val="00857E" w:themeColor="accent1" w:themeShade="BF"/>
                <w:sz w:val="16"/>
                <w:szCs w:val="16"/>
              </w:rPr>
              <w:t>NE</w:t>
            </w:r>
          </w:p>
        </w:tc>
        <w:tc>
          <w:tcPr>
            <w:tcW w:w="788" w:type="dxa"/>
            <w:vAlign w:val="center"/>
          </w:tcPr>
          <w:p w14:paraId="684D405E" w14:textId="77777777" w:rsidR="00004C1E" w:rsidRPr="006D733F" w:rsidRDefault="00004C1E" w:rsidP="002A7EFA">
            <w:pPr>
              <w:pStyle w:val="BodyText"/>
              <w:ind w:left="0" w:right="0"/>
              <w:jc w:val="center"/>
              <w:rPr>
                <w:sz w:val="16"/>
                <w:szCs w:val="16"/>
              </w:rPr>
            </w:pPr>
          </w:p>
        </w:tc>
      </w:tr>
      <w:tr w:rsidR="00004C1E" w:rsidRPr="00B86E82" w14:paraId="0BF92E1C" w14:textId="77777777" w:rsidTr="002A7EFA">
        <w:trPr>
          <w:gridAfter w:val="1"/>
          <w:wAfter w:w="843" w:type="dxa"/>
        </w:trPr>
        <w:tc>
          <w:tcPr>
            <w:tcW w:w="2389" w:type="dxa"/>
            <w:vAlign w:val="center"/>
          </w:tcPr>
          <w:p w14:paraId="21B5BF11" w14:textId="77777777" w:rsidR="00004C1E" w:rsidRPr="00B86E82" w:rsidRDefault="00004C1E" w:rsidP="002A7EFA">
            <w:pPr>
              <w:pStyle w:val="BodyText"/>
            </w:pPr>
            <w:r w:rsidRPr="00B86E82">
              <w:t>Purple Coopernookia</w:t>
            </w:r>
          </w:p>
        </w:tc>
        <w:tc>
          <w:tcPr>
            <w:tcW w:w="2390" w:type="dxa"/>
            <w:vAlign w:val="center"/>
          </w:tcPr>
          <w:p w14:paraId="546FA68C" w14:textId="77777777" w:rsidR="00004C1E" w:rsidRPr="00B86E82" w:rsidRDefault="00004C1E" w:rsidP="002A7EFA">
            <w:pPr>
              <w:pStyle w:val="BodyText"/>
              <w:rPr>
                <w:sz w:val="16"/>
                <w:szCs w:val="16"/>
              </w:rPr>
            </w:pPr>
            <w:r w:rsidRPr="004023AB">
              <w:rPr>
                <w:i/>
                <w:iCs/>
              </w:rPr>
              <w:t>Coopernookia barbata</w:t>
            </w:r>
          </w:p>
        </w:tc>
        <w:tc>
          <w:tcPr>
            <w:tcW w:w="787" w:type="dxa"/>
            <w:shd w:val="clear" w:color="auto" w:fill="F4F8D4" w:themeFill="accent2" w:themeFillTint="33"/>
            <w:vAlign w:val="center"/>
          </w:tcPr>
          <w:p w14:paraId="5A552B9D" w14:textId="77777777" w:rsidR="00004C1E" w:rsidRPr="000429C9" w:rsidRDefault="00004C1E" w:rsidP="002A7EFA">
            <w:pPr>
              <w:pStyle w:val="BodyText"/>
              <w:ind w:left="0" w:right="0"/>
              <w:jc w:val="center"/>
              <w:rPr>
                <w:b/>
                <w:bCs/>
                <w:sz w:val="16"/>
                <w:szCs w:val="16"/>
              </w:rPr>
            </w:pPr>
            <w:r w:rsidRPr="00C64D1C">
              <w:rPr>
                <w:b/>
                <w:bCs/>
                <w:color w:val="FF0000"/>
                <w:sz w:val="16"/>
                <w:szCs w:val="16"/>
              </w:rPr>
              <w:t>EG</w:t>
            </w:r>
          </w:p>
        </w:tc>
        <w:tc>
          <w:tcPr>
            <w:tcW w:w="788" w:type="dxa"/>
            <w:shd w:val="clear" w:color="auto" w:fill="F4F8D4" w:themeFill="accent2" w:themeFillTint="33"/>
            <w:vAlign w:val="center"/>
          </w:tcPr>
          <w:p w14:paraId="10770F50" w14:textId="77777777" w:rsidR="00004C1E" w:rsidRPr="00C64D1C" w:rsidRDefault="00004C1E" w:rsidP="002A7EFA">
            <w:pPr>
              <w:pStyle w:val="BodyText"/>
              <w:ind w:left="0" w:right="0"/>
              <w:jc w:val="center"/>
              <w:rPr>
                <w:b/>
                <w:bCs/>
                <w:sz w:val="16"/>
                <w:szCs w:val="16"/>
              </w:rPr>
            </w:pPr>
            <w:r w:rsidRPr="00C64D1C">
              <w:rPr>
                <w:b/>
                <w:bCs/>
                <w:color w:val="00857E" w:themeColor="accent1" w:themeShade="BF"/>
                <w:sz w:val="16"/>
                <w:szCs w:val="16"/>
              </w:rPr>
              <w:t>EG</w:t>
            </w:r>
          </w:p>
        </w:tc>
        <w:tc>
          <w:tcPr>
            <w:tcW w:w="788" w:type="dxa"/>
            <w:vAlign w:val="center"/>
          </w:tcPr>
          <w:p w14:paraId="42932B68" w14:textId="77777777" w:rsidR="00004C1E" w:rsidRPr="006D733F" w:rsidRDefault="00004C1E" w:rsidP="002A7EFA">
            <w:pPr>
              <w:pStyle w:val="BodyText"/>
              <w:ind w:left="0" w:right="0"/>
              <w:jc w:val="center"/>
              <w:rPr>
                <w:sz w:val="16"/>
                <w:szCs w:val="16"/>
              </w:rPr>
            </w:pPr>
          </w:p>
        </w:tc>
        <w:tc>
          <w:tcPr>
            <w:tcW w:w="787" w:type="dxa"/>
            <w:vAlign w:val="center"/>
          </w:tcPr>
          <w:p w14:paraId="22F5093A" w14:textId="77777777" w:rsidR="00004C1E" w:rsidRPr="006D733F" w:rsidRDefault="00004C1E" w:rsidP="002A7EFA">
            <w:pPr>
              <w:pStyle w:val="BodyText"/>
              <w:ind w:left="0" w:right="0"/>
              <w:jc w:val="center"/>
              <w:rPr>
                <w:sz w:val="16"/>
                <w:szCs w:val="16"/>
              </w:rPr>
            </w:pPr>
          </w:p>
        </w:tc>
        <w:tc>
          <w:tcPr>
            <w:tcW w:w="788" w:type="dxa"/>
            <w:shd w:val="clear" w:color="auto" w:fill="F4F8D4" w:themeFill="accent2" w:themeFillTint="33"/>
            <w:vAlign w:val="center"/>
          </w:tcPr>
          <w:p w14:paraId="2D6FC4BF" w14:textId="77777777" w:rsidR="00004C1E" w:rsidRPr="00C64D1C" w:rsidRDefault="00004C1E" w:rsidP="002A7EFA">
            <w:pPr>
              <w:pStyle w:val="BodyText"/>
              <w:ind w:left="0" w:right="0"/>
              <w:jc w:val="center"/>
              <w:rPr>
                <w:b/>
                <w:bCs/>
                <w:sz w:val="16"/>
                <w:szCs w:val="16"/>
              </w:rPr>
            </w:pPr>
            <w:r w:rsidRPr="00C64D1C">
              <w:rPr>
                <w:b/>
                <w:bCs/>
                <w:color w:val="00857E" w:themeColor="accent1" w:themeShade="BF"/>
                <w:sz w:val="16"/>
                <w:szCs w:val="16"/>
              </w:rPr>
              <w:t>EG</w:t>
            </w:r>
          </w:p>
        </w:tc>
        <w:tc>
          <w:tcPr>
            <w:tcW w:w="788" w:type="dxa"/>
            <w:vAlign w:val="center"/>
          </w:tcPr>
          <w:p w14:paraId="33DBA296" w14:textId="77777777" w:rsidR="00004C1E" w:rsidRPr="006D733F" w:rsidRDefault="00004C1E" w:rsidP="002A7EFA">
            <w:pPr>
              <w:pStyle w:val="BodyText"/>
              <w:ind w:left="0" w:right="0"/>
              <w:jc w:val="center"/>
              <w:rPr>
                <w:sz w:val="16"/>
                <w:szCs w:val="16"/>
              </w:rPr>
            </w:pPr>
          </w:p>
        </w:tc>
      </w:tr>
      <w:tr w:rsidR="00004C1E" w:rsidRPr="00B86E82" w14:paraId="5FF2123E" w14:textId="77777777" w:rsidTr="002A7EFA">
        <w:trPr>
          <w:gridAfter w:val="1"/>
          <w:wAfter w:w="843" w:type="dxa"/>
        </w:trPr>
        <w:tc>
          <w:tcPr>
            <w:tcW w:w="2389" w:type="dxa"/>
            <w:vAlign w:val="center"/>
          </w:tcPr>
          <w:p w14:paraId="716AA4F0" w14:textId="77777777" w:rsidR="00004C1E" w:rsidRPr="00B86E82" w:rsidRDefault="00004C1E" w:rsidP="002A7EFA">
            <w:pPr>
              <w:pStyle w:val="BodyText"/>
            </w:pPr>
            <w:r w:rsidRPr="00B86E82">
              <w:t>Rough-barked Apple</w:t>
            </w:r>
          </w:p>
        </w:tc>
        <w:tc>
          <w:tcPr>
            <w:tcW w:w="2390" w:type="dxa"/>
            <w:vAlign w:val="center"/>
          </w:tcPr>
          <w:p w14:paraId="234670F1" w14:textId="77777777" w:rsidR="00004C1E" w:rsidRPr="00B86E82" w:rsidRDefault="00004C1E" w:rsidP="002A7EFA">
            <w:pPr>
              <w:pStyle w:val="BodyText"/>
              <w:rPr>
                <w:sz w:val="16"/>
                <w:szCs w:val="16"/>
              </w:rPr>
            </w:pPr>
            <w:r w:rsidRPr="004023AB">
              <w:rPr>
                <w:i/>
                <w:iCs/>
              </w:rPr>
              <w:t>Angophora floribunda</w:t>
            </w:r>
          </w:p>
        </w:tc>
        <w:tc>
          <w:tcPr>
            <w:tcW w:w="787" w:type="dxa"/>
            <w:vAlign w:val="center"/>
          </w:tcPr>
          <w:p w14:paraId="60679ACD" w14:textId="77777777" w:rsidR="00004C1E" w:rsidRPr="006D733F" w:rsidRDefault="00004C1E" w:rsidP="002A7EFA">
            <w:pPr>
              <w:pStyle w:val="BodyText"/>
              <w:ind w:left="0" w:right="0"/>
              <w:jc w:val="center"/>
              <w:rPr>
                <w:sz w:val="16"/>
                <w:szCs w:val="16"/>
              </w:rPr>
            </w:pPr>
          </w:p>
        </w:tc>
        <w:tc>
          <w:tcPr>
            <w:tcW w:w="788" w:type="dxa"/>
            <w:vAlign w:val="center"/>
          </w:tcPr>
          <w:p w14:paraId="01AA8EBB" w14:textId="77777777" w:rsidR="00004C1E" w:rsidRPr="006D733F" w:rsidRDefault="00004C1E" w:rsidP="002A7EFA">
            <w:pPr>
              <w:pStyle w:val="BodyText"/>
              <w:ind w:left="0" w:right="0"/>
              <w:jc w:val="center"/>
              <w:rPr>
                <w:sz w:val="16"/>
                <w:szCs w:val="16"/>
              </w:rPr>
            </w:pPr>
          </w:p>
        </w:tc>
        <w:tc>
          <w:tcPr>
            <w:tcW w:w="788" w:type="dxa"/>
            <w:vAlign w:val="center"/>
          </w:tcPr>
          <w:p w14:paraId="073250C3" w14:textId="77777777" w:rsidR="00004C1E" w:rsidRPr="006D733F" w:rsidRDefault="00004C1E" w:rsidP="002A7EFA">
            <w:pPr>
              <w:pStyle w:val="BodyText"/>
              <w:ind w:left="0" w:right="0"/>
              <w:jc w:val="center"/>
              <w:rPr>
                <w:sz w:val="16"/>
                <w:szCs w:val="16"/>
              </w:rPr>
            </w:pPr>
          </w:p>
        </w:tc>
        <w:tc>
          <w:tcPr>
            <w:tcW w:w="787" w:type="dxa"/>
            <w:vAlign w:val="center"/>
          </w:tcPr>
          <w:p w14:paraId="3050FE7E" w14:textId="77777777" w:rsidR="00004C1E" w:rsidRPr="006D733F" w:rsidRDefault="00004C1E" w:rsidP="002A7EFA">
            <w:pPr>
              <w:pStyle w:val="BodyText"/>
              <w:ind w:left="0" w:right="0"/>
              <w:jc w:val="center"/>
              <w:rPr>
                <w:sz w:val="16"/>
                <w:szCs w:val="16"/>
              </w:rPr>
            </w:pPr>
          </w:p>
        </w:tc>
        <w:tc>
          <w:tcPr>
            <w:tcW w:w="788" w:type="dxa"/>
            <w:vAlign w:val="center"/>
          </w:tcPr>
          <w:p w14:paraId="2E3FF458" w14:textId="77777777" w:rsidR="00004C1E" w:rsidRPr="006D733F" w:rsidRDefault="00004C1E" w:rsidP="002A7EFA">
            <w:pPr>
              <w:pStyle w:val="BodyText"/>
              <w:ind w:left="0" w:right="0"/>
              <w:jc w:val="center"/>
              <w:rPr>
                <w:sz w:val="16"/>
                <w:szCs w:val="16"/>
              </w:rPr>
            </w:pPr>
          </w:p>
        </w:tc>
        <w:tc>
          <w:tcPr>
            <w:tcW w:w="788" w:type="dxa"/>
            <w:vAlign w:val="center"/>
          </w:tcPr>
          <w:p w14:paraId="668D909F" w14:textId="77777777" w:rsidR="00004C1E" w:rsidRPr="006D733F" w:rsidRDefault="00004C1E" w:rsidP="002A7EFA">
            <w:pPr>
              <w:pStyle w:val="BodyText"/>
              <w:ind w:left="0" w:right="0"/>
              <w:jc w:val="center"/>
              <w:rPr>
                <w:sz w:val="16"/>
                <w:szCs w:val="16"/>
              </w:rPr>
            </w:pPr>
          </w:p>
        </w:tc>
      </w:tr>
      <w:tr w:rsidR="00004C1E" w:rsidRPr="00B86E82" w14:paraId="7C3198BE" w14:textId="77777777" w:rsidTr="002A7EFA">
        <w:trPr>
          <w:gridAfter w:val="1"/>
          <w:wAfter w:w="843" w:type="dxa"/>
        </w:trPr>
        <w:tc>
          <w:tcPr>
            <w:tcW w:w="2389" w:type="dxa"/>
            <w:vAlign w:val="center"/>
          </w:tcPr>
          <w:p w14:paraId="64B2BB06" w14:textId="77777777" w:rsidR="00004C1E" w:rsidRPr="00B86E82" w:rsidRDefault="00004C1E" w:rsidP="002A7EFA">
            <w:pPr>
              <w:pStyle w:val="BodyText"/>
            </w:pPr>
            <w:r w:rsidRPr="00B86E82">
              <w:t>Sandfly Zieria</w:t>
            </w:r>
          </w:p>
        </w:tc>
        <w:tc>
          <w:tcPr>
            <w:tcW w:w="2390" w:type="dxa"/>
            <w:vAlign w:val="center"/>
          </w:tcPr>
          <w:p w14:paraId="37BDC19A" w14:textId="77777777" w:rsidR="00004C1E" w:rsidRPr="00B86E82" w:rsidRDefault="00004C1E" w:rsidP="002A7EFA">
            <w:pPr>
              <w:pStyle w:val="BodyText"/>
              <w:rPr>
                <w:sz w:val="16"/>
                <w:szCs w:val="16"/>
              </w:rPr>
            </w:pPr>
            <w:r w:rsidRPr="004023AB">
              <w:rPr>
                <w:i/>
                <w:iCs/>
              </w:rPr>
              <w:t>Zieria smithii</w:t>
            </w:r>
          </w:p>
        </w:tc>
        <w:tc>
          <w:tcPr>
            <w:tcW w:w="787" w:type="dxa"/>
            <w:vAlign w:val="center"/>
          </w:tcPr>
          <w:p w14:paraId="05B9046B" w14:textId="77777777" w:rsidR="00004C1E" w:rsidRPr="006D733F" w:rsidRDefault="00004C1E" w:rsidP="002A7EFA">
            <w:pPr>
              <w:pStyle w:val="BodyText"/>
              <w:ind w:left="0" w:right="0"/>
              <w:jc w:val="center"/>
              <w:rPr>
                <w:sz w:val="16"/>
                <w:szCs w:val="16"/>
              </w:rPr>
            </w:pPr>
          </w:p>
        </w:tc>
        <w:tc>
          <w:tcPr>
            <w:tcW w:w="788" w:type="dxa"/>
            <w:shd w:val="clear" w:color="auto" w:fill="F4F8D4" w:themeFill="accent2" w:themeFillTint="33"/>
            <w:vAlign w:val="center"/>
          </w:tcPr>
          <w:p w14:paraId="25EB3DB0" w14:textId="77777777" w:rsidR="00004C1E" w:rsidRPr="00C64D1C" w:rsidRDefault="00004C1E" w:rsidP="002A7EFA">
            <w:pPr>
              <w:pStyle w:val="BodyText"/>
              <w:ind w:left="0" w:right="0"/>
              <w:jc w:val="center"/>
              <w:rPr>
                <w:b/>
                <w:bCs/>
                <w:color w:val="00857E" w:themeColor="accent1" w:themeShade="BF"/>
                <w:sz w:val="16"/>
                <w:szCs w:val="16"/>
              </w:rPr>
            </w:pPr>
            <w:r w:rsidRPr="00C64D1C">
              <w:rPr>
                <w:b/>
                <w:bCs/>
                <w:color w:val="00857E" w:themeColor="accent1" w:themeShade="BF"/>
                <w:sz w:val="16"/>
                <w:szCs w:val="16"/>
              </w:rPr>
              <w:t>EG, G</w:t>
            </w:r>
          </w:p>
        </w:tc>
        <w:tc>
          <w:tcPr>
            <w:tcW w:w="788" w:type="dxa"/>
            <w:shd w:val="clear" w:color="auto" w:fill="F4F8D4" w:themeFill="accent2" w:themeFillTint="33"/>
            <w:vAlign w:val="center"/>
          </w:tcPr>
          <w:p w14:paraId="4CAA40FC" w14:textId="77777777" w:rsidR="00004C1E" w:rsidRPr="00C64D1C" w:rsidRDefault="00004C1E" w:rsidP="002A7EFA">
            <w:pPr>
              <w:pStyle w:val="BodyText"/>
              <w:ind w:left="0" w:right="0"/>
              <w:jc w:val="center"/>
              <w:rPr>
                <w:b/>
                <w:bCs/>
                <w:color w:val="00857E" w:themeColor="accent1" w:themeShade="BF"/>
                <w:sz w:val="16"/>
                <w:szCs w:val="16"/>
              </w:rPr>
            </w:pPr>
            <w:r w:rsidRPr="00C64D1C">
              <w:rPr>
                <w:b/>
                <w:bCs/>
                <w:color w:val="00857E" w:themeColor="accent1" w:themeShade="BF"/>
                <w:sz w:val="16"/>
                <w:szCs w:val="16"/>
              </w:rPr>
              <w:t>EG</w:t>
            </w:r>
          </w:p>
        </w:tc>
        <w:tc>
          <w:tcPr>
            <w:tcW w:w="787" w:type="dxa"/>
            <w:vAlign w:val="center"/>
          </w:tcPr>
          <w:p w14:paraId="3A8BD84B" w14:textId="77777777" w:rsidR="00004C1E" w:rsidRPr="006D733F" w:rsidRDefault="00004C1E" w:rsidP="002A7EFA">
            <w:pPr>
              <w:pStyle w:val="BodyText"/>
              <w:ind w:left="0" w:right="0"/>
              <w:jc w:val="center"/>
              <w:rPr>
                <w:sz w:val="16"/>
                <w:szCs w:val="16"/>
              </w:rPr>
            </w:pPr>
          </w:p>
        </w:tc>
        <w:tc>
          <w:tcPr>
            <w:tcW w:w="788" w:type="dxa"/>
            <w:vAlign w:val="center"/>
          </w:tcPr>
          <w:p w14:paraId="21F5796F" w14:textId="77777777" w:rsidR="00004C1E" w:rsidRPr="006D733F" w:rsidRDefault="00004C1E" w:rsidP="002A7EFA">
            <w:pPr>
              <w:pStyle w:val="BodyText"/>
              <w:ind w:left="0" w:right="0"/>
              <w:jc w:val="center"/>
              <w:rPr>
                <w:sz w:val="16"/>
                <w:szCs w:val="16"/>
              </w:rPr>
            </w:pPr>
          </w:p>
        </w:tc>
        <w:tc>
          <w:tcPr>
            <w:tcW w:w="788" w:type="dxa"/>
            <w:vAlign w:val="center"/>
          </w:tcPr>
          <w:p w14:paraId="6140560A" w14:textId="77777777" w:rsidR="00004C1E" w:rsidRPr="006D733F" w:rsidRDefault="00004C1E" w:rsidP="002A7EFA">
            <w:pPr>
              <w:pStyle w:val="BodyText"/>
              <w:ind w:left="0" w:right="0"/>
              <w:jc w:val="center"/>
              <w:rPr>
                <w:sz w:val="16"/>
                <w:szCs w:val="16"/>
              </w:rPr>
            </w:pPr>
          </w:p>
        </w:tc>
      </w:tr>
      <w:tr w:rsidR="00004C1E" w:rsidRPr="00B86E82" w14:paraId="7EE063C2" w14:textId="77777777" w:rsidTr="002A7EFA">
        <w:trPr>
          <w:gridAfter w:val="1"/>
          <w:wAfter w:w="843" w:type="dxa"/>
        </w:trPr>
        <w:tc>
          <w:tcPr>
            <w:tcW w:w="2389" w:type="dxa"/>
            <w:vAlign w:val="center"/>
          </w:tcPr>
          <w:p w14:paraId="15BDAC6F" w14:textId="77777777" w:rsidR="00004C1E" w:rsidRPr="00B86E82" w:rsidRDefault="00004C1E" w:rsidP="002A7EFA">
            <w:pPr>
              <w:pStyle w:val="BodyText"/>
            </w:pPr>
            <w:r w:rsidRPr="00B86E82">
              <w:t>Satinwood</w:t>
            </w:r>
          </w:p>
        </w:tc>
        <w:tc>
          <w:tcPr>
            <w:tcW w:w="2390" w:type="dxa"/>
            <w:vAlign w:val="center"/>
          </w:tcPr>
          <w:p w14:paraId="288CD818" w14:textId="77777777" w:rsidR="00004C1E" w:rsidRPr="00B86E82" w:rsidRDefault="00004C1E" w:rsidP="002A7EFA">
            <w:pPr>
              <w:pStyle w:val="BodyText"/>
              <w:rPr>
                <w:sz w:val="16"/>
                <w:szCs w:val="16"/>
              </w:rPr>
            </w:pPr>
            <w:r w:rsidRPr="004023AB">
              <w:rPr>
                <w:i/>
                <w:iCs/>
              </w:rPr>
              <w:t xml:space="preserve">Nematolepis squamea </w:t>
            </w:r>
            <w:r w:rsidRPr="003B150A">
              <w:t>subsp.</w:t>
            </w:r>
            <w:r w:rsidRPr="004023AB">
              <w:rPr>
                <w:i/>
                <w:iCs/>
              </w:rPr>
              <w:t xml:space="preserve"> squamea</w:t>
            </w:r>
          </w:p>
        </w:tc>
        <w:tc>
          <w:tcPr>
            <w:tcW w:w="787" w:type="dxa"/>
            <w:vAlign w:val="center"/>
          </w:tcPr>
          <w:p w14:paraId="3E4AEC48" w14:textId="77777777" w:rsidR="00004C1E" w:rsidRPr="006D733F" w:rsidRDefault="00004C1E" w:rsidP="002A7EFA">
            <w:pPr>
              <w:pStyle w:val="BodyText"/>
              <w:ind w:left="0" w:right="0"/>
              <w:jc w:val="center"/>
              <w:rPr>
                <w:sz w:val="16"/>
                <w:szCs w:val="16"/>
              </w:rPr>
            </w:pPr>
          </w:p>
        </w:tc>
        <w:tc>
          <w:tcPr>
            <w:tcW w:w="788" w:type="dxa"/>
            <w:shd w:val="clear" w:color="auto" w:fill="F4F8D4" w:themeFill="accent2" w:themeFillTint="33"/>
            <w:vAlign w:val="center"/>
          </w:tcPr>
          <w:p w14:paraId="5B575EA5" w14:textId="77777777" w:rsidR="00004C1E" w:rsidRPr="006D733F" w:rsidRDefault="00004C1E" w:rsidP="002A7EFA">
            <w:pPr>
              <w:pStyle w:val="BodyText"/>
              <w:ind w:left="0" w:right="0"/>
              <w:jc w:val="center"/>
              <w:rPr>
                <w:sz w:val="16"/>
                <w:szCs w:val="16"/>
              </w:rPr>
            </w:pPr>
            <w:r w:rsidRPr="00C64D1C">
              <w:rPr>
                <w:b/>
                <w:bCs/>
                <w:color w:val="FF0000"/>
                <w:sz w:val="16"/>
                <w:szCs w:val="16"/>
              </w:rPr>
              <w:t>EG</w:t>
            </w:r>
            <w:r w:rsidRPr="00C64D1C">
              <w:rPr>
                <w:color w:val="FF0000"/>
                <w:sz w:val="16"/>
                <w:szCs w:val="16"/>
              </w:rPr>
              <w:t>,</w:t>
            </w:r>
            <w:r w:rsidRPr="00C64D1C">
              <w:rPr>
                <w:b/>
                <w:bCs/>
                <w:color w:val="00857E" w:themeColor="accent1" w:themeShade="BF"/>
                <w:sz w:val="16"/>
                <w:szCs w:val="16"/>
              </w:rPr>
              <w:t xml:space="preserve"> W</w:t>
            </w:r>
          </w:p>
        </w:tc>
        <w:tc>
          <w:tcPr>
            <w:tcW w:w="788" w:type="dxa"/>
            <w:shd w:val="clear" w:color="auto" w:fill="F4F8D4" w:themeFill="accent2" w:themeFillTint="33"/>
            <w:vAlign w:val="center"/>
          </w:tcPr>
          <w:p w14:paraId="41D6CDA3" w14:textId="77777777" w:rsidR="00004C1E" w:rsidRPr="00C64D1C" w:rsidRDefault="00004C1E" w:rsidP="002A7EFA">
            <w:pPr>
              <w:pStyle w:val="BodyText"/>
              <w:ind w:left="0" w:right="0"/>
              <w:jc w:val="center"/>
              <w:rPr>
                <w:b/>
                <w:bCs/>
                <w:sz w:val="16"/>
                <w:szCs w:val="16"/>
              </w:rPr>
            </w:pPr>
            <w:r w:rsidRPr="00C64D1C">
              <w:rPr>
                <w:b/>
                <w:bCs/>
                <w:color w:val="00857E" w:themeColor="accent1" w:themeShade="BF"/>
                <w:sz w:val="16"/>
                <w:szCs w:val="16"/>
              </w:rPr>
              <w:t>EG</w:t>
            </w:r>
          </w:p>
        </w:tc>
        <w:tc>
          <w:tcPr>
            <w:tcW w:w="787" w:type="dxa"/>
            <w:vAlign w:val="center"/>
          </w:tcPr>
          <w:p w14:paraId="689BBD0E" w14:textId="77777777" w:rsidR="00004C1E" w:rsidRPr="006D733F" w:rsidRDefault="00004C1E" w:rsidP="002A7EFA">
            <w:pPr>
              <w:pStyle w:val="BodyText"/>
              <w:ind w:left="0" w:right="0"/>
              <w:jc w:val="center"/>
              <w:rPr>
                <w:sz w:val="16"/>
                <w:szCs w:val="16"/>
              </w:rPr>
            </w:pPr>
          </w:p>
        </w:tc>
        <w:tc>
          <w:tcPr>
            <w:tcW w:w="788" w:type="dxa"/>
            <w:shd w:val="clear" w:color="auto" w:fill="F4F8D4" w:themeFill="accent2" w:themeFillTint="33"/>
            <w:vAlign w:val="center"/>
          </w:tcPr>
          <w:p w14:paraId="39B0AFEE" w14:textId="77777777" w:rsidR="00004C1E" w:rsidRPr="00C64D1C" w:rsidRDefault="00004C1E" w:rsidP="002A7EFA">
            <w:pPr>
              <w:pStyle w:val="BodyText"/>
              <w:ind w:left="0" w:right="0"/>
              <w:jc w:val="center"/>
              <w:rPr>
                <w:b/>
                <w:bCs/>
                <w:sz w:val="16"/>
                <w:szCs w:val="16"/>
              </w:rPr>
            </w:pPr>
            <w:r w:rsidRPr="00C64D1C">
              <w:rPr>
                <w:b/>
                <w:bCs/>
                <w:color w:val="00857E" w:themeColor="accent1" w:themeShade="BF"/>
                <w:sz w:val="16"/>
                <w:szCs w:val="16"/>
              </w:rPr>
              <w:t>EG, W</w:t>
            </w:r>
          </w:p>
        </w:tc>
        <w:tc>
          <w:tcPr>
            <w:tcW w:w="788" w:type="dxa"/>
            <w:vAlign w:val="center"/>
          </w:tcPr>
          <w:p w14:paraId="4A5A223D" w14:textId="77777777" w:rsidR="00004C1E" w:rsidRPr="006D733F" w:rsidRDefault="00004C1E" w:rsidP="002A7EFA">
            <w:pPr>
              <w:pStyle w:val="BodyText"/>
              <w:ind w:left="0" w:right="0"/>
              <w:jc w:val="center"/>
              <w:rPr>
                <w:sz w:val="16"/>
                <w:szCs w:val="16"/>
              </w:rPr>
            </w:pPr>
          </w:p>
        </w:tc>
      </w:tr>
      <w:tr w:rsidR="00004C1E" w:rsidRPr="00B86E82" w14:paraId="2F2FAD21" w14:textId="77777777" w:rsidTr="002A7EFA">
        <w:trPr>
          <w:gridAfter w:val="1"/>
          <w:wAfter w:w="843" w:type="dxa"/>
        </w:trPr>
        <w:tc>
          <w:tcPr>
            <w:tcW w:w="2389" w:type="dxa"/>
            <w:vAlign w:val="center"/>
          </w:tcPr>
          <w:p w14:paraId="0160155F" w14:textId="77777777" w:rsidR="00004C1E" w:rsidRPr="00B86E82" w:rsidRDefault="00004C1E" w:rsidP="002A7EFA">
            <w:pPr>
              <w:pStyle w:val="BodyText"/>
            </w:pPr>
            <w:r w:rsidRPr="00B86E82">
              <w:t>Selma Saddle Grevillea</w:t>
            </w:r>
          </w:p>
        </w:tc>
        <w:tc>
          <w:tcPr>
            <w:tcW w:w="2390" w:type="dxa"/>
            <w:vAlign w:val="center"/>
          </w:tcPr>
          <w:p w14:paraId="5E2095C8" w14:textId="77777777" w:rsidR="00004C1E" w:rsidRPr="00B86E82" w:rsidRDefault="00004C1E" w:rsidP="002A7EFA">
            <w:pPr>
              <w:pStyle w:val="BodyText"/>
              <w:rPr>
                <w:sz w:val="16"/>
                <w:szCs w:val="16"/>
              </w:rPr>
            </w:pPr>
            <w:r w:rsidRPr="004023AB">
              <w:rPr>
                <w:i/>
                <w:iCs/>
              </w:rPr>
              <w:t>Grevillea miqueliana subsp. cincta</w:t>
            </w:r>
          </w:p>
        </w:tc>
        <w:tc>
          <w:tcPr>
            <w:tcW w:w="787" w:type="dxa"/>
            <w:vAlign w:val="center"/>
          </w:tcPr>
          <w:p w14:paraId="231F034F" w14:textId="77777777" w:rsidR="00004C1E" w:rsidRPr="006D733F" w:rsidRDefault="00004C1E" w:rsidP="002A7EFA">
            <w:pPr>
              <w:pStyle w:val="BodyText"/>
              <w:ind w:left="0" w:right="0"/>
              <w:jc w:val="center"/>
              <w:rPr>
                <w:sz w:val="16"/>
                <w:szCs w:val="16"/>
              </w:rPr>
            </w:pPr>
          </w:p>
        </w:tc>
        <w:tc>
          <w:tcPr>
            <w:tcW w:w="788" w:type="dxa"/>
            <w:shd w:val="clear" w:color="auto" w:fill="F4F8D4" w:themeFill="accent2" w:themeFillTint="33"/>
            <w:vAlign w:val="center"/>
          </w:tcPr>
          <w:p w14:paraId="77CEB0FB" w14:textId="77777777" w:rsidR="00004C1E" w:rsidRPr="00C64D1C" w:rsidRDefault="00004C1E" w:rsidP="002A7EFA">
            <w:pPr>
              <w:pStyle w:val="BodyText"/>
              <w:ind w:left="0" w:right="0"/>
              <w:jc w:val="center"/>
              <w:rPr>
                <w:b/>
                <w:bCs/>
                <w:sz w:val="16"/>
                <w:szCs w:val="16"/>
              </w:rPr>
            </w:pPr>
            <w:r w:rsidRPr="00C64D1C">
              <w:rPr>
                <w:b/>
                <w:bCs/>
                <w:color w:val="FF0000"/>
                <w:sz w:val="16"/>
                <w:szCs w:val="16"/>
              </w:rPr>
              <w:t>G</w:t>
            </w:r>
          </w:p>
        </w:tc>
        <w:tc>
          <w:tcPr>
            <w:tcW w:w="788" w:type="dxa"/>
            <w:shd w:val="clear" w:color="auto" w:fill="F4F8D4" w:themeFill="accent2" w:themeFillTint="33"/>
            <w:vAlign w:val="center"/>
          </w:tcPr>
          <w:p w14:paraId="4F6891BB" w14:textId="77777777" w:rsidR="00004C1E" w:rsidRPr="00C64D1C" w:rsidRDefault="00004C1E" w:rsidP="002A7EFA">
            <w:pPr>
              <w:pStyle w:val="BodyText"/>
              <w:ind w:left="0" w:right="0"/>
              <w:jc w:val="center"/>
              <w:rPr>
                <w:b/>
                <w:bCs/>
                <w:sz w:val="16"/>
                <w:szCs w:val="16"/>
              </w:rPr>
            </w:pPr>
            <w:r w:rsidRPr="00C64D1C">
              <w:rPr>
                <w:b/>
                <w:bCs/>
                <w:color w:val="00857E" w:themeColor="accent1" w:themeShade="BF"/>
                <w:sz w:val="16"/>
                <w:szCs w:val="16"/>
              </w:rPr>
              <w:t>G</w:t>
            </w:r>
          </w:p>
        </w:tc>
        <w:tc>
          <w:tcPr>
            <w:tcW w:w="787" w:type="dxa"/>
            <w:vAlign w:val="center"/>
          </w:tcPr>
          <w:p w14:paraId="79AB9935" w14:textId="77777777" w:rsidR="00004C1E" w:rsidRPr="006D733F" w:rsidRDefault="00004C1E" w:rsidP="002A7EFA">
            <w:pPr>
              <w:pStyle w:val="BodyText"/>
              <w:ind w:left="0" w:right="0"/>
              <w:jc w:val="center"/>
              <w:rPr>
                <w:sz w:val="16"/>
                <w:szCs w:val="16"/>
              </w:rPr>
            </w:pPr>
          </w:p>
        </w:tc>
        <w:tc>
          <w:tcPr>
            <w:tcW w:w="788" w:type="dxa"/>
            <w:vAlign w:val="center"/>
          </w:tcPr>
          <w:p w14:paraId="47218422" w14:textId="77777777" w:rsidR="00004C1E" w:rsidRPr="006D733F" w:rsidRDefault="00004C1E" w:rsidP="002A7EFA">
            <w:pPr>
              <w:pStyle w:val="BodyText"/>
              <w:ind w:left="0" w:right="0"/>
              <w:jc w:val="center"/>
              <w:rPr>
                <w:sz w:val="16"/>
                <w:szCs w:val="16"/>
              </w:rPr>
            </w:pPr>
          </w:p>
        </w:tc>
        <w:tc>
          <w:tcPr>
            <w:tcW w:w="788" w:type="dxa"/>
            <w:vAlign w:val="center"/>
          </w:tcPr>
          <w:p w14:paraId="6BD6EC2F" w14:textId="77777777" w:rsidR="00004C1E" w:rsidRPr="006D733F" w:rsidRDefault="00004C1E" w:rsidP="002A7EFA">
            <w:pPr>
              <w:pStyle w:val="BodyText"/>
              <w:ind w:left="0" w:right="0"/>
              <w:jc w:val="center"/>
              <w:rPr>
                <w:sz w:val="16"/>
                <w:szCs w:val="16"/>
              </w:rPr>
            </w:pPr>
          </w:p>
        </w:tc>
      </w:tr>
      <w:tr w:rsidR="00004C1E" w:rsidRPr="00B86E82" w14:paraId="15B587AD" w14:textId="77777777" w:rsidTr="002A7EFA">
        <w:trPr>
          <w:gridAfter w:val="1"/>
          <w:wAfter w:w="843" w:type="dxa"/>
        </w:trPr>
        <w:tc>
          <w:tcPr>
            <w:tcW w:w="2389" w:type="dxa"/>
            <w:vAlign w:val="center"/>
          </w:tcPr>
          <w:p w14:paraId="53118DC0" w14:textId="77777777" w:rsidR="00004C1E" w:rsidRPr="00B86E82" w:rsidRDefault="00004C1E" w:rsidP="002A7EFA">
            <w:pPr>
              <w:pStyle w:val="BodyText"/>
            </w:pPr>
            <w:r w:rsidRPr="00B86E82">
              <w:t>Slender Fork-fern</w:t>
            </w:r>
          </w:p>
        </w:tc>
        <w:tc>
          <w:tcPr>
            <w:tcW w:w="2390" w:type="dxa"/>
            <w:vAlign w:val="center"/>
          </w:tcPr>
          <w:p w14:paraId="6377D285" w14:textId="77777777" w:rsidR="00004C1E" w:rsidRPr="004023AB" w:rsidRDefault="00004C1E" w:rsidP="002A7EFA">
            <w:pPr>
              <w:pStyle w:val="BodyText"/>
              <w:rPr>
                <w:i/>
                <w:iCs/>
              </w:rPr>
            </w:pPr>
            <w:r w:rsidRPr="004023AB">
              <w:rPr>
                <w:i/>
                <w:iCs/>
              </w:rPr>
              <w:t>Tmesipteris elongata</w:t>
            </w:r>
          </w:p>
        </w:tc>
        <w:tc>
          <w:tcPr>
            <w:tcW w:w="787" w:type="dxa"/>
            <w:vAlign w:val="center"/>
          </w:tcPr>
          <w:p w14:paraId="06D41502"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1136954B" w14:textId="77777777" w:rsidR="00004C1E" w:rsidRPr="00C64D1C" w:rsidRDefault="00004C1E" w:rsidP="002A7EFA">
            <w:pPr>
              <w:pStyle w:val="BodyText"/>
              <w:jc w:val="center"/>
              <w:rPr>
                <w:b/>
                <w:bCs/>
                <w:sz w:val="16"/>
                <w:szCs w:val="16"/>
              </w:rPr>
            </w:pPr>
            <w:r w:rsidRPr="00C64D1C">
              <w:rPr>
                <w:b/>
                <w:bCs/>
                <w:color w:val="00857E" w:themeColor="accent1" w:themeShade="BF"/>
                <w:sz w:val="16"/>
                <w:szCs w:val="16"/>
              </w:rPr>
              <w:t>CH, G, W</w:t>
            </w:r>
          </w:p>
        </w:tc>
        <w:tc>
          <w:tcPr>
            <w:tcW w:w="788" w:type="dxa"/>
            <w:shd w:val="clear" w:color="auto" w:fill="auto"/>
            <w:vAlign w:val="center"/>
          </w:tcPr>
          <w:p w14:paraId="760A0E1F" w14:textId="77777777" w:rsidR="00004C1E" w:rsidRDefault="00004C1E" w:rsidP="002A7EFA">
            <w:pPr>
              <w:pStyle w:val="BodyText"/>
              <w:jc w:val="center"/>
              <w:rPr>
                <w:sz w:val="16"/>
                <w:szCs w:val="16"/>
              </w:rPr>
            </w:pPr>
          </w:p>
        </w:tc>
        <w:tc>
          <w:tcPr>
            <w:tcW w:w="787" w:type="dxa"/>
            <w:vAlign w:val="center"/>
          </w:tcPr>
          <w:p w14:paraId="7ACCBE15"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1BA53187" w14:textId="77777777" w:rsidR="00004C1E" w:rsidRPr="006D733F" w:rsidRDefault="00004C1E" w:rsidP="002A7EFA">
            <w:pPr>
              <w:pStyle w:val="BodyText"/>
              <w:jc w:val="center"/>
              <w:rPr>
                <w:sz w:val="16"/>
                <w:szCs w:val="16"/>
              </w:rPr>
            </w:pPr>
            <w:r w:rsidRPr="00C64D1C">
              <w:rPr>
                <w:b/>
                <w:bCs/>
                <w:color w:val="FF0000"/>
                <w:sz w:val="16"/>
                <w:szCs w:val="16"/>
              </w:rPr>
              <w:t>CH, G, W</w:t>
            </w:r>
          </w:p>
        </w:tc>
        <w:tc>
          <w:tcPr>
            <w:tcW w:w="788" w:type="dxa"/>
            <w:vAlign w:val="center"/>
          </w:tcPr>
          <w:p w14:paraId="2B69D24C" w14:textId="77777777" w:rsidR="00004C1E" w:rsidRPr="006D733F" w:rsidRDefault="00004C1E" w:rsidP="002A7EFA">
            <w:pPr>
              <w:pStyle w:val="BodyText"/>
              <w:jc w:val="center"/>
              <w:rPr>
                <w:sz w:val="16"/>
                <w:szCs w:val="16"/>
              </w:rPr>
            </w:pPr>
          </w:p>
        </w:tc>
      </w:tr>
      <w:tr w:rsidR="00004C1E" w:rsidRPr="00B86E82" w14:paraId="47586829" w14:textId="77777777" w:rsidTr="002A7EFA">
        <w:trPr>
          <w:gridAfter w:val="1"/>
          <w:wAfter w:w="843" w:type="dxa"/>
        </w:trPr>
        <w:tc>
          <w:tcPr>
            <w:tcW w:w="2389" w:type="dxa"/>
            <w:vAlign w:val="center"/>
          </w:tcPr>
          <w:p w14:paraId="7022B80F" w14:textId="77777777" w:rsidR="00004C1E" w:rsidRPr="00B86E82" w:rsidRDefault="00004C1E" w:rsidP="002A7EFA">
            <w:pPr>
              <w:pStyle w:val="BodyText"/>
            </w:pPr>
            <w:r w:rsidRPr="00B86E82">
              <w:t>Small Autumn Greenhood</w:t>
            </w:r>
          </w:p>
        </w:tc>
        <w:tc>
          <w:tcPr>
            <w:tcW w:w="2390" w:type="dxa"/>
            <w:vAlign w:val="center"/>
          </w:tcPr>
          <w:p w14:paraId="7EFC0AD6" w14:textId="77777777" w:rsidR="00004C1E" w:rsidRPr="004023AB" w:rsidRDefault="00004C1E" w:rsidP="002A7EFA">
            <w:pPr>
              <w:pStyle w:val="BodyText"/>
              <w:rPr>
                <w:i/>
                <w:iCs/>
              </w:rPr>
            </w:pPr>
            <w:r w:rsidRPr="004023AB">
              <w:rPr>
                <w:i/>
                <w:iCs/>
              </w:rPr>
              <w:t>Pterostylis reflexa</w:t>
            </w:r>
          </w:p>
        </w:tc>
        <w:tc>
          <w:tcPr>
            <w:tcW w:w="787" w:type="dxa"/>
            <w:shd w:val="clear" w:color="auto" w:fill="F4F8D4" w:themeFill="accent2" w:themeFillTint="33"/>
            <w:vAlign w:val="center"/>
          </w:tcPr>
          <w:p w14:paraId="2638A975" w14:textId="77777777" w:rsidR="00004C1E" w:rsidRPr="0074061D" w:rsidRDefault="00004C1E" w:rsidP="002A7EFA">
            <w:pPr>
              <w:pStyle w:val="BodyText"/>
              <w:jc w:val="center"/>
              <w:rPr>
                <w:b/>
                <w:bCs/>
                <w:sz w:val="16"/>
                <w:szCs w:val="16"/>
              </w:rPr>
            </w:pPr>
            <w:r w:rsidRPr="00C64D1C">
              <w:rPr>
                <w:b/>
                <w:bCs/>
                <w:color w:val="FF0000"/>
                <w:sz w:val="16"/>
                <w:szCs w:val="16"/>
              </w:rPr>
              <w:t>EG</w:t>
            </w:r>
          </w:p>
        </w:tc>
        <w:tc>
          <w:tcPr>
            <w:tcW w:w="788" w:type="dxa"/>
            <w:shd w:val="clear" w:color="auto" w:fill="auto"/>
            <w:vAlign w:val="center"/>
          </w:tcPr>
          <w:p w14:paraId="66C9AEC4" w14:textId="77777777" w:rsidR="00004C1E" w:rsidRPr="0074061D" w:rsidRDefault="00004C1E" w:rsidP="002A7EFA">
            <w:pPr>
              <w:pStyle w:val="BodyText"/>
              <w:jc w:val="center"/>
              <w:rPr>
                <w:b/>
                <w:bCs/>
                <w:sz w:val="16"/>
                <w:szCs w:val="16"/>
              </w:rPr>
            </w:pPr>
          </w:p>
        </w:tc>
        <w:tc>
          <w:tcPr>
            <w:tcW w:w="788" w:type="dxa"/>
            <w:shd w:val="clear" w:color="auto" w:fill="auto"/>
            <w:vAlign w:val="center"/>
          </w:tcPr>
          <w:p w14:paraId="6242770F" w14:textId="77777777" w:rsidR="00004C1E" w:rsidRDefault="00004C1E" w:rsidP="002A7EFA">
            <w:pPr>
              <w:pStyle w:val="BodyText"/>
              <w:jc w:val="center"/>
              <w:rPr>
                <w:sz w:val="16"/>
                <w:szCs w:val="16"/>
              </w:rPr>
            </w:pPr>
          </w:p>
        </w:tc>
        <w:tc>
          <w:tcPr>
            <w:tcW w:w="787" w:type="dxa"/>
            <w:vAlign w:val="center"/>
          </w:tcPr>
          <w:p w14:paraId="2ADE5CD5" w14:textId="77777777" w:rsidR="00004C1E" w:rsidRPr="006D733F" w:rsidRDefault="00004C1E" w:rsidP="002A7EFA">
            <w:pPr>
              <w:pStyle w:val="BodyText"/>
              <w:jc w:val="center"/>
              <w:rPr>
                <w:sz w:val="16"/>
                <w:szCs w:val="16"/>
              </w:rPr>
            </w:pPr>
          </w:p>
        </w:tc>
        <w:tc>
          <w:tcPr>
            <w:tcW w:w="788" w:type="dxa"/>
            <w:vAlign w:val="center"/>
          </w:tcPr>
          <w:p w14:paraId="2F9C1DD0" w14:textId="77777777" w:rsidR="00004C1E" w:rsidRPr="006D733F" w:rsidRDefault="00004C1E" w:rsidP="002A7EFA">
            <w:pPr>
              <w:pStyle w:val="BodyText"/>
              <w:jc w:val="center"/>
              <w:rPr>
                <w:sz w:val="16"/>
                <w:szCs w:val="16"/>
              </w:rPr>
            </w:pPr>
          </w:p>
        </w:tc>
        <w:tc>
          <w:tcPr>
            <w:tcW w:w="788" w:type="dxa"/>
            <w:vAlign w:val="center"/>
          </w:tcPr>
          <w:p w14:paraId="13308484" w14:textId="77777777" w:rsidR="00004C1E" w:rsidRPr="006D733F" w:rsidRDefault="00004C1E" w:rsidP="002A7EFA">
            <w:pPr>
              <w:pStyle w:val="BodyText"/>
              <w:jc w:val="center"/>
              <w:rPr>
                <w:sz w:val="16"/>
                <w:szCs w:val="16"/>
              </w:rPr>
            </w:pPr>
          </w:p>
        </w:tc>
      </w:tr>
      <w:tr w:rsidR="00004C1E" w:rsidRPr="00B86E82" w14:paraId="4A679346" w14:textId="77777777" w:rsidTr="002A7EFA">
        <w:trPr>
          <w:gridAfter w:val="1"/>
          <w:wAfter w:w="843" w:type="dxa"/>
        </w:trPr>
        <w:tc>
          <w:tcPr>
            <w:tcW w:w="2389" w:type="dxa"/>
            <w:vAlign w:val="center"/>
          </w:tcPr>
          <w:p w14:paraId="25A0CD2E" w14:textId="77777777" w:rsidR="00004C1E" w:rsidRPr="00B86E82" w:rsidRDefault="00004C1E" w:rsidP="002A7EFA">
            <w:pPr>
              <w:pStyle w:val="BodyText"/>
            </w:pPr>
            <w:r w:rsidRPr="00B86E82">
              <w:t>Small Fork-fern</w:t>
            </w:r>
          </w:p>
        </w:tc>
        <w:tc>
          <w:tcPr>
            <w:tcW w:w="2390" w:type="dxa"/>
            <w:vAlign w:val="center"/>
          </w:tcPr>
          <w:p w14:paraId="24EC20D9" w14:textId="77777777" w:rsidR="00004C1E" w:rsidRPr="004023AB" w:rsidRDefault="00004C1E" w:rsidP="002A7EFA">
            <w:pPr>
              <w:pStyle w:val="BodyText"/>
              <w:rPr>
                <w:i/>
                <w:iCs/>
              </w:rPr>
            </w:pPr>
            <w:r w:rsidRPr="004023AB">
              <w:rPr>
                <w:i/>
                <w:iCs/>
              </w:rPr>
              <w:t>Tmesipteris parva</w:t>
            </w:r>
          </w:p>
        </w:tc>
        <w:tc>
          <w:tcPr>
            <w:tcW w:w="787" w:type="dxa"/>
            <w:shd w:val="clear" w:color="auto" w:fill="F4F8D4" w:themeFill="accent2" w:themeFillTint="33"/>
            <w:vAlign w:val="center"/>
          </w:tcPr>
          <w:p w14:paraId="11B4F515" w14:textId="77777777" w:rsidR="00004C1E" w:rsidRPr="00C64D1C" w:rsidRDefault="00004C1E" w:rsidP="002A7EFA">
            <w:pPr>
              <w:pStyle w:val="BodyText"/>
              <w:jc w:val="center"/>
              <w:rPr>
                <w:color w:val="FF0000"/>
                <w:sz w:val="16"/>
                <w:szCs w:val="16"/>
              </w:rPr>
            </w:pPr>
            <w:r w:rsidRPr="00C64D1C">
              <w:rPr>
                <w:b/>
                <w:bCs/>
                <w:color w:val="FF0000"/>
                <w:sz w:val="16"/>
                <w:szCs w:val="16"/>
              </w:rPr>
              <w:t>CH, EG, G</w:t>
            </w:r>
          </w:p>
        </w:tc>
        <w:tc>
          <w:tcPr>
            <w:tcW w:w="788" w:type="dxa"/>
            <w:shd w:val="clear" w:color="auto" w:fill="F4F8D4" w:themeFill="accent2" w:themeFillTint="33"/>
            <w:vAlign w:val="center"/>
          </w:tcPr>
          <w:p w14:paraId="662AEEB5" w14:textId="77777777" w:rsidR="00004C1E" w:rsidRPr="00C64D1C" w:rsidRDefault="00004C1E" w:rsidP="002A7EFA">
            <w:pPr>
              <w:pStyle w:val="BodyText"/>
              <w:jc w:val="center"/>
              <w:rPr>
                <w:color w:val="FF0000"/>
                <w:sz w:val="16"/>
                <w:szCs w:val="16"/>
              </w:rPr>
            </w:pPr>
            <w:r w:rsidRPr="00C64D1C">
              <w:rPr>
                <w:b/>
                <w:bCs/>
                <w:color w:val="FF0000"/>
                <w:sz w:val="16"/>
                <w:szCs w:val="16"/>
              </w:rPr>
              <w:t>CH, EG, G</w:t>
            </w:r>
          </w:p>
        </w:tc>
        <w:tc>
          <w:tcPr>
            <w:tcW w:w="788" w:type="dxa"/>
            <w:shd w:val="clear" w:color="auto" w:fill="F4F8D4" w:themeFill="accent2" w:themeFillTint="33"/>
            <w:vAlign w:val="center"/>
          </w:tcPr>
          <w:p w14:paraId="18148BEB" w14:textId="77777777" w:rsidR="00004C1E" w:rsidRPr="00C64D1C" w:rsidRDefault="00004C1E" w:rsidP="002A7EFA">
            <w:pPr>
              <w:pStyle w:val="BodyText"/>
              <w:jc w:val="center"/>
              <w:rPr>
                <w:b/>
                <w:bCs/>
                <w:sz w:val="16"/>
                <w:szCs w:val="16"/>
              </w:rPr>
            </w:pPr>
            <w:r w:rsidRPr="00C64D1C">
              <w:rPr>
                <w:b/>
                <w:bCs/>
                <w:color w:val="00857E" w:themeColor="accent1" w:themeShade="BF"/>
                <w:sz w:val="16"/>
                <w:szCs w:val="16"/>
              </w:rPr>
              <w:t>EG</w:t>
            </w:r>
          </w:p>
        </w:tc>
        <w:tc>
          <w:tcPr>
            <w:tcW w:w="787" w:type="dxa"/>
            <w:vAlign w:val="center"/>
          </w:tcPr>
          <w:p w14:paraId="67487B01" w14:textId="77777777" w:rsidR="00004C1E" w:rsidRPr="006D733F" w:rsidRDefault="00004C1E" w:rsidP="002A7EFA">
            <w:pPr>
              <w:pStyle w:val="BodyText"/>
              <w:jc w:val="center"/>
              <w:rPr>
                <w:sz w:val="16"/>
                <w:szCs w:val="16"/>
              </w:rPr>
            </w:pPr>
          </w:p>
        </w:tc>
        <w:tc>
          <w:tcPr>
            <w:tcW w:w="788" w:type="dxa"/>
            <w:vAlign w:val="center"/>
          </w:tcPr>
          <w:p w14:paraId="62A3BDE3" w14:textId="77777777" w:rsidR="00004C1E" w:rsidRPr="006D733F" w:rsidRDefault="00004C1E" w:rsidP="002A7EFA">
            <w:pPr>
              <w:pStyle w:val="BodyText"/>
              <w:jc w:val="center"/>
              <w:rPr>
                <w:sz w:val="16"/>
                <w:szCs w:val="16"/>
              </w:rPr>
            </w:pPr>
          </w:p>
        </w:tc>
        <w:tc>
          <w:tcPr>
            <w:tcW w:w="788" w:type="dxa"/>
            <w:vAlign w:val="center"/>
          </w:tcPr>
          <w:p w14:paraId="3EB89637" w14:textId="77777777" w:rsidR="00004C1E" w:rsidRPr="006D733F" w:rsidRDefault="00004C1E" w:rsidP="002A7EFA">
            <w:pPr>
              <w:pStyle w:val="BodyText"/>
              <w:jc w:val="center"/>
              <w:rPr>
                <w:sz w:val="16"/>
                <w:szCs w:val="16"/>
              </w:rPr>
            </w:pPr>
          </w:p>
        </w:tc>
      </w:tr>
      <w:tr w:rsidR="00004C1E" w:rsidRPr="00B86E82" w14:paraId="6B04834F" w14:textId="77777777" w:rsidTr="002A7EFA">
        <w:trPr>
          <w:gridAfter w:val="1"/>
          <w:wAfter w:w="843" w:type="dxa"/>
        </w:trPr>
        <w:tc>
          <w:tcPr>
            <w:tcW w:w="2389" w:type="dxa"/>
            <w:vAlign w:val="center"/>
          </w:tcPr>
          <w:p w14:paraId="0289AF5D" w14:textId="77777777" w:rsidR="00004C1E" w:rsidRPr="00B86E82" w:rsidRDefault="00004C1E" w:rsidP="002A7EFA">
            <w:pPr>
              <w:pStyle w:val="BodyText"/>
            </w:pPr>
            <w:r w:rsidRPr="00B86E82">
              <w:t>Small-leaf Star-hair</w:t>
            </w:r>
          </w:p>
        </w:tc>
        <w:tc>
          <w:tcPr>
            <w:tcW w:w="2390" w:type="dxa"/>
            <w:vAlign w:val="center"/>
          </w:tcPr>
          <w:p w14:paraId="77192879" w14:textId="77777777" w:rsidR="00004C1E" w:rsidRPr="00B86E82" w:rsidRDefault="00004C1E" w:rsidP="002A7EFA">
            <w:pPr>
              <w:pStyle w:val="BodyText"/>
              <w:rPr>
                <w:sz w:val="16"/>
                <w:szCs w:val="16"/>
              </w:rPr>
            </w:pPr>
            <w:r w:rsidRPr="004023AB">
              <w:rPr>
                <w:i/>
                <w:iCs/>
              </w:rPr>
              <w:t xml:space="preserve">Astrotricha parvifolia </w:t>
            </w:r>
            <w:r w:rsidRPr="003B150A">
              <w:t>subsp. 1</w:t>
            </w:r>
          </w:p>
        </w:tc>
        <w:tc>
          <w:tcPr>
            <w:tcW w:w="787" w:type="dxa"/>
            <w:vAlign w:val="center"/>
          </w:tcPr>
          <w:p w14:paraId="1B3291D0" w14:textId="77777777" w:rsidR="00004C1E" w:rsidRPr="006D733F" w:rsidRDefault="00004C1E" w:rsidP="002A7EFA">
            <w:pPr>
              <w:pStyle w:val="BodyText"/>
              <w:ind w:left="0" w:right="0"/>
              <w:jc w:val="center"/>
              <w:rPr>
                <w:sz w:val="16"/>
                <w:szCs w:val="16"/>
              </w:rPr>
            </w:pPr>
          </w:p>
        </w:tc>
        <w:tc>
          <w:tcPr>
            <w:tcW w:w="788" w:type="dxa"/>
            <w:shd w:val="clear" w:color="auto" w:fill="F4F8D4" w:themeFill="accent2" w:themeFillTint="33"/>
            <w:vAlign w:val="center"/>
          </w:tcPr>
          <w:p w14:paraId="7E1099AC" w14:textId="77777777" w:rsidR="00004C1E" w:rsidRPr="00C64D1C" w:rsidRDefault="00004C1E" w:rsidP="002A7EFA">
            <w:pPr>
              <w:pStyle w:val="BodyText"/>
              <w:ind w:left="0" w:right="0"/>
              <w:jc w:val="center"/>
              <w:rPr>
                <w:b/>
                <w:bCs/>
                <w:color w:val="00857E" w:themeColor="accent1" w:themeShade="BF"/>
                <w:sz w:val="16"/>
                <w:szCs w:val="16"/>
              </w:rPr>
            </w:pPr>
            <w:r w:rsidRPr="00C64D1C">
              <w:rPr>
                <w:b/>
                <w:bCs/>
                <w:color w:val="00857E" w:themeColor="accent1" w:themeShade="BF"/>
                <w:sz w:val="16"/>
                <w:szCs w:val="16"/>
              </w:rPr>
              <w:t>G</w:t>
            </w:r>
          </w:p>
        </w:tc>
        <w:tc>
          <w:tcPr>
            <w:tcW w:w="788" w:type="dxa"/>
            <w:shd w:val="clear" w:color="auto" w:fill="F4F8D4" w:themeFill="accent2" w:themeFillTint="33"/>
            <w:vAlign w:val="center"/>
          </w:tcPr>
          <w:p w14:paraId="5DE455C4" w14:textId="77777777" w:rsidR="00004C1E" w:rsidRPr="00C64D1C" w:rsidRDefault="00004C1E" w:rsidP="002A7EFA">
            <w:pPr>
              <w:pStyle w:val="BodyText"/>
              <w:ind w:left="0" w:right="0"/>
              <w:jc w:val="center"/>
              <w:rPr>
                <w:b/>
                <w:bCs/>
                <w:color w:val="00857E" w:themeColor="accent1" w:themeShade="BF"/>
                <w:sz w:val="16"/>
                <w:szCs w:val="16"/>
              </w:rPr>
            </w:pPr>
            <w:r w:rsidRPr="00C64D1C">
              <w:rPr>
                <w:b/>
                <w:bCs/>
                <w:color w:val="00857E" w:themeColor="accent1" w:themeShade="BF"/>
                <w:sz w:val="16"/>
                <w:szCs w:val="16"/>
              </w:rPr>
              <w:t>G</w:t>
            </w:r>
          </w:p>
        </w:tc>
        <w:tc>
          <w:tcPr>
            <w:tcW w:w="787" w:type="dxa"/>
            <w:vAlign w:val="center"/>
          </w:tcPr>
          <w:p w14:paraId="1BBB2AD4" w14:textId="77777777" w:rsidR="00004C1E" w:rsidRPr="006D733F" w:rsidRDefault="00004C1E" w:rsidP="002A7EFA">
            <w:pPr>
              <w:pStyle w:val="BodyText"/>
              <w:ind w:left="0" w:right="0"/>
              <w:jc w:val="center"/>
              <w:rPr>
                <w:sz w:val="16"/>
                <w:szCs w:val="16"/>
              </w:rPr>
            </w:pPr>
          </w:p>
        </w:tc>
        <w:tc>
          <w:tcPr>
            <w:tcW w:w="788" w:type="dxa"/>
            <w:vAlign w:val="center"/>
          </w:tcPr>
          <w:p w14:paraId="7666CCB2" w14:textId="77777777" w:rsidR="00004C1E" w:rsidRPr="006D733F" w:rsidRDefault="00004C1E" w:rsidP="002A7EFA">
            <w:pPr>
              <w:pStyle w:val="BodyText"/>
              <w:ind w:left="0" w:right="0"/>
              <w:jc w:val="center"/>
              <w:rPr>
                <w:sz w:val="16"/>
                <w:szCs w:val="16"/>
              </w:rPr>
            </w:pPr>
          </w:p>
        </w:tc>
        <w:tc>
          <w:tcPr>
            <w:tcW w:w="788" w:type="dxa"/>
            <w:vAlign w:val="center"/>
          </w:tcPr>
          <w:p w14:paraId="60C7C604" w14:textId="77777777" w:rsidR="00004C1E" w:rsidRPr="006D733F" w:rsidRDefault="00004C1E" w:rsidP="002A7EFA">
            <w:pPr>
              <w:pStyle w:val="BodyText"/>
              <w:ind w:left="0" w:right="0"/>
              <w:jc w:val="center"/>
              <w:rPr>
                <w:sz w:val="16"/>
                <w:szCs w:val="16"/>
              </w:rPr>
            </w:pPr>
          </w:p>
        </w:tc>
      </w:tr>
      <w:tr w:rsidR="00004C1E" w:rsidRPr="00B86E82" w14:paraId="7A4BFE21" w14:textId="77777777" w:rsidTr="002A7EFA">
        <w:trPr>
          <w:gridAfter w:val="1"/>
          <w:wAfter w:w="843" w:type="dxa"/>
        </w:trPr>
        <w:tc>
          <w:tcPr>
            <w:tcW w:w="2389" w:type="dxa"/>
            <w:vAlign w:val="center"/>
          </w:tcPr>
          <w:p w14:paraId="272E5135" w14:textId="77777777" w:rsidR="00004C1E" w:rsidRPr="00B86E82" w:rsidRDefault="00004C1E" w:rsidP="002A7EFA">
            <w:pPr>
              <w:pStyle w:val="BodyText"/>
            </w:pPr>
            <w:r w:rsidRPr="00B86E82">
              <w:t>Snowdrop Wood-sorrel</w:t>
            </w:r>
          </w:p>
        </w:tc>
        <w:tc>
          <w:tcPr>
            <w:tcW w:w="2390" w:type="dxa"/>
            <w:vAlign w:val="center"/>
          </w:tcPr>
          <w:p w14:paraId="36EE1A1F" w14:textId="77777777" w:rsidR="00004C1E" w:rsidRPr="00B86E82" w:rsidRDefault="00004C1E" w:rsidP="002A7EFA">
            <w:pPr>
              <w:pStyle w:val="BodyText"/>
              <w:rPr>
                <w:sz w:val="16"/>
                <w:szCs w:val="16"/>
              </w:rPr>
            </w:pPr>
            <w:r w:rsidRPr="004023AB">
              <w:rPr>
                <w:i/>
                <w:iCs/>
              </w:rPr>
              <w:t>Oxalis magellanica</w:t>
            </w:r>
          </w:p>
        </w:tc>
        <w:tc>
          <w:tcPr>
            <w:tcW w:w="787" w:type="dxa"/>
            <w:shd w:val="clear" w:color="auto" w:fill="F4F8D4" w:themeFill="accent2" w:themeFillTint="33"/>
            <w:vAlign w:val="center"/>
          </w:tcPr>
          <w:p w14:paraId="676CF61E" w14:textId="77777777" w:rsidR="00004C1E" w:rsidRPr="0074061D" w:rsidRDefault="00004C1E" w:rsidP="002A7EFA">
            <w:pPr>
              <w:pStyle w:val="BodyText"/>
              <w:ind w:left="0" w:right="0"/>
              <w:jc w:val="center"/>
              <w:rPr>
                <w:b/>
                <w:bCs/>
                <w:sz w:val="16"/>
                <w:szCs w:val="16"/>
              </w:rPr>
            </w:pPr>
            <w:r w:rsidRPr="00C64D1C">
              <w:rPr>
                <w:b/>
                <w:bCs/>
                <w:color w:val="FF0000"/>
                <w:sz w:val="16"/>
                <w:szCs w:val="16"/>
              </w:rPr>
              <w:t>CH, EG</w:t>
            </w:r>
          </w:p>
        </w:tc>
        <w:tc>
          <w:tcPr>
            <w:tcW w:w="788" w:type="dxa"/>
            <w:vAlign w:val="center"/>
          </w:tcPr>
          <w:p w14:paraId="5A2ADB73" w14:textId="77777777" w:rsidR="00004C1E" w:rsidRPr="006D733F" w:rsidRDefault="00004C1E" w:rsidP="002A7EFA">
            <w:pPr>
              <w:pStyle w:val="BodyText"/>
              <w:ind w:left="0" w:right="0"/>
              <w:jc w:val="center"/>
              <w:rPr>
                <w:sz w:val="16"/>
                <w:szCs w:val="16"/>
              </w:rPr>
            </w:pPr>
          </w:p>
        </w:tc>
        <w:tc>
          <w:tcPr>
            <w:tcW w:w="788" w:type="dxa"/>
            <w:vAlign w:val="center"/>
          </w:tcPr>
          <w:p w14:paraId="3931C2F7" w14:textId="77777777" w:rsidR="00004C1E" w:rsidRPr="006D733F" w:rsidRDefault="00004C1E" w:rsidP="002A7EFA">
            <w:pPr>
              <w:pStyle w:val="BodyText"/>
              <w:ind w:left="0" w:right="0"/>
              <w:jc w:val="center"/>
              <w:rPr>
                <w:sz w:val="16"/>
                <w:szCs w:val="16"/>
              </w:rPr>
            </w:pPr>
          </w:p>
        </w:tc>
        <w:tc>
          <w:tcPr>
            <w:tcW w:w="787" w:type="dxa"/>
            <w:vAlign w:val="center"/>
          </w:tcPr>
          <w:p w14:paraId="45113EB1" w14:textId="77777777" w:rsidR="00004C1E" w:rsidRPr="006D733F" w:rsidRDefault="00004C1E" w:rsidP="002A7EFA">
            <w:pPr>
              <w:pStyle w:val="BodyText"/>
              <w:ind w:left="0" w:right="0"/>
              <w:jc w:val="center"/>
              <w:rPr>
                <w:sz w:val="16"/>
                <w:szCs w:val="16"/>
              </w:rPr>
            </w:pPr>
          </w:p>
        </w:tc>
        <w:tc>
          <w:tcPr>
            <w:tcW w:w="788" w:type="dxa"/>
            <w:vAlign w:val="center"/>
          </w:tcPr>
          <w:p w14:paraId="419EF8A6" w14:textId="77777777" w:rsidR="00004C1E" w:rsidRPr="006D733F" w:rsidRDefault="00004C1E" w:rsidP="002A7EFA">
            <w:pPr>
              <w:pStyle w:val="BodyText"/>
              <w:ind w:left="0" w:right="0"/>
              <w:jc w:val="center"/>
              <w:rPr>
                <w:sz w:val="16"/>
                <w:szCs w:val="16"/>
              </w:rPr>
            </w:pPr>
          </w:p>
        </w:tc>
        <w:tc>
          <w:tcPr>
            <w:tcW w:w="788" w:type="dxa"/>
            <w:vAlign w:val="center"/>
          </w:tcPr>
          <w:p w14:paraId="0AB5C4CF" w14:textId="77777777" w:rsidR="00004C1E" w:rsidRPr="006D733F" w:rsidRDefault="00004C1E" w:rsidP="002A7EFA">
            <w:pPr>
              <w:pStyle w:val="BodyText"/>
              <w:ind w:left="0" w:right="0"/>
              <w:jc w:val="center"/>
              <w:rPr>
                <w:sz w:val="16"/>
                <w:szCs w:val="16"/>
              </w:rPr>
            </w:pPr>
          </w:p>
        </w:tc>
      </w:tr>
      <w:tr w:rsidR="00004C1E" w:rsidRPr="00B86E82" w14:paraId="1A0364EB" w14:textId="77777777" w:rsidTr="002A7EFA">
        <w:trPr>
          <w:gridAfter w:val="1"/>
          <w:wAfter w:w="843" w:type="dxa"/>
        </w:trPr>
        <w:tc>
          <w:tcPr>
            <w:tcW w:w="2389" w:type="dxa"/>
            <w:vAlign w:val="center"/>
          </w:tcPr>
          <w:p w14:paraId="50613C63" w14:textId="77777777" w:rsidR="00004C1E" w:rsidRPr="00B86E82" w:rsidRDefault="00004C1E" w:rsidP="002A7EFA">
            <w:pPr>
              <w:pStyle w:val="BodyText"/>
            </w:pPr>
            <w:r w:rsidRPr="00B86E82">
              <w:t>Soft Skullcap</w:t>
            </w:r>
          </w:p>
        </w:tc>
        <w:tc>
          <w:tcPr>
            <w:tcW w:w="2390" w:type="dxa"/>
            <w:vAlign w:val="center"/>
          </w:tcPr>
          <w:p w14:paraId="3D567A4E" w14:textId="77777777" w:rsidR="00004C1E" w:rsidRPr="00B86E82" w:rsidRDefault="00004C1E" w:rsidP="002A7EFA">
            <w:pPr>
              <w:pStyle w:val="BodyText"/>
              <w:rPr>
                <w:sz w:val="16"/>
                <w:szCs w:val="16"/>
              </w:rPr>
            </w:pPr>
            <w:r w:rsidRPr="004023AB">
              <w:rPr>
                <w:i/>
                <w:iCs/>
              </w:rPr>
              <w:t>Scutellaria mollis</w:t>
            </w:r>
          </w:p>
        </w:tc>
        <w:tc>
          <w:tcPr>
            <w:tcW w:w="787" w:type="dxa"/>
            <w:vAlign w:val="center"/>
          </w:tcPr>
          <w:p w14:paraId="399EE218" w14:textId="77777777" w:rsidR="00004C1E" w:rsidRPr="006D733F" w:rsidRDefault="00004C1E" w:rsidP="002A7EFA">
            <w:pPr>
              <w:pStyle w:val="BodyText"/>
              <w:jc w:val="center"/>
              <w:rPr>
                <w:sz w:val="16"/>
                <w:szCs w:val="16"/>
              </w:rPr>
            </w:pPr>
          </w:p>
        </w:tc>
        <w:tc>
          <w:tcPr>
            <w:tcW w:w="788" w:type="dxa"/>
            <w:vAlign w:val="center"/>
          </w:tcPr>
          <w:p w14:paraId="1F5491CE" w14:textId="77777777" w:rsidR="00004C1E" w:rsidRPr="006D733F" w:rsidRDefault="00004C1E" w:rsidP="002A7EFA">
            <w:pPr>
              <w:pStyle w:val="BodyText"/>
              <w:jc w:val="center"/>
              <w:rPr>
                <w:sz w:val="16"/>
                <w:szCs w:val="16"/>
              </w:rPr>
            </w:pPr>
          </w:p>
        </w:tc>
        <w:tc>
          <w:tcPr>
            <w:tcW w:w="788" w:type="dxa"/>
            <w:vAlign w:val="center"/>
          </w:tcPr>
          <w:p w14:paraId="0A6A5292" w14:textId="77777777" w:rsidR="00004C1E" w:rsidRPr="006D733F" w:rsidRDefault="00004C1E" w:rsidP="002A7EFA">
            <w:pPr>
              <w:pStyle w:val="BodyText"/>
              <w:jc w:val="center"/>
              <w:rPr>
                <w:sz w:val="16"/>
                <w:szCs w:val="16"/>
              </w:rPr>
            </w:pPr>
          </w:p>
        </w:tc>
        <w:tc>
          <w:tcPr>
            <w:tcW w:w="787" w:type="dxa"/>
            <w:vAlign w:val="center"/>
          </w:tcPr>
          <w:p w14:paraId="2BEE7080"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755EA095" w14:textId="77777777" w:rsidR="00004C1E" w:rsidRPr="00D80292" w:rsidRDefault="00004C1E" w:rsidP="002A7EFA">
            <w:pPr>
              <w:pStyle w:val="BodyText"/>
              <w:jc w:val="center"/>
              <w:rPr>
                <w:b/>
                <w:bCs/>
                <w:sz w:val="16"/>
                <w:szCs w:val="16"/>
              </w:rPr>
            </w:pPr>
            <w:r w:rsidRPr="00C64D1C">
              <w:rPr>
                <w:b/>
                <w:bCs/>
                <w:color w:val="FF0000"/>
                <w:sz w:val="16"/>
                <w:szCs w:val="16"/>
              </w:rPr>
              <w:t>EG</w:t>
            </w:r>
          </w:p>
        </w:tc>
        <w:tc>
          <w:tcPr>
            <w:tcW w:w="788" w:type="dxa"/>
            <w:vAlign w:val="center"/>
          </w:tcPr>
          <w:p w14:paraId="4A437C46" w14:textId="77777777" w:rsidR="00004C1E" w:rsidRPr="006D733F" w:rsidRDefault="00004C1E" w:rsidP="002A7EFA">
            <w:pPr>
              <w:pStyle w:val="BodyText"/>
              <w:jc w:val="center"/>
              <w:rPr>
                <w:sz w:val="16"/>
                <w:szCs w:val="16"/>
              </w:rPr>
            </w:pPr>
          </w:p>
        </w:tc>
      </w:tr>
      <w:tr w:rsidR="00004C1E" w:rsidRPr="00B86E82" w14:paraId="0E5157D4" w14:textId="77777777" w:rsidTr="002A7EFA">
        <w:trPr>
          <w:gridAfter w:val="1"/>
          <w:wAfter w:w="843" w:type="dxa"/>
        </w:trPr>
        <w:tc>
          <w:tcPr>
            <w:tcW w:w="2389" w:type="dxa"/>
            <w:vAlign w:val="center"/>
          </w:tcPr>
          <w:p w14:paraId="0F435CE5" w14:textId="77777777" w:rsidR="00004C1E" w:rsidRPr="00B86E82" w:rsidRDefault="00004C1E" w:rsidP="002A7EFA">
            <w:pPr>
              <w:pStyle w:val="BodyText"/>
            </w:pPr>
            <w:r w:rsidRPr="00B86E82">
              <w:t>Spicy Everlasting</w:t>
            </w:r>
          </w:p>
        </w:tc>
        <w:tc>
          <w:tcPr>
            <w:tcW w:w="2390" w:type="dxa"/>
            <w:vAlign w:val="center"/>
          </w:tcPr>
          <w:p w14:paraId="264F88A5" w14:textId="77777777" w:rsidR="00004C1E" w:rsidRPr="00B86E82" w:rsidRDefault="00004C1E" w:rsidP="002A7EFA">
            <w:pPr>
              <w:pStyle w:val="BodyText"/>
              <w:rPr>
                <w:sz w:val="16"/>
                <w:szCs w:val="16"/>
              </w:rPr>
            </w:pPr>
            <w:r w:rsidRPr="004023AB">
              <w:rPr>
                <w:i/>
                <w:iCs/>
              </w:rPr>
              <w:t>Ozothamnus argophyllus</w:t>
            </w:r>
          </w:p>
        </w:tc>
        <w:tc>
          <w:tcPr>
            <w:tcW w:w="787" w:type="dxa"/>
            <w:vAlign w:val="center"/>
          </w:tcPr>
          <w:p w14:paraId="5439F868" w14:textId="77777777" w:rsidR="00004C1E" w:rsidRPr="006D733F" w:rsidRDefault="00004C1E" w:rsidP="002A7EFA">
            <w:pPr>
              <w:pStyle w:val="BodyText"/>
              <w:jc w:val="center"/>
              <w:rPr>
                <w:sz w:val="16"/>
                <w:szCs w:val="16"/>
              </w:rPr>
            </w:pPr>
          </w:p>
        </w:tc>
        <w:tc>
          <w:tcPr>
            <w:tcW w:w="788" w:type="dxa"/>
            <w:vAlign w:val="center"/>
          </w:tcPr>
          <w:p w14:paraId="4EFB9F26" w14:textId="77777777" w:rsidR="00004C1E" w:rsidRPr="006D733F" w:rsidRDefault="00004C1E" w:rsidP="002A7EFA">
            <w:pPr>
              <w:pStyle w:val="BodyText"/>
              <w:jc w:val="center"/>
              <w:rPr>
                <w:sz w:val="16"/>
                <w:szCs w:val="16"/>
              </w:rPr>
            </w:pPr>
          </w:p>
        </w:tc>
        <w:tc>
          <w:tcPr>
            <w:tcW w:w="788" w:type="dxa"/>
            <w:vAlign w:val="center"/>
          </w:tcPr>
          <w:p w14:paraId="261547D4" w14:textId="77777777" w:rsidR="00004C1E" w:rsidRPr="006D733F" w:rsidRDefault="00004C1E" w:rsidP="002A7EFA">
            <w:pPr>
              <w:pStyle w:val="BodyText"/>
              <w:jc w:val="center"/>
              <w:rPr>
                <w:sz w:val="16"/>
                <w:szCs w:val="16"/>
              </w:rPr>
            </w:pPr>
          </w:p>
        </w:tc>
        <w:tc>
          <w:tcPr>
            <w:tcW w:w="787" w:type="dxa"/>
            <w:vAlign w:val="center"/>
          </w:tcPr>
          <w:p w14:paraId="19714D62" w14:textId="77777777" w:rsidR="00004C1E" w:rsidRPr="006D733F" w:rsidRDefault="00004C1E" w:rsidP="002A7EFA">
            <w:pPr>
              <w:pStyle w:val="BodyText"/>
              <w:jc w:val="center"/>
              <w:rPr>
                <w:sz w:val="16"/>
                <w:szCs w:val="16"/>
              </w:rPr>
            </w:pPr>
          </w:p>
        </w:tc>
        <w:tc>
          <w:tcPr>
            <w:tcW w:w="788" w:type="dxa"/>
            <w:vAlign w:val="center"/>
          </w:tcPr>
          <w:p w14:paraId="2AB27960" w14:textId="77777777" w:rsidR="00004C1E" w:rsidRPr="006D733F" w:rsidRDefault="00004C1E" w:rsidP="002A7EFA">
            <w:pPr>
              <w:pStyle w:val="BodyText"/>
              <w:jc w:val="center"/>
              <w:rPr>
                <w:sz w:val="16"/>
                <w:szCs w:val="16"/>
              </w:rPr>
            </w:pPr>
          </w:p>
        </w:tc>
        <w:tc>
          <w:tcPr>
            <w:tcW w:w="788" w:type="dxa"/>
            <w:vAlign w:val="center"/>
          </w:tcPr>
          <w:p w14:paraId="1BE72A60" w14:textId="77777777" w:rsidR="00004C1E" w:rsidRPr="006D733F" w:rsidRDefault="00004C1E" w:rsidP="002A7EFA">
            <w:pPr>
              <w:pStyle w:val="BodyText"/>
              <w:jc w:val="center"/>
              <w:rPr>
                <w:sz w:val="16"/>
                <w:szCs w:val="16"/>
              </w:rPr>
            </w:pPr>
          </w:p>
        </w:tc>
      </w:tr>
      <w:tr w:rsidR="00004C1E" w:rsidRPr="00B86E82" w14:paraId="16A7514C" w14:textId="77777777" w:rsidTr="002A7EFA">
        <w:trPr>
          <w:gridAfter w:val="1"/>
          <w:wAfter w:w="843" w:type="dxa"/>
        </w:trPr>
        <w:tc>
          <w:tcPr>
            <w:tcW w:w="2389" w:type="dxa"/>
            <w:vAlign w:val="center"/>
          </w:tcPr>
          <w:p w14:paraId="61A32745" w14:textId="77777777" w:rsidR="00004C1E" w:rsidRPr="00B86E82" w:rsidRDefault="00004C1E" w:rsidP="002A7EFA">
            <w:pPr>
              <w:pStyle w:val="BodyText"/>
            </w:pPr>
            <w:r w:rsidRPr="00B86E82">
              <w:t>Sticky Wattle</w:t>
            </w:r>
          </w:p>
        </w:tc>
        <w:tc>
          <w:tcPr>
            <w:tcW w:w="2390" w:type="dxa"/>
            <w:vAlign w:val="center"/>
          </w:tcPr>
          <w:p w14:paraId="4B26784E" w14:textId="77777777" w:rsidR="00004C1E" w:rsidRPr="00B86E82" w:rsidRDefault="00004C1E" w:rsidP="002A7EFA">
            <w:pPr>
              <w:pStyle w:val="BodyText"/>
              <w:rPr>
                <w:sz w:val="16"/>
                <w:szCs w:val="16"/>
              </w:rPr>
            </w:pPr>
            <w:r w:rsidRPr="004023AB">
              <w:rPr>
                <w:i/>
                <w:iCs/>
              </w:rPr>
              <w:t>Acacia howittii</w:t>
            </w:r>
          </w:p>
        </w:tc>
        <w:tc>
          <w:tcPr>
            <w:tcW w:w="787" w:type="dxa"/>
            <w:vAlign w:val="center"/>
          </w:tcPr>
          <w:p w14:paraId="1DE213F1" w14:textId="77777777" w:rsidR="00004C1E" w:rsidRPr="006D733F" w:rsidRDefault="00004C1E" w:rsidP="002A7EFA">
            <w:pPr>
              <w:pStyle w:val="BodyText"/>
              <w:jc w:val="center"/>
              <w:rPr>
                <w:sz w:val="16"/>
                <w:szCs w:val="16"/>
              </w:rPr>
            </w:pPr>
          </w:p>
        </w:tc>
        <w:tc>
          <w:tcPr>
            <w:tcW w:w="788" w:type="dxa"/>
            <w:vAlign w:val="center"/>
          </w:tcPr>
          <w:p w14:paraId="0523C298"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47ED03FB" w14:textId="77777777" w:rsidR="00004C1E" w:rsidRPr="00D80292" w:rsidRDefault="00004C1E" w:rsidP="002A7EFA">
            <w:pPr>
              <w:pStyle w:val="BodyText"/>
              <w:jc w:val="center"/>
              <w:rPr>
                <w:b/>
                <w:bCs/>
                <w:sz w:val="16"/>
                <w:szCs w:val="16"/>
              </w:rPr>
            </w:pPr>
            <w:r w:rsidRPr="00C64D1C">
              <w:rPr>
                <w:b/>
                <w:bCs/>
                <w:color w:val="FF0000"/>
                <w:sz w:val="16"/>
                <w:szCs w:val="16"/>
              </w:rPr>
              <w:t>G</w:t>
            </w:r>
          </w:p>
        </w:tc>
        <w:tc>
          <w:tcPr>
            <w:tcW w:w="787" w:type="dxa"/>
            <w:vAlign w:val="center"/>
          </w:tcPr>
          <w:p w14:paraId="6ABE87F3"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2A727854" w14:textId="77777777" w:rsidR="00004C1E" w:rsidRPr="00C64D1C" w:rsidRDefault="00004C1E" w:rsidP="002A7EFA">
            <w:pPr>
              <w:pStyle w:val="BodyText"/>
              <w:jc w:val="center"/>
              <w:rPr>
                <w:b/>
                <w:bCs/>
                <w:sz w:val="16"/>
                <w:szCs w:val="16"/>
              </w:rPr>
            </w:pPr>
            <w:r w:rsidRPr="00C64D1C">
              <w:rPr>
                <w:b/>
                <w:bCs/>
                <w:color w:val="00857E" w:themeColor="accent1" w:themeShade="BF"/>
                <w:sz w:val="16"/>
                <w:szCs w:val="16"/>
              </w:rPr>
              <w:t>G</w:t>
            </w:r>
          </w:p>
        </w:tc>
        <w:tc>
          <w:tcPr>
            <w:tcW w:w="788" w:type="dxa"/>
            <w:vAlign w:val="center"/>
          </w:tcPr>
          <w:p w14:paraId="047EFC72" w14:textId="77777777" w:rsidR="00004C1E" w:rsidRPr="006D733F" w:rsidRDefault="00004C1E" w:rsidP="002A7EFA">
            <w:pPr>
              <w:pStyle w:val="BodyText"/>
              <w:jc w:val="center"/>
              <w:rPr>
                <w:sz w:val="16"/>
                <w:szCs w:val="16"/>
              </w:rPr>
            </w:pPr>
          </w:p>
        </w:tc>
      </w:tr>
      <w:tr w:rsidR="00004C1E" w:rsidRPr="00B86E82" w14:paraId="73CFD12E" w14:textId="77777777" w:rsidTr="002A7EFA">
        <w:trPr>
          <w:gridAfter w:val="1"/>
          <w:wAfter w:w="843" w:type="dxa"/>
        </w:trPr>
        <w:tc>
          <w:tcPr>
            <w:tcW w:w="2389" w:type="dxa"/>
            <w:vAlign w:val="center"/>
          </w:tcPr>
          <w:p w14:paraId="2BE686B6" w14:textId="77777777" w:rsidR="00004C1E" w:rsidRPr="00B86E82" w:rsidRDefault="00004C1E" w:rsidP="002A7EFA">
            <w:pPr>
              <w:pStyle w:val="BodyText"/>
            </w:pPr>
            <w:r w:rsidRPr="00B86E82">
              <w:t>Tall Plume-grass</w:t>
            </w:r>
          </w:p>
        </w:tc>
        <w:tc>
          <w:tcPr>
            <w:tcW w:w="2390" w:type="dxa"/>
            <w:vAlign w:val="center"/>
          </w:tcPr>
          <w:p w14:paraId="45CAAD23" w14:textId="77777777" w:rsidR="00004C1E" w:rsidRPr="004023AB" w:rsidRDefault="00004C1E" w:rsidP="002A7EFA">
            <w:pPr>
              <w:pStyle w:val="BodyText"/>
              <w:rPr>
                <w:i/>
                <w:iCs/>
              </w:rPr>
            </w:pPr>
            <w:r w:rsidRPr="004023AB">
              <w:rPr>
                <w:i/>
                <w:iCs/>
              </w:rPr>
              <w:t>Dichelachne robusta</w:t>
            </w:r>
          </w:p>
        </w:tc>
        <w:tc>
          <w:tcPr>
            <w:tcW w:w="787" w:type="dxa"/>
            <w:shd w:val="clear" w:color="auto" w:fill="auto"/>
            <w:vAlign w:val="center"/>
          </w:tcPr>
          <w:p w14:paraId="0B60FA53" w14:textId="77777777" w:rsidR="00004C1E" w:rsidRPr="00C64D1C" w:rsidRDefault="00004C1E" w:rsidP="002A7EFA">
            <w:pPr>
              <w:pStyle w:val="BodyText"/>
              <w:jc w:val="center"/>
              <w:rPr>
                <w:b/>
                <w:bCs/>
                <w:color w:val="FF0000"/>
                <w:sz w:val="16"/>
                <w:szCs w:val="16"/>
              </w:rPr>
            </w:pPr>
          </w:p>
        </w:tc>
        <w:tc>
          <w:tcPr>
            <w:tcW w:w="788" w:type="dxa"/>
            <w:shd w:val="clear" w:color="auto" w:fill="auto"/>
            <w:vAlign w:val="center"/>
          </w:tcPr>
          <w:p w14:paraId="226FF721" w14:textId="77777777" w:rsidR="00004C1E" w:rsidRPr="00C64D1C" w:rsidRDefault="00004C1E" w:rsidP="002A7EFA">
            <w:pPr>
              <w:pStyle w:val="BodyText"/>
              <w:jc w:val="center"/>
              <w:rPr>
                <w:b/>
                <w:bCs/>
                <w:color w:val="FF0000"/>
                <w:sz w:val="16"/>
                <w:szCs w:val="16"/>
              </w:rPr>
            </w:pPr>
          </w:p>
        </w:tc>
        <w:tc>
          <w:tcPr>
            <w:tcW w:w="788" w:type="dxa"/>
            <w:vAlign w:val="center"/>
          </w:tcPr>
          <w:p w14:paraId="3C687093" w14:textId="77777777" w:rsidR="00004C1E" w:rsidRPr="006D733F" w:rsidRDefault="00004C1E" w:rsidP="002A7EFA">
            <w:pPr>
              <w:pStyle w:val="BodyText"/>
              <w:jc w:val="center"/>
              <w:rPr>
                <w:sz w:val="16"/>
                <w:szCs w:val="16"/>
              </w:rPr>
            </w:pPr>
          </w:p>
        </w:tc>
        <w:tc>
          <w:tcPr>
            <w:tcW w:w="787" w:type="dxa"/>
            <w:vAlign w:val="center"/>
          </w:tcPr>
          <w:p w14:paraId="0DB38B1A" w14:textId="77777777" w:rsidR="00004C1E" w:rsidRPr="006D733F" w:rsidRDefault="00004C1E" w:rsidP="002A7EFA">
            <w:pPr>
              <w:pStyle w:val="BodyText"/>
              <w:jc w:val="center"/>
              <w:rPr>
                <w:sz w:val="16"/>
                <w:szCs w:val="16"/>
              </w:rPr>
            </w:pPr>
          </w:p>
        </w:tc>
        <w:tc>
          <w:tcPr>
            <w:tcW w:w="788" w:type="dxa"/>
            <w:shd w:val="clear" w:color="auto" w:fill="auto"/>
            <w:vAlign w:val="center"/>
          </w:tcPr>
          <w:p w14:paraId="3BEC13CD" w14:textId="77777777" w:rsidR="00004C1E" w:rsidRPr="00C64D1C" w:rsidRDefault="00004C1E" w:rsidP="002A7EFA">
            <w:pPr>
              <w:pStyle w:val="BodyText"/>
              <w:jc w:val="center"/>
              <w:rPr>
                <w:b/>
                <w:bCs/>
                <w:color w:val="00857E" w:themeColor="accent1" w:themeShade="BF"/>
                <w:sz w:val="16"/>
                <w:szCs w:val="16"/>
              </w:rPr>
            </w:pPr>
          </w:p>
        </w:tc>
        <w:tc>
          <w:tcPr>
            <w:tcW w:w="788" w:type="dxa"/>
            <w:vAlign w:val="center"/>
          </w:tcPr>
          <w:p w14:paraId="6AC07184" w14:textId="77777777" w:rsidR="00004C1E" w:rsidRPr="006D733F" w:rsidRDefault="00004C1E" w:rsidP="002A7EFA">
            <w:pPr>
              <w:pStyle w:val="BodyText"/>
              <w:jc w:val="center"/>
              <w:rPr>
                <w:sz w:val="16"/>
                <w:szCs w:val="16"/>
              </w:rPr>
            </w:pPr>
          </w:p>
        </w:tc>
      </w:tr>
      <w:tr w:rsidR="00004C1E" w:rsidRPr="00B86E82" w14:paraId="6E6F8C65" w14:textId="77777777" w:rsidTr="002A7EFA">
        <w:trPr>
          <w:gridAfter w:val="1"/>
          <w:wAfter w:w="843" w:type="dxa"/>
        </w:trPr>
        <w:tc>
          <w:tcPr>
            <w:tcW w:w="2389" w:type="dxa"/>
            <w:vAlign w:val="center"/>
          </w:tcPr>
          <w:p w14:paraId="0698D810" w14:textId="77777777" w:rsidR="00004C1E" w:rsidRPr="00B86E82" w:rsidRDefault="00004C1E" w:rsidP="002A7EFA">
            <w:pPr>
              <w:pStyle w:val="BodyText"/>
            </w:pPr>
            <w:r w:rsidRPr="00B86E82">
              <w:t>Tasmanian Wax-flower</w:t>
            </w:r>
          </w:p>
        </w:tc>
        <w:tc>
          <w:tcPr>
            <w:tcW w:w="2390" w:type="dxa"/>
            <w:vAlign w:val="center"/>
          </w:tcPr>
          <w:p w14:paraId="30A58527" w14:textId="77777777" w:rsidR="00004C1E" w:rsidRPr="00B86E82" w:rsidRDefault="00004C1E" w:rsidP="002A7EFA">
            <w:pPr>
              <w:pStyle w:val="BodyText"/>
              <w:rPr>
                <w:sz w:val="16"/>
                <w:szCs w:val="16"/>
              </w:rPr>
            </w:pPr>
            <w:r w:rsidRPr="004023AB">
              <w:rPr>
                <w:i/>
                <w:iCs/>
              </w:rPr>
              <w:t>Philotheca virgata</w:t>
            </w:r>
          </w:p>
        </w:tc>
        <w:tc>
          <w:tcPr>
            <w:tcW w:w="787" w:type="dxa"/>
            <w:shd w:val="clear" w:color="auto" w:fill="F4F8D4" w:themeFill="accent2" w:themeFillTint="33"/>
            <w:vAlign w:val="center"/>
          </w:tcPr>
          <w:p w14:paraId="58F1EA81" w14:textId="77777777" w:rsidR="00004C1E" w:rsidRPr="00C64D1C" w:rsidRDefault="00004C1E" w:rsidP="002A7EFA">
            <w:pPr>
              <w:pStyle w:val="BodyText"/>
              <w:jc w:val="center"/>
              <w:rPr>
                <w:b/>
                <w:bCs/>
                <w:color w:val="FF0000"/>
                <w:sz w:val="16"/>
                <w:szCs w:val="16"/>
              </w:rPr>
            </w:pPr>
            <w:r w:rsidRPr="00C64D1C">
              <w:rPr>
                <w:b/>
                <w:bCs/>
                <w:color w:val="FF0000"/>
                <w:sz w:val="16"/>
                <w:szCs w:val="16"/>
              </w:rPr>
              <w:t>EG</w:t>
            </w:r>
          </w:p>
        </w:tc>
        <w:tc>
          <w:tcPr>
            <w:tcW w:w="788" w:type="dxa"/>
            <w:shd w:val="clear" w:color="auto" w:fill="F4F8D4" w:themeFill="accent2" w:themeFillTint="33"/>
            <w:vAlign w:val="center"/>
          </w:tcPr>
          <w:p w14:paraId="53BE3FB0" w14:textId="77777777" w:rsidR="00004C1E" w:rsidRPr="00C64D1C" w:rsidRDefault="00004C1E" w:rsidP="002A7EFA">
            <w:pPr>
              <w:pStyle w:val="BodyText"/>
              <w:jc w:val="center"/>
              <w:rPr>
                <w:color w:val="FF0000"/>
                <w:sz w:val="16"/>
                <w:szCs w:val="16"/>
              </w:rPr>
            </w:pPr>
            <w:r w:rsidRPr="00C64D1C">
              <w:rPr>
                <w:b/>
                <w:bCs/>
                <w:color w:val="FF0000"/>
                <w:sz w:val="16"/>
                <w:szCs w:val="16"/>
              </w:rPr>
              <w:t>EG</w:t>
            </w:r>
          </w:p>
        </w:tc>
        <w:tc>
          <w:tcPr>
            <w:tcW w:w="788" w:type="dxa"/>
            <w:vAlign w:val="center"/>
          </w:tcPr>
          <w:p w14:paraId="449E2133" w14:textId="77777777" w:rsidR="00004C1E" w:rsidRPr="006D733F" w:rsidRDefault="00004C1E" w:rsidP="002A7EFA">
            <w:pPr>
              <w:pStyle w:val="BodyText"/>
              <w:jc w:val="center"/>
              <w:rPr>
                <w:sz w:val="16"/>
                <w:szCs w:val="16"/>
              </w:rPr>
            </w:pPr>
          </w:p>
        </w:tc>
        <w:tc>
          <w:tcPr>
            <w:tcW w:w="787" w:type="dxa"/>
            <w:vAlign w:val="center"/>
          </w:tcPr>
          <w:p w14:paraId="016C6857"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36EB77AC" w14:textId="77777777" w:rsidR="00004C1E" w:rsidRPr="00C64D1C" w:rsidRDefault="00004C1E" w:rsidP="002A7EFA">
            <w:pPr>
              <w:pStyle w:val="BodyText"/>
              <w:jc w:val="center"/>
              <w:rPr>
                <w:b/>
                <w:bCs/>
                <w:sz w:val="16"/>
                <w:szCs w:val="16"/>
              </w:rPr>
            </w:pPr>
            <w:r w:rsidRPr="00C64D1C">
              <w:rPr>
                <w:b/>
                <w:bCs/>
                <w:color w:val="00857E" w:themeColor="accent1" w:themeShade="BF"/>
                <w:sz w:val="16"/>
                <w:szCs w:val="16"/>
              </w:rPr>
              <w:t>EG</w:t>
            </w:r>
          </w:p>
        </w:tc>
        <w:tc>
          <w:tcPr>
            <w:tcW w:w="788" w:type="dxa"/>
            <w:vAlign w:val="center"/>
          </w:tcPr>
          <w:p w14:paraId="025ABF75" w14:textId="77777777" w:rsidR="00004C1E" w:rsidRPr="006D733F" w:rsidRDefault="00004C1E" w:rsidP="002A7EFA">
            <w:pPr>
              <w:pStyle w:val="BodyText"/>
              <w:jc w:val="center"/>
              <w:rPr>
                <w:sz w:val="16"/>
                <w:szCs w:val="16"/>
              </w:rPr>
            </w:pPr>
          </w:p>
        </w:tc>
      </w:tr>
      <w:tr w:rsidR="00004C1E" w:rsidRPr="00B86E82" w14:paraId="66FAF3B9" w14:textId="77777777" w:rsidTr="002A7EFA">
        <w:trPr>
          <w:gridAfter w:val="1"/>
          <w:wAfter w:w="843" w:type="dxa"/>
        </w:trPr>
        <w:tc>
          <w:tcPr>
            <w:tcW w:w="2389" w:type="dxa"/>
            <w:vAlign w:val="center"/>
          </w:tcPr>
          <w:p w14:paraId="4869F4EE" w14:textId="77777777" w:rsidR="00004C1E" w:rsidRPr="00B86E82" w:rsidRDefault="00004C1E" w:rsidP="002A7EFA">
            <w:pPr>
              <w:pStyle w:val="BodyText"/>
            </w:pPr>
            <w:r w:rsidRPr="00B86E82">
              <w:t>Tree Geebung</w:t>
            </w:r>
          </w:p>
        </w:tc>
        <w:tc>
          <w:tcPr>
            <w:tcW w:w="2390" w:type="dxa"/>
            <w:vAlign w:val="center"/>
          </w:tcPr>
          <w:p w14:paraId="23E63125" w14:textId="77777777" w:rsidR="00004C1E" w:rsidRPr="00B86E82" w:rsidRDefault="00004C1E" w:rsidP="002A7EFA">
            <w:pPr>
              <w:pStyle w:val="BodyText"/>
              <w:rPr>
                <w:sz w:val="16"/>
                <w:szCs w:val="16"/>
              </w:rPr>
            </w:pPr>
            <w:r w:rsidRPr="004023AB">
              <w:rPr>
                <w:i/>
                <w:iCs/>
              </w:rPr>
              <w:t>Persoonia arborea</w:t>
            </w:r>
          </w:p>
        </w:tc>
        <w:tc>
          <w:tcPr>
            <w:tcW w:w="787" w:type="dxa"/>
            <w:shd w:val="clear" w:color="auto" w:fill="F4F8D4" w:themeFill="accent2" w:themeFillTint="33"/>
            <w:vAlign w:val="center"/>
          </w:tcPr>
          <w:p w14:paraId="50F81462" w14:textId="77777777" w:rsidR="00004C1E" w:rsidRPr="00C4269B" w:rsidRDefault="00004C1E" w:rsidP="002A7EFA">
            <w:pPr>
              <w:pStyle w:val="BodyText"/>
              <w:jc w:val="center"/>
              <w:rPr>
                <w:b/>
                <w:bCs/>
                <w:sz w:val="16"/>
                <w:szCs w:val="16"/>
              </w:rPr>
            </w:pPr>
            <w:r w:rsidRPr="00C64D1C">
              <w:rPr>
                <w:b/>
                <w:bCs/>
                <w:color w:val="FF0000"/>
                <w:sz w:val="16"/>
                <w:szCs w:val="16"/>
              </w:rPr>
              <w:t>CH</w:t>
            </w:r>
          </w:p>
        </w:tc>
        <w:tc>
          <w:tcPr>
            <w:tcW w:w="788" w:type="dxa"/>
            <w:vAlign w:val="center"/>
          </w:tcPr>
          <w:p w14:paraId="5832D96E" w14:textId="77777777" w:rsidR="00004C1E" w:rsidRPr="006D733F" w:rsidRDefault="00004C1E" w:rsidP="002A7EFA">
            <w:pPr>
              <w:pStyle w:val="BodyText"/>
              <w:jc w:val="center"/>
              <w:rPr>
                <w:sz w:val="16"/>
                <w:szCs w:val="16"/>
              </w:rPr>
            </w:pPr>
          </w:p>
        </w:tc>
        <w:tc>
          <w:tcPr>
            <w:tcW w:w="788" w:type="dxa"/>
            <w:vAlign w:val="center"/>
          </w:tcPr>
          <w:p w14:paraId="31CC2508" w14:textId="77777777" w:rsidR="00004C1E" w:rsidRPr="006D733F" w:rsidRDefault="00004C1E" w:rsidP="002A7EFA">
            <w:pPr>
              <w:pStyle w:val="BodyText"/>
              <w:jc w:val="center"/>
              <w:rPr>
                <w:sz w:val="16"/>
                <w:szCs w:val="16"/>
              </w:rPr>
            </w:pPr>
          </w:p>
        </w:tc>
        <w:tc>
          <w:tcPr>
            <w:tcW w:w="787" w:type="dxa"/>
            <w:vAlign w:val="center"/>
          </w:tcPr>
          <w:p w14:paraId="7FB57619"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6F80A73F" w14:textId="77777777" w:rsidR="00004C1E" w:rsidRPr="00C64D1C" w:rsidRDefault="00004C1E" w:rsidP="002A7EFA">
            <w:pPr>
              <w:pStyle w:val="BodyText"/>
              <w:jc w:val="center"/>
              <w:rPr>
                <w:b/>
                <w:bCs/>
                <w:sz w:val="16"/>
                <w:szCs w:val="16"/>
              </w:rPr>
            </w:pPr>
            <w:r w:rsidRPr="00C64D1C">
              <w:rPr>
                <w:b/>
                <w:bCs/>
                <w:color w:val="00857E" w:themeColor="accent1" w:themeShade="BF"/>
                <w:sz w:val="16"/>
                <w:szCs w:val="16"/>
              </w:rPr>
              <w:t>CH</w:t>
            </w:r>
          </w:p>
        </w:tc>
        <w:tc>
          <w:tcPr>
            <w:tcW w:w="788" w:type="dxa"/>
            <w:vAlign w:val="center"/>
          </w:tcPr>
          <w:p w14:paraId="359D19FE" w14:textId="77777777" w:rsidR="00004C1E" w:rsidRPr="006D733F" w:rsidRDefault="00004C1E" w:rsidP="002A7EFA">
            <w:pPr>
              <w:pStyle w:val="BodyText"/>
              <w:jc w:val="center"/>
              <w:rPr>
                <w:sz w:val="16"/>
                <w:szCs w:val="16"/>
              </w:rPr>
            </w:pPr>
          </w:p>
        </w:tc>
      </w:tr>
      <w:tr w:rsidR="00004C1E" w:rsidRPr="00B86E82" w14:paraId="74A3B592" w14:textId="77777777" w:rsidTr="002A7EFA">
        <w:trPr>
          <w:gridAfter w:val="1"/>
          <w:wAfter w:w="843" w:type="dxa"/>
        </w:trPr>
        <w:tc>
          <w:tcPr>
            <w:tcW w:w="2389" w:type="dxa"/>
            <w:vAlign w:val="center"/>
          </w:tcPr>
          <w:p w14:paraId="4464E0DD" w14:textId="77777777" w:rsidR="00004C1E" w:rsidRPr="00B86E82" w:rsidRDefault="00004C1E" w:rsidP="002A7EFA">
            <w:pPr>
              <w:pStyle w:val="BodyText"/>
            </w:pPr>
            <w:r w:rsidRPr="00B86E82">
              <w:t>Tullach Ard Grevillea</w:t>
            </w:r>
          </w:p>
        </w:tc>
        <w:tc>
          <w:tcPr>
            <w:tcW w:w="2390" w:type="dxa"/>
            <w:vAlign w:val="center"/>
          </w:tcPr>
          <w:p w14:paraId="6D136443" w14:textId="77777777" w:rsidR="00004C1E" w:rsidRPr="00B86E82" w:rsidRDefault="00004C1E" w:rsidP="002A7EFA">
            <w:pPr>
              <w:pStyle w:val="BodyText"/>
              <w:rPr>
                <w:sz w:val="16"/>
                <w:szCs w:val="16"/>
              </w:rPr>
            </w:pPr>
            <w:r w:rsidRPr="004023AB">
              <w:rPr>
                <w:i/>
                <w:iCs/>
              </w:rPr>
              <w:t>Grevillea polychroma</w:t>
            </w:r>
          </w:p>
        </w:tc>
        <w:tc>
          <w:tcPr>
            <w:tcW w:w="787" w:type="dxa"/>
            <w:vAlign w:val="center"/>
          </w:tcPr>
          <w:p w14:paraId="1BFA4059"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6A836049" w14:textId="77777777" w:rsidR="00004C1E" w:rsidRPr="00C64D1C" w:rsidRDefault="00004C1E" w:rsidP="002A7EFA">
            <w:pPr>
              <w:pStyle w:val="BodyText"/>
              <w:jc w:val="center"/>
              <w:rPr>
                <w:b/>
                <w:bCs/>
                <w:sz w:val="16"/>
                <w:szCs w:val="16"/>
              </w:rPr>
            </w:pPr>
            <w:r w:rsidRPr="00C64D1C">
              <w:rPr>
                <w:b/>
                <w:bCs/>
                <w:color w:val="00857E" w:themeColor="accent1" w:themeShade="BF"/>
                <w:sz w:val="16"/>
                <w:szCs w:val="16"/>
              </w:rPr>
              <w:t>EG, G</w:t>
            </w:r>
          </w:p>
        </w:tc>
        <w:tc>
          <w:tcPr>
            <w:tcW w:w="788" w:type="dxa"/>
            <w:shd w:val="clear" w:color="auto" w:fill="F4F8D4" w:themeFill="accent2" w:themeFillTint="33"/>
            <w:vAlign w:val="center"/>
          </w:tcPr>
          <w:p w14:paraId="4D11B513" w14:textId="77777777" w:rsidR="00004C1E" w:rsidRPr="00C64D1C" w:rsidRDefault="00004C1E" w:rsidP="002A7EFA">
            <w:pPr>
              <w:pStyle w:val="BodyText"/>
              <w:jc w:val="center"/>
              <w:rPr>
                <w:b/>
                <w:bCs/>
                <w:sz w:val="16"/>
                <w:szCs w:val="16"/>
              </w:rPr>
            </w:pPr>
            <w:r w:rsidRPr="00C64D1C">
              <w:rPr>
                <w:b/>
                <w:bCs/>
                <w:color w:val="00857E" w:themeColor="accent1" w:themeShade="BF"/>
                <w:sz w:val="16"/>
                <w:szCs w:val="16"/>
              </w:rPr>
              <w:t>EG</w:t>
            </w:r>
          </w:p>
        </w:tc>
        <w:tc>
          <w:tcPr>
            <w:tcW w:w="787" w:type="dxa"/>
            <w:vAlign w:val="center"/>
          </w:tcPr>
          <w:p w14:paraId="3B5C6A9A" w14:textId="77777777" w:rsidR="00004C1E" w:rsidRPr="006D733F" w:rsidRDefault="00004C1E" w:rsidP="002A7EFA">
            <w:pPr>
              <w:pStyle w:val="BodyText"/>
              <w:jc w:val="center"/>
              <w:rPr>
                <w:sz w:val="16"/>
                <w:szCs w:val="16"/>
              </w:rPr>
            </w:pPr>
          </w:p>
        </w:tc>
        <w:tc>
          <w:tcPr>
            <w:tcW w:w="788" w:type="dxa"/>
            <w:vAlign w:val="center"/>
          </w:tcPr>
          <w:p w14:paraId="63726179" w14:textId="77777777" w:rsidR="00004C1E" w:rsidRPr="006D733F" w:rsidRDefault="00004C1E" w:rsidP="002A7EFA">
            <w:pPr>
              <w:pStyle w:val="BodyText"/>
              <w:jc w:val="center"/>
              <w:rPr>
                <w:sz w:val="16"/>
                <w:szCs w:val="16"/>
              </w:rPr>
            </w:pPr>
          </w:p>
        </w:tc>
        <w:tc>
          <w:tcPr>
            <w:tcW w:w="788" w:type="dxa"/>
            <w:vAlign w:val="center"/>
          </w:tcPr>
          <w:p w14:paraId="36123C65" w14:textId="77777777" w:rsidR="00004C1E" w:rsidRPr="006D733F" w:rsidRDefault="00004C1E" w:rsidP="002A7EFA">
            <w:pPr>
              <w:pStyle w:val="BodyText"/>
              <w:jc w:val="center"/>
              <w:rPr>
                <w:sz w:val="16"/>
                <w:szCs w:val="16"/>
              </w:rPr>
            </w:pPr>
          </w:p>
        </w:tc>
      </w:tr>
      <w:tr w:rsidR="00004C1E" w:rsidRPr="00B86E82" w14:paraId="6B0442E0" w14:textId="77777777" w:rsidTr="002A7EFA">
        <w:trPr>
          <w:gridAfter w:val="1"/>
          <w:wAfter w:w="843" w:type="dxa"/>
        </w:trPr>
        <w:tc>
          <w:tcPr>
            <w:tcW w:w="2389" w:type="dxa"/>
            <w:vAlign w:val="center"/>
          </w:tcPr>
          <w:p w14:paraId="47799BCC" w14:textId="77777777" w:rsidR="00004C1E" w:rsidRPr="00B86E82" w:rsidRDefault="00004C1E" w:rsidP="002A7EFA">
            <w:pPr>
              <w:pStyle w:val="BodyText"/>
            </w:pPr>
            <w:r w:rsidRPr="00B86E82">
              <w:t>Upright Pomaderris</w:t>
            </w:r>
          </w:p>
        </w:tc>
        <w:tc>
          <w:tcPr>
            <w:tcW w:w="2390" w:type="dxa"/>
            <w:vAlign w:val="center"/>
          </w:tcPr>
          <w:p w14:paraId="1F5AC165" w14:textId="77777777" w:rsidR="00004C1E" w:rsidRPr="00B86E82" w:rsidRDefault="00004C1E" w:rsidP="002A7EFA">
            <w:pPr>
              <w:pStyle w:val="BodyText"/>
              <w:rPr>
                <w:sz w:val="16"/>
                <w:szCs w:val="16"/>
              </w:rPr>
            </w:pPr>
            <w:r w:rsidRPr="004023AB">
              <w:rPr>
                <w:i/>
                <w:iCs/>
              </w:rPr>
              <w:t>Pomaderris virgata</w:t>
            </w:r>
          </w:p>
        </w:tc>
        <w:tc>
          <w:tcPr>
            <w:tcW w:w="787" w:type="dxa"/>
            <w:shd w:val="clear" w:color="auto" w:fill="F4F8D4" w:themeFill="accent2" w:themeFillTint="33"/>
            <w:vAlign w:val="center"/>
          </w:tcPr>
          <w:p w14:paraId="77BA02D3" w14:textId="77777777" w:rsidR="00004C1E" w:rsidRPr="00C64D1C" w:rsidRDefault="00004C1E" w:rsidP="002A7EFA">
            <w:pPr>
              <w:pStyle w:val="BodyText"/>
              <w:jc w:val="center"/>
              <w:rPr>
                <w:b/>
                <w:bCs/>
                <w:color w:val="FF0000"/>
                <w:sz w:val="16"/>
                <w:szCs w:val="16"/>
              </w:rPr>
            </w:pPr>
            <w:r w:rsidRPr="00C64D1C">
              <w:rPr>
                <w:b/>
                <w:bCs/>
                <w:color w:val="FF0000"/>
                <w:sz w:val="16"/>
                <w:szCs w:val="16"/>
              </w:rPr>
              <w:t>EG</w:t>
            </w:r>
          </w:p>
        </w:tc>
        <w:tc>
          <w:tcPr>
            <w:tcW w:w="788" w:type="dxa"/>
            <w:shd w:val="clear" w:color="auto" w:fill="F4F8D4" w:themeFill="accent2" w:themeFillTint="33"/>
            <w:vAlign w:val="center"/>
          </w:tcPr>
          <w:p w14:paraId="360B4F44" w14:textId="77777777" w:rsidR="00004C1E" w:rsidRPr="00C64D1C" w:rsidRDefault="00004C1E" w:rsidP="002A7EFA">
            <w:pPr>
              <w:pStyle w:val="BodyText"/>
              <w:jc w:val="center"/>
              <w:rPr>
                <w:color w:val="FF0000"/>
                <w:sz w:val="16"/>
                <w:szCs w:val="16"/>
              </w:rPr>
            </w:pPr>
            <w:r w:rsidRPr="00C64D1C">
              <w:rPr>
                <w:b/>
                <w:bCs/>
                <w:color w:val="FF0000"/>
                <w:sz w:val="16"/>
                <w:szCs w:val="16"/>
              </w:rPr>
              <w:t>EG</w:t>
            </w:r>
          </w:p>
        </w:tc>
        <w:tc>
          <w:tcPr>
            <w:tcW w:w="788" w:type="dxa"/>
            <w:vAlign w:val="center"/>
          </w:tcPr>
          <w:p w14:paraId="6AECABDB" w14:textId="77777777" w:rsidR="00004C1E" w:rsidRPr="006D733F" w:rsidRDefault="00004C1E" w:rsidP="002A7EFA">
            <w:pPr>
              <w:pStyle w:val="BodyText"/>
              <w:jc w:val="center"/>
              <w:rPr>
                <w:sz w:val="16"/>
                <w:szCs w:val="16"/>
              </w:rPr>
            </w:pPr>
          </w:p>
        </w:tc>
        <w:tc>
          <w:tcPr>
            <w:tcW w:w="787" w:type="dxa"/>
            <w:vAlign w:val="center"/>
          </w:tcPr>
          <w:p w14:paraId="1489EDB1"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0A705FF8" w14:textId="77777777" w:rsidR="00004C1E" w:rsidRPr="00C64D1C" w:rsidRDefault="00004C1E" w:rsidP="002A7EFA">
            <w:pPr>
              <w:pStyle w:val="BodyText"/>
              <w:jc w:val="center"/>
              <w:rPr>
                <w:color w:val="FF0000"/>
                <w:sz w:val="16"/>
                <w:szCs w:val="16"/>
              </w:rPr>
            </w:pPr>
            <w:r w:rsidRPr="00C64D1C">
              <w:rPr>
                <w:b/>
                <w:bCs/>
                <w:color w:val="FF0000"/>
                <w:sz w:val="16"/>
                <w:szCs w:val="16"/>
              </w:rPr>
              <w:t>EG</w:t>
            </w:r>
          </w:p>
        </w:tc>
        <w:tc>
          <w:tcPr>
            <w:tcW w:w="788" w:type="dxa"/>
            <w:shd w:val="clear" w:color="auto" w:fill="F4F8D4" w:themeFill="accent2" w:themeFillTint="33"/>
            <w:vAlign w:val="center"/>
          </w:tcPr>
          <w:p w14:paraId="141E5735" w14:textId="77777777" w:rsidR="00004C1E" w:rsidRPr="00C64D1C" w:rsidRDefault="00004C1E" w:rsidP="002A7EFA">
            <w:pPr>
              <w:pStyle w:val="BodyText"/>
              <w:jc w:val="center"/>
              <w:rPr>
                <w:color w:val="FF0000"/>
                <w:sz w:val="16"/>
                <w:szCs w:val="16"/>
              </w:rPr>
            </w:pPr>
            <w:r w:rsidRPr="00C64D1C">
              <w:rPr>
                <w:b/>
                <w:bCs/>
                <w:color w:val="FF0000"/>
                <w:sz w:val="16"/>
                <w:szCs w:val="16"/>
              </w:rPr>
              <w:t>EG</w:t>
            </w:r>
          </w:p>
        </w:tc>
      </w:tr>
      <w:tr w:rsidR="00004C1E" w:rsidRPr="00B86E82" w14:paraId="036106F5" w14:textId="77777777" w:rsidTr="002A7EFA">
        <w:trPr>
          <w:gridAfter w:val="1"/>
          <w:wAfter w:w="843" w:type="dxa"/>
        </w:trPr>
        <w:tc>
          <w:tcPr>
            <w:tcW w:w="2389" w:type="dxa"/>
            <w:vAlign w:val="center"/>
          </w:tcPr>
          <w:p w14:paraId="1D86752D" w14:textId="77777777" w:rsidR="00004C1E" w:rsidRPr="00B86E82" w:rsidRDefault="00004C1E" w:rsidP="002A7EFA">
            <w:pPr>
              <w:pStyle w:val="BodyText"/>
            </w:pPr>
            <w:r w:rsidRPr="00B86E82">
              <w:t>Veined Pomaderris</w:t>
            </w:r>
          </w:p>
        </w:tc>
        <w:tc>
          <w:tcPr>
            <w:tcW w:w="2390" w:type="dxa"/>
            <w:vAlign w:val="center"/>
          </w:tcPr>
          <w:p w14:paraId="4A4A051B" w14:textId="77777777" w:rsidR="00004C1E" w:rsidRPr="00B86E82" w:rsidRDefault="00004C1E" w:rsidP="002A7EFA">
            <w:pPr>
              <w:pStyle w:val="BodyText"/>
              <w:rPr>
                <w:sz w:val="16"/>
                <w:szCs w:val="16"/>
              </w:rPr>
            </w:pPr>
            <w:r w:rsidRPr="004023AB">
              <w:rPr>
                <w:i/>
                <w:iCs/>
              </w:rPr>
              <w:t>Pomaderris costata</w:t>
            </w:r>
          </w:p>
        </w:tc>
        <w:tc>
          <w:tcPr>
            <w:tcW w:w="787" w:type="dxa"/>
            <w:shd w:val="clear" w:color="auto" w:fill="F4F8D4" w:themeFill="accent2" w:themeFillTint="33"/>
            <w:vAlign w:val="center"/>
          </w:tcPr>
          <w:p w14:paraId="14B2BAC6" w14:textId="77777777" w:rsidR="00004C1E" w:rsidRPr="00C64D1C" w:rsidRDefault="00004C1E" w:rsidP="002A7EFA">
            <w:pPr>
              <w:pStyle w:val="BodyText"/>
              <w:jc w:val="center"/>
              <w:rPr>
                <w:color w:val="FF0000"/>
                <w:sz w:val="16"/>
                <w:szCs w:val="16"/>
              </w:rPr>
            </w:pPr>
            <w:r w:rsidRPr="00C64D1C">
              <w:rPr>
                <w:b/>
                <w:bCs/>
                <w:color w:val="FF0000"/>
                <w:sz w:val="16"/>
                <w:szCs w:val="16"/>
              </w:rPr>
              <w:t>EG</w:t>
            </w:r>
          </w:p>
        </w:tc>
        <w:tc>
          <w:tcPr>
            <w:tcW w:w="788" w:type="dxa"/>
            <w:shd w:val="clear" w:color="auto" w:fill="F4F8D4" w:themeFill="accent2" w:themeFillTint="33"/>
            <w:vAlign w:val="center"/>
          </w:tcPr>
          <w:p w14:paraId="27B3E8DE" w14:textId="77777777" w:rsidR="00004C1E" w:rsidRPr="00C64D1C" w:rsidRDefault="00004C1E" w:rsidP="002A7EFA">
            <w:pPr>
              <w:pStyle w:val="BodyText"/>
              <w:jc w:val="center"/>
              <w:rPr>
                <w:color w:val="FF0000"/>
                <w:sz w:val="16"/>
                <w:szCs w:val="16"/>
              </w:rPr>
            </w:pPr>
            <w:r w:rsidRPr="00C64D1C">
              <w:rPr>
                <w:b/>
                <w:bCs/>
                <w:color w:val="FF0000"/>
                <w:sz w:val="16"/>
                <w:szCs w:val="16"/>
              </w:rPr>
              <w:t>EG</w:t>
            </w:r>
          </w:p>
        </w:tc>
        <w:tc>
          <w:tcPr>
            <w:tcW w:w="788" w:type="dxa"/>
            <w:vAlign w:val="center"/>
          </w:tcPr>
          <w:p w14:paraId="3BF94332" w14:textId="77777777" w:rsidR="00004C1E" w:rsidRPr="006D733F" w:rsidRDefault="00004C1E" w:rsidP="002A7EFA">
            <w:pPr>
              <w:pStyle w:val="BodyText"/>
              <w:jc w:val="center"/>
              <w:rPr>
                <w:sz w:val="16"/>
                <w:szCs w:val="16"/>
              </w:rPr>
            </w:pPr>
          </w:p>
        </w:tc>
        <w:tc>
          <w:tcPr>
            <w:tcW w:w="787" w:type="dxa"/>
            <w:vAlign w:val="center"/>
          </w:tcPr>
          <w:p w14:paraId="6493B7FE"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12067B85" w14:textId="77777777" w:rsidR="00004C1E" w:rsidRPr="006D733F" w:rsidRDefault="00004C1E" w:rsidP="002A7EFA">
            <w:pPr>
              <w:pStyle w:val="BodyText"/>
              <w:jc w:val="center"/>
              <w:rPr>
                <w:sz w:val="16"/>
                <w:szCs w:val="16"/>
              </w:rPr>
            </w:pPr>
            <w:r w:rsidRPr="00C64D1C">
              <w:rPr>
                <w:b/>
                <w:bCs/>
                <w:color w:val="FF0000"/>
                <w:sz w:val="16"/>
                <w:szCs w:val="16"/>
              </w:rPr>
              <w:t>EG</w:t>
            </w:r>
          </w:p>
        </w:tc>
        <w:tc>
          <w:tcPr>
            <w:tcW w:w="788" w:type="dxa"/>
            <w:vAlign w:val="center"/>
          </w:tcPr>
          <w:p w14:paraId="1DBD548A" w14:textId="77777777" w:rsidR="00004C1E" w:rsidRPr="006D733F" w:rsidRDefault="00004C1E" w:rsidP="002A7EFA">
            <w:pPr>
              <w:pStyle w:val="BodyText"/>
              <w:jc w:val="center"/>
              <w:rPr>
                <w:sz w:val="16"/>
                <w:szCs w:val="16"/>
              </w:rPr>
            </w:pPr>
          </w:p>
        </w:tc>
      </w:tr>
      <w:tr w:rsidR="00004C1E" w:rsidRPr="00B86E82" w14:paraId="00898169" w14:textId="77777777" w:rsidTr="002A7EFA">
        <w:trPr>
          <w:gridAfter w:val="1"/>
          <w:wAfter w:w="843" w:type="dxa"/>
        </w:trPr>
        <w:tc>
          <w:tcPr>
            <w:tcW w:w="2389" w:type="dxa"/>
            <w:vAlign w:val="center"/>
          </w:tcPr>
          <w:p w14:paraId="3C5489CB" w14:textId="77777777" w:rsidR="00004C1E" w:rsidRPr="00B86E82" w:rsidRDefault="00004C1E" w:rsidP="002A7EFA">
            <w:pPr>
              <w:pStyle w:val="BodyText"/>
            </w:pPr>
            <w:r w:rsidRPr="00B86E82">
              <w:t>Velvety Geebung</w:t>
            </w:r>
          </w:p>
        </w:tc>
        <w:tc>
          <w:tcPr>
            <w:tcW w:w="2390" w:type="dxa"/>
            <w:vAlign w:val="center"/>
          </w:tcPr>
          <w:p w14:paraId="123711B5" w14:textId="77777777" w:rsidR="00004C1E" w:rsidRPr="00B86E82" w:rsidRDefault="00004C1E" w:rsidP="002A7EFA">
            <w:pPr>
              <w:pStyle w:val="BodyText"/>
              <w:rPr>
                <w:sz w:val="16"/>
                <w:szCs w:val="16"/>
              </w:rPr>
            </w:pPr>
            <w:r w:rsidRPr="004023AB">
              <w:rPr>
                <w:i/>
                <w:iCs/>
              </w:rPr>
              <w:t>Persoonia subvelutina</w:t>
            </w:r>
          </w:p>
        </w:tc>
        <w:tc>
          <w:tcPr>
            <w:tcW w:w="787" w:type="dxa"/>
            <w:vAlign w:val="center"/>
          </w:tcPr>
          <w:p w14:paraId="65AF01E0"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05E7E644" w14:textId="77777777" w:rsidR="00004C1E" w:rsidRPr="00C64D1C" w:rsidRDefault="00004C1E" w:rsidP="002A7EFA">
            <w:pPr>
              <w:pStyle w:val="BodyText"/>
              <w:jc w:val="center"/>
              <w:rPr>
                <w:b/>
                <w:bCs/>
                <w:sz w:val="16"/>
                <w:szCs w:val="16"/>
              </w:rPr>
            </w:pPr>
            <w:r w:rsidRPr="00C64D1C">
              <w:rPr>
                <w:b/>
                <w:bCs/>
                <w:color w:val="00857E" w:themeColor="accent1" w:themeShade="BF"/>
                <w:sz w:val="16"/>
                <w:szCs w:val="16"/>
              </w:rPr>
              <w:t>G, NE</w:t>
            </w:r>
          </w:p>
        </w:tc>
        <w:tc>
          <w:tcPr>
            <w:tcW w:w="788" w:type="dxa"/>
            <w:vAlign w:val="center"/>
          </w:tcPr>
          <w:p w14:paraId="2C7963CB" w14:textId="77777777" w:rsidR="00004C1E" w:rsidRPr="006D733F" w:rsidRDefault="00004C1E" w:rsidP="002A7EFA">
            <w:pPr>
              <w:pStyle w:val="BodyText"/>
              <w:jc w:val="center"/>
              <w:rPr>
                <w:sz w:val="16"/>
                <w:szCs w:val="16"/>
              </w:rPr>
            </w:pPr>
          </w:p>
        </w:tc>
        <w:tc>
          <w:tcPr>
            <w:tcW w:w="787" w:type="dxa"/>
            <w:vAlign w:val="center"/>
          </w:tcPr>
          <w:p w14:paraId="47F63937" w14:textId="77777777" w:rsidR="00004C1E" w:rsidRPr="006D733F" w:rsidRDefault="00004C1E" w:rsidP="002A7EFA">
            <w:pPr>
              <w:pStyle w:val="BodyText"/>
              <w:jc w:val="center"/>
              <w:rPr>
                <w:sz w:val="16"/>
                <w:szCs w:val="16"/>
              </w:rPr>
            </w:pPr>
          </w:p>
        </w:tc>
        <w:tc>
          <w:tcPr>
            <w:tcW w:w="788" w:type="dxa"/>
            <w:vAlign w:val="center"/>
          </w:tcPr>
          <w:p w14:paraId="4BFDBDFC" w14:textId="77777777" w:rsidR="00004C1E" w:rsidRPr="006D733F" w:rsidRDefault="00004C1E" w:rsidP="002A7EFA">
            <w:pPr>
              <w:pStyle w:val="BodyText"/>
              <w:jc w:val="center"/>
              <w:rPr>
                <w:sz w:val="16"/>
                <w:szCs w:val="16"/>
              </w:rPr>
            </w:pPr>
          </w:p>
        </w:tc>
        <w:tc>
          <w:tcPr>
            <w:tcW w:w="788" w:type="dxa"/>
            <w:vAlign w:val="center"/>
          </w:tcPr>
          <w:p w14:paraId="606E3F91" w14:textId="77777777" w:rsidR="00004C1E" w:rsidRPr="006D733F" w:rsidRDefault="00004C1E" w:rsidP="002A7EFA">
            <w:pPr>
              <w:pStyle w:val="BodyText"/>
              <w:jc w:val="center"/>
              <w:rPr>
                <w:sz w:val="16"/>
                <w:szCs w:val="16"/>
              </w:rPr>
            </w:pPr>
          </w:p>
        </w:tc>
      </w:tr>
      <w:tr w:rsidR="00004C1E" w:rsidRPr="00B86E82" w14:paraId="469C5684" w14:textId="77777777" w:rsidTr="002A7EFA">
        <w:trPr>
          <w:gridAfter w:val="1"/>
          <w:wAfter w:w="843" w:type="dxa"/>
        </w:trPr>
        <w:tc>
          <w:tcPr>
            <w:tcW w:w="2389" w:type="dxa"/>
            <w:vAlign w:val="center"/>
          </w:tcPr>
          <w:p w14:paraId="3636438E" w14:textId="77777777" w:rsidR="00004C1E" w:rsidRPr="00B86E82" w:rsidRDefault="00004C1E" w:rsidP="002A7EFA">
            <w:pPr>
              <w:pStyle w:val="BodyText"/>
            </w:pPr>
            <w:r w:rsidRPr="00B86E82">
              <w:t>Violet Bladderwort</w:t>
            </w:r>
          </w:p>
        </w:tc>
        <w:tc>
          <w:tcPr>
            <w:tcW w:w="2390" w:type="dxa"/>
            <w:vAlign w:val="center"/>
          </w:tcPr>
          <w:p w14:paraId="5ACA7115" w14:textId="77777777" w:rsidR="00004C1E" w:rsidRPr="00B86E82" w:rsidRDefault="00004C1E" w:rsidP="002A7EFA">
            <w:pPr>
              <w:pStyle w:val="BodyText"/>
              <w:rPr>
                <w:sz w:val="16"/>
                <w:szCs w:val="16"/>
              </w:rPr>
            </w:pPr>
            <w:r w:rsidRPr="004023AB">
              <w:rPr>
                <w:i/>
                <w:iCs/>
              </w:rPr>
              <w:t>Utricularia violacea</w:t>
            </w:r>
          </w:p>
        </w:tc>
        <w:tc>
          <w:tcPr>
            <w:tcW w:w="787" w:type="dxa"/>
            <w:shd w:val="clear" w:color="auto" w:fill="F4F8D4" w:themeFill="accent2" w:themeFillTint="33"/>
            <w:vAlign w:val="center"/>
          </w:tcPr>
          <w:p w14:paraId="23611769" w14:textId="77777777" w:rsidR="00004C1E" w:rsidRPr="00482FEC" w:rsidRDefault="00004C1E" w:rsidP="002A7EFA">
            <w:pPr>
              <w:pStyle w:val="BodyText"/>
              <w:jc w:val="center"/>
              <w:rPr>
                <w:b/>
                <w:bCs/>
                <w:sz w:val="16"/>
                <w:szCs w:val="16"/>
              </w:rPr>
            </w:pPr>
            <w:r w:rsidRPr="003E098A">
              <w:rPr>
                <w:b/>
                <w:bCs/>
                <w:color w:val="FF0000"/>
                <w:sz w:val="16"/>
                <w:szCs w:val="16"/>
              </w:rPr>
              <w:t>W</w:t>
            </w:r>
          </w:p>
        </w:tc>
        <w:tc>
          <w:tcPr>
            <w:tcW w:w="788" w:type="dxa"/>
            <w:vAlign w:val="center"/>
          </w:tcPr>
          <w:p w14:paraId="5ECBD662"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4CEC5321" w14:textId="77777777" w:rsidR="00004C1E" w:rsidRPr="003E098A" w:rsidRDefault="00004C1E" w:rsidP="002A7EFA">
            <w:pPr>
              <w:pStyle w:val="BodyText"/>
              <w:jc w:val="center"/>
              <w:rPr>
                <w:b/>
                <w:bCs/>
                <w:color w:val="00857E" w:themeColor="accent1" w:themeShade="BF"/>
                <w:sz w:val="16"/>
                <w:szCs w:val="16"/>
              </w:rPr>
            </w:pPr>
            <w:r w:rsidRPr="003E098A">
              <w:rPr>
                <w:b/>
                <w:bCs/>
                <w:color w:val="00857E" w:themeColor="accent1" w:themeShade="BF"/>
                <w:sz w:val="16"/>
                <w:szCs w:val="16"/>
              </w:rPr>
              <w:t>W</w:t>
            </w:r>
          </w:p>
        </w:tc>
        <w:tc>
          <w:tcPr>
            <w:tcW w:w="787" w:type="dxa"/>
            <w:shd w:val="clear" w:color="auto" w:fill="F4F8D4" w:themeFill="accent2" w:themeFillTint="33"/>
            <w:vAlign w:val="center"/>
          </w:tcPr>
          <w:p w14:paraId="213DF78D" w14:textId="77777777" w:rsidR="00004C1E" w:rsidRPr="003E098A" w:rsidRDefault="00004C1E" w:rsidP="002A7EFA">
            <w:pPr>
              <w:pStyle w:val="BodyText"/>
              <w:jc w:val="center"/>
              <w:rPr>
                <w:b/>
                <w:bCs/>
                <w:color w:val="00857E" w:themeColor="accent1" w:themeShade="BF"/>
                <w:sz w:val="16"/>
                <w:szCs w:val="16"/>
              </w:rPr>
            </w:pPr>
            <w:r w:rsidRPr="003E098A">
              <w:rPr>
                <w:b/>
                <w:bCs/>
                <w:color w:val="00857E" w:themeColor="accent1" w:themeShade="BF"/>
                <w:sz w:val="16"/>
                <w:szCs w:val="16"/>
              </w:rPr>
              <w:t>W</w:t>
            </w:r>
          </w:p>
        </w:tc>
        <w:tc>
          <w:tcPr>
            <w:tcW w:w="788" w:type="dxa"/>
            <w:vAlign w:val="center"/>
          </w:tcPr>
          <w:p w14:paraId="614E988A" w14:textId="77777777" w:rsidR="00004C1E" w:rsidRPr="006D733F" w:rsidRDefault="00004C1E" w:rsidP="002A7EFA">
            <w:pPr>
              <w:pStyle w:val="BodyText"/>
              <w:jc w:val="center"/>
              <w:rPr>
                <w:sz w:val="16"/>
                <w:szCs w:val="16"/>
              </w:rPr>
            </w:pPr>
          </w:p>
        </w:tc>
        <w:tc>
          <w:tcPr>
            <w:tcW w:w="788" w:type="dxa"/>
            <w:vAlign w:val="center"/>
          </w:tcPr>
          <w:p w14:paraId="1F3EC871" w14:textId="77777777" w:rsidR="00004C1E" w:rsidRPr="006D733F" w:rsidRDefault="00004C1E" w:rsidP="002A7EFA">
            <w:pPr>
              <w:pStyle w:val="BodyText"/>
              <w:jc w:val="center"/>
              <w:rPr>
                <w:sz w:val="16"/>
                <w:szCs w:val="16"/>
              </w:rPr>
            </w:pPr>
          </w:p>
        </w:tc>
      </w:tr>
      <w:tr w:rsidR="00004C1E" w:rsidRPr="00B86E82" w14:paraId="01306CD1" w14:textId="77777777" w:rsidTr="002A7EFA">
        <w:trPr>
          <w:gridAfter w:val="1"/>
          <w:wAfter w:w="843" w:type="dxa"/>
        </w:trPr>
        <w:tc>
          <w:tcPr>
            <w:tcW w:w="2389" w:type="dxa"/>
            <w:vAlign w:val="center"/>
          </w:tcPr>
          <w:p w14:paraId="76AFDA05" w14:textId="77777777" w:rsidR="00004C1E" w:rsidRPr="00B86E82" w:rsidRDefault="00004C1E" w:rsidP="002A7EFA">
            <w:pPr>
              <w:pStyle w:val="BodyText"/>
            </w:pPr>
            <w:r w:rsidRPr="00B86E82">
              <w:t>Wallaby-bush</w:t>
            </w:r>
          </w:p>
        </w:tc>
        <w:tc>
          <w:tcPr>
            <w:tcW w:w="2390" w:type="dxa"/>
            <w:vAlign w:val="center"/>
          </w:tcPr>
          <w:p w14:paraId="534BEA60" w14:textId="77777777" w:rsidR="00004C1E" w:rsidRPr="00B86E82" w:rsidRDefault="00004C1E" w:rsidP="002A7EFA">
            <w:pPr>
              <w:pStyle w:val="BodyText"/>
              <w:rPr>
                <w:sz w:val="16"/>
                <w:szCs w:val="16"/>
              </w:rPr>
            </w:pPr>
            <w:r w:rsidRPr="004023AB">
              <w:rPr>
                <w:i/>
                <w:iCs/>
              </w:rPr>
              <w:t>Beyeria lasiocarpa</w:t>
            </w:r>
          </w:p>
        </w:tc>
        <w:tc>
          <w:tcPr>
            <w:tcW w:w="787" w:type="dxa"/>
            <w:vAlign w:val="center"/>
          </w:tcPr>
          <w:p w14:paraId="226B48C2"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08D2F2D4" w14:textId="77777777" w:rsidR="00004C1E" w:rsidRPr="00482FEC" w:rsidRDefault="00004C1E" w:rsidP="002A7EFA">
            <w:pPr>
              <w:pStyle w:val="BodyText"/>
              <w:jc w:val="center"/>
              <w:rPr>
                <w:b/>
                <w:bCs/>
                <w:sz w:val="16"/>
                <w:szCs w:val="16"/>
              </w:rPr>
            </w:pPr>
            <w:r w:rsidRPr="003E098A">
              <w:rPr>
                <w:b/>
                <w:bCs/>
                <w:color w:val="FF0000"/>
                <w:sz w:val="16"/>
                <w:szCs w:val="16"/>
              </w:rPr>
              <w:t>EG, G</w:t>
            </w:r>
          </w:p>
        </w:tc>
        <w:tc>
          <w:tcPr>
            <w:tcW w:w="788" w:type="dxa"/>
            <w:shd w:val="clear" w:color="auto" w:fill="F4F8D4" w:themeFill="accent2" w:themeFillTint="33"/>
            <w:vAlign w:val="center"/>
          </w:tcPr>
          <w:p w14:paraId="1FBA52E9" w14:textId="77777777" w:rsidR="00004C1E" w:rsidRPr="003E098A" w:rsidRDefault="00004C1E" w:rsidP="002A7EFA">
            <w:pPr>
              <w:pStyle w:val="BodyText"/>
              <w:jc w:val="center"/>
              <w:rPr>
                <w:b/>
                <w:bCs/>
                <w:sz w:val="16"/>
                <w:szCs w:val="16"/>
              </w:rPr>
            </w:pPr>
            <w:r w:rsidRPr="003E098A">
              <w:rPr>
                <w:b/>
                <w:bCs/>
                <w:color w:val="00857E" w:themeColor="accent1" w:themeShade="BF"/>
                <w:sz w:val="16"/>
                <w:szCs w:val="16"/>
              </w:rPr>
              <w:t>EG, G</w:t>
            </w:r>
          </w:p>
        </w:tc>
        <w:tc>
          <w:tcPr>
            <w:tcW w:w="787" w:type="dxa"/>
            <w:vAlign w:val="center"/>
          </w:tcPr>
          <w:p w14:paraId="4A0B6858" w14:textId="77777777" w:rsidR="00004C1E" w:rsidRPr="006D733F" w:rsidRDefault="00004C1E" w:rsidP="002A7EFA">
            <w:pPr>
              <w:pStyle w:val="BodyText"/>
              <w:jc w:val="center"/>
              <w:rPr>
                <w:sz w:val="16"/>
                <w:szCs w:val="16"/>
              </w:rPr>
            </w:pPr>
          </w:p>
        </w:tc>
        <w:tc>
          <w:tcPr>
            <w:tcW w:w="788" w:type="dxa"/>
            <w:vAlign w:val="center"/>
          </w:tcPr>
          <w:p w14:paraId="32AEDE8C" w14:textId="77777777" w:rsidR="00004C1E" w:rsidRPr="006D733F" w:rsidRDefault="00004C1E" w:rsidP="002A7EFA">
            <w:pPr>
              <w:pStyle w:val="BodyText"/>
              <w:jc w:val="center"/>
              <w:rPr>
                <w:sz w:val="16"/>
                <w:szCs w:val="16"/>
              </w:rPr>
            </w:pPr>
          </w:p>
        </w:tc>
        <w:tc>
          <w:tcPr>
            <w:tcW w:w="788" w:type="dxa"/>
            <w:vAlign w:val="center"/>
          </w:tcPr>
          <w:p w14:paraId="799C6DE2" w14:textId="77777777" w:rsidR="00004C1E" w:rsidRPr="006D733F" w:rsidRDefault="00004C1E" w:rsidP="002A7EFA">
            <w:pPr>
              <w:pStyle w:val="BodyText"/>
              <w:jc w:val="center"/>
              <w:rPr>
                <w:sz w:val="16"/>
                <w:szCs w:val="16"/>
              </w:rPr>
            </w:pPr>
          </w:p>
        </w:tc>
      </w:tr>
      <w:tr w:rsidR="00004C1E" w:rsidRPr="00B86E82" w14:paraId="0E08D0B6" w14:textId="77777777" w:rsidTr="002A7EFA">
        <w:trPr>
          <w:gridAfter w:val="1"/>
          <w:wAfter w:w="843" w:type="dxa"/>
        </w:trPr>
        <w:tc>
          <w:tcPr>
            <w:tcW w:w="2389" w:type="dxa"/>
            <w:vAlign w:val="center"/>
          </w:tcPr>
          <w:p w14:paraId="39CB4F30" w14:textId="77777777" w:rsidR="00004C1E" w:rsidRPr="00B86E82" w:rsidRDefault="00004C1E" w:rsidP="002A7EFA">
            <w:pPr>
              <w:pStyle w:val="BodyText"/>
            </w:pPr>
            <w:r w:rsidRPr="00B86E82">
              <w:t>Wavy Swamp Wallaby-grass</w:t>
            </w:r>
          </w:p>
        </w:tc>
        <w:tc>
          <w:tcPr>
            <w:tcW w:w="2390" w:type="dxa"/>
            <w:vAlign w:val="center"/>
          </w:tcPr>
          <w:p w14:paraId="47A9C64B" w14:textId="77777777" w:rsidR="00004C1E" w:rsidRPr="00B86E82" w:rsidRDefault="00004C1E" w:rsidP="002A7EFA">
            <w:pPr>
              <w:pStyle w:val="BodyText"/>
              <w:rPr>
                <w:sz w:val="16"/>
                <w:szCs w:val="16"/>
              </w:rPr>
            </w:pPr>
            <w:r w:rsidRPr="004023AB">
              <w:rPr>
                <w:i/>
                <w:iCs/>
              </w:rPr>
              <w:t>Amphibromus sinuatus</w:t>
            </w:r>
          </w:p>
        </w:tc>
        <w:tc>
          <w:tcPr>
            <w:tcW w:w="787" w:type="dxa"/>
            <w:shd w:val="clear" w:color="auto" w:fill="F4F8D4" w:themeFill="accent2" w:themeFillTint="33"/>
            <w:vAlign w:val="center"/>
          </w:tcPr>
          <w:p w14:paraId="57291917" w14:textId="77777777" w:rsidR="00004C1E" w:rsidRPr="009861B7" w:rsidRDefault="00004C1E" w:rsidP="002A7EFA">
            <w:pPr>
              <w:pStyle w:val="BodyText"/>
              <w:jc w:val="center"/>
              <w:rPr>
                <w:b/>
                <w:bCs/>
                <w:sz w:val="16"/>
                <w:szCs w:val="16"/>
              </w:rPr>
            </w:pPr>
            <w:r w:rsidRPr="003E098A">
              <w:rPr>
                <w:b/>
                <w:bCs/>
                <w:color w:val="FF0000"/>
                <w:sz w:val="16"/>
                <w:szCs w:val="16"/>
              </w:rPr>
              <w:t>EG, G, W</w:t>
            </w:r>
          </w:p>
        </w:tc>
        <w:tc>
          <w:tcPr>
            <w:tcW w:w="788" w:type="dxa"/>
            <w:shd w:val="clear" w:color="auto" w:fill="FFFFFF" w:themeFill="background1"/>
            <w:vAlign w:val="center"/>
          </w:tcPr>
          <w:p w14:paraId="5EB46C22" w14:textId="77777777" w:rsidR="00004C1E" w:rsidRPr="006D733F" w:rsidRDefault="00004C1E" w:rsidP="002A7EFA">
            <w:pPr>
              <w:pStyle w:val="BodyText"/>
              <w:jc w:val="center"/>
              <w:rPr>
                <w:sz w:val="16"/>
                <w:szCs w:val="16"/>
              </w:rPr>
            </w:pPr>
          </w:p>
        </w:tc>
        <w:tc>
          <w:tcPr>
            <w:tcW w:w="788" w:type="dxa"/>
            <w:shd w:val="clear" w:color="auto" w:fill="FFFFFF" w:themeFill="background1"/>
            <w:vAlign w:val="center"/>
          </w:tcPr>
          <w:p w14:paraId="4AA539F4" w14:textId="77777777" w:rsidR="00004C1E" w:rsidRPr="006D733F" w:rsidRDefault="00004C1E" w:rsidP="002A7EFA">
            <w:pPr>
              <w:pStyle w:val="BodyText"/>
              <w:jc w:val="center"/>
              <w:rPr>
                <w:sz w:val="16"/>
                <w:szCs w:val="16"/>
              </w:rPr>
            </w:pPr>
          </w:p>
        </w:tc>
        <w:tc>
          <w:tcPr>
            <w:tcW w:w="787" w:type="dxa"/>
            <w:shd w:val="clear" w:color="auto" w:fill="F4F8D4" w:themeFill="text2" w:themeFillTint="33"/>
            <w:vAlign w:val="center"/>
          </w:tcPr>
          <w:p w14:paraId="3FAD2B2B" w14:textId="77777777" w:rsidR="00004C1E" w:rsidRPr="003E098A" w:rsidRDefault="00004C1E" w:rsidP="002A7EFA">
            <w:pPr>
              <w:pStyle w:val="BodyText"/>
              <w:jc w:val="center"/>
              <w:rPr>
                <w:b/>
                <w:bCs/>
                <w:color w:val="00857E" w:themeColor="accent1" w:themeShade="BF"/>
                <w:sz w:val="16"/>
                <w:szCs w:val="16"/>
              </w:rPr>
            </w:pPr>
            <w:r w:rsidRPr="003E098A">
              <w:rPr>
                <w:b/>
                <w:bCs/>
                <w:color w:val="00857E" w:themeColor="accent1" w:themeShade="BF"/>
                <w:sz w:val="16"/>
                <w:szCs w:val="16"/>
              </w:rPr>
              <w:t>EG, G, W</w:t>
            </w:r>
          </w:p>
        </w:tc>
        <w:tc>
          <w:tcPr>
            <w:tcW w:w="788" w:type="dxa"/>
            <w:shd w:val="clear" w:color="auto" w:fill="F4F8D4" w:themeFill="accent2" w:themeFillTint="33"/>
            <w:vAlign w:val="center"/>
          </w:tcPr>
          <w:p w14:paraId="715DEF2E" w14:textId="77777777" w:rsidR="00004C1E" w:rsidRPr="003E098A" w:rsidRDefault="00004C1E" w:rsidP="002A7EFA">
            <w:pPr>
              <w:pStyle w:val="BodyText"/>
              <w:jc w:val="center"/>
              <w:rPr>
                <w:b/>
                <w:bCs/>
                <w:color w:val="00857E" w:themeColor="accent1" w:themeShade="BF"/>
                <w:sz w:val="16"/>
                <w:szCs w:val="16"/>
              </w:rPr>
            </w:pPr>
            <w:r w:rsidRPr="003E098A">
              <w:rPr>
                <w:b/>
                <w:bCs/>
                <w:color w:val="00857E" w:themeColor="accent1" w:themeShade="BF"/>
                <w:sz w:val="16"/>
                <w:szCs w:val="16"/>
              </w:rPr>
              <w:t>EG, G, W</w:t>
            </w:r>
          </w:p>
        </w:tc>
        <w:tc>
          <w:tcPr>
            <w:tcW w:w="788" w:type="dxa"/>
            <w:vAlign w:val="center"/>
          </w:tcPr>
          <w:p w14:paraId="3BAD9A64" w14:textId="77777777" w:rsidR="00004C1E" w:rsidRPr="006D733F" w:rsidRDefault="00004C1E" w:rsidP="002A7EFA">
            <w:pPr>
              <w:pStyle w:val="BodyText"/>
              <w:jc w:val="center"/>
              <w:rPr>
                <w:sz w:val="16"/>
                <w:szCs w:val="16"/>
              </w:rPr>
            </w:pPr>
          </w:p>
        </w:tc>
      </w:tr>
      <w:tr w:rsidR="00004C1E" w:rsidRPr="00B86E82" w14:paraId="56E0C404" w14:textId="77777777" w:rsidTr="002A7EFA">
        <w:trPr>
          <w:gridAfter w:val="1"/>
          <w:wAfter w:w="843" w:type="dxa"/>
        </w:trPr>
        <w:tc>
          <w:tcPr>
            <w:tcW w:w="2389" w:type="dxa"/>
            <w:vAlign w:val="center"/>
          </w:tcPr>
          <w:p w14:paraId="033B9C8E" w14:textId="77777777" w:rsidR="00004C1E" w:rsidRPr="00B86E82" w:rsidRDefault="00004C1E" w:rsidP="002A7EFA">
            <w:pPr>
              <w:pStyle w:val="BodyText"/>
            </w:pPr>
            <w:r w:rsidRPr="00B86E82">
              <w:t>White Supplejack</w:t>
            </w:r>
          </w:p>
        </w:tc>
        <w:tc>
          <w:tcPr>
            <w:tcW w:w="2390" w:type="dxa"/>
            <w:vAlign w:val="center"/>
          </w:tcPr>
          <w:p w14:paraId="20F19D2C" w14:textId="77777777" w:rsidR="00004C1E" w:rsidRPr="00B86E82" w:rsidRDefault="00004C1E" w:rsidP="002A7EFA">
            <w:pPr>
              <w:pStyle w:val="BodyText"/>
              <w:rPr>
                <w:sz w:val="16"/>
                <w:szCs w:val="16"/>
              </w:rPr>
            </w:pPr>
            <w:r w:rsidRPr="004023AB">
              <w:rPr>
                <w:i/>
                <w:iCs/>
              </w:rPr>
              <w:t>Ripogonum album</w:t>
            </w:r>
          </w:p>
        </w:tc>
        <w:tc>
          <w:tcPr>
            <w:tcW w:w="787" w:type="dxa"/>
            <w:vAlign w:val="center"/>
          </w:tcPr>
          <w:p w14:paraId="7027738E" w14:textId="77777777" w:rsidR="00004C1E" w:rsidRPr="006D733F" w:rsidRDefault="00004C1E" w:rsidP="002A7EFA">
            <w:pPr>
              <w:pStyle w:val="BodyText"/>
              <w:jc w:val="center"/>
              <w:rPr>
                <w:sz w:val="16"/>
                <w:szCs w:val="16"/>
              </w:rPr>
            </w:pPr>
          </w:p>
        </w:tc>
        <w:tc>
          <w:tcPr>
            <w:tcW w:w="788" w:type="dxa"/>
            <w:shd w:val="clear" w:color="auto" w:fill="F4F8D4" w:themeFill="text2" w:themeFillTint="33"/>
            <w:vAlign w:val="center"/>
          </w:tcPr>
          <w:p w14:paraId="348905DF" w14:textId="77777777" w:rsidR="00004C1E" w:rsidRPr="006D733F" w:rsidRDefault="00004C1E" w:rsidP="002A7EFA">
            <w:pPr>
              <w:pStyle w:val="BodyText"/>
              <w:jc w:val="center"/>
              <w:rPr>
                <w:sz w:val="16"/>
                <w:szCs w:val="16"/>
              </w:rPr>
            </w:pPr>
            <w:r w:rsidRPr="003E098A">
              <w:rPr>
                <w:b/>
                <w:bCs/>
                <w:color w:val="FF0000"/>
                <w:sz w:val="16"/>
                <w:szCs w:val="16"/>
              </w:rPr>
              <w:t>EG</w:t>
            </w:r>
          </w:p>
        </w:tc>
        <w:tc>
          <w:tcPr>
            <w:tcW w:w="788" w:type="dxa"/>
            <w:shd w:val="clear" w:color="auto" w:fill="F4F8D4" w:themeFill="text2" w:themeFillTint="33"/>
            <w:vAlign w:val="center"/>
          </w:tcPr>
          <w:p w14:paraId="07B31C73" w14:textId="77777777" w:rsidR="00004C1E" w:rsidRPr="003E098A" w:rsidRDefault="00004C1E" w:rsidP="002A7EFA">
            <w:pPr>
              <w:pStyle w:val="BodyText"/>
              <w:jc w:val="center"/>
              <w:rPr>
                <w:b/>
                <w:bCs/>
                <w:sz w:val="16"/>
                <w:szCs w:val="16"/>
              </w:rPr>
            </w:pPr>
            <w:r w:rsidRPr="003E098A">
              <w:rPr>
                <w:b/>
                <w:bCs/>
                <w:color w:val="00857E" w:themeColor="accent1" w:themeShade="BF"/>
                <w:sz w:val="16"/>
                <w:szCs w:val="16"/>
              </w:rPr>
              <w:t>EG</w:t>
            </w:r>
          </w:p>
        </w:tc>
        <w:tc>
          <w:tcPr>
            <w:tcW w:w="787" w:type="dxa"/>
            <w:vAlign w:val="center"/>
          </w:tcPr>
          <w:p w14:paraId="7D57127C" w14:textId="77777777" w:rsidR="00004C1E" w:rsidRPr="006D733F" w:rsidRDefault="00004C1E" w:rsidP="002A7EFA">
            <w:pPr>
              <w:pStyle w:val="BodyText"/>
              <w:jc w:val="center"/>
              <w:rPr>
                <w:sz w:val="16"/>
                <w:szCs w:val="16"/>
              </w:rPr>
            </w:pPr>
          </w:p>
        </w:tc>
        <w:tc>
          <w:tcPr>
            <w:tcW w:w="788" w:type="dxa"/>
            <w:shd w:val="clear" w:color="auto" w:fill="F4F8D4" w:themeFill="text2" w:themeFillTint="33"/>
            <w:vAlign w:val="center"/>
          </w:tcPr>
          <w:p w14:paraId="106D0D6B" w14:textId="77777777" w:rsidR="00004C1E" w:rsidRPr="003E098A" w:rsidRDefault="00004C1E" w:rsidP="002A7EFA">
            <w:pPr>
              <w:pStyle w:val="BodyText"/>
              <w:jc w:val="center"/>
              <w:rPr>
                <w:b/>
                <w:bCs/>
                <w:sz w:val="16"/>
                <w:szCs w:val="16"/>
              </w:rPr>
            </w:pPr>
            <w:r w:rsidRPr="003E098A">
              <w:rPr>
                <w:b/>
                <w:bCs/>
                <w:color w:val="00857E" w:themeColor="accent1" w:themeShade="BF"/>
                <w:sz w:val="16"/>
                <w:szCs w:val="16"/>
              </w:rPr>
              <w:t>EG</w:t>
            </w:r>
          </w:p>
        </w:tc>
        <w:tc>
          <w:tcPr>
            <w:tcW w:w="788" w:type="dxa"/>
            <w:vAlign w:val="center"/>
          </w:tcPr>
          <w:p w14:paraId="42A88AC7" w14:textId="77777777" w:rsidR="00004C1E" w:rsidRPr="006D733F" w:rsidRDefault="00004C1E" w:rsidP="002A7EFA">
            <w:pPr>
              <w:pStyle w:val="BodyText"/>
              <w:jc w:val="center"/>
              <w:rPr>
                <w:sz w:val="16"/>
                <w:szCs w:val="16"/>
              </w:rPr>
            </w:pPr>
          </w:p>
        </w:tc>
      </w:tr>
      <w:tr w:rsidR="00004C1E" w:rsidRPr="00B86E82" w14:paraId="0EE12AE2" w14:textId="77777777" w:rsidTr="002A7EFA">
        <w:trPr>
          <w:gridAfter w:val="1"/>
          <w:wAfter w:w="843" w:type="dxa"/>
        </w:trPr>
        <w:tc>
          <w:tcPr>
            <w:tcW w:w="2389" w:type="dxa"/>
            <w:vAlign w:val="center"/>
          </w:tcPr>
          <w:p w14:paraId="07CCB17C" w14:textId="77777777" w:rsidR="00004C1E" w:rsidRPr="00B86E82" w:rsidRDefault="00004C1E" w:rsidP="002A7EFA">
            <w:pPr>
              <w:pStyle w:val="BodyText"/>
            </w:pPr>
            <w:r w:rsidRPr="00B86E82">
              <w:t>Whiteroot</w:t>
            </w:r>
          </w:p>
        </w:tc>
        <w:tc>
          <w:tcPr>
            <w:tcW w:w="2390" w:type="dxa"/>
            <w:vAlign w:val="center"/>
          </w:tcPr>
          <w:p w14:paraId="52C1A854" w14:textId="77777777" w:rsidR="00004C1E" w:rsidRPr="00B86E82" w:rsidRDefault="00004C1E" w:rsidP="002A7EFA">
            <w:pPr>
              <w:pStyle w:val="BodyText"/>
              <w:rPr>
                <w:sz w:val="16"/>
                <w:szCs w:val="16"/>
              </w:rPr>
            </w:pPr>
            <w:r w:rsidRPr="004023AB">
              <w:rPr>
                <w:i/>
                <w:iCs/>
              </w:rPr>
              <w:t>Lobelia purpurascens</w:t>
            </w:r>
          </w:p>
        </w:tc>
        <w:tc>
          <w:tcPr>
            <w:tcW w:w="787" w:type="dxa"/>
            <w:shd w:val="clear" w:color="auto" w:fill="F4F8D4" w:themeFill="accent2" w:themeFillTint="33"/>
            <w:vAlign w:val="center"/>
          </w:tcPr>
          <w:p w14:paraId="6A6386E3" w14:textId="77777777" w:rsidR="00004C1E" w:rsidRPr="00482FEC" w:rsidRDefault="00004C1E" w:rsidP="002A7EFA">
            <w:pPr>
              <w:pStyle w:val="BodyText"/>
              <w:jc w:val="center"/>
              <w:rPr>
                <w:b/>
                <w:bCs/>
                <w:sz w:val="16"/>
                <w:szCs w:val="16"/>
              </w:rPr>
            </w:pPr>
            <w:r w:rsidRPr="003E098A">
              <w:rPr>
                <w:b/>
                <w:bCs/>
                <w:color w:val="FF0000"/>
                <w:sz w:val="16"/>
                <w:szCs w:val="16"/>
              </w:rPr>
              <w:t>EG</w:t>
            </w:r>
          </w:p>
        </w:tc>
        <w:tc>
          <w:tcPr>
            <w:tcW w:w="788" w:type="dxa"/>
            <w:shd w:val="clear" w:color="auto" w:fill="F4F8D4" w:themeFill="text2" w:themeFillTint="33"/>
            <w:vAlign w:val="center"/>
          </w:tcPr>
          <w:p w14:paraId="073AB3A5" w14:textId="77777777" w:rsidR="00004C1E" w:rsidRPr="006D733F" w:rsidRDefault="00004C1E" w:rsidP="002A7EFA">
            <w:pPr>
              <w:pStyle w:val="BodyText"/>
              <w:jc w:val="center"/>
              <w:rPr>
                <w:sz w:val="16"/>
                <w:szCs w:val="16"/>
              </w:rPr>
            </w:pPr>
            <w:r w:rsidRPr="003E098A">
              <w:rPr>
                <w:b/>
                <w:bCs/>
                <w:color w:val="FF0000"/>
                <w:sz w:val="16"/>
                <w:szCs w:val="16"/>
              </w:rPr>
              <w:t>EG</w:t>
            </w:r>
          </w:p>
        </w:tc>
        <w:tc>
          <w:tcPr>
            <w:tcW w:w="788" w:type="dxa"/>
            <w:shd w:val="clear" w:color="auto" w:fill="F4F8D4" w:themeFill="text2" w:themeFillTint="33"/>
            <w:vAlign w:val="center"/>
          </w:tcPr>
          <w:p w14:paraId="720A7A1C" w14:textId="77777777" w:rsidR="00004C1E" w:rsidRPr="003E098A" w:rsidRDefault="00004C1E" w:rsidP="002A7EFA">
            <w:pPr>
              <w:pStyle w:val="BodyText"/>
              <w:jc w:val="center"/>
              <w:rPr>
                <w:b/>
                <w:bCs/>
                <w:sz w:val="16"/>
                <w:szCs w:val="16"/>
              </w:rPr>
            </w:pPr>
            <w:r w:rsidRPr="003E098A">
              <w:rPr>
                <w:b/>
                <w:bCs/>
                <w:color w:val="00857E" w:themeColor="accent1" w:themeShade="BF"/>
                <w:sz w:val="16"/>
                <w:szCs w:val="16"/>
              </w:rPr>
              <w:t>EG</w:t>
            </w:r>
          </w:p>
        </w:tc>
        <w:tc>
          <w:tcPr>
            <w:tcW w:w="787" w:type="dxa"/>
            <w:shd w:val="clear" w:color="auto" w:fill="FFFFFF" w:themeFill="background1"/>
            <w:vAlign w:val="center"/>
          </w:tcPr>
          <w:p w14:paraId="16FB74B8"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47B963BA" w14:textId="77777777" w:rsidR="00004C1E" w:rsidRPr="006D733F" w:rsidRDefault="00004C1E" w:rsidP="002A7EFA">
            <w:pPr>
              <w:pStyle w:val="BodyText"/>
              <w:jc w:val="center"/>
              <w:rPr>
                <w:sz w:val="16"/>
                <w:szCs w:val="16"/>
              </w:rPr>
            </w:pPr>
            <w:r w:rsidRPr="003E098A">
              <w:rPr>
                <w:b/>
                <w:bCs/>
                <w:color w:val="FF0000"/>
                <w:sz w:val="16"/>
                <w:szCs w:val="16"/>
              </w:rPr>
              <w:t>EG</w:t>
            </w:r>
          </w:p>
        </w:tc>
        <w:tc>
          <w:tcPr>
            <w:tcW w:w="788" w:type="dxa"/>
            <w:vAlign w:val="center"/>
          </w:tcPr>
          <w:p w14:paraId="2E33A8D8" w14:textId="77777777" w:rsidR="00004C1E" w:rsidRPr="006D733F" w:rsidRDefault="00004C1E" w:rsidP="002A7EFA">
            <w:pPr>
              <w:pStyle w:val="BodyText"/>
              <w:jc w:val="center"/>
              <w:rPr>
                <w:sz w:val="16"/>
                <w:szCs w:val="16"/>
              </w:rPr>
            </w:pPr>
          </w:p>
        </w:tc>
      </w:tr>
      <w:tr w:rsidR="00004C1E" w:rsidRPr="00B86E82" w14:paraId="31750A71" w14:textId="77777777" w:rsidTr="002A7EFA">
        <w:trPr>
          <w:gridAfter w:val="1"/>
          <w:wAfter w:w="843" w:type="dxa"/>
        </w:trPr>
        <w:tc>
          <w:tcPr>
            <w:tcW w:w="2389" w:type="dxa"/>
            <w:vAlign w:val="center"/>
          </w:tcPr>
          <w:p w14:paraId="6F36CD5B" w14:textId="77777777" w:rsidR="00004C1E" w:rsidRPr="00B86E82" w:rsidRDefault="00004C1E" w:rsidP="002A7EFA">
            <w:pPr>
              <w:pStyle w:val="BodyText"/>
            </w:pPr>
            <w:r w:rsidRPr="00B86E82">
              <w:t>Wiry Bog-sedge</w:t>
            </w:r>
          </w:p>
        </w:tc>
        <w:tc>
          <w:tcPr>
            <w:tcW w:w="2390" w:type="dxa"/>
            <w:vAlign w:val="center"/>
          </w:tcPr>
          <w:p w14:paraId="2471112C" w14:textId="77777777" w:rsidR="00004C1E" w:rsidRPr="00B86E82" w:rsidRDefault="00004C1E" w:rsidP="002A7EFA">
            <w:pPr>
              <w:pStyle w:val="BodyText"/>
              <w:rPr>
                <w:sz w:val="16"/>
                <w:szCs w:val="16"/>
              </w:rPr>
            </w:pPr>
            <w:r w:rsidRPr="004023AB">
              <w:rPr>
                <w:i/>
                <w:iCs/>
              </w:rPr>
              <w:t>Schoenus carsei</w:t>
            </w:r>
          </w:p>
        </w:tc>
        <w:tc>
          <w:tcPr>
            <w:tcW w:w="787" w:type="dxa"/>
            <w:shd w:val="clear" w:color="auto" w:fill="F4F8D4" w:themeFill="accent2" w:themeFillTint="33"/>
            <w:vAlign w:val="center"/>
          </w:tcPr>
          <w:p w14:paraId="20AC9B3B" w14:textId="77777777" w:rsidR="00004C1E" w:rsidRPr="002A1AAA" w:rsidRDefault="00004C1E" w:rsidP="002A7EFA">
            <w:pPr>
              <w:pStyle w:val="BodyText"/>
              <w:jc w:val="center"/>
              <w:rPr>
                <w:b/>
                <w:bCs/>
                <w:sz w:val="16"/>
                <w:szCs w:val="16"/>
              </w:rPr>
            </w:pPr>
            <w:r w:rsidRPr="003E098A">
              <w:rPr>
                <w:b/>
                <w:bCs/>
                <w:color w:val="FF0000"/>
                <w:sz w:val="16"/>
                <w:szCs w:val="16"/>
              </w:rPr>
              <w:t>G, W</w:t>
            </w:r>
          </w:p>
        </w:tc>
        <w:tc>
          <w:tcPr>
            <w:tcW w:w="788" w:type="dxa"/>
            <w:vAlign w:val="center"/>
          </w:tcPr>
          <w:p w14:paraId="18CBDC89"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5FD82CCA" w14:textId="77777777" w:rsidR="00004C1E" w:rsidRPr="003E098A" w:rsidRDefault="00004C1E" w:rsidP="002A7EFA">
            <w:pPr>
              <w:pStyle w:val="BodyText"/>
              <w:jc w:val="center"/>
              <w:rPr>
                <w:b/>
                <w:bCs/>
                <w:sz w:val="16"/>
                <w:szCs w:val="16"/>
              </w:rPr>
            </w:pPr>
            <w:r w:rsidRPr="003E098A">
              <w:rPr>
                <w:b/>
                <w:bCs/>
                <w:color w:val="00857E" w:themeColor="accent1" w:themeShade="BF"/>
                <w:sz w:val="16"/>
                <w:szCs w:val="16"/>
              </w:rPr>
              <w:t>W</w:t>
            </w:r>
          </w:p>
        </w:tc>
        <w:tc>
          <w:tcPr>
            <w:tcW w:w="787" w:type="dxa"/>
            <w:vAlign w:val="center"/>
          </w:tcPr>
          <w:p w14:paraId="033B23FE" w14:textId="77777777" w:rsidR="00004C1E" w:rsidRPr="006D733F" w:rsidRDefault="00004C1E" w:rsidP="002A7EFA">
            <w:pPr>
              <w:pStyle w:val="BodyText"/>
              <w:jc w:val="center"/>
              <w:rPr>
                <w:sz w:val="16"/>
                <w:szCs w:val="16"/>
              </w:rPr>
            </w:pPr>
          </w:p>
        </w:tc>
        <w:tc>
          <w:tcPr>
            <w:tcW w:w="788" w:type="dxa"/>
            <w:shd w:val="clear" w:color="auto" w:fill="F4F8D4" w:themeFill="accent2" w:themeFillTint="33"/>
            <w:vAlign w:val="center"/>
          </w:tcPr>
          <w:p w14:paraId="0EE07C40" w14:textId="77777777" w:rsidR="00004C1E" w:rsidRPr="003E098A" w:rsidRDefault="00004C1E" w:rsidP="002A7EFA">
            <w:pPr>
              <w:pStyle w:val="BodyText"/>
              <w:jc w:val="center"/>
              <w:rPr>
                <w:b/>
                <w:bCs/>
                <w:sz w:val="16"/>
                <w:szCs w:val="16"/>
              </w:rPr>
            </w:pPr>
            <w:r w:rsidRPr="003E098A">
              <w:rPr>
                <w:b/>
                <w:bCs/>
                <w:color w:val="00857E" w:themeColor="accent1" w:themeShade="BF"/>
                <w:sz w:val="16"/>
                <w:szCs w:val="16"/>
              </w:rPr>
              <w:t>G, W</w:t>
            </w:r>
          </w:p>
        </w:tc>
        <w:tc>
          <w:tcPr>
            <w:tcW w:w="788" w:type="dxa"/>
            <w:vAlign w:val="center"/>
          </w:tcPr>
          <w:p w14:paraId="550B66D6" w14:textId="77777777" w:rsidR="00004C1E" w:rsidRPr="006D733F" w:rsidRDefault="00004C1E" w:rsidP="002A7EFA">
            <w:pPr>
              <w:pStyle w:val="BodyText"/>
              <w:jc w:val="center"/>
              <w:rPr>
                <w:sz w:val="16"/>
                <w:szCs w:val="16"/>
              </w:rPr>
            </w:pPr>
          </w:p>
        </w:tc>
      </w:tr>
      <w:tr w:rsidR="00004C1E" w:rsidRPr="00B86E82" w14:paraId="48540148" w14:textId="77777777" w:rsidTr="002A7EFA">
        <w:tc>
          <w:tcPr>
            <w:tcW w:w="9505" w:type="dxa"/>
            <w:gridSpan w:val="8"/>
            <w:shd w:val="clear" w:color="auto" w:fill="D1DC58" w:themeFill="accent5" w:themeFillShade="BF"/>
            <w:vAlign w:val="center"/>
          </w:tcPr>
          <w:p w14:paraId="721E5DB3" w14:textId="77777777" w:rsidR="00004C1E" w:rsidRPr="0051243A" w:rsidRDefault="00004C1E" w:rsidP="002A7EFA">
            <w:pPr>
              <w:pStyle w:val="BodyText"/>
              <w:tabs>
                <w:tab w:val="left" w:pos="8655"/>
              </w:tabs>
              <w:rPr>
                <w:sz w:val="16"/>
                <w:szCs w:val="16"/>
              </w:rPr>
            </w:pPr>
            <w:r w:rsidRPr="00082BAE">
              <w:rPr>
                <w:b/>
                <w:bCs/>
              </w:rPr>
              <w:t>RFA Regions</w:t>
            </w:r>
          </w:p>
        </w:tc>
        <w:tc>
          <w:tcPr>
            <w:tcW w:w="843" w:type="dxa"/>
            <w:shd w:val="clear" w:color="auto" w:fill="D1DC58" w:themeFill="accent5" w:themeFillShade="BF"/>
          </w:tcPr>
          <w:p w14:paraId="11FD9544" w14:textId="77777777" w:rsidR="00004C1E" w:rsidRPr="00D12477" w:rsidRDefault="00004C1E" w:rsidP="002A7EFA">
            <w:pPr>
              <w:pStyle w:val="BodyText"/>
              <w:jc w:val="center"/>
              <w:rPr>
                <w:b/>
                <w:bCs/>
                <w:sz w:val="16"/>
                <w:szCs w:val="16"/>
              </w:rPr>
            </w:pPr>
            <w:r w:rsidRPr="00D12477">
              <w:rPr>
                <w:b/>
                <w:bCs/>
                <w:sz w:val="16"/>
                <w:szCs w:val="16"/>
              </w:rPr>
              <w:t>Total</w:t>
            </w:r>
          </w:p>
        </w:tc>
      </w:tr>
      <w:tr w:rsidR="00004C1E" w:rsidRPr="00B86E82" w14:paraId="730CA37D" w14:textId="77777777" w:rsidTr="002A7EFA">
        <w:tc>
          <w:tcPr>
            <w:tcW w:w="4779" w:type="dxa"/>
            <w:gridSpan w:val="2"/>
            <w:vAlign w:val="center"/>
          </w:tcPr>
          <w:p w14:paraId="59C20E1B" w14:textId="77777777" w:rsidR="00004C1E" w:rsidRPr="00F44CE3" w:rsidRDefault="00004C1E" w:rsidP="002A7EFA">
            <w:pPr>
              <w:pStyle w:val="BodyText"/>
            </w:pPr>
            <w:r w:rsidRPr="00F44CE3">
              <w:t>Central Highlands totals (High, Significant)</w:t>
            </w:r>
          </w:p>
        </w:tc>
        <w:tc>
          <w:tcPr>
            <w:tcW w:w="787" w:type="dxa"/>
            <w:shd w:val="clear" w:color="auto" w:fill="auto"/>
            <w:vAlign w:val="center"/>
          </w:tcPr>
          <w:p w14:paraId="04A411AE" w14:textId="77777777" w:rsidR="00004C1E" w:rsidRPr="007C5C0D" w:rsidRDefault="00004C1E" w:rsidP="002A7EFA">
            <w:pPr>
              <w:pStyle w:val="BodyText"/>
              <w:jc w:val="center"/>
              <w:rPr>
                <w:b/>
                <w:bCs/>
                <w:sz w:val="16"/>
                <w:szCs w:val="16"/>
              </w:rPr>
            </w:pPr>
            <w:r w:rsidRPr="007C5C0D">
              <w:rPr>
                <w:b/>
                <w:bCs/>
                <w:color w:val="FF0000"/>
                <w:sz w:val="16"/>
                <w:szCs w:val="16"/>
              </w:rPr>
              <w:t>6,</w:t>
            </w:r>
            <w:r w:rsidRPr="007C5C0D">
              <w:rPr>
                <w:b/>
                <w:bCs/>
                <w:color w:val="00857E" w:themeColor="accent1" w:themeShade="BF"/>
                <w:sz w:val="16"/>
                <w:szCs w:val="16"/>
              </w:rPr>
              <w:t xml:space="preserve"> 2</w:t>
            </w:r>
          </w:p>
        </w:tc>
        <w:tc>
          <w:tcPr>
            <w:tcW w:w="788" w:type="dxa"/>
            <w:shd w:val="clear" w:color="auto" w:fill="auto"/>
            <w:vAlign w:val="center"/>
          </w:tcPr>
          <w:p w14:paraId="2546FAF5" w14:textId="77777777" w:rsidR="00004C1E" w:rsidRPr="007C5C0D" w:rsidRDefault="00004C1E" w:rsidP="002A7EFA">
            <w:pPr>
              <w:pStyle w:val="BodyText"/>
              <w:jc w:val="center"/>
              <w:rPr>
                <w:b/>
                <w:bCs/>
                <w:sz w:val="16"/>
                <w:szCs w:val="16"/>
              </w:rPr>
            </w:pPr>
            <w:r w:rsidRPr="007C5C0D">
              <w:rPr>
                <w:b/>
                <w:bCs/>
                <w:color w:val="FF0000"/>
                <w:sz w:val="16"/>
                <w:szCs w:val="16"/>
              </w:rPr>
              <w:t>6,</w:t>
            </w:r>
            <w:r w:rsidRPr="007C5C0D">
              <w:rPr>
                <w:b/>
                <w:bCs/>
                <w:sz w:val="16"/>
                <w:szCs w:val="16"/>
              </w:rPr>
              <w:t xml:space="preserve"> </w:t>
            </w:r>
            <w:r w:rsidRPr="007C5C0D">
              <w:rPr>
                <w:b/>
                <w:bCs/>
                <w:color w:val="00857E" w:themeColor="accent1" w:themeShade="BF"/>
                <w:sz w:val="16"/>
                <w:szCs w:val="16"/>
              </w:rPr>
              <w:t>2</w:t>
            </w:r>
          </w:p>
        </w:tc>
        <w:tc>
          <w:tcPr>
            <w:tcW w:w="788" w:type="dxa"/>
            <w:shd w:val="clear" w:color="auto" w:fill="auto"/>
            <w:vAlign w:val="center"/>
          </w:tcPr>
          <w:p w14:paraId="2F164C11" w14:textId="77777777" w:rsidR="00004C1E" w:rsidRPr="007C5C0D" w:rsidRDefault="00004C1E" w:rsidP="002A7EFA">
            <w:pPr>
              <w:pStyle w:val="BodyText"/>
              <w:jc w:val="center"/>
              <w:rPr>
                <w:b/>
                <w:bCs/>
                <w:sz w:val="16"/>
                <w:szCs w:val="16"/>
              </w:rPr>
            </w:pPr>
            <w:r w:rsidRPr="007C5C0D">
              <w:rPr>
                <w:b/>
                <w:bCs/>
                <w:color w:val="FF0000"/>
                <w:sz w:val="16"/>
                <w:szCs w:val="16"/>
              </w:rPr>
              <w:t>0,</w:t>
            </w:r>
            <w:r w:rsidRPr="007C5C0D">
              <w:rPr>
                <w:b/>
                <w:bCs/>
                <w:color w:val="00857E" w:themeColor="accent1" w:themeShade="BF"/>
                <w:sz w:val="16"/>
                <w:szCs w:val="16"/>
              </w:rPr>
              <w:t xml:space="preserve"> 4</w:t>
            </w:r>
          </w:p>
        </w:tc>
        <w:tc>
          <w:tcPr>
            <w:tcW w:w="787" w:type="dxa"/>
            <w:shd w:val="clear" w:color="auto" w:fill="auto"/>
            <w:vAlign w:val="center"/>
          </w:tcPr>
          <w:p w14:paraId="0570F176" w14:textId="77777777" w:rsidR="00004C1E" w:rsidRPr="007C5C0D" w:rsidRDefault="00004C1E" w:rsidP="002A7EFA">
            <w:pPr>
              <w:pStyle w:val="BodyText"/>
              <w:jc w:val="center"/>
              <w:rPr>
                <w:b/>
                <w:bCs/>
                <w:sz w:val="16"/>
                <w:szCs w:val="16"/>
              </w:rPr>
            </w:pPr>
            <w:r w:rsidRPr="007C5C0D">
              <w:rPr>
                <w:b/>
                <w:bCs/>
                <w:color w:val="FF0000"/>
                <w:sz w:val="16"/>
                <w:szCs w:val="16"/>
              </w:rPr>
              <w:t>1,</w:t>
            </w:r>
            <w:r w:rsidRPr="007C5C0D">
              <w:rPr>
                <w:b/>
                <w:bCs/>
                <w:sz w:val="16"/>
                <w:szCs w:val="16"/>
              </w:rPr>
              <w:t xml:space="preserve"> </w:t>
            </w:r>
            <w:r w:rsidRPr="007C5C0D">
              <w:rPr>
                <w:b/>
                <w:bCs/>
                <w:color w:val="00857E" w:themeColor="accent1" w:themeShade="BF"/>
                <w:sz w:val="16"/>
                <w:szCs w:val="16"/>
              </w:rPr>
              <w:t>3</w:t>
            </w:r>
          </w:p>
        </w:tc>
        <w:tc>
          <w:tcPr>
            <w:tcW w:w="788" w:type="dxa"/>
            <w:shd w:val="clear" w:color="auto" w:fill="auto"/>
            <w:vAlign w:val="center"/>
          </w:tcPr>
          <w:p w14:paraId="58EBE1B4" w14:textId="77777777" w:rsidR="00004C1E" w:rsidRPr="007C5C0D" w:rsidRDefault="00004C1E" w:rsidP="002A7EFA">
            <w:pPr>
              <w:pStyle w:val="BodyText"/>
              <w:jc w:val="center"/>
              <w:rPr>
                <w:b/>
                <w:bCs/>
                <w:sz w:val="16"/>
                <w:szCs w:val="16"/>
              </w:rPr>
            </w:pPr>
            <w:r w:rsidRPr="007C5C0D">
              <w:rPr>
                <w:b/>
                <w:bCs/>
                <w:color w:val="FF0000"/>
                <w:sz w:val="16"/>
                <w:szCs w:val="16"/>
              </w:rPr>
              <w:t>3,</w:t>
            </w:r>
            <w:r w:rsidRPr="007C5C0D">
              <w:rPr>
                <w:b/>
                <w:bCs/>
                <w:sz w:val="16"/>
                <w:szCs w:val="16"/>
              </w:rPr>
              <w:t xml:space="preserve"> </w:t>
            </w:r>
            <w:r w:rsidRPr="007C5C0D">
              <w:rPr>
                <w:b/>
                <w:bCs/>
                <w:color w:val="00857E" w:themeColor="accent1" w:themeShade="BF"/>
                <w:sz w:val="16"/>
                <w:szCs w:val="16"/>
              </w:rPr>
              <w:t>4</w:t>
            </w:r>
          </w:p>
        </w:tc>
        <w:tc>
          <w:tcPr>
            <w:tcW w:w="788" w:type="dxa"/>
            <w:shd w:val="clear" w:color="auto" w:fill="auto"/>
            <w:vAlign w:val="center"/>
          </w:tcPr>
          <w:p w14:paraId="6C3EAC2D" w14:textId="77777777" w:rsidR="00004C1E" w:rsidRPr="007C5C0D" w:rsidRDefault="00004C1E" w:rsidP="002A7EFA">
            <w:pPr>
              <w:pStyle w:val="BodyText"/>
              <w:jc w:val="center"/>
              <w:rPr>
                <w:b/>
                <w:bCs/>
                <w:sz w:val="16"/>
                <w:szCs w:val="16"/>
              </w:rPr>
            </w:pPr>
            <w:r w:rsidRPr="007C5C0D">
              <w:rPr>
                <w:b/>
                <w:bCs/>
                <w:color w:val="FF0000"/>
                <w:sz w:val="16"/>
                <w:szCs w:val="16"/>
              </w:rPr>
              <w:t>0,</w:t>
            </w:r>
            <w:r w:rsidRPr="007C5C0D">
              <w:rPr>
                <w:b/>
                <w:bCs/>
                <w:sz w:val="16"/>
                <w:szCs w:val="16"/>
              </w:rPr>
              <w:t xml:space="preserve"> </w:t>
            </w:r>
            <w:r w:rsidRPr="007C5C0D">
              <w:rPr>
                <w:b/>
                <w:bCs/>
                <w:color w:val="00857E" w:themeColor="accent1" w:themeShade="BF"/>
                <w:sz w:val="16"/>
                <w:szCs w:val="16"/>
              </w:rPr>
              <w:t>0</w:t>
            </w:r>
          </w:p>
        </w:tc>
        <w:tc>
          <w:tcPr>
            <w:tcW w:w="843" w:type="dxa"/>
          </w:tcPr>
          <w:p w14:paraId="3B6028DE" w14:textId="77777777" w:rsidR="00004C1E" w:rsidRPr="007C5C0D" w:rsidRDefault="00004C1E" w:rsidP="002A7EFA">
            <w:pPr>
              <w:pStyle w:val="BodyText"/>
              <w:jc w:val="center"/>
              <w:rPr>
                <w:b/>
                <w:bCs/>
                <w:sz w:val="16"/>
                <w:szCs w:val="16"/>
              </w:rPr>
            </w:pPr>
            <w:r w:rsidRPr="007C5C0D">
              <w:rPr>
                <w:b/>
                <w:bCs/>
                <w:color w:val="FF0000"/>
                <w:sz w:val="16"/>
                <w:szCs w:val="16"/>
              </w:rPr>
              <w:t>16,</w:t>
            </w:r>
            <w:r w:rsidRPr="007C5C0D">
              <w:rPr>
                <w:b/>
                <w:bCs/>
                <w:sz w:val="16"/>
                <w:szCs w:val="16"/>
              </w:rPr>
              <w:t xml:space="preserve"> </w:t>
            </w:r>
            <w:r w:rsidRPr="007C5C0D">
              <w:rPr>
                <w:b/>
                <w:bCs/>
                <w:color w:val="00857E" w:themeColor="accent1" w:themeShade="BF"/>
                <w:sz w:val="16"/>
                <w:szCs w:val="16"/>
              </w:rPr>
              <w:t>15</w:t>
            </w:r>
          </w:p>
        </w:tc>
      </w:tr>
      <w:tr w:rsidR="00004C1E" w:rsidRPr="00B86E82" w14:paraId="44D8C45B" w14:textId="77777777" w:rsidTr="002A7EFA">
        <w:tc>
          <w:tcPr>
            <w:tcW w:w="4779" w:type="dxa"/>
            <w:gridSpan w:val="2"/>
            <w:vAlign w:val="center"/>
          </w:tcPr>
          <w:p w14:paraId="46E8E041" w14:textId="77777777" w:rsidR="00004C1E" w:rsidRPr="00F44CE3" w:rsidRDefault="00004C1E" w:rsidP="002A7EFA">
            <w:pPr>
              <w:pStyle w:val="BodyText"/>
            </w:pPr>
            <w:r w:rsidRPr="00F44CE3">
              <w:t>East Gippsland totals (High, Significant)</w:t>
            </w:r>
          </w:p>
        </w:tc>
        <w:tc>
          <w:tcPr>
            <w:tcW w:w="787" w:type="dxa"/>
            <w:shd w:val="clear" w:color="auto" w:fill="auto"/>
            <w:vAlign w:val="center"/>
          </w:tcPr>
          <w:p w14:paraId="6EF0028A" w14:textId="77777777" w:rsidR="00004C1E" w:rsidRPr="007C5C0D" w:rsidRDefault="00004C1E" w:rsidP="002A7EFA">
            <w:pPr>
              <w:pStyle w:val="BodyText"/>
              <w:jc w:val="center"/>
              <w:rPr>
                <w:b/>
                <w:bCs/>
                <w:sz w:val="16"/>
                <w:szCs w:val="16"/>
              </w:rPr>
            </w:pPr>
            <w:r w:rsidRPr="007C5C0D">
              <w:rPr>
                <w:b/>
                <w:bCs/>
                <w:color w:val="FF0000"/>
                <w:sz w:val="16"/>
                <w:szCs w:val="16"/>
              </w:rPr>
              <w:t>18,</w:t>
            </w:r>
            <w:r w:rsidRPr="007C5C0D">
              <w:rPr>
                <w:b/>
                <w:bCs/>
                <w:sz w:val="16"/>
                <w:szCs w:val="16"/>
              </w:rPr>
              <w:t xml:space="preserve"> </w:t>
            </w:r>
            <w:r w:rsidRPr="007C5C0D">
              <w:rPr>
                <w:b/>
                <w:bCs/>
                <w:color w:val="00857E" w:themeColor="accent1" w:themeShade="BF"/>
                <w:sz w:val="16"/>
                <w:szCs w:val="16"/>
              </w:rPr>
              <w:t>3</w:t>
            </w:r>
          </w:p>
        </w:tc>
        <w:tc>
          <w:tcPr>
            <w:tcW w:w="788" w:type="dxa"/>
            <w:shd w:val="clear" w:color="auto" w:fill="auto"/>
            <w:vAlign w:val="center"/>
          </w:tcPr>
          <w:p w14:paraId="089E5BAD" w14:textId="77777777" w:rsidR="00004C1E" w:rsidRPr="007C5C0D" w:rsidRDefault="00004C1E" w:rsidP="002A7EFA">
            <w:pPr>
              <w:pStyle w:val="BodyText"/>
              <w:jc w:val="center"/>
              <w:rPr>
                <w:b/>
                <w:bCs/>
                <w:sz w:val="16"/>
                <w:szCs w:val="16"/>
              </w:rPr>
            </w:pPr>
            <w:r w:rsidRPr="007C5C0D">
              <w:rPr>
                <w:b/>
                <w:bCs/>
                <w:color w:val="FF0000"/>
                <w:sz w:val="16"/>
                <w:szCs w:val="16"/>
              </w:rPr>
              <w:t>20,</w:t>
            </w:r>
            <w:r w:rsidRPr="007C5C0D">
              <w:rPr>
                <w:b/>
                <w:bCs/>
                <w:sz w:val="16"/>
                <w:szCs w:val="16"/>
              </w:rPr>
              <w:t xml:space="preserve"> </w:t>
            </w:r>
            <w:r w:rsidRPr="007C5C0D">
              <w:rPr>
                <w:b/>
                <w:bCs/>
                <w:color w:val="00857E" w:themeColor="accent1" w:themeShade="BF"/>
                <w:sz w:val="16"/>
                <w:szCs w:val="16"/>
              </w:rPr>
              <w:t>8</w:t>
            </w:r>
          </w:p>
        </w:tc>
        <w:tc>
          <w:tcPr>
            <w:tcW w:w="788" w:type="dxa"/>
            <w:shd w:val="clear" w:color="auto" w:fill="auto"/>
            <w:vAlign w:val="center"/>
          </w:tcPr>
          <w:p w14:paraId="3E2FB2EC" w14:textId="77777777" w:rsidR="00004C1E" w:rsidRPr="007C5C0D" w:rsidRDefault="00004C1E" w:rsidP="002A7EFA">
            <w:pPr>
              <w:pStyle w:val="BodyText"/>
              <w:jc w:val="center"/>
              <w:rPr>
                <w:b/>
                <w:bCs/>
                <w:sz w:val="16"/>
                <w:szCs w:val="16"/>
              </w:rPr>
            </w:pPr>
            <w:r w:rsidRPr="007C5C0D">
              <w:rPr>
                <w:b/>
                <w:bCs/>
                <w:color w:val="FF0000"/>
                <w:sz w:val="16"/>
                <w:szCs w:val="16"/>
              </w:rPr>
              <w:t>2,</w:t>
            </w:r>
            <w:r w:rsidRPr="007C5C0D">
              <w:rPr>
                <w:b/>
                <w:bCs/>
                <w:sz w:val="16"/>
                <w:szCs w:val="16"/>
              </w:rPr>
              <w:t xml:space="preserve"> </w:t>
            </w:r>
            <w:r w:rsidRPr="007C5C0D">
              <w:rPr>
                <w:b/>
                <w:bCs/>
                <w:color w:val="00857E" w:themeColor="accent1" w:themeShade="BF"/>
                <w:sz w:val="16"/>
                <w:szCs w:val="16"/>
              </w:rPr>
              <w:t>20</w:t>
            </w:r>
          </w:p>
        </w:tc>
        <w:tc>
          <w:tcPr>
            <w:tcW w:w="787" w:type="dxa"/>
            <w:shd w:val="clear" w:color="auto" w:fill="auto"/>
            <w:vAlign w:val="center"/>
          </w:tcPr>
          <w:p w14:paraId="46EFCE9E" w14:textId="77777777" w:rsidR="00004C1E" w:rsidRPr="007C5C0D" w:rsidRDefault="00004C1E" w:rsidP="002A7EFA">
            <w:pPr>
              <w:pStyle w:val="BodyText"/>
              <w:jc w:val="center"/>
              <w:rPr>
                <w:b/>
                <w:bCs/>
                <w:sz w:val="16"/>
                <w:szCs w:val="16"/>
              </w:rPr>
            </w:pPr>
            <w:r w:rsidRPr="007C5C0D">
              <w:rPr>
                <w:b/>
                <w:bCs/>
                <w:color w:val="FF0000"/>
                <w:sz w:val="16"/>
                <w:szCs w:val="16"/>
              </w:rPr>
              <w:t>0,</w:t>
            </w:r>
            <w:r w:rsidRPr="007C5C0D">
              <w:rPr>
                <w:b/>
                <w:bCs/>
                <w:sz w:val="16"/>
                <w:szCs w:val="16"/>
              </w:rPr>
              <w:t xml:space="preserve"> </w:t>
            </w:r>
            <w:r w:rsidRPr="007C5C0D">
              <w:rPr>
                <w:b/>
                <w:bCs/>
                <w:color w:val="00857E" w:themeColor="accent1" w:themeShade="BF"/>
                <w:sz w:val="16"/>
                <w:szCs w:val="16"/>
              </w:rPr>
              <w:t>2</w:t>
            </w:r>
          </w:p>
        </w:tc>
        <w:tc>
          <w:tcPr>
            <w:tcW w:w="788" w:type="dxa"/>
            <w:shd w:val="clear" w:color="auto" w:fill="auto"/>
            <w:vAlign w:val="center"/>
          </w:tcPr>
          <w:p w14:paraId="78D656CA" w14:textId="77777777" w:rsidR="00004C1E" w:rsidRPr="007C5C0D" w:rsidRDefault="00004C1E" w:rsidP="002A7EFA">
            <w:pPr>
              <w:pStyle w:val="BodyText"/>
              <w:jc w:val="center"/>
              <w:rPr>
                <w:b/>
                <w:bCs/>
                <w:sz w:val="16"/>
                <w:szCs w:val="16"/>
              </w:rPr>
            </w:pPr>
            <w:r w:rsidRPr="007C5C0D">
              <w:rPr>
                <w:b/>
                <w:bCs/>
                <w:color w:val="FF0000"/>
                <w:sz w:val="16"/>
                <w:szCs w:val="16"/>
              </w:rPr>
              <w:t xml:space="preserve">9, </w:t>
            </w:r>
            <w:r w:rsidRPr="007C5C0D">
              <w:rPr>
                <w:b/>
                <w:bCs/>
                <w:color w:val="00857E" w:themeColor="accent1" w:themeShade="BF"/>
                <w:sz w:val="16"/>
                <w:szCs w:val="16"/>
              </w:rPr>
              <w:t>12</w:t>
            </w:r>
          </w:p>
        </w:tc>
        <w:tc>
          <w:tcPr>
            <w:tcW w:w="788" w:type="dxa"/>
            <w:shd w:val="clear" w:color="auto" w:fill="auto"/>
            <w:vAlign w:val="center"/>
          </w:tcPr>
          <w:p w14:paraId="51CC89F4" w14:textId="77777777" w:rsidR="00004C1E" w:rsidRPr="007C5C0D" w:rsidRDefault="00004C1E" w:rsidP="002A7EFA">
            <w:pPr>
              <w:pStyle w:val="BodyText"/>
              <w:jc w:val="center"/>
              <w:rPr>
                <w:b/>
                <w:bCs/>
                <w:sz w:val="16"/>
                <w:szCs w:val="16"/>
              </w:rPr>
            </w:pPr>
            <w:r w:rsidRPr="007C5C0D">
              <w:rPr>
                <w:b/>
                <w:bCs/>
                <w:color w:val="FF0000"/>
                <w:sz w:val="16"/>
                <w:szCs w:val="16"/>
              </w:rPr>
              <w:t>2,</w:t>
            </w:r>
            <w:r w:rsidRPr="007C5C0D">
              <w:rPr>
                <w:b/>
                <w:bCs/>
                <w:sz w:val="16"/>
                <w:szCs w:val="16"/>
              </w:rPr>
              <w:t xml:space="preserve"> </w:t>
            </w:r>
            <w:r w:rsidRPr="007C5C0D">
              <w:rPr>
                <w:b/>
                <w:bCs/>
                <w:color w:val="00857E" w:themeColor="accent1" w:themeShade="BF"/>
                <w:sz w:val="16"/>
                <w:szCs w:val="16"/>
              </w:rPr>
              <w:t>1</w:t>
            </w:r>
          </w:p>
        </w:tc>
        <w:tc>
          <w:tcPr>
            <w:tcW w:w="843" w:type="dxa"/>
          </w:tcPr>
          <w:p w14:paraId="2ED5382C" w14:textId="77777777" w:rsidR="00004C1E" w:rsidRPr="007C5C0D" w:rsidRDefault="00004C1E" w:rsidP="002A7EFA">
            <w:pPr>
              <w:pStyle w:val="BodyText"/>
              <w:jc w:val="center"/>
              <w:rPr>
                <w:b/>
                <w:bCs/>
                <w:sz w:val="16"/>
                <w:szCs w:val="16"/>
              </w:rPr>
            </w:pPr>
            <w:r>
              <w:rPr>
                <w:b/>
                <w:bCs/>
                <w:color w:val="FF0000"/>
                <w:sz w:val="16"/>
                <w:szCs w:val="16"/>
              </w:rPr>
              <w:t>51</w:t>
            </w:r>
            <w:r w:rsidRPr="007C5C0D">
              <w:rPr>
                <w:b/>
                <w:bCs/>
                <w:color w:val="FF0000"/>
                <w:sz w:val="16"/>
                <w:szCs w:val="16"/>
              </w:rPr>
              <w:t>,</w:t>
            </w:r>
            <w:r w:rsidRPr="007C5C0D">
              <w:rPr>
                <w:b/>
                <w:bCs/>
                <w:sz w:val="16"/>
                <w:szCs w:val="16"/>
              </w:rPr>
              <w:t xml:space="preserve"> </w:t>
            </w:r>
            <w:r w:rsidRPr="007C5C0D">
              <w:rPr>
                <w:b/>
                <w:bCs/>
                <w:color w:val="00857E" w:themeColor="accent1" w:themeShade="BF"/>
                <w:sz w:val="16"/>
                <w:szCs w:val="16"/>
              </w:rPr>
              <w:t>4</w:t>
            </w:r>
            <w:r>
              <w:rPr>
                <w:b/>
                <w:bCs/>
                <w:color w:val="00857E" w:themeColor="accent1" w:themeShade="BF"/>
                <w:sz w:val="16"/>
                <w:szCs w:val="16"/>
              </w:rPr>
              <w:t>6</w:t>
            </w:r>
          </w:p>
        </w:tc>
      </w:tr>
      <w:tr w:rsidR="00004C1E" w:rsidRPr="00B86E82" w14:paraId="4F74B9DE" w14:textId="77777777" w:rsidTr="002A7EFA">
        <w:tc>
          <w:tcPr>
            <w:tcW w:w="4779" w:type="dxa"/>
            <w:gridSpan w:val="2"/>
            <w:vAlign w:val="center"/>
          </w:tcPr>
          <w:p w14:paraId="4AF19EC4" w14:textId="77777777" w:rsidR="00004C1E" w:rsidRPr="00F44CE3" w:rsidRDefault="00004C1E" w:rsidP="002A7EFA">
            <w:pPr>
              <w:pStyle w:val="BodyText"/>
            </w:pPr>
            <w:r w:rsidRPr="00F44CE3">
              <w:t>Gippsland totals (High, Significant)</w:t>
            </w:r>
          </w:p>
        </w:tc>
        <w:tc>
          <w:tcPr>
            <w:tcW w:w="787" w:type="dxa"/>
            <w:shd w:val="clear" w:color="auto" w:fill="auto"/>
            <w:vAlign w:val="center"/>
          </w:tcPr>
          <w:p w14:paraId="32649886" w14:textId="77777777" w:rsidR="00004C1E" w:rsidRPr="007C5C0D" w:rsidRDefault="00004C1E" w:rsidP="002A7EFA">
            <w:pPr>
              <w:pStyle w:val="BodyText"/>
              <w:jc w:val="center"/>
              <w:rPr>
                <w:b/>
                <w:bCs/>
                <w:sz w:val="16"/>
                <w:szCs w:val="16"/>
              </w:rPr>
            </w:pPr>
            <w:r w:rsidRPr="007C5C0D">
              <w:rPr>
                <w:b/>
                <w:bCs/>
                <w:color w:val="FF0000"/>
                <w:sz w:val="16"/>
                <w:szCs w:val="16"/>
              </w:rPr>
              <w:t>9,</w:t>
            </w:r>
            <w:r w:rsidRPr="007C5C0D">
              <w:rPr>
                <w:b/>
                <w:bCs/>
                <w:sz w:val="16"/>
                <w:szCs w:val="16"/>
              </w:rPr>
              <w:t xml:space="preserve"> </w:t>
            </w:r>
            <w:r w:rsidRPr="007C5C0D">
              <w:rPr>
                <w:b/>
                <w:bCs/>
                <w:color w:val="00857E" w:themeColor="accent1" w:themeShade="BF"/>
                <w:sz w:val="16"/>
                <w:szCs w:val="16"/>
              </w:rPr>
              <w:t>1</w:t>
            </w:r>
          </w:p>
        </w:tc>
        <w:tc>
          <w:tcPr>
            <w:tcW w:w="788" w:type="dxa"/>
            <w:shd w:val="clear" w:color="auto" w:fill="auto"/>
            <w:vAlign w:val="center"/>
          </w:tcPr>
          <w:p w14:paraId="583C25EB" w14:textId="77777777" w:rsidR="00004C1E" w:rsidRPr="007C5C0D" w:rsidRDefault="00004C1E" w:rsidP="002A7EFA">
            <w:pPr>
              <w:pStyle w:val="BodyText"/>
              <w:jc w:val="center"/>
              <w:rPr>
                <w:b/>
                <w:bCs/>
                <w:sz w:val="16"/>
                <w:szCs w:val="16"/>
              </w:rPr>
            </w:pPr>
            <w:r w:rsidRPr="007C5C0D">
              <w:rPr>
                <w:b/>
                <w:bCs/>
                <w:color w:val="FF0000"/>
                <w:sz w:val="16"/>
                <w:szCs w:val="16"/>
              </w:rPr>
              <w:t>6,</w:t>
            </w:r>
            <w:r w:rsidRPr="007C5C0D">
              <w:rPr>
                <w:b/>
                <w:bCs/>
                <w:sz w:val="16"/>
                <w:szCs w:val="16"/>
              </w:rPr>
              <w:t xml:space="preserve"> </w:t>
            </w:r>
            <w:r w:rsidRPr="007C5C0D">
              <w:rPr>
                <w:b/>
                <w:bCs/>
                <w:color w:val="00857E" w:themeColor="accent1" w:themeShade="BF"/>
                <w:sz w:val="16"/>
                <w:szCs w:val="16"/>
              </w:rPr>
              <w:t>8</w:t>
            </w:r>
          </w:p>
        </w:tc>
        <w:tc>
          <w:tcPr>
            <w:tcW w:w="788" w:type="dxa"/>
            <w:shd w:val="clear" w:color="auto" w:fill="auto"/>
            <w:vAlign w:val="center"/>
          </w:tcPr>
          <w:p w14:paraId="16878F07" w14:textId="77777777" w:rsidR="00004C1E" w:rsidRPr="007C5C0D" w:rsidRDefault="00004C1E" w:rsidP="002A7EFA">
            <w:pPr>
              <w:pStyle w:val="BodyText"/>
              <w:jc w:val="center"/>
              <w:rPr>
                <w:b/>
                <w:bCs/>
                <w:sz w:val="16"/>
                <w:szCs w:val="16"/>
              </w:rPr>
            </w:pPr>
            <w:r w:rsidRPr="007C5C0D">
              <w:rPr>
                <w:b/>
                <w:bCs/>
                <w:color w:val="FF0000"/>
                <w:sz w:val="16"/>
                <w:szCs w:val="16"/>
              </w:rPr>
              <w:t>1,</w:t>
            </w:r>
            <w:r w:rsidRPr="007C5C0D">
              <w:rPr>
                <w:b/>
                <w:bCs/>
                <w:sz w:val="16"/>
                <w:szCs w:val="16"/>
              </w:rPr>
              <w:t xml:space="preserve"> </w:t>
            </w:r>
            <w:r w:rsidRPr="007C5C0D">
              <w:rPr>
                <w:b/>
                <w:bCs/>
                <w:color w:val="00857E" w:themeColor="accent1" w:themeShade="BF"/>
                <w:sz w:val="16"/>
                <w:szCs w:val="16"/>
              </w:rPr>
              <w:t>7</w:t>
            </w:r>
          </w:p>
        </w:tc>
        <w:tc>
          <w:tcPr>
            <w:tcW w:w="787" w:type="dxa"/>
            <w:shd w:val="clear" w:color="auto" w:fill="auto"/>
            <w:vAlign w:val="center"/>
          </w:tcPr>
          <w:p w14:paraId="6986AD2C" w14:textId="77777777" w:rsidR="00004C1E" w:rsidRPr="007C5C0D" w:rsidRDefault="00004C1E" w:rsidP="002A7EFA">
            <w:pPr>
              <w:pStyle w:val="BodyText"/>
              <w:jc w:val="center"/>
              <w:rPr>
                <w:b/>
                <w:bCs/>
                <w:sz w:val="16"/>
                <w:szCs w:val="16"/>
              </w:rPr>
            </w:pPr>
            <w:r w:rsidRPr="007C5C0D">
              <w:rPr>
                <w:b/>
                <w:bCs/>
                <w:color w:val="FF0000"/>
                <w:sz w:val="16"/>
                <w:szCs w:val="16"/>
              </w:rPr>
              <w:t>1,</w:t>
            </w:r>
            <w:r w:rsidRPr="007C5C0D">
              <w:rPr>
                <w:b/>
                <w:bCs/>
                <w:sz w:val="16"/>
                <w:szCs w:val="16"/>
              </w:rPr>
              <w:t xml:space="preserve"> </w:t>
            </w:r>
            <w:r w:rsidRPr="007C5C0D">
              <w:rPr>
                <w:b/>
                <w:bCs/>
                <w:color w:val="00857E" w:themeColor="accent1" w:themeShade="BF"/>
                <w:sz w:val="16"/>
                <w:szCs w:val="16"/>
              </w:rPr>
              <w:t>3</w:t>
            </w:r>
          </w:p>
        </w:tc>
        <w:tc>
          <w:tcPr>
            <w:tcW w:w="788" w:type="dxa"/>
            <w:shd w:val="clear" w:color="auto" w:fill="auto"/>
            <w:vAlign w:val="center"/>
          </w:tcPr>
          <w:p w14:paraId="6EAE6293" w14:textId="77777777" w:rsidR="00004C1E" w:rsidRPr="007C5C0D" w:rsidRDefault="00004C1E" w:rsidP="002A7EFA">
            <w:pPr>
              <w:pStyle w:val="BodyText"/>
              <w:jc w:val="center"/>
              <w:rPr>
                <w:b/>
                <w:bCs/>
                <w:sz w:val="16"/>
                <w:szCs w:val="16"/>
              </w:rPr>
            </w:pPr>
            <w:r w:rsidRPr="007C5C0D">
              <w:rPr>
                <w:b/>
                <w:bCs/>
                <w:color w:val="FF0000"/>
                <w:sz w:val="16"/>
                <w:szCs w:val="16"/>
              </w:rPr>
              <w:t>5,</w:t>
            </w:r>
            <w:r w:rsidRPr="007C5C0D">
              <w:rPr>
                <w:b/>
                <w:bCs/>
                <w:sz w:val="16"/>
                <w:szCs w:val="16"/>
              </w:rPr>
              <w:t xml:space="preserve"> </w:t>
            </w:r>
            <w:r w:rsidRPr="007C5C0D">
              <w:rPr>
                <w:b/>
                <w:bCs/>
                <w:color w:val="00857E" w:themeColor="accent1" w:themeShade="BF"/>
                <w:sz w:val="16"/>
                <w:szCs w:val="16"/>
              </w:rPr>
              <w:t>6</w:t>
            </w:r>
          </w:p>
        </w:tc>
        <w:tc>
          <w:tcPr>
            <w:tcW w:w="788" w:type="dxa"/>
            <w:shd w:val="clear" w:color="auto" w:fill="auto"/>
            <w:vAlign w:val="center"/>
          </w:tcPr>
          <w:p w14:paraId="33088954" w14:textId="77777777" w:rsidR="00004C1E" w:rsidRPr="007C5C0D" w:rsidRDefault="00004C1E" w:rsidP="002A7EFA">
            <w:pPr>
              <w:pStyle w:val="BodyText"/>
              <w:jc w:val="center"/>
              <w:rPr>
                <w:b/>
                <w:bCs/>
                <w:sz w:val="16"/>
                <w:szCs w:val="16"/>
              </w:rPr>
            </w:pPr>
            <w:r w:rsidRPr="007C5C0D">
              <w:rPr>
                <w:b/>
                <w:bCs/>
                <w:color w:val="FF0000"/>
                <w:sz w:val="16"/>
                <w:szCs w:val="16"/>
              </w:rPr>
              <w:t>0,</w:t>
            </w:r>
            <w:r w:rsidRPr="007C5C0D">
              <w:rPr>
                <w:b/>
                <w:bCs/>
                <w:sz w:val="16"/>
                <w:szCs w:val="16"/>
              </w:rPr>
              <w:t xml:space="preserve"> </w:t>
            </w:r>
            <w:r w:rsidRPr="007C5C0D">
              <w:rPr>
                <w:b/>
                <w:bCs/>
                <w:color w:val="00857E" w:themeColor="accent1" w:themeShade="BF"/>
                <w:sz w:val="16"/>
                <w:szCs w:val="16"/>
              </w:rPr>
              <w:t>1</w:t>
            </w:r>
          </w:p>
        </w:tc>
        <w:tc>
          <w:tcPr>
            <w:tcW w:w="843" w:type="dxa"/>
          </w:tcPr>
          <w:p w14:paraId="698932F4" w14:textId="77777777" w:rsidR="00004C1E" w:rsidRPr="007C5C0D" w:rsidRDefault="00004C1E" w:rsidP="002A7EFA">
            <w:pPr>
              <w:pStyle w:val="BodyText"/>
              <w:jc w:val="center"/>
              <w:rPr>
                <w:b/>
                <w:bCs/>
                <w:sz w:val="16"/>
                <w:szCs w:val="16"/>
              </w:rPr>
            </w:pPr>
            <w:r>
              <w:rPr>
                <w:b/>
                <w:bCs/>
                <w:color w:val="FF0000"/>
                <w:sz w:val="16"/>
                <w:szCs w:val="16"/>
              </w:rPr>
              <w:t>22</w:t>
            </w:r>
            <w:r w:rsidRPr="007C5C0D">
              <w:rPr>
                <w:b/>
                <w:bCs/>
                <w:color w:val="FF0000"/>
                <w:sz w:val="16"/>
                <w:szCs w:val="16"/>
              </w:rPr>
              <w:t>,</w:t>
            </w:r>
            <w:r w:rsidRPr="007C5C0D">
              <w:rPr>
                <w:b/>
                <w:bCs/>
                <w:sz w:val="16"/>
                <w:szCs w:val="16"/>
              </w:rPr>
              <w:t xml:space="preserve"> </w:t>
            </w:r>
            <w:r w:rsidRPr="007C5C0D">
              <w:rPr>
                <w:b/>
                <w:bCs/>
                <w:color w:val="00857E" w:themeColor="accent1" w:themeShade="BF"/>
                <w:sz w:val="16"/>
                <w:szCs w:val="16"/>
              </w:rPr>
              <w:t>2</w:t>
            </w:r>
            <w:r>
              <w:rPr>
                <w:b/>
                <w:bCs/>
                <w:color w:val="00857E" w:themeColor="accent1" w:themeShade="BF"/>
                <w:sz w:val="16"/>
                <w:szCs w:val="16"/>
              </w:rPr>
              <w:t>6</w:t>
            </w:r>
          </w:p>
        </w:tc>
      </w:tr>
      <w:tr w:rsidR="00004C1E" w:rsidRPr="00B86E82" w14:paraId="0092B0E0" w14:textId="77777777" w:rsidTr="002A7EFA">
        <w:tc>
          <w:tcPr>
            <w:tcW w:w="4779" w:type="dxa"/>
            <w:gridSpan w:val="2"/>
            <w:vAlign w:val="center"/>
          </w:tcPr>
          <w:p w14:paraId="4C0B63D2" w14:textId="77777777" w:rsidR="00004C1E" w:rsidRPr="00F44CE3" w:rsidRDefault="00004C1E" w:rsidP="002A7EFA">
            <w:pPr>
              <w:pStyle w:val="BodyText"/>
            </w:pPr>
            <w:r w:rsidRPr="00F44CE3">
              <w:t>North East totals (High, Significant)</w:t>
            </w:r>
          </w:p>
        </w:tc>
        <w:tc>
          <w:tcPr>
            <w:tcW w:w="787" w:type="dxa"/>
            <w:shd w:val="clear" w:color="auto" w:fill="auto"/>
            <w:vAlign w:val="center"/>
          </w:tcPr>
          <w:p w14:paraId="6C0157E3" w14:textId="77777777" w:rsidR="00004C1E" w:rsidRPr="007C5C0D" w:rsidRDefault="00004C1E" w:rsidP="002A7EFA">
            <w:pPr>
              <w:pStyle w:val="BodyText"/>
              <w:jc w:val="center"/>
              <w:rPr>
                <w:b/>
                <w:bCs/>
                <w:sz w:val="16"/>
                <w:szCs w:val="16"/>
              </w:rPr>
            </w:pPr>
            <w:r w:rsidRPr="007C5C0D">
              <w:rPr>
                <w:b/>
                <w:bCs/>
                <w:color w:val="FF0000"/>
                <w:sz w:val="16"/>
                <w:szCs w:val="16"/>
              </w:rPr>
              <w:t>1,</w:t>
            </w:r>
            <w:r w:rsidRPr="007C5C0D">
              <w:rPr>
                <w:b/>
                <w:bCs/>
                <w:sz w:val="16"/>
                <w:szCs w:val="16"/>
              </w:rPr>
              <w:t xml:space="preserve"> </w:t>
            </w:r>
            <w:r w:rsidRPr="007C5C0D">
              <w:rPr>
                <w:b/>
                <w:bCs/>
                <w:color w:val="00857E" w:themeColor="accent1" w:themeShade="BF"/>
                <w:sz w:val="16"/>
                <w:szCs w:val="16"/>
              </w:rPr>
              <w:t>1</w:t>
            </w:r>
          </w:p>
        </w:tc>
        <w:tc>
          <w:tcPr>
            <w:tcW w:w="788" w:type="dxa"/>
            <w:shd w:val="clear" w:color="auto" w:fill="auto"/>
            <w:vAlign w:val="center"/>
          </w:tcPr>
          <w:p w14:paraId="0A958F30" w14:textId="77777777" w:rsidR="00004C1E" w:rsidRPr="007C5C0D" w:rsidRDefault="00004C1E" w:rsidP="002A7EFA">
            <w:pPr>
              <w:pStyle w:val="BodyText"/>
              <w:jc w:val="center"/>
              <w:rPr>
                <w:b/>
                <w:bCs/>
                <w:sz w:val="16"/>
                <w:szCs w:val="16"/>
              </w:rPr>
            </w:pPr>
            <w:r w:rsidRPr="007C5C0D">
              <w:rPr>
                <w:b/>
                <w:bCs/>
                <w:color w:val="FF0000"/>
                <w:sz w:val="16"/>
                <w:szCs w:val="16"/>
              </w:rPr>
              <w:t>0,</w:t>
            </w:r>
            <w:r w:rsidRPr="007C5C0D">
              <w:rPr>
                <w:b/>
                <w:bCs/>
                <w:sz w:val="16"/>
                <w:szCs w:val="16"/>
              </w:rPr>
              <w:t xml:space="preserve"> </w:t>
            </w:r>
            <w:r w:rsidRPr="007C5C0D">
              <w:rPr>
                <w:b/>
                <w:bCs/>
                <w:color w:val="00857E" w:themeColor="accent1" w:themeShade="BF"/>
                <w:sz w:val="16"/>
                <w:szCs w:val="16"/>
              </w:rPr>
              <w:t>2</w:t>
            </w:r>
          </w:p>
        </w:tc>
        <w:tc>
          <w:tcPr>
            <w:tcW w:w="788" w:type="dxa"/>
            <w:shd w:val="clear" w:color="auto" w:fill="auto"/>
            <w:vAlign w:val="center"/>
          </w:tcPr>
          <w:p w14:paraId="26A2D152" w14:textId="77777777" w:rsidR="00004C1E" w:rsidRPr="007C5C0D" w:rsidRDefault="00004C1E" w:rsidP="002A7EFA">
            <w:pPr>
              <w:pStyle w:val="BodyText"/>
              <w:jc w:val="center"/>
              <w:rPr>
                <w:b/>
                <w:bCs/>
                <w:sz w:val="16"/>
                <w:szCs w:val="16"/>
              </w:rPr>
            </w:pPr>
            <w:r w:rsidRPr="007C5C0D">
              <w:rPr>
                <w:b/>
                <w:bCs/>
                <w:color w:val="FF0000"/>
                <w:sz w:val="16"/>
                <w:szCs w:val="16"/>
              </w:rPr>
              <w:t>0,</w:t>
            </w:r>
            <w:r w:rsidRPr="007C5C0D">
              <w:rPr>
                <w:b/>
                <w:bCs/>
                <w:sz w:val="16"/>
                <w:szCs w:val="16"/>
              </w:rPr>
              <w:t xml:space="preserve"> </w:t>
            </w:r>
            <w:r w:rsidRPr="007C5C0D">
              <w:rPr>
                <w:b/>
                <w:bCs/>
                <w:color w:val="00857E" w:themeColor="accent1" w:themeShade="BF"/>
                <w:sz w:val="16"/>
                <w:szCs w:val="16"/>
              </w:rPr>
              <w:t>1</w:t>
            </w:r>
          </w:p>
        </w:tc>
        <w:tc>
          <w:tcPr>
            <w:tcW w:w="787" w:type="dxa"/>
            <w:shd w:val="clear" w:color="auto" w:fill="auto"/>
            <w:vAlign w:val="center"/>
          </w:tcPr>
          <w:p w14:paraId="4F45090F" w14:textId="77777777" w:rsidR="00004C1E" w:rsidRPr="007C5C0D" w:rsidRDefault="00004C1E" w:rsidP="002A7EFA">
            <w:pPr>
              <w:pStyle w:val="BodyText"/>
              <w:jc w:val="center"/>
              <w:rPr>
                <w:b/>
                <w:bCs/>
                <w:sz w:val="16"/>
                <w:szCs w:val="16"/>
              </w:rPr>
            </w:pPr>
            <w:r w:rsidRPr="007C5C0D">
              <w:rPr>
                <w:b/>
                <w:bCs/>
                <w:color w:val="FF0000"/>
                <w:sz w:val="16"/>
                <w:szCs w:val="16"/>
              </w:rPr>
              <w:t>1,</w:t>
            </w:r>
            <w:r w:rsidRPr="007C5C0D">
              <w:rPr>
                <w:b/>
                <w:bCs/>
                <w:sz w:val="16"/>
                <w:szCs w:val="16"/>
              </w:rPr>
              <w:t xml:space="preserve"> </w:t>
            </w:r>
            <w:r w:rsidRPr="007C5C0D">
              <w:rPr>
                <w:b/>
                <w:bCs/>
                <w:color w:val="00857E" w:themeColor="accent1" w:themeShade="BF"/>
                <w:sz w:val="16"/>
                <w:szCs w:val="16"/>
              </w:rPr>
              <w:t>1</w:t>
            </w:r>
          </w:p>
        </w:tc>
        <w:tc>
          <w:tcPr>
            <w:tcW w:w="788" w:type="dxa"/>
            <w:shd w:val="clear" w:color="auto" w:fill="auto"/>
            <w:vAlign w:val="center"/>
          </w:tcPr>
          <w:p w14:paraId="26796F39" w14:textId="77777777" w:rsidR="00004C1E" w:rsidRPr="007C5C0D" w:rsidRDefault="00004C1E" w:rsidP="002A7EFA">
            <w:pPr>
              <w:pStyle w:val="BodyText"/>
              <w:jc w:val="center"/>
              <w:rPr>
                <w:b/>
                <w:bCs/>
                <w:sz w:val="16"/>
                <w:szCs w:val="16"/>
              </w:rPr>
            </w:pPr>
            <w:r w:rsidRPr="007C5C0D">
              <w:rPr>
                <w:b/>
                <w:bCs/>
                <w:color w:val="FF0000"/>
                <w:sz w:val="16"/>
                <w:szCs w:val="16"/>
              </w:rPr>
              <w:t>2,</w:t>
            </w:r>
            <w:r w:rsidRPr="007C5C0D">
              <w:rPr>
                <w:b/>
                <w:bCs/>
                <w:sz w:val="16"/>
                <w:szCs w:val="16"/>
              </w:rPr>
              <w:t xml:space="preserve"> </w:t>
            </w:r>
            <w:r w:rsidRPr="007C5C0D">
              <w:rPr>
                <w:b/>
                <w:bCs/>
                <w:color w:val="00857E" w:themeColor="accent1" w:themeShade="BF"/>
                <w:sz w:val="16"/>
                <w:szCs w:val="16"/>
              </w:rPr>
              <w:t>2</w:t>
            </w:r>
          </w:p>
        </w:tc>
        <w:tc>
          <w:tcPr>
            <w:tcW w:w="788" w:type="dxa"/>
            <w:shd w:val="clear" w:color="auto" w:fill="auto"/>
            <w:vAlign w:val="center"/>
          </w:tcPr>
          <w:p w14:paraId="1BACB154" w14:textId="77777777" w:rsidR="00004C1E" w:rsidRPr="007C5C0D" w:rsidRDefault="00004C1E" w:rsidP="002A7EFA">
            <w:pPr>
              <w:pStyle w:val="BodyText"/>
              <w:jc w:val="center"/>
              <w:rPr>
                <w:b/>
                <w:bCs/>
                <w:sz w:val="16"/>
                <w:szCs w:val="16"/>
              </w:rPr>
            </w:pPr>
            <w:r w:rsidRPr="007C5C0D">
              <w:rPr>
                <w:b/>
                <w:bCs/>
                <w:color w:val="FF0000"/>
                <w:sz w:val="16"/>
                <w:szCs w:val="16"/>
              </w:rPr>
              <w:t>0,</w:t>
            </w:r>
            <w:r w:rsidRPr="007C5C0D">
              <w:rPr>
                <w:b/>
                <w:bCs/>
                <w:sz w:val="16"/>
                <w:szCs w:val="16"/>
              </w:rPr>
              <w:t xml:space="preserve"> </w:t>
            </w:r>
            <w:r w:rsidRPr="007C5C0D">
              <w:rPr>
                <w:b/>
                <w:bCs/>
                <w:color w:val="00857E" w:themeColor="accent1" w:themeShade="BF"/>
                <w:sz w:val="16"/>
                <w:szCs w:val="16"/>
              </w:rPr>
              <w:t>0</w:t>
            </w:r>
          </w:p>
        </w:tc>
        <w:tc>
          <w:tcPr>
            <w:tcW w:w="843" w:type="dxa"/>
          </w:tcPr>
          <w:p w14:paraId="4B1BB244" w14:textId="77777777" w:rsidR="00004C1E" w:rsidRPr="007C5C0D" w:rsidRDefault="00004C1E" w:rsidP="002A7EFA">
            <w:pPr>
              <w:pStyle w:val="BodyText"/>
              <w:jc w:val="center"/>
              <w:rPr>
                <w:b/>
                <w:bCs/>
                <w:sz w:val="16"/>
                <w:szCs w:val="16"/>
              </w:rPr>
            </w:pPr>
            <w:r>
              <w:rPr>
                <w:b/>
                <w:bCs/>
                <w:color w:val="FF0000"/>
                <w:sz w:val="16"/>
                <w:szCs w:val="16"/>
              </w:rPr>
              <w:t>4</w:t>
            </w:r>
            <w:r w:rsidRPr="007C5C0D">
              <w:rPr>
                <w:b/>
                <w:bCs/>
                <w:color w:val="FF0000"/>
                <w:sz w:val="16"/>
                <w:szCs w:val="16"/>
              </w:rPr>
              <w:t>,</w:t>
            </w:r>
            <w:r w:rsidRPr="007C5C0D">
              <w:rPr>
                <w:b/>
                <w:bCs/>
                <w:sz w:val="16"/>
                <w:szCs w:val="16"/>
              </w:rPr>
              <w:t xml:space="preserve"> </w:t>
            </w:r>
            <w:r>
              <w:rPr>
                <w:b/>
                <w:bCs/>
                <w:color w:val="00857E" w:themeColor="accent1" w:themeShade="BF"/>
                <w:sz w:val="16"/>
                <w:szCs w:val="16"/>
              </w:rPr>
              <w:t>7</w:t>
            </w:r>
          </w:p>
        </w:tc>
      </w:tr>
      <w:tr w:rsidR="00004C1E" w:rsidRPr="00B86E82" w14:paraId="423E3A6A" w14:textId="77777777" w:rsidTr="002A7EFA">
        <w:tc>
          <w:tcPr>
            <w:tcW w:w="4779" w:type="dxa"/>
            <w:gridSpan w:val="2"/>
            <w:vAlign w:val="center"/>
          </w:tcPr>
          <w:p w14:paraId="16983082" w14:textId="77777777" w:rsidR="00004C1E" w:rsidRPr="00F44CE3" w:rsidRDefault="00004C1E" w:rsidP="002A7EFA">
            <w:pPr>
              <w:pStyle w:val="BodyText"/>
            </w:pPr>
            <w:r w:rsidRPr="00F44CE3">
              <w:t>West totals (High, Significant)</w:t>
            </w:r>
          </w:p>
        </w:tc>
        <w:tc>
          <w:tcPr>
            <w:tcW w:w="787" w:type="dxa"/>
            <w:shd w:val="clear" w:color="auto" w:fill="auto"/>
            <w:vAlign w:val="center"/>
          </w:tcPr>
          <w:p w14:paraId="6789A85E" w14:textId="77777777" w:rsidR="00004C1E" w:rsidRPr="007C5C0D" w:rsidRDefault="00004C1E" w:rsidP="002A7EFA">
            <w:pPr>
              <w:pStyle w:val="BodyText"/>
              <w:jc w:val="center"/>
              <w:rPr>
                <w:b/>
                <w:bCs/>
                <w:sz w:val="16"/>
                <w:szCs w:val="16"/>
              </w:rPr>
            </w:pPr>
            <w:r w:rsidRPr="007C5C0D">
              <w:rPr>
                <w:b/>
                <w:bCs/>
                <w:color w:val="FF0000"/>
                <w:sz w:val="16"/>
                <w:szCs w:val="16"/>
              </w:rPr>
              <w:t>7,</w:t>
            </w:r>
            <w:r w:rsidRPr="007C5C0D">
              <w:rPr>
                <w:b/>
                <w:bCs/>
                <w:sz w:val="16"/>
                <w:szCs w:val="16"/>
              </w:rPr>
              <w:t xml:space="preserve"> </w:t>
            </w:r>
            <w:r w:rsidRPr="007C5C0D">
              <w:rPr>
                <w:b/>
                <w:bCs/>
                <w:color w:val="00857E" w:themeColor="accent1" w:themeShade="BF"/>
                <w:sz w:val="16"/>
                <w:szCs w:val="16"/>
              </w:rPr>
              <w:t>1</w:t>
            </w:r>
          </w:p>
        </w:tc>
        <w:tc>
          <w:tcPr>
            <w:tcW w:w="788" w:type="dxa"/>
            <w:shd w:val="clear" w:color="auto" w:fill="auto"/>
            <w:vAlign w:val="center"/>
          </w:tcPr>
          <w:p w14:paraId="270D0BE2" w14:textId="77777777" w:rsidR="00004C1E" w:rsidRPr="007C5C0D" w:rsidRDefault="00004C1E" w:rsidP="002A7EFA">
            <w:pPr>
              <w:pStyle w:val="BodyText"/>
              <w:jc w:val="center"/>
              <w:rPr>
                <w:b/>
                <w:bCs/>
                <w:sz w:val="16"/>
                <w:szCs w:val="16"/>
              </w:rPr>
            </w:pPr>
            <w:r w:rsidRPr="007C5C0D">
              <w:rPr>
                <w:b/>
                <w:bCs/>
                <w:color w:val="FF0000"/>
                <w:sz w:val="16"/>
                <w:szCs w:val="16"/>
              </w:rPr>
              <w:t>2,</w:t>
            </w:r>
            <w:r w:rsidRPr="007C5C0D">
              <w:rPr>
                <w:b/>
                <w:bCs/>
                <w:sz w:val="16"/>
                <w:szCs w:val="16"/>
              </w:rPr>
              <w:t xml:space="preserve"> </w:t>
            </w:r>
            <w:r w:rsidRPr="007C5C0D">
              <w:rPr>
                <w:b/>
                <w:bCs/>
                <w:color w:val="00857E" w:themeColor="accent1" w:themeShade="BF"/>
                <w:sz w:val="16"/>
                <w:szCs w:val="16"/>
              </w:rPr>
              <w:t>4</w:t>
            </w:r>
          </w:p>
        </w:tc>
        <w:tc>
          <w:tcPr>
            <w:tcW w:w="788" w:type="dxa"/>
            <w:shd w:val="clear" w:color="auto" w:fill="auto"/>
            <w:vAlign w:val="center"/>
          </w:tcPr>
          <w:p w14:paraId="3A8DA449" w14:textId="77777777" w:rsidR="00004C1E" w:rsidRPr="007C5C0D" w:rsidRDefault="00004C1E" w:rsidP="002A7EFA">
            <w:pPr>
              <w:pStyle w:val="BodyText"/>
              <w:jc w:val="center"/>
              <w:rPr>
                <w:b/>
                <w:bCs/>
                <w:sz w:val="16"/>
                <w:szCs w:val="16"/>
              </w:rPr>
            </w:pPr>
            <w:r w:rsidRPr="007C5C0D">
              <w:rPr>
                <w:b/>
                <w:bCs/>
                <w:color w:val="FF0000"/>
                <w:sz w:val="16"/>
                <w:szCs w:val="16"/>
              </w:rPr>
              <w:t>0,</w:t>
            </w:r>
            <w:r w:rsidRPr="007C5C0D">
              <w:rPr>
                <w:b/>
                <w:bCs/>
                <w:sz w:val="16"/>
                <w:szCs w:val="16"/>
              </w:rPr>
              <w:t xml:space="preserve"> </w:t>
            </w:r>
            <w:r w:rsidRPr="007C5C0D">
              <w:rPr>
                <w:b/>
                <w:bCs/>
                <w:color w:val="00857E" w:themeColor="accent1" w:themeShade="BF"/>
                <w:sz w:val="16"/>
                <w:szCs w:val="16"/>
              </w:rPr>
              <w:t>4</w:t>
            </w:r>
          </w:p>
        </w:tc>
        <w:tc>
          <w:tcPr>
            <w:tcW w:w="787" w:type="dxa"/>
            <w:shd w:val="clear" w:color="auto" w:fill="auto"/>
            <w:vAlign w:val="center"/>
          </w:tcPr>
          <w:p w14:paraId="66E44D6C" w14:textId="77777777" w:rsidR="00004C1E" w:rsidRPr="007C5C0D" w:rsidRDefault="00004C1E" w:rsidP="002A7EFA">
            <w:pPr>
              <w:pStyle w:val="BodyText"/>
              <w:jc w:val="center"/>
              <w:rPr>
                <w:b/>
                <w:bCs/>
                <w:sz w:val="16"/>
                <w:szCs w:val="16"/>
              </w:rPr>
            </w:pPr>
            <w:r w:rsidRPr="007C5C0D">
              <w:rPr>
                <w:b/>
                <w:bCs/>
                <w:color w:val="FF0000"/>
                <w:sz w:val="16"/>
                <w:szCs w:val="16"/>
              </w:rPr>
              <w:t>2,</w:t>
            </w:r>
            <w:r w:rsidRPr="007C5C0D">
              <w:rPr>
                <w:b/>
                <w:bCs/>
                <w:sz w:val="16"/>
                <w:szCs w:val="16"/>
              </w:rPr>
              <w:t xml:space="preserve"> </w:t>
            </w:r>
            <w:r w:rsidRPr="007C5C0D">
              <w:rPr>
                <w:b/>
                <w:bCs/>
                <w:color w:val="00857E" w:themeColor="accent1" w:themeShade="BF"/>
                <w:sz w:val="16"/>
                <w:szCs w:val="16"/>
              </w:rPr>
              <w:t>3</w:t>
            </w:r>
          </w:p>
        </w:tc>
        <w:tc>
          <w:tcPr>
            <w:tcW w:w="788" w:type="dxa"/>
            <w:shd w:val="clear" w:color="auto" w:fill="auto"/>
            <w:vAlign w:val="center"/>
          </w:tcPr>
          <w:p w14:paraId="5F7B1E52" w14:textId="77777777" w:rsidR="00004C1E" w:rsidRPr="007C5C0D" w:rsidRDefault="00004C1E" w:rsidP="002A7EFA">
            <w:pPr>
              <w:pStyle w:val="BodyText"/>
              <w:jc w:val="center"/>
              <w:rPr>
                <w:b/>
                <w:bCs/>
                <w:sz w:val="16"/>
                <w:szCs w:val="16"/>
              </w:rPr>
            </w:pPr>
            <w:r w:rsidRPr="007C5C0D">
              <w:rPr>
                <w:b/>
                <w:bCs/>
                <w:color w:val="FF0000"/>
                <w:sz w:val="16"/>
                <w:szCs w:val="16"/>
              </w:rPr>
              <w:t>4,</w:t>
            </w:r>
            <w:r w:rsidRPr="007C5C0D">
              <w:rPr>
                <w:b/>
                <w:bCs/>
                <w:sz w:val="16"/>
                <w:szCs w:val="16"/>
              </w:rPr>
              <w:t xml:space="preserve"> </w:t>
            </w:r>
            <w:r w:rsidRPr="007C5C0D">
              <w:rPr>
                <w:b/>
                <w:bCs/>
                <w:color w:val="00857E" w:themeColor="accent1" w:themeShade="BF"/>
                <w:sz w:val="16"/>
                <w:szCs w:val="16"/>
              </w:rPr>
              <w:t>3</w:t>
            </w:r>
          </w:p>
        </w:tc>
        <w:tc>
          <w:tcPr>
            <w:tcW w:w="788" w:type="dxa"/>
            <w:shd w:val="clear" w:color="auto" w:fill="auto"/>
            <w:vAlign w:val="center"/>
          </w:tcPr>
          <w:p w14:paraId="114713D2" w14:textId="77777777" w:rsidR="00004C1E" w:rsidRPr="007C5C0D" w:rsidRDefault="00004C1E" w:rsidP="002A7EFA">
            <w:pPr>
              <w:pStyle w:val="BodyText"/>
              <w:jc w:val="center"/>
              <w:rPr>
                <w:b/>
                <w:bCs/>
                <w:sz w:val="16"/>
                <w:szCs w:val="16"/>
              </w:rPr>
            </w:pPr>
            <w:r w:rsidRPr="007C5C0D">
              <w:rPr>
                <w:b/>
                <w:bCs/>
                <w:color w:val="FF0000"/>
                <w:sz w:val="16"/>
                <w:szCs w:val="16"/>
              </w:rPr>
              <w:t>0,</w:t>
            </w:r>
            <w:r w:rsidRPr="007C5C0D">
              <w:rPr>
                <w:b/>
                <w:bCs/>
                <w:sz w:val="16"/>
                <w:szCs w:val="16"/>
              </w:rPr>
              <w:t xml:space="preserve"> </w:t>
            </w:r>
            <w:r w:rsidRPr="007C5C0D">
              <w:rPr>
                <w:b/>
                <w:bCs/>
                <w:color w:val="00857E" w:themeColor="accent1" w:themeShade="BF"/>
                <w:sz w:val="16"/>
                <w:szCs w:val="16"/>
              </w:rPr>
              <w:t>0</w:t>
            </w:r>
          </w:p>
        </w:tc>
        <w:tc>
          <w:tcPr>
            <w:tcW w:w="843" w:type="dxa"/>
          </w:tcPr>
          <w:p w14:paraId="6ED02592" w14:textId="77777777" w:rsidR="00004C1E" w:rsidRPr="007C5C0D" w:rsidRDefault="00004C1E" w:rsidP="002A7EFA">
            <w:pPr>
              <w:pStyle w:val="BodyText"/>
              <w:jc w:val="center"/>
              <w:rPr>
                <w:b/>
                <w:bCs/>
                <w:sz w:val="16"/>
                <w:szCs w:val="16"/>
              </w:rPr>
            </w:pPr>
            <w:r w:rsidRPr="007C5C0D">
              <w:rPr>
                <w:b/>
                <w:bCs/>
                <w:color w:val="FF0000"/>
                <w:sz w:val="16"/>
                <w:szCs w:val="16"/>
              </w:rPr>
              <w:t>15,</w:t>
            </w:r>
            <w:r w:rsidRPr="007C5C0D">
              <w:rPr>
                <w:b/>
                <w:bCs/>
                <w:sz w:val="16"/>
                <w:szCs w:val="16"/>
              </w:rPr>
              <w:t xml:space="preserve"> </w:t>
            </w:r>
            <w:r w:rsidRPr="007C5C0D">
              <w:rPr>
                <w:b/>
                <w:bCs/>
                <w:color w:val="00857E" w:themeColor="accent1" w:themeShade="BF"/>
                <w:sz w:val="16"/>
                <w:szCs w:val="16"/>
              </w:rPr>
              <w:t>15</w:t>
            </w:r>
          </w:p>
        </w:tc>
      </w:tr>
    </w:tbl>
    <w:bookmarkEnd w:id="1404"/>
    <w:p w14:paraId="1ED00598" w14:textId="77777777" w:rsidR="009241D3" w:rsidRPr="00FF310C" w:rsidRDefault="009241D3" w:rsidP="006670D2">
      <w:pPr>
        <w:pStyle w:val="Caption"/>
      </w:pPr>
      <w:r w:rsidRPr="00FF310C">
        <w:t xml:space="preserve">Key: </w:t>
      </w:r>
      <w:r w:rsidRPr="00FF310C">
        <w:tab/>
      </w:r>
      <w:r w:rsidRPr="00FF310C">
        <w:rPr>
          <w:color w:val="FF0000"/>
        </w:rPr>
        <w:t xml:space="preserve">Red </w:t>
      </w:r>
      <w:r w:rsidRPr="00FF310C">
        <w:t xml:space="preserve">= High risk; </w:t>
      </w:r>
      <w:r w:rsidRPr="00FF310C">
        <w:rPr>
          <w:color w:val="00857E" w:themeColor="accent1" w:themeShade="BF"/>
        </w:rPr>
        <w:t xml:space="preserve">Blue </w:t>
      </w:r>
      <w:r w:rsidRPr="00FF310C">
        <w:t xml:space="preserve">= Significant risk. </w:t>
      </w:r>
    </w:p>
    <w:p w14:paraId="2D735D74" w14:textId="5DA061B1" w:rsidR="009241D3" w:rsidRDefault="009241D3" w:rsidP="009241D3">
      <w:pPr>
        <w:pStyle w:val="BodyText"/>
      </w:pPr>
      <w:r>
        <w:t>CH = Central Highlands RFA</w:t>
      </w:r>
      <w:r w:rsidR="009B3219">
        <w:t xml:space="preserve"> region</w:t>
      </w:r>
      <w:r>
        <w:t>; EG = East Gippsland RFA</w:t>
      </w:r>
      <w:r w:rsidR="009B3219">
        <w:t xml:space="preserve"> region</w:t>
      </w:r>
      <w:r>
        <w:t>; G = Gippsland RFA</w:t>
      </w:r>
      <w:r w:rsidR="009B3219">
        <w:t xml:space="preserve"> region</w:t>
      </w:r>
      <w:r>
        <w:t>; NE = North East RFA</w:t>
      </w:r>
      <w:r w:rsidR="009B3219">
        <w:t xml:space="preserve"> region</w:t>
      </w:r>
      <w:r>
        <w:t>; W = West RFA</w:t>
      </w:r>
      <w:r w:rsidR="009B3219">
        <w:t xml:space="preserve"> region.</w:t>
      </w:r>
    </w:p>
    <w:p w14:paraId="10EA8647" w14:textId="0DC3D210" w:rsidR="00013543" w:rsidRDefault="00013543">
      <w:pPr>
        <w:rPr>
          <w:rFonts w:cs="Times New Roman"/>
          <w:sz w:val="18"/>
          <w:szCs w:val="18"/>
          <w:lang w:eastAsia="en-US"/>
        </w:rPr>
      </w:pPr>
      <w:r>
        <w:br w:type="page"/>
      </w:r>
    </w:p>
    <w:p w14:paraId="671C5981" w14:textId="51FAF56C" w:rsidR="00013543" w:rsidRPr="00672700" w:rsidRDefault="00013543" w:rsidP="00915D82">
      <w:pPr>
        <w:pStyle w:val="Heading1"/>
        <w:numPr>
          <w:ilvl w:val="0"/>
          <w:numId w:val="0"/>
        </w:numPr>
      </w:pPr>
      <w:bookmarkStart w:id="1405" w:name="_Toc85531893"/>
      <w:bookmarkStart w:id="1406" w:name="_Toc113271087"/>
      <w:r w:rsidRPr="00672700">
        <w:t>Appendix 2</w:t>
      </w:r>
      <w:bookmarkEnd w:id="1405"/>
      <w:bookmarkEnd w:id="1406"/>
      <w:r w:rsidR="00114EB3">
        <w:t xml:space="preserve"> – Methods </w:t>
      </w:r>
    </w:p>
    <w:p w14:paraId="45A297DC" w14:textId="77777777" w:rsidR="00013543" w:rsidRPr="00280876" w:rsidRDefault="00013543" w:rsidP="00915D82">
      <w:pPr>
        <w:pStyle w:val="Heading2"/>
        <w:numPr>
          <w:ilvl w:val="0"/>
          <w:numId w:val="0"/>
        </w:numPr>
      </w:pPr>
      <w:bookmarkStart w:id="1407" w:name="_Toc78194259"/>
      <w:bookmarkStart w:id="1408" w:name="_Toc78194300"/>
      <w:bookmarkStart w:id="1409" w:name="_Toc78194366"/>
      <w:bookmarkStart w:id="1410" w:name="_Toc78875484"/>
      <w:bookmarkStart w:id="1411" w:name="_Toc78877160"/>
      <w:bookmarkStart w:id="1412" w:name="_Toc85531894"/>
      <w:bookmarkStart w:id="1413" w:name="_Toc101352478"/>
      <w:bookmarkStart w:id="1414" w:name="_Toc106615354"/>
      <w:bookmarkStart w:id="1415" w:name="_Toc106616284"/>
      <w:bookmarkStart w:id="1416" w:name="_Toc107562205"/>
      <w:bookmarkStart w:id="1417" w:name="_Toc108171065"/>
      <w:bookmarkStart w:id="1418" w:name="_Toc111544087"/>
      <w:bookmarkStart w:id="1419" w:name="_Toc111560217"/>
      <w:bookmarkStart w:id="1420" w:name="_Toc113271088"/>
      <w:r>
        <w:t>Summary of methods</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09A89F47" w14:textId="6D652FAB" w:rsidR="00013543" w:rsidRPr="00280876" w:rsidRDefault="00013543" w:rsidP="00013543">
      <w:pPr>
        <w:pStyle w:val="BodyText"/>
        <w:rPr>
          <w:rFonts w:ascii="Arial" w:hAnsi="Arial"/>
        </w:rPr>
      </w:pPr>
      <w:r w:rsidRPr="00280876">
        <w:rPr>
          <w:rFonts w:ascii="Arial" w:hAnsi="Arial"/>
        </w:rPr>
        <w:t>These methods are broadly based on the DELWP risk management guidelines</w:t>
      </w:r>
      <w:r w:rsidR="002029E4" w:rsidRPr="00280876">
        <w:rPr>
          <w:rFonts w:ascii="Arial" w:hAnsi="Arial"/>
        </w:rPr>
        <w:t>,</w:t>
      </w:r>
      <w:r w:rsidRPr="00280876">
        <w:rPr>
          <w:rFonts w:ascii="Arial" w:hAnsi="Arial"/>
        </w:rPr>
        <w:t xml:space="preserve"> but they have been modified for application to an environmental context.</w:t>
      </w:r>
    </w:p>
    <w:p w14:paraId="24F31DCB" w14:textId="77777777" w:rsidR="00013543" w:rsidRPr="00280876" w:rsidRDefault="00013543" w:rsidP="00915D82">
      <w:pPr>
        <w:pStyle w:val="Heading2"/>
        <w:numPr>
          <w:ilvl w:val="0"/>
          <w:numId w:val="0"/>
        </w:numPr>
      </w:pPr>
      <w:bookmarkStart w:id="1421" w:name="_Toc78194260"/>
      <w:bookmarkStart w:id="1422" w:name="_Toc78194301"/>
      <w:bookmarkStart w:id="1423" w:name="_Toc78194367"/>
      <w:bookmarkStart w:id="1424" w:name="_Toc78875485"/>
      <w:bookmarkStart w:id="1425" w:name="_Toc78877161"/>
      <w:bookmarkStart w:id="1426" w:name="_Toc85531895"/>
      <w:bookmarkStart w:id="1427" w:name="_Toc101352479"/>
      <w:bookmarkStart w:id="1428" w:name="_Toc106615355"/>
      <w:bookmarkStart w:id="1429" w:name="_Toc106616285"/>
      <w:bookmarkStart w:id="1430" w:name="_Toc107562206"/>
      <w:bookmarkStart w:id="1431" w:name="_Toc108171066"/>
      <w:bookmarkStart w:id="1432" w:name="_Toc111544088"/>
      <w:bookmarkStart w:id="1433" w:name="_Toc111560218"/>
      <w:bookmarkStart w:id="1434" w:name="_Toc113271089"/>
      <w:r w:rsidRPr="00280876">
        <w:t xml:space="preserve">Step 1: Establish the </w:t>
      </w:r>
      <w:bookmarkEnd w:id="1421"/>
      <w:bookmarkEnd w:id="1422"/>
      <w:bookmarkEnd w:id="1423"/>
      <w:r>
        <w:t>c</w:t>
      </w:r>
      <w:r w:rsidRPr="00280876">
        <w:t>ontext</w:t>
      </w:r>
      <w:bookmarkEnd w:id="1424"/>
      <w:bookmarkEnd w:id="1425"/>
      <w:bookmarkEnd w:id="1426"/>
      <w:bookmarkEnd w:id="1427"/>
      <w:bookmarkEnd w:id="1428"/>
      <w:bookmarkEnd w:id="1429"/>
      <w:bookmarkEnd w:id="1430"/>
      <w:bookmarkEnd w:id="1431"/>
      <w:bookmarkEnd w:id="1432"/>
      <w:bookmarkEnd w:id="1433"/>
      <w:bookmarkEnd w:id="1434"/>
      <w:r w:rsidRPr="00280876">
        <w:t xml:space="preserve"> </w:t>
      </w:r>
    </w:p>
    <w:p w14:paraId="1DCAB4AA" w14:textId="7959790F" w:rsidR="00013543" w:rsidRPr="009B15A9" w:rsidRDefault="00013543" w:rsidP="00013543">
      <w:pPr>
        <w:pStyle w:val="BodyText"/>
        <w:rPr>
          <w:rFonts w:ascii="Arial" w:hAnsi="Arial"/>
        </w:rPr>
      </w:pPr>
      <w:r w:rsidRPr="009B15A9">
        <w:rPr>
          <w:rFonts w:ascii="Arial" w:hAnsi="Arial"/>
        </w:rPr>
        <w:t xml:space="preserve">For each species some key information </w:t>
      </w:r>
      <w:r w:rsidR="00C82C39">
        <w:rPr>
          <w:rFonts w:ascii="Arial" w:hAnsi="Arial"/>
        </w:rPr>
        <w:t>was</w:t>
      </w:r>
      <w:r w:rsidRPr="009B15A9">
        <w:rPr>
          <w:rFonts w:ascii="Arial" w:hAnsi="Arial"/>
        </w:rPr>
        <w:t xml:space="preserve"> provided (pre-filled) to set the context for the species or community. This information include</w:t>
      </w:r>
      <w:r w:rsidR="00C82C39">
        <w:rPr>
          <w:rFonts w:ascii="Arial" w:hAnsi="Arial"/>
        </w:rPr>
        <w:t>d</w:t>
      </w:r>
      <w:r w:rsidRPr="009B15A9">
        <w:rPr>
          <w:rFonts w:ascii="Arial" w:hAnsi="Arial"/>
        </w:rPr>
        <w:t xml:space="preserve"> listing status, information on the spatial distribution, fire history and tenure of modelled habitat. A stocktake of relevant literature </w:t>
      </w:r>
      <w:r w:rsidR="00C82C39">
        <w:rPr>
          <w:rFonts w:ascii="Arial" w:hAnsi="Arial"/>
        </w:rPr>
        <w:t>was</w:t>
      </w:r>
      <w:r w:rsidRPr="009B15A9">
        <w:rPr>
          <w:rFonts w:ascii="Arial" w:hAnsi="Arial"/>
        </w:rPr>
        <w:t xml:space="preserve"> also provided</w:t>
      </w:r>
      <w:r w:rsidR="00C82C39">
        <w:rPr>
          <w:rFonts w:ascii="Arial" w:hAnsi="Arial"/>
        </w:rPr>
        <w:t xml:space="preserve"> where available</w:t>
      </w:r>
      <w:r w:rsidRPr="009B15A9">
        <w:rPr>
          <w:rFonts w:ascii="Arial" w:hAnsi="Arial"/>
        </w:rPr>
        <w:t xml:space="preserve">. </w:t>
      </w:r>
    </w:p>
    <w:p w14:paraId="04818EEA" w14:textId="77777777" w:rsidR="00013543" w:rsidRPr="009B15A9" w:rsidRDefault="00013543" w:rsidP="00013543">
      <w:pPr>
        <w:pStyle w:val="BodyText"/>
        <w:rPr>
          <w:rFonts w:ascii="Arial" w:hAnsi="Arial"/>
        </w:rPr>
      </w:pPr>
      <w:r w:rsidRPr="009B15A9">
        <w:rPr>
          <w:rFonts w:ascii="Arial" w:hAnsi="Arial"/>
        </w:rPr>
        <w:t xml:space="preserve">Experts </w:t>
      </w:r>
      <w:r w:rsidRPr="009B15A9">
        <w:t>we</w:t>
      </w:r>
      <w:r w:rsidRPr="009B15A9">
        <w:rPr>
          <w:rFonts w:ascii="Arial" w:hAnsi="Arial"/>
        </w:rPr>
        <w:t xml:space="preserve">re asked to: </w:t>
      </w:r>
    </w:p>
    <w:p w14:paraId="7954607A" w14:textId="77777777" w:rsidR="00013543" w:rsidRPr="009B15A9" w:rsidRDefault="00013543" w:rsidP="00A0496F">
      <w:pPr>
        <w:pStyle w:val="ListBullet"/>
        <w:numPr>
          <w:ilvl w:val="0"/>
          <w:numId w:val="21"/>
        </w:numPr>
        <w:rPr>
          <w:rFonts w:ascii="Arial" w:hAnsi="Arial"/>
        </w:rPr>
      </w:pPr>
      <w:r w:rsidRPr="009B15A9">
        <w:rPr>
          <w:rFonts w:ascii="Arial" w:hAnsi="Arial"/>
        </w:rPr>
        <w:t>provide information about their knowledge of the species;</w:t>
      </w:r>
    </w:p>
    <w:p w14:paraId="35060E60" w14:textId="77777777" w:rsidR="00013543" w:rsidRPr="009B15A9" w:rsidRDefault="00013543" w:rsidP="00A0496F">
      <w:pPr>
        <w:pStyle w:val="ListBullet"/>
        <w:numPr>
          <w:ilvl w:val="0"/>
          <w:numId w:val="21"/>
        </w:numPr>
        <w:rPr>
          <w:rFonts w:ascii="Arial" w:hAnsi="Arial"/>
        </w:rPr>
      </w:pPr>
      <w:r w:rsidRPr="009B15A9">
        <w:rPr>
          <w:rFonts w:ascii="Arial" w:hAnsi="Arial"/>
        </w:rPr>
        <w:t>provide any recommended further sources of information on the species; and</w:t>
      </w:r>
    </w:p>
    <w:p w14:paraId="44623BA3" w14:textId="77777777" w:rsidR="00013543" w:rsidRPr="009B15A9" w:rsidRDefault="00013543" w:rsidP="00A0496F">
      <w:pPr>
        <w:pStyle w:val="ListBullet"/>
        <w:numPr>
          <w:ilvl w:val="0"/>
          <w:numId w:val="21"/>
        </w:numPr>
        <w:rPr>
          <w:rFonts w:ascii="Arial" w:hAnsi="Arial"/>
        </w:rPr>
      </w:pPr>
      <w:r w:rsidRPr="009B15A9">
        <w:rPr>
          <w:rFonts w:ascii="Arial" w:hAnsi="Arial"/>
        </w:rPr>
        <w:t xml:space="preserve">provide an overall comment on the accuracy of the species Habitat Distribution Model, Important Populations Data Set and VBA records </w:t>
      </w:r>
    </w:p>
    <w:p w14:paraId="0796AFFD" w14:textId="77777777" w:rsidR="00013543" w:rsidRPr="00280876" w:rsidRDefault="00013543" w:rsidP="00915D82">
      <w:pPr>
        <w:pStyle w:val="Heading2"/>
        <w:numPr>
          <w:ilvl w:val="0"/>
          <w:numId w:val="0"/>
        </w:numPr>
      </w:pPr>
      <w:bookmarkStart w:id="1435" w:name="_Toc78194261"/>
      <w:bookmarkStart w:id="1436" w:name="_Toc78194302"/>
      <w:bookmarkStart w:id="1437" w:name="_Toc78194368"/>
      <w:bookmarkStart w:id="1438" w:name="_Toc78875486"/>
      <w:bookmarkStart w:id="1439" w:name="_Toc78877162"/>
      <w:bookmarkStart w:id="1440" w:name="_Toc85531896"/>
      <w:bookmarkStart w:id="1441" w:name="_Toc101352480"/>
      <w:bookmarkStart w:id="1442" w:name="_Toc106615356"/>
      <w:bookmarkStart w:id="1443" w:name="_Toc106616286"/>
      <w:bookmarkStart w:id="1444" w:name="_Toc107562207"/>
      <w:bookmarkStart w:id="1445" w:name="_Toc108171067"/>
      <w:bookmarkStart w:id="1446" w:name="_Toc111544089"/>
      <w:bookmarkStart w:id="1447" w:name="_Toc111560219"/>
      <w:bookmarkStart w:id="1448" w:name="_Toc113271090"/>
      <w:r w:rsidRPr="00280876">
        <w:t>Step 2: Conduct the hazard assessment per RFA region</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r w:rsidRPr="00280876">
        <w:t xml:space="preserve"> </w:t>
      </w:r>
    </w:p>
    <w:p w14:paraId="3AEA333C" w14:textId="77777777" w:rsidR="00013543" w:rsidRPr="009B15A9" w:rsidRDefault="00013543" w:rsidP="00013543">
      <w:pPr>
        <w:pStyle w:val="BodyText"/>
        <w:rPr>
          <w:rFonts w:ascii="Arial" w:hAnsi="Arial"/>
        </w:rPr>
      </w:pPr>
      <w:r w:rsidRPr="009B15A9">
        <w:rPr>
          <w:rFonts w:ascii="Arial" w:hAnsi="Arial"/>
        </w:rPr>
        <w:t xml:space="preserve">In this step experts </w:t>
      </w:r>
      <w:r w:rsidRPr="009B15A9">
        <w:t>we</w:t>
      </w:r>
      <w:r w:rsidRPr="009B15A9">
        <w:rPr>
          <w:rFonts w:ascii="Arial" w:hAnsi="Arial"/>
        </w:rPr>
        <w:t xml:space="preserve">re asked to describe the major hazards operating on the species or community within each RFA region that it occurs. A hazard can apply equally in each region or may vary between regions. </w:t>
      </w:r>
      <w:r w:rsidRPr="009B15A9">
        <w:t>Experts were asked to c</w:t>
      </w:r>
      <w:r w:rsidRPr="009B15A9">
        <w:rPr>
          <w:rFonts w:ascii="Arial" w:hAnsi="Arial"/>
        </w:rPr>
        <w:t xml:space="preserve">omplete one page per hazard per region (or multiple regions if risk and control ratings are equivalent). </w:t>
      </w:r>
    </w:p>
    <w:p w14:paraId="45BC52B9" w14:textId="77777777" w:rsidR="00013543" w:rsidRPr="009B15A9" w:rsidRDefault="00013543" w:rsidP="00013543">
      <w:pPr>
        <w:pStyle w:val="BodyText"/>
        <w:rPr>
          <w:rFonts w:ascii="Arial" w:hAnsi="Arial"/>
        </w:rPr>
      </w:pPr>
      <w:r w:rsidRPr="009B15A9">
        <w:rPr>
          <w:rFonts w:ascii="Arial" w:hAnsi="Arial"/>
        </w:rPr>
        <w:t xml:space="preserve">Experts </w:t>
      </w:r>
      <w:r w:rsidRPr="009B15A9">
        <w:t xml:space="preserve">were asked to </w:t>
      </w:r>
      <w:r w:rsidRPr="009B15A9">
        <w:rPr>
          <w:rFonts w:ascii="Arial" w:hAnsi="Arial"/>
        </w:rPr>
        <w:t xml:space="preserve">refer to the information provided in Step 1 in making their assessment. </w:t>
      </w:r>
    </w:p>
    <w:p w14:paraId="64BE5973" w14:textId="77777777" w:rsidR="00013543" w:rsidRPr="009B15A9" w:rsidRDefault="00013543" w:rsidP="00013543">
      <w:pPr>
        <w:pStyle w:val="BodyText"/>
        <w:rPr>
          <w:rFonts w:ascii="Arial" w:hAnsi="Arial"/>
        </w:rPr>
      </w:pPr>
      <w:r w:rsidRPr="009B15A9">
        <w:rPr>
          <w:rFonts w:ascii="Arial" w:hAnsi="Arial"/>
        </w:rPr>
        <w:t xml:space="preserve">Experts </w:t>
      </w:r>
      <w:r w:rsidRPr="009B15A9">
        <w:t>we</w:t>
      </w:r>
      <w:r w:rsidRPr="009B15A9">
        <w:rPr>
          <w:rFonts w:ascii="Arial" w:hAnsi="Arial"/>
        </w:rPr>
        <w:t xml:space="preserve">re asked to: </w:t>
      </w:r>
    </w:p>
    <w:p w14:paraId="757A6D3C" w14:textId="67528203" w:rsidR="00013543" w:rsidRPr="009B15A9" w:rsidRDefault="00013543" w:rsidP="00A0496F">
      <w:pPr>
        <w:pStyle w:val="ListBullet"/>
        <w:numPr>
          <w:ilvl w:val="0"/>
          <w:numId w:val="22"/>
        </w:numPr>
        <w:rPr>
          <w:rFonts w:ascii="Arial" w:hAnsi="Arial"/>
        </w:rPr>
      </w:pPr>
      <w:r w:rsidRPr="009B15A9">
        <w:rPr>
          <w:rFonts w:ascii="Arial" w:hAnsi="Arial"/>
        </w:rPr>
        <w:t>identify the hazard or describe any additional hazards;</w:t>
      </w:r>
    </w:p>
    <w:p w14:paraId="74BD9C8A" w14:textId="77777777" w:rsidR="00013543" w:rsidRPr="009B15A9" w:rsidRDefault="00013543" w:rsidP="00A0496F">
      <w:pPr>
        <w:pStyle w:val="ListBullet"/>
        <w:numPr>
          <w:ilvl w:val="0"/>
          <w:numId w:val="22"/>
        </w:numPr>
        <w:rPr>
          <w:rFonts w:ascii="Arial" w:hAnsi="Arial"/>
        </w:rPr>
      </w:pPr>
      <w:r w:rsidRPr="009B15A9">
        <w:rPr>
          <w:rFonts w:ascii="Arial" w:hAnsi="Arial"/>
        </w:rPr>
        <w:t>provide hazard details (i.e. Any additional information on the hazard, if required such as ‘only impacts near the Snowy River’);</w:t>
      </w:r>
    </w:p>
    <w:p w14:paraId="292B632E" w14:textId="77777777" w:rsidR="00013543" w:rsidRPr="009B15A9" w:rsidRDefault="00013543" w:rsidP="00A0496F">
      <w:pPr>
        <w:pStyle w:val="ListBullet"/>
        <w:numPr>
          <w:ilvl w:val="0"/>
          <w:numId w:val="22"/>
        </w:numPr>
        <w:rPr>
          <w:rFonts w:ascii="Arial" w:hAnsi="Arial"/>
        </w:rPr>
      </w:pPr>
      <w:r w:rsidRPr="009B15A9">
        <w:rPr>
          <w:rFonts w:ascii="Arial" w:hAnsi="Arial"/>
        </w:rPr>
        <w:t>describe the mechanism of impact of the hazard on the species; and</w:t>
      </w:r>
    </w:p>
    <w:p w14:paraId="008897BC" w14:textId="77777777" w:rsidR="00013543" w:rsidRPr="009B15A9" w:rsidRDefault="00013543" w:rsidP="00A0496F">
      <w:pPr>
        <w:pStyle w:val="ListBullet"/>
        <w:numPr>
          <w:ilvl w:val="0"/>
          <w:numId w:val="22"/>
        </w:numPr>
        <w:rPr>
          <w:rFonts w:ascii="Arial" w:hAnsi="Arial"/>
        </w:rPr>
      </w:pPr>
      <w:r w:rsidRPr="009B15A9">
        <w:rPr>
          <w:rFonts w:ascii="Arial" w:hAnsi="Arial"/>
        </w:rPr>
        <w:t xml:space="preserve">provide a statement on the interaction with other hazards. </w:t>
      </w:r>
    </w:p>
    <w:p w14:paraId="1331A75F" w14:textId="77777777" w:rsidR="00013543" w:rsidRPr="00280876" w:rsidRDefault="00013543" w:rsidP="00915D82">
      <w:pPr>
        <w:pStyle w:val="Heading2"/>
        <w:numPr>
          <w:ilvl w:val="0"/>
          <w:numId w:val="0"/>
        </w:numPr>
      </w:pPr>
      <w:bookmarkStart w:id="1449" w:name="_Toc78194262"/>
      <w:bookmarkStart w:id="1450" w:name="_Toc78194303"/>
      <w:bookmarkStart w:id="1451" w:name="_Toc78194369"/>
      <w:bookmarkStart w:id="1452" w:name="_Toc78875487"/>
      <w:bookmarkStart w:id="1453" w:name="_Toc78877163"/>
      <w:bookmarkStart w:id="1454" w:name="_Toc85531897"/>
      <w:bookmarkStart w:id="1455" w:name="_Toc101352481"/>
      <w:bookmarkStart w:id="1456" w:name="_Toc106615357"/>
      <w:bookmarkStart w:id="1457" w:name="_Toc106616287"/>
      <w:bookmarkStart w:id="1458" w:name="_Toc107562208"/>
      <w:bookmarkStart w:id="1459" w:name="_Toc108171068"/>
      <w:bookmarkStart w:id="1460" w:name="_Toc111544090"/>
      <w:bookmarkStart w:id="1461" w:name="_Toc111560220"/>
      <w:bookmarkStart w:id="1462" w:name="_Toc113271091"/>
      <w:r w:rsidRPr="00280876">
        <w:t>Step 3: Evaluation of existing controls</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72EE9118" w14:textId="60960076" w:rsidR="00013543" w:rsidRPr="009B15A9" w:rsidRDefault="00013543" w:rsidP="00013543">
      <w:pPr>
        <w:pStyle w:val="BodyText"/>
        <w:rPr>
          <w:rFonts w:ascii="Arial" w:hAnsi="Arial"/>
        </w:rPr>
      </w:pPr>
      <w:r w:rsidRPr="009B15A9">
        <w:rPr>
          <w:rFonts w:ascii="Arial" w:hAnsi="Arial"/>
        </w:rPr>
        <w:t xml:space="preserve">A risk assessment should be performed to establish a realistic view of risks requiring consideration and/or treatment within the context of the risk assessment. Therefore, when performing </w:t>
      </w:r>
      <w:r w:rsidR="00706EF9">
        <w:rPr>
          <w:rFonts w:ascii="Arial" w:hAnsi="Arial"/>
        </w:rPr>
        <w:t xml:space="preserve">the </w:t>
      </w:r>
      <w:r w:rsidRPr="009B15A9">
        <w:rPr>
          <w:rFonts w:ascii="Arial" w:hAnsi="Arial"/>
        </w:rPr>
        <w:t xml:space="preserve">risk assessment and discussing hazards, the current controls or policy settings </w:t>
      </w:r>
      <w:r w:rsidR="00706EF9">
        <w:rPr>
          <w:rFonts w:ascii="Arial" w:hAnsi="Arial"/>
        </w:rPr>
        <w:t>were to</w:t>
      </w:r>
      <w:r w:rsidRPr="009B15A9">
        <w:rPr>
          <w:rFonts w:ascii="Arial" w:hAnsi="Arial"/>
        </w:rPr>
        <w:t xml:space="preserve"> be considered. </w:t>
      </w:r>
    </w:p>
    <w:p w14:paraId="45414A28" w14:textId="77777777" w:rsidR="00013543" w:rsidRPr="009B15A9" w:rsidRDefault="00013543" w:rsidP="00013543">
      <w:pPr>
        <w:pStyle w:val="BodyText"/>
        <w:rPr>
          <w:rFonts w:ascii="Arial" w:hAnsi="Arial"/>
        </w:rPr>
      </w:pPr>
      <w:r w:rsidRPr="009B15A9">
        <w:rPr>
          <w:rFonts w:ascii="Arial" w:hAnsi="Arial"/>
        </w:rPr>
        <w:t xml:space="preserve">For each hazard experts </w:t>
      </w:r>
      <w:r w:rsidRPr="009B15A9">
        <w:t>we</w:t>
      </w:r>
      <w:r w:rsidRPr="009B15A9">
        <w:rPr>
          <w:rFonts w:ascii="Arial" w:hAnsi="Arial"/>
        </w:rPr>
        <w:t>re asked to:</w:t>
      </w:r>
    </w:p>
    <w:p w14:paraId="74C6A922" w14:textId="77777777" w:rsidR="00013543" w:rsidRPr="009B15A9" w:rsidRDefault="00013543" w:rsidP="00A0496F">
      <w:pPr>
        <w:pStyle w:val="ListBullet"/>
        <w:numPr>
          <w:ilvl w:val="0"/>
          <w:numId w:val="23"/>
        </w:numPr>
        <w:rPr>
          <w:rFonts w:ascii="Arial" w:hAnsi="Arial"/>
        </w:rPr>
      </w:pPr>
      <w:r w:rsidRPr="009B15A9">
        <w:rPr>
          <w:rFonts w:ascii="Arial" w:hAnsi="Arial"/>
        </w:rPr>
        <w:t>List the controls currently operating to mitigate the hazard, drawing on the general controls list provided to populate this field with any relevant mechanism;</w:t>
      </w:r>
    </w:p>
    <w:p w14:paraId="04537DEF" w14:textId="282EA24F" w:rsidR="00013543" w:rsidRPr="009B15A9" w:rsidRDefault="00013543" w:rsidP="00A0496F">
      <w:pPr>
        <w:pStyle w:val="ListBullet"/>
        <w:numPr>
          <w:ilvl w:val="0"/>
          <w:numId w:val="23"/>
        </w:numPr>
        <w:rPr>
          <w:rFonts w:ascii="Arial" w:hAnsi="Arial"/>
        </w:rPr>
      </w:pPr>
      <w:r w:rsidRPr="009B15A9">
        <w:rPr>
          <w:rFonts w:ascii="Arial" w:hAnsi="Arial"/>
        </w:rPr>
        <w:t xml:space="preserve">Assess the effectiveness of the controls </w:t>
      </w:r>
      <w:r>
        <w:rPr>
          <w:rFonts w:ascii="Arial" w:hAnsi="Arial"/>
        </w:rPr>
        <w:t xml:space="preserve">(see Table </w:t>
      </w:r>
      <w:r w:rsidR="00701B9B">
        <w:rPr>
          <w:rFonts w:ascii="Arial" w:hAnsi="Arial"/>
        </w:rPr>
        <w:t>302</w:t>
      </w:r>
      <w:r>
        <w:rPr>
          <w:rFonts w:ascii="Arial" w:hAnsi="Arial"/>
        </w:rPr>
        <w:t xml:space="preserve"> below); and</w:t>
      </w:r>
    </w:p>
    <w:p w14:paraId="1212E19D" w14:textId="77777777" w:rsidR="00013543" w:rsidRPr="009B15A9" w:rsidRDefault="00013543" w:rsidP="00A0496F">
      <w:pPr>
        <w:pStyle w:val="ListBullet"/>
        <w:numPr>
          <w:ilvl w:val="0"/>
          <w:numId w:val="23"/>
        </w:numPr>
        <w:rPr>
          <w:rFonts w:ascii="Arial" w:hAnsi="Arial"/>
        </w:rPr>
      </w:pPr>
      <w:r w:rsidRPr="009B15A9">
        <w:rPr>
          <w:rFonts w:ascii="Arial" w:hAnsi="Arial"/>
        </w:rPr>
        <w:t>Provide and explanation for the rating of the effectiveness of the existing control.</w:t>
      </w:r>
    </w:p>
    <w:p w14:paraId="796608D1" w14:textId="77777777" w:rsidR="00013543" w:rsidRPr="00280876" w:rsidRDefault="00013543" w:rsidP="00915D82">
      <w:pPr>
        <w:pStyle w:val="Heading2"/>
        <w:numPr>
          <w:ilvl w:val="0"/>
          <w:numId w:val="0"/>
        </w:numPr>
      </w:pPr>
      <w:bookmarkStart w:id="1463" w:name="_Toc78194263"/>
      <w:bookmarkStart w:id="1464" w:name="_Toc78194304"/>
      <w:bookmarkStart w:id="1465" w:name="_Toc78194370"/>
      <w:bookmarkStart w:id="1466" w:name="_Toc78875488"/>
      <w:bookmarkStart w:id="1467" w:name="_Toc78877164"/>
      <w:bookmarkStart w:id="1468" w:name="_Toc85531898"/>
      <w:bookmarkStart w:id="1469" w:name="_Toc101352482"/>
      <w:bookmarkStart w:id="1470" w:name="_Toc106615358"/>
      <w:bookmarkStart w:id="1471" w:name="_Toc106616288"/>
      <w:bookmarkStart w:id="1472" w:name="_Toc107562209"/>
      <w:bookmarkStart w:id="1473" w:name="_Toc108171069"/>
      <w:bookmarkStart w:id="1474" w:name="_Toc111544091"/>
      <w:bookmarkStart w:id="1475" w:name="_Toc111560221"/>
      <w:bookmarkStart w:id="1476" w:name="_Toc113271092"/>
      <w:r w:rsidRPr="00280876">
        <w:t>Step 4: Risk assessment</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r w:rsidRPr="00280876">
        <w:t xml:space="preserve"> </w:t>
      </w:r>
    </w:p>
    <w:p w14:paraId="5A6D3063" w14:textId="77777777" w:rsidR="00013543" w:rsidRPr="009B15A9" w:rsidRDefault="00013543" w:rsidP="00013543">
      <w:pPr>
        <w:pStyle w:val="BodyText"/>
        <w:rPr>
          <w:rFonts w:ascii="Arial" w:hAnsi="Arial"/>
        </w:rPr>
      </w:pPr>
      <w:r w:rsidRPr="009B15A9">
        <w:rPr>
          <w:rFonts w:ascii="Arial" w:hAnsi="Arial"/>
        </w:rPr>
        <w:t xml:space="preserve">Current risk assessment is an assessment of the risk rating as it stands today, with consideration of all existing controls currently in place. Experts </w:t>
      </w:r>
      <w:r w:rsidRPr="009B15A9">
        <w:t>we</w:t>
      </w:r>
      <w:r w:rsidRPr="009B15A9">
        <w:rPr>
          <w:rFonts w:ascii="Arial" w:hAnsi="Arial"/>
        </w:rPr>
        <w:t xml:space="preserve">re asked to assess the consequence on the species if the hazard occurs, given the vulnerability of the species or community to the hazard and the effectiveness of the current controls. Experts </w:t>
      </w:r>
      <w:r w:rsidRPr="009B15A9">
        <w:t>we</w:t>
      </w:r>
      <w:r w:rsidRPr="009B15A9">
        <w:rPr>
          <w:rFonts w:ascii="Arial" w:hAnsi="Arial"/>
        </w:rPr>
        <w:t xml:space="preserve">re then asked to make a judgement on the likelihood of the hazard having the expected consequence and determine the overall risk level according to the likelihood and consequence scales. </w:t>
      </w:r>
    </w:p>
    <w:p w14:paraId="29E6268D" w14:textId="77777777" w:rsidR="00013543" w:rsidRPr="009B15A9" w:rsidRDefault="00013543" w:rsidP="00013543">
      <w:pPr>
        <w:pStyle w:val="BodyText"/>
        <w:rPr>
          <w:rFonts w:ascii="Arial" w:hAnsi="Arial"/>
        </w:rPr>
      </w:pPr>
      <w:r w:rsidRPr="009B15A9">
        <w:rPr>
          <w:rFonts w:ascii="Arial" w:hAnsi="Arial"/>
        </w:rPr>
        <w:t xml:space="preserve">In this step experts </w:t>
      </w:r>
      <w:r w:rsidRPr="009B15A9">
        <w:t>we</w:t>
      </w:r>
      <w:r w:rsidRPr="009B15A9">
        <w:rPr>
          <w:rFonts w:ascii="Arial" w:hAnsi="Arial"/>
        </w:rPr>
        <w:t xml:space="preserve">re asked to provide the following for each risk listed for each RFA region per species or community: </w:t>
      </w:r>
    </w:p>
    <w:p w14:paraId="7D61A7DD" w14:textId="4D54B305" w:rsidR="00013543" w:rsidRPr="009B15A9" w:rsidRDefault="00013543" w:rsidP="00A0496F">
      <w:pPr>
        <w:pStyle w:val="ListBullet"/>
        <w:numPr>
          <w:ilvl w:val="0"/>
          <w:numId w:val="24"/>
        </w:numPr>
        <w:rPr>
          <w:rFonts w:ascii="Arial" w:hAnsi="Arial"/>
        </w:rPr>
      </w:pPr>
      <w:r w:rsidRPr="009B15A9">
        <w:rPr>
          <w:rFonts w:ascii="Arial" w:hAnsi="Arial"/>
        </w:rPr>
        <w:t>Consequence</w:t>
      </w:r>
      <w:r>
        <w:rPr>
          <w:rFonts w:ascii="Arial" w:hAnsi="Arial"/>
        </w:rPr>
        <w:t xml:space="preserve"> </w:t>
      </w:r>
      <w:r w:rsidRPr="009B15A9">
        <w:rPr>
          <w:rFonts w:ascii="Arial" w:hAnsi="Arial"/>
        </w:rPr>
        <w:t>(</w:t>
      </w:r>
      <w:r>
        <w:rPr>
          <w:rFonts w:ascii="Arial" w:hAnsi="Arial"/>
        </w:rPr>
        <w:t>see Table</w:t>
      </w:r>
      <w:r w:rsidR="00701B9B">
        <w:rPr>
          <w:rFonts w:ascii="Arial" w:hAnsi="Arial"/>
        </w:rPr>
        <w:t xml:space="preserve"> 303</w:t>
      </w:r>
      <w:r>
        <w:rPr>
          <w:rFonts w:ascii="Arial" w:hAnsi="Arial"/>
        </w:rPr>
        <w:t xml:space="preserve"> below</w:t>
      </w:r>
      <w:r w:rsidRPr="009B15A9">
        <w:rPr>
          <w:rFonts w:ascii="Arial" w:hAnsi="Arial"/>
        </w:rPr>
        <w:t>);</w:t>
      </w:r>
    </w:p>
    <w:p w14:paraId="2671D5C7" w14:textId="2307619D" w:rsidR="00013543" w:rsidRPr="009B15A9" w:rsidRDefault="00013543" w:rsidP="00A0496F">
      <w:pPr>
        <w:pStyle w:val="ListBullet"/>
        <w:numPr>
          <w:ilvl w:val="0"/>
          <w:numId w:val="24"/>
        </w:numPr>
        <w:rPr>
          <w:rFonts w:ascii="Arial" w:hAnsi="Arial"/>
        </w:rPr>
      </w:pPr>
      <w:r w:rsidRPr="009B15A9">
        <w:rPr>
          <w:rFonts w:ascii="Arial" w:hAnsi="Arial"/>
        </w:rPr>
        <w:t>Likelihood (</w:t>
      </w:r>
      <w:r>
        <w:rPr>
          <w:rFonts w:ascii="Arial" w:hAnsi="Arial"/>
        </w:rPr>
        <w:t xml:space="preserve">see Table </w:t>
      </w:r>
      <w:r w:rsidR="00701B9B">
        <w:rPr>
          <w:rFonts w:ascii="Arial" w:hAnsi="Arial"/>
        </w:rPr>
        <w:t>304</w:t>
      </w:r>
      <w:r>
        <w:rPr>
          <w:rFonts w:ascii="Arial" w:hAnsi="Arial"/>
        </w:rPr>
        <w:t xml:space="preserve"> below);</w:t>
      </w:r>
      <w:r w:rsidRPr="009B15A9">
        <w:rPr>
          <w:rFonts w:ascii="Arial" w:hAnsi="Arial"/>
        </w:rPr>
        <w:t xml:space="preserve"> </w:t>
      </w:r>
    </w:p>
    <w:p w14:paraId="7822FCF2" w14:textId="6999FB8C" w:rsidR="00013543" w:rsidRPr="009B15A9" w:rsidRDefault="00013543" w:rsidP="00A0496F">
      <w:pPr>
        <w:pStyle w:val="ListBullet"/>
        <w:numPr>
          <w:ilvl w:val="0"/>
          <w:numId w:val="24"/>
        </w:numPr>
        <w:rPr>
          <w:rFonts w:ascii="Arial" w:hAnsi="Arial"/>
        </w:rPr>
      </w:pPr>
      <w:r w:rsidRPr="009B15A9">
        <w:rPr>
          <w:rFonts w:ascii="Arial" w:hAnsi="Arial"/>
        </w:rPr>
        <w:t>Overall risk level (</w:t>
      </w:r>
      <w:r>
        <w:rPr>
          <w:rFonts w:ascii="Arial" w:hAnsi="Arial"/>
        </w:rPr>
        <w:t xml:space="preserve">see Table </w:t>
      </w:r>
      <w:r w:rsidR="00701B9B">
        <w:rPr>
          <w:rFonts w:ascii="Arial" w:hAnsi="Arial"/>
        </w:rPr>
        <w:t>305</w:t>
      </w:r>
      <w:r>
        <w:rPr>
          <w:rFonts w:ascii="Arial" w:hAnsi="Arial"/>
        </w:rPr>
        <w:t xml:space="preserve"> below); and</w:t>
      </w:r>
    </w:p>
    <w:p w14:paraId="714EBEF5" w14:textId="748828F6" w:rsidR="00013543" w:rsidRPr="009B15A9" w:rsidRDefault="00013543" w:rsidP="00A0496F">
      <w:pPr>
        <w:pStyle w:val="ListBullet"/>
        <w:numPr>
          <w:ilvl w:val="0"/>
          <w:numId w:val="24"/>
        </w:numPr>
        <w:rPr>
          <w:rFonts w:ascii="Arial" w:hAnsi="Arial"/>
        </w:rPr>
      </w:pPr>
      <w:r w:rsidRPr="009B15A9">
        <w:rPr>
          <w:rFonts w:ascii="Arial" w:hAnsi="Arial"/>
        </w:rPr>
        <w:t>Confidence in assessment (</w:t>
      </w:r>
      <w:r>
        <w:rPr>
          <w:rFonts w:ascii="Arial" w:hAnsi="Arial"/>
        </w:rPr>
        <w:t xml:space="preserve">see Table </w:t>
      </w:r>
      <w:r w:rsidR="00701B9B">
        <w:rPr>
          <w:rFonts w:ascii="Arial" w:hAnsi="Arial"/>
        </w:rPr>
        <w:t>306</w:t>
      </w:r>
      <w:r>
        <w:rPr>
          <w:rFonts w:ascii="Arial" w:hAnsi="Arial"/>
        </w:rPr>
        <w:t xml:space="preserve"> below).</w:t>
      </w:r>
    </w:p>
    <w:p w14:paraId="75009E55" w14:textId="77777777" w:rsidR="00013543" w:rsidRPr="00280876" w:rsidRDefault="00013543" w:rsidP="00915D82">
      <w:pPr>
        <w:pStyle w:val="Heading2"/>
        <w:numPr>
          <w:ilvl w:val="0"/>
          <w:numId w:val="0"/>
        </w:numPr>
      </w:pPr>
      <w:bookmarkStart w:id="1477" w:name="_Toc78194264"/>
      <w:bookmarkStart w:id="1478" w:name="_Toc78194305"/>
      <w:bookmarkStart w:id="1479" w:name="_Toc78194371"/>
      <w:bookmarkStart w:id="1480" w:name="_Toc78875489"/>
      <w:bookmarkStart w:id="1481" w:name="_Toc78877165"/>
      <w:bookmarkStart w:id="1482" w:name="_Toc85531899"/>
      <w:bookmarkStart w:id="1483" w:name="_Toc101352483"/>
      <w:bookmarkStart w:id="1484" w:name="_Toc106615359"/>
      <w:bookmarkStart w:id="1485" w:name="_Toc106616289"/>
      <w:bookmarkStart w:id="1486" w:name="_Toc107562210"/>
      <w:bookmarkStart w:id="1487" w:name="_Toc108171070"/>
      <w:bookmarkStart w:id="1488" w:name="_Toc111544092"/>
      <w:bookmarkStart w:id="1489" w:name="_Toc111560222"/>
      <w:bookmarkStart w:id="1490" w:name="_Toc113271093"/>
      <w:r w:rsidRPr="00280876">
        <w:t>Step 5: Urgency</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r w:rsidRPr="00280876">
        <w:t xml:space="preserve"> </w:t>
      </w:r>
    </w:p>
    <w:p w14:paraId="33C72149" w14:textId="3261B760" w:rsidR="00013543" w:rsidRPr="009B15A9" w:rsidRDefault="00013543" w:rsidP="00013543">
      <w:pPr>
        <w:pStyle w:val="ListBullet"/>
        <w:numPr>
          <w:ilvl w:val="0"/>
          <w:numId w:val="0"/>
        </w:numPr>
        <w:rPr>
          <w:rFonts w:ascii="Arial" w:hAnsi="Arial"/>
        </w:rPr>
      </w:pPr>
      <w:r w:rsidRPr="009B15A9">
        <w:rPr>
          <w:rFonts w:ascii="Arial" w:hAnsi="Arial"/>
        </w:rPr>
        <w:t xml:space="preserve">Experts were asked to assess the likelihood of serious or irreversible environmental damage prior to </w:t>
      </w:r>
      <w:r w:rsidR="002D3D4E">
        <w:rPr>
          <w:rFonts w:ascii="Arial" w:hAnsi="Arial"/>
        </w:rPr>
        <w:t xml:space="preserve">May 2023 </w:t>
      </w:r>
      <w:r w:rsidRPr="009B15A9">
        <w:rPr>
          <w:rFonts w:ascii="Arial" w:hAnsi="Arial"/>
        </w:rPr>
        <w:t xml:space="preserve">to determine if any interim protections are needed in the short term. Experts are asked to provide: </w:t>
      </w:r>
    </w:p>
    <w:p w14:paraId="7954B17A" w14:textId="1C7BF49B" w:rsidR="00013543" w:rsidRPr="009B15A9" w:rsidRDefault="00013543" w:rsidP="00A0496F">
      <w:pPr>
        <w:pStyle w:val="ListBullet"/>
        <w:numPr>
          <w:ilvl w:val="0"/>
          <w:numId w:val="25"/>
        </w:numPr>
        <w:rPr>
          <w:rFonts w:ascii="Arial" w:hAnsi="Arial"/>
        </w:rPr>
      </w:pPr>
      <w:r w:rsidRPr="009B15A9">
        <w:rPr>
          <w:rFonts w:ascii="Arial" w:hAnsi="Arial"/>
        </w:rPr>
        <w:t xml:space="preserve">Likelihood rating of serious or irreversible damage prior to </w:t>
      </w:r>
      <w:r w:rsidR="002D3D4E">
        <w:rPr>
          <w:rFonts w:ascii="Arial" w:hAnsi="Arial"/>
        </w:rPr>
        <w:t>May</w:t>
      </w:r>
      <w:r w:rsidRPr="009B15A9">
        <w:rPr>
          <w:rFonts w:ascii="Arial" w:hAnsi="Arial"/>
        </w:rPr>
        <w:t xml:space="preserve"> 2023; and</w:t>
      </w:r>
    </w:p>
    <w:p w14:paraId="41298BDB" w14:textId="77777777" w:rsidR="00013543" w:rsidRPr="009B15A9" w:rsidRDefault="00013543" w:rsidP="00A0496F">
      <w:pPr>
        <w:pStyle w:val="ListBullet"/>
        <w:numPr>
          <w:ilvl w:val="0"/>
          <w:numId w:val="25"/>
        </w:numPr>
        <w:rPr>
          <w:rFonts w:ascii="Arial" w:hAnsi="Arial"/>
        </w:rPr>
      </w:pPr>
      <w:r w:rsidRPr="009B15A9">
        <w:rPr>
          <w:rFonts w:ascii="Arial" w:hAnsi="Arial"/>
        </w:rPr>
        <w:t>An explanation of their rating.</w:t>
      </w:r>
    </w:p>
    <w:p w14:paraId="71E7382F" w14:textId="77777777" w:rsidR="00013543" w:rsidRPr="00280876" w:rsidRDefault="00013543" w:rsidP="00915D82">
      <w:pPr>
        <w:pStyle w:val="Heading2"/>
        <w:numPr>
          <w:ilvl w:val="0"/>
          <w:numId w:val="0"/>
        </w:numPr>
      </w:pPr>
      <w:bookmarkStart w:id="1491" w:name="_Toc78194265"/>
      <w:bookmarkStart w:id="1492" w:name="_Toc78194306"/>
      <w:bookmarkStart w:id="1493" w:name="_Toc78194372"/>
      <w:bookmarkStart w:id="1494" w:name="_Toc78875490"/>
      <w:bookmarkStart w:id="1495" w:name="_Toc78877166"/>
      <w:bookmarkStart w:id="1496" w:name="_Toc85531900"/>
      <w:bookmarkStart w:id="1497" w:name="_Toc101352484"/>
      <w:bookmarkStart w:id="1498" w:name="_Toc106615360"/>
      <w:bookmarkStart w:id="1499" w:name="_Toc106616290"/>
      <w:bookmarkStart w:id="1500" w:name="_Toc107562211"/>
      <w:bookmarkStart w:id="1501" w:name="_Toc108171071"/>
      <w:bookmarkStart w:id="1502" w:name="_Toc111544093"/>
      <w:bookmarkStart w:id="1503" w:name="_Toc111560223"/>
      <w:bookmarkStart w:id="1504" w:name="_Toc113271094"/>
      <w:r w:rsidRPr="00280876">
        <w:t>Step 6: Potential measures</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r w:rsidRPr="00280876">
        <w:t xml:space="preserve"> </w:t>
      </w:r>
    </w:p>
    <w:p w14:paraId="4E6344EE" w14:textId="77777777" w:rsidR="00013543" w:rsidRPr="009B15A9" w:rsidRDefault="00013543" w:rsidP="00013543">
      <w:pPr>
        <w:pStyle w:val="BodyText"/>
        <w:rPr>
          <w:rFonts w:ascii="Arial" w:hAnsi="Arial"/>
        </w:rPr>
      </w:pPr>
      <w:r w:rsidRPr="009B15A9">
        <w:rPr>
          <w:rFonts w:ascii="Arial" w:hAnsi="Arial"/>
        </w:rPr>
        <w:t xml:space="preserve">Risk management is fundamentally about identifying risks and then treating the risks to ensure that the risk profile is kept within a tolerable level. While it is unlikely that the risks will be eliminated entirely, the purpose of treating risks is to achieve an acceptable risk exposure in the most effective and efficient manner. </w:t>
      </w:r>
    </w:p>
    <w:p w14:paraId="515840FE" w14:textId="680B7A83" w:rsidR="00013543" w:rsidRPr="009B15A9" w:rsidRDefault="00013543" w:rsidP="00013543">
      <w:pPr>
        <w:pStyle w:val="BodyText"/>
        <w:rPr>
          <w:rFonts w:ascii="Arial" w:hAnsi="Arial"/>
        </w:rPr>
      </w:pPr>
      <w:r w:rsidRPr="009B15A9">
        <w:rPr>
          <w:rFonts w:ascii="Arial" w:hAnsi="Arial"/>
        </w:rPr>
        <w:t>This step require</w:t>
      </w:r>
      <w:r w:rsidR="00A13050">
        <w:rPr>
          <w:rFonts w:ascii="Arial" w:hAnsi="Arial"/>
        </w:rPr>
        <w:t>d</w:t>
      </w:r>
      <w:r w:rsidRPr="009B15A9">
        <w:rPr>
          <w:rFonts w:ascii="Arial" w:hAnsi="Arial"/>
        </w:rPr>
        <w:t xml:space="preserve"> experts to identify possible mitigations for the hazards identified in Step 2 where those hazards have been assessed as significant or high overall. We acknowledge</w:t>
      </w:r>
      <w:r w:rsidR="00A13050">
        <w:rPr>
          <w:rFonts w:ascii="Arial" w:hAnsi="Arial"/>
        </w:rPr>
        <w:t>d</w:t>
      </w:r>
      <w:r w:rsidRPr="009B15A9">
        <w:rPr>
          <w:rFonts w:ascii="Arial" w:hAnsi="Arial"/>
        </w:rPr>
        <w:t xml:space="preserve"> that some risks/threats are more manageable than others – if, in the opinion of the assessor, there </w:t>
      </w:r>
      <w:r w:rsidR="00A13050">
        <w:rPr>
          <w:rFonts w:ascii="Arial" w:hAnsi="Arial"/>
        </w:rPr>
        <w:t>was</w:t>
      </w:r>
      <w:r w:rsidRPr="009B15A9">
        <w:rPr>
          <w:rFonts w:ascii="Arial" w:hAnsi="Arial"/>
        </w:rPr>
        <w:t xml:space="preserve"> no feasible and effective mitigation, this should be stated.</w:t>
      </w:r>
    </w:p>
    <w:p w14:paraId="41C224A5" w14:textId="77777777" w:rsidR="00013543" w:rsidRDefault="00013543" w:rsidP="00013543">
      <w:pPr>
        <w:pStyle w:val="ListBullet"/>
        <w:numPr>
          <w:ilvl w:val="0"/>
          <w:numId w:val="0"/>
        </w:numPr>
        <w:rPr>
          <w:rFonts w:ascii="Arial" w:hAnsi="Arial"/>
          <w:i/>
          <w:iCs/>
        </w:rPr>
      </w:pPr>
      <w:r>
        <w:t>Experts were asked to propose feasible, realistic measures (including regulatory controls, active management and/or further knowledge acquisition) that should be considered to mitigate the identified significant or high risks. Proposed measures could include modifications to existing measures.</w:t>
      </w:r>
      <w:r w:rsidRPr="009B15A9">
        <w:rPr>
          <w:rFonts w:ascii="Arial" w:hAnsi="Arial"/>
          <w:i/>
          <w:iCs/>
        </w:rPr>
        <w:t xml:space="preserve"> </w:t>
      </w:r>
    </w:p>
    <w:p w14:paraId="500495A6" w14:textId="77777777" w:rsidR="00013543" w:rsidRPr="009B15A9" w:rsidRDefault="00013543" w:rsidP="00013543">
      <w:pPr>
        <w:pStyle w:val="ListBullet"/>
        <w:numPr>
          <w:ilvl w:val="0"/>
          <w:numId w:val="0"/>
        </w:numPr>
        <w:rPr>
          <w:rFonts w:ascii="Arial" w:hAnsi="Arial"/>
          <w:i/>
          <w:iCs/>
        </w:rPr>
      </w:pPr>
      <w:r w:rsidRPr="009B15A9">
        <w:rPr>
          <w:rFonts w:ascii="Arial" w:hAnsi="Arial"/>
          <w:i/>
          <w:iCs/>
        </w:rPr>
        <w:t xml:space="preserve">Repeat Step 2 – 6 for all relevant hazard/region combinations. </w:t>
      </w:r>
    </w:p>
    <w:p w14:paraId="5AEDD4A0" w14:textId="77777777" w:rsidR="00013543" w:rsidRPr="00280876" w:rsidRDefault="00013543" w:rsidP="00915D82">
      <w:pPr>
        <w:pStyle w:val="Heading2"/>
        <w:numPr>
          <w:ilvl w:val="0"/>
          <w:numId w:val="0"/>
        </w:numPr>
      </w:pPr>
      <w:bookmarkStart w:id="1505" w:name="_Toc78194266"/>
      <w:bookmarkStart w:id="1506" w:name="_Toc78194307"/>
      <w:bookmarkStart w:id="1507" w:name="_Toc78194373"/>
      <w:bookmarkStart w:id="1508" w:name="_Toc78875491"/>
      <w:bookmarkStart w:id="1509" w:name="_Toc78877167"/>
      <w:bookmarkStart w:id="1510" w:name="_Toc85531901"/>
      <w:bookmarkStart w:id="1511" w:name="_Toc101352485"/>
      <w:bookmarkStart w:id="1512" w:name="_Toc106615361"/>
      <w:bookmarkStart w:id="1513" w:name="_Toc106616291"/>
      <w:bookmarkStart w:id="1514" w:name="_Toc107562212"/>
      <w:bookmarkStart w:id="1515" w:name="_Toc108171072"/>
      <w:bookmarkStart w:id="1516" w:name="_Toc111544094"/>
      <w:bookmarkStart w:id="1517" w:name="_Toc111560224"/>
      <w:bookmarkStart w:id="1518" w:name="_Toc113271095"/>
      <w:r w:rsidRPr="00280876">
        <w:t>Moderation of risk assessments</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r w:rsidRPr="00280876">
        <w:t xml:space="preserve"> </w:t>
      </w:r>
    </w:p>
    <w:p w14:paraId="7102D75D" w14:textId="4EE28A1B" w:rsidR="00013543" w:rsidRDefault="00013543" w:rsidP="00013543">
      <w:pPr>
        <w:pStyle w:val="BodyText"/>
        <w:rPr>
          <w:rFonts w:ascii="Arial" w:hAnsi="Arial"/>
        </w:rPr>
      </w:pPr>
      <w:r w:rsidRPr="009B15A9">
        <w:rPr>
          <w:rFonts w:ascii="Arial" w:hAnsi="Arial"/>
        </w:rPr>
        <w:t>A subsequent moderation process was conducted to review all risk assessments to ensure consistency in application of the ratings system. The moderation process involved experienced policy and planning staff to ensure ratings for control effectiveness, consequence and likelihood had been consistently applied, in consultation with expert assessors where relevant.</w:t>
      </w:r>
    </w:p>
    <w:p w14:paraId="63D91296" w14:textId="033C7432" w:rsidR="00AD0773" w:rsidRDefault="00AD0773" w:rsidP="00AD0773">
      <w:pPr>
        <w:pStyle w:val="Heading2"/>
        <w:numPr>
          <w:ilvl w:val="0"/>
          <w:numId w:val="0"/>
        </w:numPr>
      </w:pPr>
      <w:bookmarkStart w:id="1519" w:name="_Toc108171073"/>
      <w:bookmarkStart w:id="1520" w:name="_Toc111544095"/>
      <w:bookmarkStart w:id="1521" w:name="_Toc111560225"/>
      <w:bookmarkStart w:id="1522" w:name="_Toc113271096"/>
      <w:r>
        <w:t>Reassessment</w:t>
      </w:r>
      <w:bookmarkEnd w:id="1519"/>
      <w:bookmarkEnd w:id="1520"/>
      <w:bookmarkEnd w:id="1521"/>
      <w:bookmarkEnd w:id="1522"/>
    </w:p>
    <w:p w14:paraId="2988BE7F" w14:textId="5DE29D11" w:rsidR="002E7A7E" w:rsidRPr="00B74439" w:rsidRDefault="002029E4" w:rsidP="002E7A7E">
      <w:pPr>
        <w:pStyle w:val="BodyText"/>
        <w:spacing w:line="240" w:lineRule="auto"/>
      </w:pPr>
      <w:r w:rsidRPr="00B74439">
        <w:t>After</w:t>
      </w:r>
      <w:r w:rsidR="002E7A7E" w:rsidRPr="00B74439">
        <w:t xml:space="preserve"> the </w:t>
      </w:r>
      <w:r w:rsidR="002E7A7E">
        <w:t xml:space="preserve">2021 risk assessment, </w:t>
      </w:r>
      <w:r w:rsidR="002E7A7E" w:rsidRPr="00B74439">
        <w:t xml:space="preserve">DELWP was provided with new spatial data from VicForests on their operable area in </w:t>
      </w:r>
      <w:r w:rsidR="002E7A7E">
        <w:t>April</w:t>
      </w:r>
      <w:r w:rsidR="002E7A7E" w:rsidRPr="00B74439">
        <w:t xml:space="preserve"> 2022. This represents VicForests’ view of available and suitable timber resources and covers approximately 160,000 hectares. VicForests have advised that most, but not all, operations will occur within this footprint. In light of th</w:t>
      </w:r>
      <w:r w:rsidR="00FB14FA">
        <w:t>is</w:t>
      </w:r>
      <w:r w:rsidR="002E7A7E" w:rsidRPr="00B74439">
        <w:t xml:space="preserve"> new data, DELWP reassessed the risk of forestry operations to </w:t>
      </w:r>
      <w:r w:rsidR="002D023B">
        <w:t>seven rainforest affiliated</w:t>
      </w:r>
      <w:r w:rsidR="002E7A7E" w:rsidRPr="00B74439">
        <w:t xml:space="preserve"> species (</w:t>
      </w:r>
      <w:r w:rsidR="002D023B">
        <w:t>Bolwarra, Bristly Shield-fern, Creeping Shield-fern, Jungle Bristle-fern, Oval Fork-fern, Small Fork-fern and White Supplejack</w:t>
      </w:r>
      <w:r w:rsidR="002E7A7E" w:rsidRPr="00B74439">
        <w:t xml:space="preserve">) that were initially assessed as being at risk from forestry and for which the narrowed footprint of potential impact may result in a different view of risk by experts. The revised risk assessments </w:t>
      </w:r>
      <w:r w:rsidR="002E7A7E">
        <w:t xml:space="preserve">workshops </w:t>
      </w:r>
      <w:r w:rsidR="002E7A7E" w:rsidRPr="00B74439">
        <w:t>were conducted online with a facilitator from the University of Melbourne</w:t>
      </w:r>
      <w:r w:rsidR="00AF55BC">
        <w:t>, with seven</w:t>
      </w:r>
      <w:r w:rsidR="002E7A7E" w:rsidRPr="00B74439">
        <w:t xml:space="preserve"> experts participat</w:t>
      </w:r>
      <w:r w:rsidR="00AF55BC">
        <w:t>ing</w:t>
      </w:r>
      <w:r w:rsidR="002F1466">
        <w:t xml:space="preserve"> as assessors. </w:t>
      </w:r>
      <w:r w:rsidR="002E7A7E" w:rsidRPr="00B74439">
        <w:t xml:space="preserve">Assessors were chosen to include technical and operational knowledge of the items being assessed and included academics, consultants, ARI researchers and DELWP staff. Assessors considered the potential risk associated with the revised </w:t>
      </w:r>
      <w:r w:rsidR="002E7A7E">
        <w:t>potential area of forestry operations</w:t>
      </w:r>
      <w:r w:rsidR="002E7A7E" w:rsidRPr="00B74439">
        <w:t xml:space="preserve"> and any new science that has arisen since the 202</w:t>
      </w:r>
      <w:r w:rsidR="00B74256">
        <w:t>1</w:t>
      </w:r>
      <w:r w:rsidR="002E7A7E" w:rsidRPr="00B74439">
        <w:t xml:space="preserve"> risk assessment was conducted.</w:t>
      </w:r>
    </w:p>
    <w:p w14:paraId="7E00C714" w14:textId="77777777" w:rsidR="002E7A7E" w:rsidRPr="00F73CA5" w:rsidRDefault="002E7A7E" w:rsidP="002E7A7E">
      <w:pPr>
        <w:pStyle w:val="BodyText"/>
        <w:spacing w:line="240" w:lineRule="auto"/>
      </w:pPr>
      <w:r w:rsidRPr="00F73CA5">
        <w:t xml:space="preserve">Risk was assessed at the end of a 20-year time horizon (at 2042), assuming, for </w:t>
      </w:r>
      <w:r>
        <w:t>S</w:t>
      </w:r>
      <w:r w:rsidRPr="00F73CA5">
        <w:t>tate forests</w:t>
      </w:r>
      <w:r>
        <w:t>, that</w:t>
      </w:r>
      <w:r w:rsidRPr="00F73CA5">
        <w:t>:</w:t>
      </w:r>
    </w:p>
    <w:p w14:paraId="7EE24C43" w14:textId="4055D7F9" w:rsidR="002E7A7E" w:rsidRPr="00B74439" w:rsidRDefault="00B74256" w:rsidP="00A0496F">
      <w:pPr>
        <w:pStyle w:val="BodyText"/>
        <w:numPr>
          <w:ilvl w:val="0"/>
          <w:numId w:val="26"/>
        </w:numPr>
        <w:spacing w:before="60" w:line="240" w:lineRule="auto"/>
      </w:pPr>
      <w:r>
        <w:t>N</w:t>
      </w:r>
      <w:r w:rsidR="002E7A7E" w:rsidRPr="00B74439">
        <w:t xml:space="preserve">o more than 5,000 ha harvesting </w:t>
      </w:r>
      <w:r w:rsidR="002E7A7E">
        <w:t xml:space="preserve">would occur </w:t>
      </w:r>
      <w:r w:rsidR="002E7A7E" w:rsidRPr="00B74439">
        <w:t>outside the specified operable area, as mapped</w:t>
      </w:r>
      <w:r w:rsidR="00457A99">
        <w:t>;</w:t>
      </w:r>
    </w:p>
    <w:p w14:paraId="4A94AC3D" w14:textId="36FDBFC4" w:rsidR="002E7A7E" w:rsidRPr="00B74439" w:rsidRDefault="00B74256" w:rsidP="00A0496F">
      <w:pPr>
        <w:pStyle w:val="BodyText"/>
        <w:numPr>
          <w:ilvl w:val="0"/>
          <w:numId w:val="26"/>
        </w:numPr>
        <w:spacing w:before="60" w:line="240" w:lineRule="auto"/>
      </w:pPr>
      <w:r>
        <w:t>E</w:t>
      </w:r>
      <w:r w:rsidR="002E7A7E">
        <w:t>ight</w:t>
      </w:r>
      <w:r w:rsidR="002E7A7E" w:rsidRPr="00B74439">
        <w:t xml:space="preserve"> years of harvesting (2022 – 2030), consistent with current government policy</w:t>
      </w:r>
      <w:r w:rsidR="00457A99">
        <w:t>;</w:t>
      </w:r>
      <w:r w:rsidR="002E7A7E" w:rsidRPr="00B74439">
        <w:t xml:space="preserve"> and</w:t>
      </w:r>
    </w:p>
    <w:p w14:paraId="44A06A6A" w14:textId="77777777" w:rsidR="002E7A7E" w:rsidRPr="00B74439" w:rsidRDefault="002E7A7E" w:rsidP="00A0496F">
      <w:pPr>
        <w:pStyle w:val="BodyText"/>
        <w:numPr>
          <w:ilvl w:val="0"/>
          <w:numId w:val="26"/>
        </w:numPr>
        <w:spacing w:before="60" w:line="240" w:lineRule="auto"/>
      </w:pPr>
      <w:r w:rsidRPr="00B74439">
        <w:t xml:space="preserve">No harvesting </w:t>
      </w:r>
      <w:r>
        <w:t xml:space="preserve">would occur </w:t>
      </w:r>
      <w:r w:rsidRPr="00B74439">
        <w:t>in the subsequent 12 years (2031 – 2042).</w:t>
      </w:r>
    </w:p>
    <w:p w14:paraId="591F3E92" w14:textId="77777777" w:rsidR="002E7A7E" w:rsidRPr="00B74439" w:rsidRDefault="002E7A7E" w:rsidP="002E7A7E">
      <w:pPr>
        <w:pStyle w:val="BodyText"/>
        <w:spacing w:line="240" w:lineRule="auto"/>
      </w:pPr>
      <w:r w:rsidRPr="00B74439">
        <w:t xml:space="preserve">Although details of the spatial configuration of harvesting were unspecified, the aggregate area of harvesting within the delineated operable area over the next </w:t>
      </w:r>
      <w:r>
        <w:t>eight</w:t>
      </w:r>
      <w:r w:rsidRPr="00B74439">
        <w:t xml:space="preserve"> years was assumed to be no greater than 30,000 ha (of the approximate 160,000 ha contained in the operable area). For the HVP Plantations estate in the Strzelecki Ranges (part of the Gippsland RFA region), it was assumed continued harvesting throughout the assessment horizon to 2042.</w:t>
      </w:r>
    </w:p>
    <w:p w14:paraId="1EB04D9E" w14:textId="39D6AFFB" w:rsidR="002E7A7E" w:rsidRPr="00B74439" w:rsidRDefault="002E7A7E" w:rsidP="002E7A7E">
      <w:pPr>
        <w:pStyle w:val="BodyText"/>
        <w:spacing w:line="240" w:lineRule="auto"/>
      </w:pPr>
      <w:r w:rsidRPr="00B74439">
        <w:t>The methods used in the assessments followed those of the 202</w:t>
      </w:r>
      <w:r w:rsidR="00457A99">
        <w:t>1</w:t>
      </w:r>
      <w:r w:rsidRPr="00B74439">
        <w:t xml:space="preserve"> risk assessment methodology with three changes. The assessment of likelihood used </w:t>
      </w:r>
      <w:r w:rsidRPr="00774E9E">
        <w:t>only quantitative intervals</w:t>
      </w:r>
      <w:r>
        <w:t xml:space="preserve"> corresponding to the four risk categories </w:t>
      </w:r>
      <w:r w:rsidRPr="00B74439">
        <w:t>(low, medium, significant, high) rather than the more extensive descript</w:t>
      </w:r>
      <w:r>
        <w:t>or</w:t>
      </w:r>
      <w:r w:rsidRPr="00B74439">
        <w:t>s provided in the guidance document. To accommodate the very considerable uncertainty presented by the context of the assessments, assessors were encouraged to use plausible lower and upper bound likelihood judgments, leading to lower and upper bound judgments of risk. To assess the adequacy of proposed protective measures, each assessor assessed risk under two scenarios: current controls and specified additional protective measures.</w:t>
      </w:r>
    </w:p>
    <w:p w14:paraId="6C9E736C" w14:textId="77777777" w:rsidR="002E7A7E" w:rsidRPr="00B74439" w:rsidRDefault="002E7A7E" w:rsidP="002E7A7E">
      <w:pPr>
        <w:pStyle w:val="BodyText"/>
        <w:spacing w:line="240" w:lineRule="auto"/>
      </w:pPr>
      <w:r w:rsidRPr="00B74439">
        <w:t>The approach to elicitation of expert judgment sought to use elements of best practice where possible. Specifically, assessors included a range of professional backgrounds and organi</w:t>
      </w:r>
      <w:r>
        <w:t>s</w:t>
      </w:r>
      <w:r w:rsidRPr="00B74439">
        <w:t xml:space="preserve">ational perspectives; judgments were made anonymously to insulate against groupthink and deference to authority; assessment sought to reduce language-based ambiguity through discussion of scenarios, hazards and mechanism of harm, and controls; and a second round of assessment following presentation of all round </w:t>
      </w:r>
      <w:r>
        <w:t>one</w:t>
      </w:r>
      <w:r w:rsidRPr="00B74439">
        <w:t xml:space="preserve"> judgments was conducted to insulate against overconfidence.</w:t>
      </w:r>
    </w:p>
    <w:p w14:paraId="41425A23" w14:textId="134B296F" w:rsidR="002E7A7E" w:rsidRPr="002E7A7E" w:rsidRDefault="002E7A7E" w:rsidP="00FC0A80">
      <w:pPr>
        <w:pStyle w:val="BodyText"/>
        <w:spacing w:line="240" w:lineRule="auto"/>
      </w:pPr>
      <w:r w:rsidRPr="00B74439">
        <w:t xml:space="preserve">Analyses of risk using a matrix represent ordinal data, for which the median is an appropriate descriptor of the pooled judgment of a group of experts. The median judgment for both lower and upper bound risk </w:t>
      </w:r>
      <w:r w:rsidR="00753D92">
        <w:t>were</w:t>
      </w:r>
      <w:r w:rsidRPr="00B74439">
        <w:t xml:space="preserve"> reported. </w:t>
      </w:r>
    </w:p>
    <w:p w14:paraId="150CF171" w14:textId="77777777" w:rsidR="00013543" w:rsidRPr="00280876" w:rsidRDefault="00013543" w:rsidP="00915D82">
      <w:pPr>
        <w:pStyle w:val="Heading2"/>
        <w:pageBreakBefore/>
        <w:numPr>
          <w:ilvl w:val="0"/>
          <w:numId w:val="0"/>
        </w:numPr>
      </w:pPr>
      <w:bookmarkStart w:id="1523" w:name="_Toc78194267"/>
      <w:bookmarkStart w:id="1524" w:name="_Toc78194308"/>
      <w:bookmarkStart w:id="1525" w:name="_Toc78194374"/>
      <w:bookmarkStart w:id="1526" w:name="_Toc78875492"/>
      <w:bookmarkStart w:id="1527" w:name="_Toc78877168"/>
      <w:bookmarkStart w:id="1528" w:name="_Toc85531902"/>
      <w:bookmarkStart w:id="1529" w:name="_Toc101352486"/>
      <w:bookmarkStart w:id="1530" w:name="_Toc106615362"/>
      <w:bookmarkStart w:id="1531" w:name="_Toc106616292"/>
      <w:bookmarkStart w:id="1532" w:name="_Toc107562213"/>
      <w:bookmarkStart w:id="1533" w:name="_Toc108171074"/>
      <w:bookmarkStart w:id="1534" w:name="_Toc111544096"/>
      <w:bookmarkStart w:id="1535" w:name="_Toc111560226"/>
      <w:bookmarkStart w:id="1536" w:name="_Toc113271097"/>
      <w:r w:rsidRPr="00280876">
        <w:t>Reference tables</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r w:rsidRPr="00280876">
        <w:t xml:space="preserve"> </w:t>
      </w:r>
    </w:p>
    <w:p w14:paraId="16906550" w14:textId="66A3095F" w:rsidR="00013543" w:rsidRPr="00FF310C" w:rsidRDefault="00483942" w:rsidP="006670D2">
      <w:pPr>
        <w:pStyle w:val="Caption"/>
        <w:rPr>
          <w:rFonts w:ascii="Arial" w:hAnsi="Arial"/>
        </w:rPr>
      </w:pPr>
      <w:bookmarkStart w:id="1537" w:name="_Ref76034982"/>
      <w:bookmarkStart w:id="1538" w:name="_Toc76043924"/>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305</w:t>
      </w:r>
      <w:r w:rsidR="000B6788" w:rsidRPr="00B846FE">
        <w:rPr>
          <w:bCs/>
          <w:noProof/>
        </w:rPr>
        <w:fldChar w:fldCharType="end"/>
      </w:r>
      <w:r w:rsidRPr="00FF310C">
        <w:t>.</w:t>
      </w:r>
      <w:r w:rsidR="00013543" w:rsidRPr="00FF310C">
        <w:rPr>
          <w:rFonts w:ascii="Arial" w:hAnsi="Arial"/>
        </w:rPr>
        <w:t xml:space="preserve"> Control effectiveness rating</w:t>
      </w:r>
      <w:bookmarkEnd w:id="1537"/>
      <w:bookmarkEnd w:id="1538"/>
    </w:p>
    <w:tbl>
      <w:tblPr>
        <w:tblStyle w:val="TableGrid"/>
        <w:tblW w:w="9072" w:type="dxa"/>
        <w:tblLook w:val="04A0" w:firstRow="1" w:lastRow="0" w:firstColumn="1" w:lastColumn="0" w:noHBand="0" w:noVBand="1"/>
      </w:tblPr>
      <w:tblGrid>
        <w:gridCol w:w="1985"/>
        <w:gridCol w:w="6989"/>
        <w:gridCol w:w="98"/>
      </w:tblGrid>
      <w:tr w:rsidR="00013543" w:rsidRPr="009B15A9" w14:paraId="6D1988D3" w14:textId="77777777" w:rsidTr="002A7EFA">
        <w:trPr>
          <w:gridAfter w:val="1"/>
          <w:cnfStyle w:val="100000000000" w:firstRow="1" w:lastRow="0" w:firstColumn="0" w:lastColumn="0" w:oddVBand="0" w:evenVBand="0" w:oddHBand="0" w:evenHBand="0" w:firstRowFirstColumn="0" w:firstRowLastColumn="0" w:lastRowFirstColumn="0" w:lastRowLastColumn="0"/>
          <w:wAfter w:w="108" w:type="dxa"/>
          <w:trHeight w:val="20"/>
        </w:trPr>
        <w:tc>
          <w:tcPr>
            <w:cnfStyle w:val="000000000100" w:firstRow="0" w:lastRow="0" w:firstColumn="0" w:lastColumn="0" w:oddVBand="0" w:evenVBand="0" w:oddHBand="0" w:evenHBand="0" w:firstRowFirstColumn="1" w:firstRowLastColumn="0" w:lastRowFirstColumn="0" w:lastRowLastColumn="0"/>
            <w:tcW w:w="2063" w:type="dxa"/>
          </w:tcPr>
          <w:p w14:paraId="3C8B7193" w14:textId="77777777" w:rsidR="00013543" w:rsidRPr="009B15A9" w:rsidRDefault="00013543" w:rsidP="002A7EFA">
            <w:pPr>
              <w:pStyle w:val="BodyText"/>
              <w:rPr>
                <w:rFonts w:ascii="Arial" w:hAnsi="Arial" w:cs="Arial"/>
                <w:b/>
                <w:bCs/>
              </w:rPr>
            </w:pPr>
            <w:r w:rsidRPr="009B15A9">
              <w:rPr>
                <w:rFonts w:ascii="Arial" w:hAnsi="Arial" w:cs="Arial"/>
                <w:b/>
                <w:bCs/>
              </w:rPr>
              <w:t>Control Rating</w:t>
            </w:r>
          </w:p>
        </w:tc>
        <w:tc>
          <w:tcPr>
            <w:tcW w:w="7576" w:type="dxa"/>
          </w:tcPr>
          <w:p w14:paraId="4C90E121" w14:textId="77777777" w:rsidR="00013543" w:rsidRPr="009B15A9" w:rsidRDefault="00013543" w:rsidP="002A7EFA">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B15A9">
              <w:rPr>
                <w:rFonts w:ascii="Arial" w:hAnsi="Arial" w:cs="Arial"/>
                <w:b/>
                <w:bCs/>
              </w:rPr>
              <w:t>Description</w:t>
            </w:r>
          </w:p>
        </w:tc>
      </w:tr>
      <w:tr w:rsidR="00013543" w:rsidRPr="009B15A9" w14:paraId="2154477C" w14:textId="77777777" w:rsidTr="002A7EFA">
        <w:trPr>
          <w:trHeight w:val="20"/>
        </w:trPr>
        <w:tc>
          <w:tcPr>
            <w:tcW w:w="2063" w:type="dxa"/>
          </w:tcPr>
          <w:p w14:paraId="07A2FEB1" w14:textId="77777777" w:rsidR="00013543" w:rsidRPr="009B15A9" w:rsidRDefault="00013543" w:rsidP="002A7EFA">
            <w:pPr>
              <w:pStyle w:val="BodyText"/>
              <w:rPr>
                <w:rFonts w:ascii="Arial" w:hAnsi="Arial" w:cs="Arial"/>
              </w:rPr>
            </w:pPr>
            <w:r w:rsidRPr="009B15A9">
              <w:rPr>
                <w:rFonts w:ascii="Arial" w:hAnsi="Arial" w:cs="Arial"/>
              </w:rPr>
              <w:t>Good</w:t>
            </w:r>
          </w:p>
        </w:tc>
        <w:tc>
          <w:tcPr>
            <w:tcW w:w="7576" w:type="dxa"/>
            <w:gridSpan w:val="2"/>
          </w:tcPr>
          <w:p w14:paraId="13117F7B" w14:textId="77777777" w:rsidR="00013543" w:rsidRPr="009B15A9" w:rsidRDefault="00013543" w:rsidP="002A7EFA">
            <w:pPr>
              <w:pStyle w:val="BodyText"/>
              <w:rPr>
                <w:rFonts w:ascii="Arial" w:hAnsi="Arial" w:cs="Arial"/>
              </w:rPr>
            </w:pPr>
            <w:r w:rsidRPr="009B15A9">
              <w:rPr>
                <w:rFonts w:ascii="Arial" w:hAnsi="Arial" w:cs="Arial"/>
              </w:rPr>
              <w:t>Controls are consistently applied through time and space where the hazard exists and have been demonstrated to be effective.</w:t>
            </w:r>
          </w:p>
        </w:tc>
      </w:tr>
      <w:tr w:rsidR="00013543" w:rsidRPr="009B15A9" w14:paraId="25E353B0" w14:textId="77777777" w:rsidTr="002A7EFA">
        <w:trPr>
          <w:trHeight w:val="20"/>
        </w:trPr>
        <w:tc>
          <w:tcPr>
            <w:tcW w:w="2063" w:type="dxa"/>
          </w:tcPr>
          <w:p w14:paraId="3947238F" w14:textId="77777777" w:rsidR="00013543" w:rsidRPr="009B15A9" w:rsidRDefault="00013543" w:rsidP="002A7EFA">
            <w:pPr>
              <w:pStyle w:val="BodyText"/>
              <w:rPr>
                <w:rFonts w:ascii="Arial" w:hAnsi="Arial" w:cs="Arial"/>
              </w:rPr>
            </w:pPr>
            <w:r w:rsidRPr="009B15A9">
              <w:rPr>
                <w:rFonts w:ascii="Arial" w:hAnsi="Arial" w:cs="Arial"/>
              </w:rPr>
              <w:t>Satisfactory</w:t>
            </w:r>
          </w:p>
        </w:tc>
        <w:tc>
          <w:tcPr>
            <w:tcW w:w="7576" w:type="dxa"/>
            <w:gridSpan w:val="2"/>
          </w:tcPr>
          <w:p w14:paraId="792BF1AC" w14:textId="59B08F62" w:rsidR="00013543" w:rsidRPr="009B15A9" w:rsidRDefault="00013543" w:rsidP="002A7EFA">
            <w:pPr>
              <w:pStyle w:val="BodyText"/>
              <w:rPr>
                <w:rFonts w:ascii="Arial" w:hAnsi="Arial" w:cs="Arial"/>
              </w:rPr>
            </w:pPr>
            <w:r w:rsidRPr="009B15A9">
              <w:rPr>
                <w:rFonts w:ascii="Arial" w:hAnsi="Arial" w:cs="Arial"/>
              </w:rPr>
              <w:t>Controls are consistently applied through time and space where the hazard exists and appear to be effective</w:t>
            </w:r>
            <w:r w:rsidR="00EF01D9" w:rsidRPr="009B15A9">
              <w:rPr>
                <w:rFonts w:ascii="Arial" w:hAnsi="Arial" w:cs="Arial"/>
              </w:rPr>
              <w:t>,</w:t>
            </w:r>
            <w:r w:rsidRPr="009B15A9">
              <w:rPr>
                <w:rFonts w:ascii="Arial" w:hAnsi="Arial" w:cs="Arial"/>
              </w:rPr>
              <w:t xml:space="preserve"> but this has not been demonstrated.</w:t>
            </w:r>
          </w:p>
        </w:tc>
      </w:tr>
      <w:tr w:rsidR="00013543" w:rsidRPr="009B15A9" w14:paraId="7A86864F" w14:textId="77777777" w:rsidTr="002A7EFA">
        <w:trPr>
          <w:trHeight w:val="20"/>
        </w:trPr>
        <w:tc>
          <w:tcPr>
            <w:tcW w:w="2063" w:type="dxa"/>
          </w:tcPr>
          <w:p w14:paraId="1D0E58B0" w14:textId="77777777" w:rsidR="00013543" w:rsidRPr="009B15A9" w:rsidRDefault="00013543" w:rsidP="002A7EFA">
            <w:pPr>
              <w:pStyle w:val="BodyText"/>
              <w:rPr>
                <w:rFonts w:ascii="Arial" w:hAnsi="Arial" w:cs="Arial"/>
              </w:rPr>
            </w:pPr>
            <w:r w:rsidRPr="009B15A9">
              <w:rPr>
                <w:rFonts w:ascii="Arial" w:hAnsi="Arial" w:cs="Arial"/>
              </w:rPr>
              <w:t>Poor</w:t>
            </w:r>
          </w:p>
        </w:tc>
        <w:tc>
          <w:tcPr>
            <w:tcW w:w="7576" w:type="dxa"/>
            <w:gridSpan w:val="2"/>
          </w:tcPr>
          <w:p w14:paraId="4A6D11EF" w14:textId="77777777" w:rsidR="00013543" w:rsidRPr="009B15A9" w:rsidRDefault="00013543" w:rsidP="002A7EFA">
            <w:pPr>
              <w:pStyle w:val="BodyText"/>
              <w:rPr>
                <w:rFonts w:ascii="Arial" w:hAnsi="Arial" w:cs="Arial"/>
              </w:rPr>
            </w:pPr>
            <w:r w:rsidRPr="009B15A9">
              <w:rPr>
                <w:rFonts w:ascii="Arial" w:hAnsi="Arial" w:cs="Arial"/>
              </w:rPr>
              <w:t>Controls are consistently applied through time and space where the hazard exists but appear not to be effective or have been demonstrated not to be effective.</w:t>
            </w:r>
          </w:p>
          <w:p w14:paraId="5555C7ED" w14:textId="77777777" w:rsidR="00013543" w:rsidRPr="009B15A9" w:rsidRDefault="00013543" w:rsidP="002A7EFA">
            <w:pPr>
              <w:pStyle w:val="BodyText"/>
              <w:rPr>
                <w:rFonts w:ascii="Arial" w:hAnsi="Arial" w:cs="Arial"/>
              </w:rPr>
            </w:pPr>
            <w:r w:rsidRPr="009B15A9">
              <w:rPr>
                <w:rFonts w:ascii="Arial" w:hAnsi="Arial" w:cs="Arial"/>
              </w:rPr>
              <w:t>or</w:t>
            </w:r>
          </w:p>
          <w:p w14:paraId="56E3C196" w14:textId="77777777" w:rsidR="00013543" w:rsidRPr="009B15A9" w:rsidRDefault="00013543" w:rsidP="002A7EFA">
            <w:pPr>
              <w:pStyle w:val="BodyText"/>
              <w:rPr>
                <w:rFonts w:ascii="Arial" w:hAnsi="Arial" w:cs="Arial"/>
              </w:rPr>
            </w:pPr>
            <w:r w:rsidRPr="009B15A9">
              <w:rPr>
                <w:rFonts w:ascii="Arial" w:hAnsi="Arial" w:cs="Arial"/>
              </w:rPr>
              <w:t>Controls are not consistently applied through time and space where the hazard exists.</w:t>
            </w:r>
          </w:p>
        </w:tc>
      </w:tr>
      <w:tr w:rsidR="00013543" w:rsidRPr="009B15A9" w14:paraId="43E452C7" w14:textId="77777777" w:rsidTr="002A7EFA">
        <w:trPr>
          <w:trHeight w:val="20"/>
        </w:trPr>
        <w:tc>
          <w:tcPr>
            <w:tcW w:w="2063" w:type="dxa"/>
          </w:tcPr>
          <w:p w14:paraId="15DB7758" w14:textId="77777777" w:rsidR="00013543" w:rsidRPr="009B15A9" w:rsidRDefault="00013543" w:rsidP="002A7EFA">
            <w:pPr>
              <w:pStyle w:val="BodyText"/>
              <w:rPr>
                <w:rFonts w:ascii="Arial" w:hAnsi="Arial" w:cs="Arial"/>
              </w:rPr>
            </w:pPr>
            <w:r w:rsidRPr="009B15A9">
              <w:rPr>
                <w:rFonts w:ascii="Arial" w:hAnsi="Arial" w:cs="Arial"/>
              </w:rPr>
              <w:t>Uncontrolled</w:t>
            </w:r>
          </w:p>
        </w:tc>
        <w:tc>
          <w:tcPr>
            <w:tcW w:w="7576" w:type="dxa"/>
            <w:gridSpan w:val="2"/>
          </w:tcPr>
          <w:p w14:paraId="1F7E1B26" w14:textId="77777777" w:rsidR="00013543" w:rsidRPr="009B15A9" w:rsidRDefault="00013543" w:rsidP="002A7EFA">
            <w:pPr>
              <w:pStyle w:val="BodyText"/>
              <w:rPr>
                <w:rFonts w:ascii="Arial" w:hAnsi="Arial" w:cs="Arial"/>
              </w:rPr>
            </w:pPr>
            <w:r w:rsidRPr="009B15A9">
              <w:rPr>
                <w:rFonts w:ascii="Arial" w:hAnsi="Arial" w:cs="Arial"/>
              </w:rPr>
              <w:t>No controls are applied where the hazard exists</w:t>
            </w:r>
            <w:r w:rsidRPr="009B15A9">
              <w:t>.</w:t>
            </w:r>
          </w:p>
        </w:tc>
      </w:tr>
    </w:tbl>
    <w:p w14:paraId="29486B32" w14:textId="74EF763F" w:rsidR="00013543" w:rsidRPr="00FF310C" w:rsidRDefault="00483942" w:rsidP="006670D2">
      <w:pPr>
        <w:pStyle w:val="Caption"/>
        <w:rPr>
          <w:rFonts w:ascii="Arial" w:hAnsi="Arial"/>
        </w:rPr>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306</w:t>
      </w:r>
      <w:r w:rsidR="000B6788" w:rsidRPr="00B846FE">
        <w:rPr>
          <w:bCs/>
          <w:noProof/>
        </w:rPr>
        <w:fldChar w:fldCharType="end"/>
      </w:r>
      <w:r w:rsidRPr="00FF310C">
        <w:t xml:space="preserve">. </w:t>
      </w:r>
      <w:r w:rsidR="00013543" w:rsidRPr="00FF310C">
        <w:rPr>
          <w:rFonts w:ascii="Arial" w:hAnsi="Arial"/>
        </w:rPr>
        <w:t>Consequence descriptions</w:t>
      </w:r>
    </w:p>
    <w:tbl>
      <w:tblPr>
        <w:tblStyle w:val="TableGrid"/>
        <w:tblW w:w="9072" w:type="dxa"/>
        <w:tblLayout w:type="fixed"/>
        <w:tblLook w:val="04A0" w:firstRow="1" w:lastRow="0" w:firstColumn="1" w:lastColumn="0" w:noHBand="0" w:noVBand="1"/>
      </w:tblPr>
      <w:tblGrid>
        <w:gridCol w:w="6"/>
        <w:gridCol w:w="2014"/>
        <w:gridCol w:w="6945"/>
        <w:gridCol w:w="107"/>
      </w:tblGrid>
      <w:tr w:rsidR="00013543" w:rsidRPr="009B15A9" w14:paraId="55625CA9" w14:textId="77777777" w:rsidTr="002A7EFA">
        <w:trPr>
          <w:gridAfter w:val="1"/>
          <w:cnfStyle w:val="100000000000" w:firstRow="1" w:lastRow="0" w:firstColumn="0" w:lastColumn="0" w:oddVBand="0" w:evenVBand="0" w:oddHBand="0" w:evenHBand="0" w:firstRowFirstColumn="0" w:firstRowLastColumn="0" w:lastRowFirstColumn="0" w:lastRowLastColumn="0"/>
          <w:wAfter w:w="108" w:type="dxa"/>
          <w:trHeight w:val="20"/>
          <w:tblHeader/>
        </w:trPr>
        <w:tc>
          <w:tcPr>
            <w:cnfStyle w:val="000000000100" w:firstRow="0" w:lastRow="0" w:firstColumn="0" w:lastColumn="0" w:oddVBand="0" w:evenVBand="0" w:oddHBand="0" w:evenHBand="0" w:firstRowFirstColumn="1" w:firstRowLastColumn="0" w:lastRowFirstColumn="0" w:lastRowLastColumn="0"/>
            <w:tcW w:w="2027" w:type="dxa"/>
            <w:gridSpan w:val="2"/>
          </w:tcPr>
          <w:p w14:paraId="5A451AE7" w14:textId="77777777" w:rsidR="00013543" w:rsidRPr="009B15A9" w:rsidRDefault="00013543" w:rsidP="002A7EFA">
            <w:pPr>
              <w:pStyle w:val="BodyText"/>
              <w:rPr>
                <w:rFonts w:ascii="Arial" w:hAnsi="Arial" w:cs="Arial"/>
                <w:b/>
                <w:bCs/>
              </w:rPr>
            </w:pPr>
            <w:r w:rsidRPr="009B15A9">
              <w:rPr>
                <w:rFonts w:ascii="Arial" w:hAnsi="Arial" w:cs="Arial"/>
                <w:b/>
                <w:bCs/>
              </w:rPr>
              <w:t>Category</w:t>
            </w:r>
          </w:p>
        </w:tc>
        <w:tc>
          <w:tcPr>
            <w:tcW w:w="6990" w:type="dxa"/>
          </w:tcPr>
          <w:p w14:paraId="28260389" w14:textId="77777777" w:rsidR="00013543" w:rsidRPr="009B15A9" w:rsidRDefault="00013543" w:rsidP="002A7EFA">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B15A9">
              <w:rPr>
                <w:rFonts w:ascii="Arial" w:hAnsi="Arial" w:cs="Arial"/>
                <w:b/>
                <w:bCs/>
              </w:rPr>
              <w:t>Descriptors</w:t>
            </w:r>
          </w:p>
        </w:tc>
      </w:tr>
      <w:tr w:rsidR="00013543" w:rsidRPr="009B15A9" w14:paraId="53239132" w14:textId="77777777" w:rsidTr="002A7EFA">
        <w:trPr>
          <w:gridBefore w:val="1"/>
          <w:trHeight w:val="2226"/>
        </w:trPr>
        <w:tc>
          <w:tcPr>
            <w:tcW w:w="2027" w:type="dxa"/>
          </w:tcPr>
          <w:p w14:paraId="39899A95" w14:textId="77777777" w:rsidR="00013543" w:rsidRPr="009B15A9" w:rsidRDefault="00013543" w:rsidP="002A7EFA">
            <w:pPr>
              <w:pStyle w:val="BodyText"/>
              <w:rPr>
                <w:rFonts w:ascii="Arial" w:hAnsi="Arial" w:cs="Arial"/>
                <w:b/>
              </w:rPr>
            </w:pPr>
            <w:r w:rsidRPr="009B15A9">
              <w:rPr>
                <w:rFonts w:ascii="Arial" w:hAnsi="Arial" w:cs="Arial"/>
              </w:rPr>
              <w:t>Extreme</w:t>
            </w:r>
          </w:p>
        </w:tc>
        <w:tc>
          <w:tcPr>
            <w:tcW w:w="6990" w:type="dxa"/>
            <w:gridSpan w:val="2"/>
          </w:tcPr>
          <w:p w14:paraId="6EFC2223" w14:textId="77777777" w:rsidR="00013543" w:rsidRPr="009B15A9" w:rsidRDefault="00013543" w:rsidP="002A7EFA">
            <w:pPr>
              <w:pStyle w:val="BodyText"/>
              <w:rPr>
                <w:rFonts w:ascii="Arial" w:hAnsi="Arial" w:cs="Arial"/>
              </w:rPr>
            </w:pPr>
            <w:r w:rsidRPr="009B15A9">
              <w:rPr>
                <w:rFonts w:ascii="Arial" w:hAnsi="Arial" w:cs="Arial"/>
              </w:rPr>
              <w:t xml:space="preserve">Extent: Impacts on almost all (&gt; 80%) of the extent of the species/community range OR a majority of particularly high value sites. </w:t>
            </w:r>
          </w:p>
          <w:p w14:paraId="59B69B04" w14:textId="77777777" w:rsidR="00013543" w:rsidRPr="009B15A9" w:rsidRDefault="00013543" w:rsidP="002A7EFA">
            <w:pPr>
              <w:pStyle w:val="BodyText"/>
              <w:rPr>
                <w:rFonts w:ascii="Arial" w:hAnsi="Arial" w:cs="Arial"/>
              </w:rPr>
            </w:pPr>
            <w:r w:rsidRPr="009B15A9">
              <w:rPr>
                <w:rFonts w:ascii="Arial" w:hAnsi="Arial" w:cs="Arial"/>
              </w:rPr>
              <w:t xml:space="preserve">Severity: Very serious effect on the species’ persistence, significant reduction in population size and/or associated habitat: species/community likely to go extinct across the range in the </w:t>
            </w:r>
            <w:r w:rsidRPr="009B15A9">
              <w:rPr>
                <w:rFonts w:ascii="Arial" w:hAnsi="Arial" w:cs="Arial"/>
                <w:u w:val="single"/>
              </w:rPr>
              <w:t>RFA region</w:t>
            </w:r>
            <w:r w:rsidRPr="009B15A9">
              <w:rPr>
                <w:rFonts w:ascii="Arial" w:hAnsi="Arial" w:cs="Arial"/>
              </w:rPr>
              <w:t xml:space="preserve"> or any of the discrete sub-populations within a region within the timeframe due to the hazard </w:t>
            </w:r>
          </w:p>
          <w:p w14:paraId="4D65BD7F" w14:textId="77777777" w:rsidR="00013543" w:rsidRPr="009B15A9" w:rsidRDefault="00013543" w:rsidP="002A7EFA">
            <w:pPr>
              <w:pStyle w:val="BodyText"/>
              <w:rPr>
                <w:rFonts w:ascii="Arial" w:hAnsi="Arial" w:cs="Arial"/>
              </w:rPr>
            </w:pPr>
            <w:r w:rsidRPr="009B15A9">
              <w:rPr>
                <w:rFonts w:ascii="Arial" w:hAnsi="Arial" w:cs="Arial"/>
              </w:rPr>
              <w:t>Duration: Impacts expected to endure over a long time period (e.g. 20 + years) or populations are not expected to recover</w:t>
            </w:r>
          </w:p>
        </w:tc>
      </w:tr>
      <w:tr w:rsidR="00013543" w:rsidRPr="009B15A9" w14:paraId="5866E7AF" w14:textId="77777777" w:rsidTr="002A7EFA">
        <w:trPr>
          <w:gridBefore w:val="1"/>
          <w:trHeight w:val="1164"/>
        </w:trPr>
        <w:tc>
          <w:tcPr>
            <w:tcW w:w="2027" w:type="dxa"/>
          </w:tcPr>
          <w:p w14:paraId="1685FFC3" w14:textId="77777777" w:rsidR="00013543" w:rsidRPr="009B15A9" w:rsidRDefault="00013543" w:rsidP="002A7EFA">
            <w:pPr>
              <w:pStyle w:val="BodyText"/>
              <w:rPr>
                <w:rFonts w:ascii="Arial" w:hAnsi="Arial" w:cs="Arial"/>
                <w:b/>
              </w:rPr>
            </w:pPr>
            <w:r w:rsidRPr="009B15A9">
              <w:rPr>
                <w:rFonts w:ascii="Arial" w:hAnsi="Arial" w:cs="Arial"/>
              </w:rPr>
              <w:t>Major</w:t>
            </w:r>
          </w:p>
        </w:tc>
        <w:tc>
          <w:tcPr>
            <w:tcW w:w="6990" w:type="dxa"/>
            <w:gridSpan w:val="2"/>
          </w:tcPr>
          <w:p w14:paraId="2DB19217" w14:textId="77777777" w:rsidR="00013543" w:rsidRPr="009B15A9" w:rsidRDefault="00013543" w:rsidP="002A7EFA">
            <w:pPr>
              <w:pStyle w:val="BodyText"/>
              <w:rPr>
                <w:rFonts w:ascii="Arial" w:hAnsi="Arial" w:cs="Arial"/>
              </w:rPr>
            </w:pPr>
            <w:r w:rsidRPr="009B15A9">
              <w:rPr>
                <w:rFonts w:ascii="Arial" w:hAnsi="Arial" w:cs="Arial"/>
              </w:rPr>
              <w:t>Extent: Impacts on a large proportion (60-80%) of the extent of the species /community range or a major amount of high value sites</w:t>
            </w:r>
          </w:p>
          <w:p w14:paraId="103E4351" w14:textId="77777777" w:rsidR="00013543" w:rsidRPr="009B15A9" w:rsidRDefault="00013543" w:rsidP="002A7EFA">
            <w:pPr>
              <w:pStyle w:val="BodyText"/>
              <w:rPr>
                <w:rFonts w:ascii="Arial" w:hAnsi="Arial" w:cs="Arial"/>
              </w:rPr>
            </w:pPr>
            <w:r w:rsidRPr="009B15A9">
              <w:rPr>
                <w:rFonts w:ascii="Arial" w:hAnsi="Arial" w:cs="Arial"/>
              </w:rPr>
              <w:t xml:space="preserve">Severity: major effect on the species or community persistence, major reduction in population size and/or associated habitat, species/community may be threatened with extinction across the range in the RFA region or any of the discrete sub populations within the region. </w:t>
            </w:r>
          </w:p>
          <w:p w14:paraId="3FA92E6D" w14:textId="77777777" w:rsidR="00013543" w:rsidRPr="009B15A9" w:rsidRDefault="00013543" w:rsidP="002A7EFA">
            <w:pPr>
              <w:pStyle w:val="BodyText"/>
              <w:rPr>
                <w:rFonts w:ascii="Arial" w:hAnsi="Arial" w:cs="Arial"/>
              </w:rPr>
            </w:pPr>
            <w:r w:rsidRPr="009B15A9">
              <w:rPr>
                <w:rFonts w:ascii="Arial" w:hAnsi="Arial" w:cs="Arial"/>
              </w:rPr>
              <w:t xml:space="preserve">Duration: Impacts expected to endure over a major time period 10-20 years </w:t>
            </w:r>
          </w:p>
        </w:tc>
      </w:tr>
      <w:tr w:rsidR="00013543" w:rsidRPr="009B15A9" w14:paraId="117EEA48" w14:textId="77777777" w:rsidTr="002A7EFA">
        <w:trPr>
          <w:gridBefore w:val="1"/>
          <w:trHeight w:val="1164"/>
        </w:trPr>
        <w:tc>
          <w:tcPr>
            <w:tcW w:w="2027" w:type="dxa"/>
          </w:tcPr>
          <w:p w14:paraId="7ED3077A" w14:textId="77777777" w:rsidR="00013543" w:rsidRPr="009B15A9" w:rsidRDefault="00013543" w:rsidP="002A7EFA">
            <w:pPr>
              <w:pStyle w:val="BodyText"/>
              <w:rPr>
                <w:rFonts w:ascii="Arial" w:hAnsi="Arial" w:cs="Arial"/>
                <w:b/>
              </w:rPr>
            </w:pPr>
            <w:r w:rsidRPr="009B15A9">
              <w:rPr>
                <w:rFonts w:ascii="Arial" w:hAnsi="Arial" w:cs="Arial"/>
              </w:rPr>
              <w:t>Moderate</w:t>
            </w:r>
          </w:p>
        </w:tc>
        <w:tc>
          <w:tcPr>
            <w:tcW w:w="6990" w:type="dxa"/>
            <w:gridSpan w:val="2"/>
          </w:tcPr>
          <w:p w14:paraId="00D2CA89" w14:textId="77777777" w:rsidR="00013543" w:rsidRPr="009B15A9" w:rsidRDefault="00013543" w:rsidP="002A7EFA">
            <w:pPr>
              <w:pStyle w:val="BodyText"/>
              <w:rPr>
                <w:rFonts w:ascii="Arial" w:hAnsi="Arial" w:cs="Arial"/>
              </w:rPr>
            </w:pPr>
            <w:r w:rsidRPr="009B15A9">
              <w:rPr>
                <w:rFonts w:ascii="Arial" w:hAnsi="Arial" w:cs="Arial"/>
              </w:rPr>
              <w:t xml:space="preserve">Extent: Impacts on moderate proportion (30-60%) of the extent of the species /community range or a moderate amount of high value sites </w:t>
            </w:r>
          </w:p>
          <w:p w14:paraId="31B09CF2" w14:textId="77777777" w:rsidR="00013543" w:rsidRPr="009B15A9" w:rsidRDefault="00013543" w:rsidP="002A7EFA">
            <w:pPr>
              <w:pStyle w:val="BodyText"/>
              <w:rPr>
                <w:rFonts w:ascii="Arial" w:hAnsi="Arial" w:cs="Arial"/>
              </w:rPr>
            </w:pPr>
            <w:r w:rsidRPr="009B15A9">
              <w:rPr>
                <w:rFonts w:ascii="Arial" w:hAnsi="Arial" w:cs="Arial"/>
              </w:rPr>
              <w:t>Severity: Moderate effect on the species or community persistence, may be a reduction in population size, unlikely to be threatened with extinction from this hazard</w:t>
            </w:r>
          </w:p>
          <w:p w14:paraId="5F81CC13" w14:textId="77777777" w:rsidR="00013543" w:rsidRPr="009B15A9" w:rsidRDefault="00013543" w:rsidP="002A7EFA">
            <w:pPr>
              <w:pStyle w:val="BodyText"/>
              <w:rPr>
                <w:rFonts w:ascii="Arial" w:hAnsi="Arial" w:cs="Arial"/>
              </w:rPr>
            </w:pPr>
            <w:r w:rsidRPr="009B15A9">
              <w:rPr>
                <w:rFonts w:ascii="Arial" w:hAnsi="Arial" w:cs="Arial"/>
              </w:rPr>
              <w:t>Duration: Impacts expected to endure over a moderate time period 5-10 years</w:t>
            </w:r>
          </w:p>
        </w:tc>
      </w:tr>
      <w:tr w:rsidR="00013543" w:rsidRPr="009B15A9" w14:paraId="64DC1A72" w14:textId="77777777" w:rsidTr="002A7EFA">
        <w:trPr>
          <w:gridBefore w:val="1"/>
          <w:trHeight w:val="1164"/>
        </w:trPr>
        <w:tc>
          <w:tcPr>
            <w:tcW w:w="2027" w:type="dxa"/>
          </w:tcPr>
          <w:p w14:paraId="4CEE8134" w14:textId="77777777" w:rsidR="00013543" w:rsidRPr="009B15A9" w:rsidRDefault="00013543" w:rsidP="002A7EFA">
            <w:pPr>
              <w:pStyle w:val="BodyText"/>
              <w:rPr>
                <w:rFonts w:ascii="Arial" w:hAnsi="Arial" w:cs="Arial"/>
                <w:b/>
              </w:rPr>
            </w:pPr>
            <w:r w:rsidRPr="009B15A9">
              <w:rPr>
                <w:rFonts w:ascii="Arial" w:hAnsi="Arial" w:cs="Arial"/>
              </w:rPr>
              <w:t>Minor</w:t>
            </w:r>
          </w:p>
        </w:tc>
        <w:tc>
          <w:tcPr>
            <w:tcW w:w="6990" w:type="dxa"/>
            <w:gridSpan w:val="2"/>
          </w:tcPr>
          <w:p w14:paraId="74DF98CE" w14:textId="77777777" w:rsidR="00013543" w:rsidRPr="009B15A9" w:rsidRDefault="00013543" w:rsidP="002A7EFA">
            <w:pPr>
              <w:pStyle w:val="BodyText"/>
              <w:rPr>
                <w:rFonts w:ascii="Arial" w:hAnsi="Arial" w:cs="Arial"/>
              </w:rPr>
            </w:pPr>
            <w:r w:rsidRPr="009B15A9">
              <w:rPr>
                <w:rFonts w:ascii="Arial" w:hAnsi="Arial" w:cs="Arial"/>
              </w:rPr>
              <w:t xml:space="preserve">Extent: Limited impacted on the extent of the species/community range (10-30%) or high value sites </w:t>
            </w:r>
          </w:p>
          <w:p w14:paraId="40F60CC6" w14:textId="77777777" w:rsidR="00013543" w:rsidRPr="009B15A9" w:rsidRDefault="00013543" w:rsidP="002A7EFA">
            <w:pPr>
              <w:pStyle w:val="BodyText"/>
              <w:rPr>
                <w:rFonts w:ascii="Arial" w:hAnsi="Arial" w:cs="Arial"/>
              </w:rPr>
            </w:pPr>
            <w:r w:rsidRPr="009B15A9">
              <w:rPr>
                <w:rFonts w:ascii="Arial" w:hAnsi="Arial" w:cs="Arial"/>
              </w:rPr>
              <w:t xml:space="preserve">Severity: minor effect on the species or community persistence, unlikely to lead to population reduction  </w:t>
            </w:r>
          </w:p>
          <w:p w14:paraId="3A54DE2C" w14:textId="77777777" w:rsidR="00013543" w:rsidRPr="009B15A9" w:rsidRDefault="00013543" w:rsidP="002A7EFA">
            <w:pPr>
              <w:pStyle w:val="BodyText"/>
              <w:rPr>
                <w:rFonts w:ascii="Arial" w:hAnsi="Arial" w:cs="Arial"/>
              </w:rPr>
            </w:pPr>
            <w:r w:rsidRPr="009B15A9">
              <w:rPr>
                <w:rFonts w:ascii="Arial" w:hAnsi="Arial" w:cs="Arial"/>
              </w:rPr>
              <w:t>Duration: Impacts expected to endure over a short time period 1-4 years</w:t>
            </w:r>
          </w:p>
        </w:tc>
      </w:tr>
      <w:tr w:rsidR="00013543" w:rsidRPr="009B15A9" w14:paraId="0904FCF2" w14:textId="77777777" w:rsidTr="002A7EFA">
        <w:trPr>
          <w:gridBefore w:val="1"/>
          <w:trHeight w:val="1535"/>
        </w:trPr>
        <w:tc>
          <w:tcPr>
            <w:tcW w:w="2027" w:type="dxa"/>
          </w:tcPr>
          <w:p w14:paraId="6AEF66CC" w14:textId="77777777" w:rsidR="00013543" w:rsidRPr="009B15A9" w:rsidRDefault="00013543" w:rsidP="002A7EFA">
            <w:pPr>
              <w:pStyle w:val="BodyText"/>
              <w:rPr>
                <w:rFonts w:ascii="Arial" w:hAnsi="Arial" w:cs="Arial"/>
                <w:b/>
              </w:rPr>
            </w:pPr>
            <w:r w:rsidRPr="009B15A9">
              <w:rPr>
                <w:rFonts w:ascii="Arial" w:hAnsi="Arial" w:cs="Arial"/>
              </w:rPr>
              <w:t>Negligible</w:t>
            </w:r>
          </w:p>
        </w:tc>
        <w:tc>
          <w:tcPr>
            <w:tcW w:w="6990" w:type="dxa"/>
            <w:gridSpan w:val="2"/>
          </w:tcPr>
          <w:p w14:paraId="7D4782B6" w14:textId="77777777" w:rsidR="00013543" w:rsidRPr="009B15A9" w:rsidRDefault="00013543" w:rsidP="002A7EFA">
            <w:pPr>
              <w:pStyle w:val="BodyText"/>
              <w:rPr>
                <w:rFonts w:ascii="Arial" w:hAnsi="Arial" w:cs="Arial"/>
              </w:rPr>
            </w:pPr>
            <w:r w:rsidRPr="009B15A9">
              <w:rPr>
                <w:rFonts w:ascii="Arial" w:hAnsi="Arial" w:cs="Arial"/>
              </w:rPr>
              <w:t>Extent: Negligible effect on the extent of the species/community range, Contained locally within a single site/area</w:t>
            </w:r>
          </w:p>
          <w:p w14:paraId="3B6E81D2" w14:textId="77777777" w:rsidR="00013543" w:rsidRPr="009B15A9" w:rsidRDefault="00013543" w:rsidP="002A7EFA">
            <w:pPr>
              <w:pStyle w:val="BodyText"/>
              <w:rPr>
                <w:rFonts w:ascii="Arial" w:hAnsi="Arial" w:cs="Arial"/>
              </w:rPr>
            </w:pPr>
            <w:r w:rsidRPr="009B15A9">
              <w:rPr>
                <w:rFonts w:ascii="Arial" w:hAnsi="Arial" w:cs="Arial"/>
              </w:rPr>
              <w:t xml:space="preserve">Severity: Negligible effect on the species or community persistence: </w:t>
            </w:r>
          </w:p>
          <w:p w14:paraId="197718F4" w14:textId="77777777" w:rsidR="00013543" w:rsidRPr="009B15A9" w:rsidRDefault="00013543" w:rsidP="002A7EFA">
            <w:pPr>
              <w:pStyle w:val="BodyText"/>
              <w:rPr>
                <w:rFonts w:ascii="Arial" w:hAnsi="Arial" w:cs="Arial"/>
              </w:rPr>
            </w:pPr>
            <w:r w:rsidRPr="009B15A9">
              <w:rPr>
                <w:rFonts w:ascii="Arial" w:hAnsi="Arial" w:cs="Arial"/>
              </w:rPr>
              <w:t>Duration: Impacts expected to endure for a negligible time period and/or under 1 year.</w:t>
            </w:r>
          </w:p>
        </w:tc>
      </w:tr>
    </w:tbl>
    <w:p w14:paraId="1F687B26" w14:textId="169C8D8F" w:rsidR="00013543" w:rsidRPr="00FF310C" w:rsidRDefault="00483942" w:rsidP="006670D2">
      <w:pPr>
        <w:pStyle w:val="Caption"/>
        <w:rPr>
          <w:rFonts w:ascii="Arial" w:hAnsi="Arial"/>
        </w:rPr>
      </w:pPr>
      <w:bookmarkStart w:id="1539" w:name="_Ref76034995"/>
      <w:bookmarkStart w:id="1540" w:name="_Ref76035017"/>
      <w:bookmarkStart w:id="1541" w:name="_Toc76043926"/>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307</w:t>
      </w:r>
      <w:r w:rsidR="000B6788" w:rsidRPr="00B846FE">
        <w:rPr>
          <w:bCs/>
          <w:noProof/>
        </w:rPr>
        <w:fldChar w:fldCharType="end"/>
      </w:r>
      <w:r w:rsidRPr="00FF310C">
        <w:t xml:space="preserve">. </w:t>
      </w:r>
      <w:r w:rsidR="00013543" w:rsidRPr="00FF310C">
        <w:rPr>
          <w:rFonts w:ascii="Arial" w:hAnsi="Arial"/>
        </w:rPr>
        <w:t>Likelihood descriptors</w:t>
      </w:r>
      <w:bookmarkEnd w:id="1539"/>
      <w:bookmarkEnd w:id="1540"/>
      <w:bookmarkEnd w:id="1541"/>
    </w:p>
    <w:tbl>
      <w:tblPr>
        <w:tblStyle w:val="TableGrid"/>
        <w:tblW w:w="9072" w:type="dxa"/>
        <w:tblLook w:val="04A0" w:firstRow="1" w:lastRow="0" w:firstColumn="1" w:lastColumn="0" w:noHBand="0" w:noVBand="1"/>
      </w:tblPr>
      <w:tblGrid>
        <w:gridCol w:w="2013"/>
        <w:gridCol w:w="6960"/>
        <w:gridCol w:w="99"/>
      </w:tblGrid>
      <w:tr w:rsidR="00013543" w:rsidRPr="009B15A9" w14:paraId="2A7F7640" w14:textId="77777777" w:rsidTr="002A7EFA">
        <w:trPr>
          <w:gridAfter w:val="1"/>
          <w:cnfStyle w:val="100000000000" w:firstRow="1" w:lastRow="0" w:firstColumn="0" w:lastColumn="0" w:oddVBand="0" w:evenVBand="0" w:oddHBand="0" w:evenHBand="0" w:firstRowFirstColumn="0" w:firstRowLastColumn="0" w:lastRowFirstColumn="0" w:lastRowLastColumn="0"/>
          <w:wAfter w:w="108" w:type="dxa"/>
        </w:trPr>
        <w:tc>
          <w:tcPr>
            <w:cnfStyle w:val="000000000100" w:firstRow="0" w:lastRow="0" w:firstColumn="0" w:lastColumn="0" w:oddVBand="0" w:evenVBand="0" w:oddHBand="0" w:evenHBand="0" w:firstRowFirstColumn="1" w:firstRowLastColumn="0" w:lastRowFirstColumn="0" w:lastRowLastColumn="0"/>
            <w:tcW w:w="2122" w:type="dxa"/>
          </w:tcPr>
          <w:p w14:paraId="0649333B" w14:textId="77777777" w:rsidR="00013543" w:rsidRPr="009B15A9" w:rsidRDefault="00013543" w:rsidP="002A7EFA">
            <w:pPr>
              <w:pStyle w:val="BodyText"/>
              <w:rPr>
                <w:rFonts w:ascii="Arial" w:hAnsi="Arial" w:cs="Arial"/>
                <w:b/>
                <w:bCs/>
              </w:rPr>
            </w:pPr>
            <w:r w:rsidRPr="009B15A9">
              <w:rPr>
                <w:rFonts w:ascii="Arial" w:hAnsi="Arial" w:cs="Arial"/>
                <w:b/>
                <w:bCs/>
              </w:rPr>
              <w:t xml:space="preserve">Rating </w:t>
            </w:r>
          </w:p>
        </w:tc>
        <w:tc>
          <w:tcPr>
            <w:tcW w:w="7507" w:type="dxa"/>
          </w:tcPr>
          <w:p w14:paraId="413F0A6B" w14:textId="77777777" w:rsidR="00013543" w:rsidRPr="009B15A9" w:rsidRDefault="00013543" w:rsidP="002A7EFA">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B15A9">
              <w:rPr>
                <w:rFonts w:ascii="Arial" w:hAnsi="Arial" w:cs="Arial"/>
                <w:b/>
                <w:bCs/>
              </w:rPr>
              <w:t>Description</w:t>
            </w:r>
          </w:p>
        </w:tc>
      </w:tr>
      <w:tr w:rsidR="00013543" w:rsidRPr="009B15A9" w14:paraId="23528312" w14:textId="77777777" w:rsidTr="002A7EFA">
        <w:tc>
          <w:tcPr>
            <w:tcW w:w="2122" w:type="dxa"/>
          </w:tcPr>
          <w:p w14:paraId="76E844BF" w14:textId="77777777" w:rsidR="00013543" w:rsidRPr="009B15A9" w:rsidRDefault="00013543" w:rsidP="002A7EFA">
            <w:pPr>
              <w:pStyle w:val="BodyText"/>
              <w:rPr>
                <w:rFonts w:ascii="Arial" w:hAnsi="Arial" w:cs="Arial"/>
              </w:rPr>
            </w:pPr>
            <w:r w:rsidRPr="009B15A9">
              <w:rPr>
                <w:rFonts w:ascii="Arial" w:hAnsi="Arial" w:cs="Arial"/>
              </w:rPr>
              <w:t>Almost Certain</w:t>
            </w:r>
          </w:p>
        </w:tc>
        <w:tc>
          <w:tcPr>
            <w:tcW w:w="7507" w:type="dxa"/>
            <w:gridSpan w:val="2"/>
          </w:tcPr>
          <w:p w14:paraId="47A248E0" w14:textId="77777777" w:rsidR="00013543" w:rsidRPr="009B15A9" w:rsidRDefault="00013543" w:rsidP="002A7EFA">
            <w:pPr>
              <w:pStyle w:val="BodyText"/>
              <w:rPr>
                <w:rFonts w:ascii="Arial" w:hAnsi="Arial" w:cs="Arial"/>
              </w:rPr>
            </w:pPr>
            <w:r w:rsidRPr="009B15A9">
              <w:rPr>
                <w:rFonts w:ascii="Arial" w:hAnsi="Arial" w:cs="Arial"/>
              </w:rPr>
              <w:t xml:space="preserve">The hazard is expected to occur constantly or frequently within a species’ habitat or community extent over 20 years at a scale that will cause the expected consequence. </w:t>
            </w:r>
          </w:p>
          <w:p w14:paraId="37D28C06" w14:textId="77777777" w:rsidR="00013543" w:rsidRPr="009B15A9" w:rsidRDefault="00013543" w:rsidP="002A7EFA">
            <w:pPr>
              <w:pStyle w:val="BodyText"/>
              <w:rPr>
                <w:rFonts w:ascii="Arial" w:hAnsi="Arial" w:cs="Arial"/>
              </w:rPr>
            </w:pPr>
            <w:r w:rsidRPr="009B15A9">
              <w:rPr>
                <w:rFonts w:ascii="Arial" w:hAnsi="Arial" w:cs="Arial"/>
              </w:rPr>
              <w:t>In the case of an isolated event, the probability of occurrence is &gt;80% over 20 years at a scale that will cause the expected consequence.</w:t>
            </w:r>
          </w:p>
        </w:tc>
      </w:tr>
      <w:tr w:rsidR="00013543" w:rsidRPr="009B15A9" w14:paraId="0F738BE8" w14:textId="77777777" w:rsidTr="002A7EFA">
        <w:tc>
          <w:tcPr>
            <w:tcW w:w="2122" w:type="dxa"/>
          </w:tcPr>
          <w:p w14:paraId="2F7B088E" w14:textId="77777777" w:rsidR="00013543" w:rsidRPr="009B15A9" w:rsidRDefault="00013543" w:rsidP="002A7EFA">
            <w:pPr>
              <w:pStyle w:val="BodyText"/>
              <w:rPr>
                <w:rFonts w:ascii="Arial" w:hAnsi="Arial" w:cs="Arial"/>
                <w:b/>
                <w:bCs/>
              </w:rPr>
            </w:pPr>
            <w:r w:rsidRPr="009B15A9">
              <w:rPr>
                <w:rFonts w:ascii="Arial" w:hAnsi="Arial" w:cs="Arial"/>
              </w:rPr>
              <w:t>Likely</w:t>
            </w:r>
          </w:p>
        </w:tc>
        <w:tc>
          <w:tcPr>
            <w:tcW w:w="7507" w:type="dxa"/>
            <w:gridSpan w:val="2"/>
          </w:tcPr>
          <w:p w14:paraId="1E040036" w14:textId="77777777" w:rsidR="00013543" w:rsidRPr="009B15A9" w:rsidRDefault="00013543" w:rsidP="002A7EFA">
            <w:pPr>
              <w:pStyle w:val="BodyText"/>
              <w:rPr>
                <w:rFonts w:ascii="Arial" w:hAnsi="Arial" w:cs="Arial"/>
              </w:rPr>
            </w:pPr>
            <w:r w:rsidRPr="009B15A9">
              <w:rPr>
                <w:rFonts w:ascii="Arial" w:hAnsi="Arial" w:cs="Arial"/>
              </w:rPr>
              <w:t xml:space="preserve">The hazard is likely to occur in most circumstances within a species’ habitat or community extent over 20 years at a scale that will cause the expected consequence. </w:t>
            </w:r>
          </w:p>
          <w:p w14:paraId="1A88DC2E" w14:textId="77777777" w:rsidR="00013543" w:rsidRPr="009B15A9" w:rsidRDefault="00013543" w:rsidP="002A7EFA">
            <w:pPr>
              <w:pStyle w:val="BodyText"/>
              <w:rPr>
                <w:rFonts w:ascii="Arial" w:hAnsi="Arial" w:cs="Arial"/>
              </w:rPr>
            </w:pPr>
            <w:r w:rsidRPr="009B15A9">
              <w:rPr>
                <w:rFonts w:ascii="Arial" w:hAnsi="Arial" w:cs="Arial"/>
              </w:rPr>
              <w:t>In the case of an isolated event, the probability of occurrence is 50-80% over 20 years at a scale that will cause the expected consequence.</w:t>
            </w:r>
          </w:p>
        </w:tc>
      </w:tr>
      <w:tr w:rsidR="00013543" w:rsidRPr="009B15A9" w14:paraId="008930E5" w14:textId="77777777" w:rsidTr="002A7EFA">
        <w:tc>
          <w:tcPr>
            <w:tcW w:w="2122" w:type="dxa"/>
          </w:tcPr>
          <w:p w14:paraId="5ECB09CA" w14:textId="77777777" w:rsidR="00013543" w:rsidRPr="009B15A9" w:rsidRDefault="00013543" w:rsidP="002A7EFA">
            <w:pPr>
              <w:pStyle w:val="BodyText"/>
              <w:rPr>
                <w:rFonts w:ascii="Arial" w:hAnsi="Arial" w:cs="Arial"/>
                <w:b/>
                <w:bCs/>
              </w:rPr>
            </w:pPr>
            <w:r w:rsidRPr="009B15A9">
              <w:rPr>
                <w:rFonts w:ascii="Arial" w:hAnsi="Arial" w:cs="Arial"/>
              </w:rPr>
              <w:t xml:space="preserve">Possible </w:t>
            </w:r>
          </w:p>
        </w:tc>
        <w:tc>
          <w:tcPr>
            <w:tcW w:w="7507" w:type="dxa"/>
            <w:gridSpan w:val="2"/>
          </w:tcPr>
          <w:p w14:paraId="2E43614D" w14:textId="77777777" w:rsidR="00013543" w:rsidRPr="009B15A9" w:rsidRDefault="00013543" w:rsidP="002A7EFA">
            <w:pPr>
              <w:pStyle w:val="BodyText"/>
              <w:rPr>
                <w:rFonts w:ascii="Arial" w:hAnsi="Arial" w:cs="Arial"/>
              </w:rPr>
            </w:pPr>
            <w:r w:rsidRPr="009B15A9">
              <w:rPr>
                <w:rFonts w:ascii="Arial" w:hAnsi="Arial" w:cs="Arial"/>
              </w:rPr>
              <w:t>The hazard might occur within a species’ habitat or community extent over 20 years at a scale that will cause the expected consequence.</w:t>
            </w:r>
          </w:p>
          <w:p w14:paraId="69F8956C" w14:textId="77777777" w:rsidR="00013543" w:rsidRPr="009B15A9" w:rsidRDefault="00013543" w:rsidP="002A7EFA">
            <w:pPr>
              <w:pStyle w:val="BodyText"/>
              <w:rPr>
                <w:rFonts w:ascii="Arial" w:hAnsi="Arial" w:cs="Arial"/>
              </w:rPr>
            </w:pPr>
            <w:r w:rsidRPr="009B15A9">
              <w:rPr>
                <w:rFonts w:ascii="Arial" w:hAnsi="Arial" w:cs="Arial"/>
              </w:rPr>
              <w:t>In the case of an isolated event, the probability of occurrence is 20-49% over 20 years at a scale that will cause the expected consequence.</w:t>
            </w:r>
          </w:p>
        </w:tc>
      </w:tr>
      <w:tr w:rsidR="00013543" w:rsidRPr="009B15A9" w14:paraId="3103180D" w14:textId="77777777" w:rsidTr="002A7EFA">
        <w:tc>
          <w:tcPr>
            <w:tcW w:w="2122" w:type="dxa"/>
          </w:tcPr>
          <w:p w14:paraId="2A2580CF" w14:textId="77777777" w:rsidR="00013543" w:rsidRPr="009B15A9" w:rsidRDefault="00013543" w:rsidP="002A7EFA">
            <w:pPr>
              <w:pStyle w:val="BodyText"/>
              <w:rPr>
                <w:rFonts w:ascii="Arial" w:hAnsi="Arial" w:cs="Arial"/>
                <w:b/>
                <w:bCs/>
              </w:rPr>
            </w:pPr>
            <w:r w:rsidRPr="009B15A9">
              <w:rPr>
                <w:rFonts w:ascii="Arial" w:hAnsi="Arial" w:cs="Arial"/>
              </w:rPr>
              <w:t xml:space="preserve">Unlikely </w:t>
            </w:r>
          </w:p>
        </w:tc>
        <w:tc>
          <w:tcPr>
            <w:tcW w:w="7507" w:type="dxa"/>
            <w:gridSpan w:val="2"/>
          </w:tcPr>
          <w:p w14:paraId="7BCB40D7" w14:textId="77777777" w:rsidR="00013543" w:rsidRPr="009B15A9" w:rsidRDefault="00013543" w:rsidP="002A7EFA">
            <w:pPr>
              <w:pStyle w:val="BodyText"/>
              <w:rPr>
                <w:rFonts w:ascii="Arial" w:hAnsi="Arial" w:cs="Arial"/>
              </w:rPr>
            </w:pPr>
            <w:r w:rsidRPr="009B15A9">
              <w:rPr>
                <w:rFonts w:ascii="Arial" w:hAnsi="Arial" w:cs="Arial"/>
              </w:rPr>
              <w:t>The hazard is unlikely to occur within a species’ habitat or community extent over 20 years at a scale that will cause the expected consequence.</w:t>
            </w:r>
          </w:p>
          <w:p w14:paraId="3F8373ED" w14:textId="77777777" w:rsidR="00013543" w:rsidRPr="009B15A9" w:rsidRDefault="00013543" w:rsidP="002A7EFA">
            <w:pPr>
              <w:pStyle w:val="BodyText"/>
              <w:rPr>
                <w:rFonts w:ascii="Arial" w:hAnsi="Arial" w:cs="Arial"/>
              </w:rPr>
            </w:pPr>
            <w:r w:rsidRPr="009B15A9">
              <w:rPr>
                <w:rFonts w:ascii="Arial" w:hAnsi="Arial" w:cs="Arial"/>
              </w:rPr>
              <w:t>In the case of an isolated event, the probability of occurrence is 5-19% over 20 years at a scale that will cause the expected consequence.</w:t>
            </w:r>
          </w:p>
        </w:tc>
      </w:tr>
      <w:tr w:rsidR="00013543" w:rsidRPr="009B15A9" w14:paraId="09B1532C" w14:textId="77777777" w:rsidTr="002A7EFA">
        <w:tc>
          <w:tcPr>
            <w:tcW w:w="2122" w:type="dxa"/>
          </w:tcPr>
          <w:p w14:paraId="5EBE731A" w14:textId="77777777" w:rsidR="00013543" w:rsidRPr="009B15A9" w:rsidRDefault="00013543" w:rsidP="002A7EFA">
            <w:pPr>
              <w:pStyle w:val="BodyText"/>
              <w:rPr>
                <w:rFonts w:ascii="Arial" w:hAnsi="Arial" w:cs="Arial"/>
                <w:b/>
                <w:bCs/>
              </w:rPr>
            </w:pPr>
            <w:r w:rsidRPr="009B15A9">
              <w:rPr>
                <w:rFonts w:ascii="Arial" w:hAnsi="Arial" w:cs="Arial"/>
              </w:rPr>
              <w:t xml:space="preserve">Rare </w:t>
            </w:r>
          </w:p>
        </w:tc>
        <w:tc>
          <w:tcPr>
            <w:tcW w:w="7507" w:type="dxa"/>
            <w:gridSpan w:val="2"/>
          </w:tcPr>
          <w:p w14:paraId="4B52981E" w14:textId="77777777" w:rsidR="00013543" w:rsidRPr="009B15A9" w:rsidRDefault="00013543" w:rsidP="002A7EFA">
            <w:pPr>
              <w:pStyle w:val="BodyText"/>
              <w:rPr>
                <w:rFonts w:ascii="Arial" w:hAnsi="Arial" w:cs="Arial"/>
              </w:rPr>
            </w:pPr>
            <w:r w:rsidRPr="009B15A9">
              <w:rPr>
                <w:rFonts w:ascii="Arial" w:hAnsi="Arial" w:cs="Arial"/>
              </w:rPr>
              <w:t>The hazard may only occur in exceptional circumstances.</w:t>
            </w:r>
          </w:p>
          <w:p w14:paraId="3AA2916A" w14:textId="77777777" w:rsidR="00013543" w:rsidRPr="009B15A9" w:rsidRDefault="00013543" w:rsidP="002A7EFA">
            <w:pPr>
              <w:pStyle w:val="BodyText"/>
              <w:rPr>
                <w:rFonts w:ascii="Arial" w:hAnsi="Arial" w:cs="Arial"/>
              </w:rPr>
            </w:pPr>
            <w:r w:rsidRPr="009B15A9">
              <w:rPr>
                <w:rFonts w:ascii="Arial" w:hAnsi="Arial" w:cs="Arial"/>
              </w:rPr>
              <w:t>In the case of an isolated event, the probability of occurrence is &lt;5% over 20 years at a scale that will cause the expected consequence.</w:t>
            </w:r>
          </w:p>
        </w:tc>
      </w:tr>
    </w:tbl>
    <w:p w14:paraId="41E3891E" w14:textId="26A87B50" w:rsidR="00013543" w:rsidRPr="00FF310C" w:rsidRDefault="00483942" w:rsidP="006670D2">
      <w:pPr>
        <w:pStyle w:val="Caption"/>
        <w:rPr>
          <w:rFonts w:ascii="Arial" w:hAnsi="Arial"/>
        </w:rPr>
      </w:pPr>
      <w:bookmarkStart w:id="1542" w:name="_Ref76034999"/>
      <w:bookmarkStart w:id="1543" w:name="_Ref76035005"/>
      <w:bookmarkStart w:id="1544" w:name="_Toc76043927"/>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308</w:t>
      </w:r>
      <w:r w:rsidR="000B6788" w:rsidRPr="00B846FE">
        <w:rPr>
          <w:bCs/>
          <w:noProof/>
        </w:rPr>
        <w:fldChar w:fldCharType="end"/>
      </w:r>
      <w:r w:rsidRPr="00FF310C">
        <w:t>.</w:t>
      </w:r>
      <w:r w:rsidR="00013543" w:rsidRPr="00FF310C">
        <w:rPr>
          <w:rFonts w:ascii="Arial" w:hAnsi="Arial"/>
        </w:rPr>
        <w:t xml:space="preserve"> Risk matrix</w:t>
      </w:r>
      <w:bookmarkEnd w:id="1542"/>
      <w:bookmarkEnd w:id="1543"/>
      <w:bookmarkEnd w:id="1544"/>
    </w:p>
    <w:tbl>
      <w:tblPr>
        <w:tblStyle w:val="DELWPTableNormal"/>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417"/>
        <w:gridCol w:w="1417"/>
        <w:gridCol w:w="1417"/>
        <w:gridCol w:w="1417"/>
        <w:gridCol w:w="1419"/>
      </w:tblGrid>
      <w:tr w:rsidR="00013543" w:rsidRPr="009B15A9" w14:paraId="0B7EE5FD" w14:textId="77777777" w:rsidTr="002A7EFA">
        <w:trPr>
          <w:trHeight w:val="152"/>
        </w:trPr>
        <w:tc>
          <w:tcPr>
            <w:tcW w:w="1984" w:type="dxa"/>
            <w:vMerge w:val="restart"/>
            <w:vAlign w:val="center"/>
          </w:tcPr>
          <w:p w14:paraId="51101665" w14:textId="77777777" w:rsidR="00013543" w:rsidRPr="009B15A9" w:rsidRDefault="00013543" w:rsidP="002A7EFA">
            <w:pPr>
              <w:pStyle w:val="BodyText"/>
              <w:rPr>
                <w:rFonts w:ascii="Arial" w:hAnsi="Arial"/>
                <w:b/>
                <w:bCs/>
              </w:rPr>
            </w:pPr>
            <w:r w:rsidRPr="009B15A9">
              <w:rPr>
                <w:rFonts w:ascii="Arial" w:hAnsi="Arial"/>
                <w:b/>
                <w:bCs/>
              </w:rPr>
              <w:t>Likelihood</w:t>
            </w:r>
          </w:p>
        </w:tc>
        <w:tc>
          <w:tcPr>
            <w:tcW w:w="7087" w:type="dxa"/>
            <w:gridSpan w:val="5"/>
          </w:tcPr>
          <w:p w14:paraId="7137FA01" w14:textId="77777777" w:rsidR="00013543" w:rsidRPr="009B15A9" w:rsidRDefault="00013543" w:rsidP="002A7EFA">
            <w:pPr>
              <w:pStyle w:val="BodyText"/>
              <w:jc w:val="center"/>
              <w:rPr>
                <w:rFonts w:ascii="Arial" w:hAnsi="Arial"/>
                <w:b/>
                <w:bCs/>
              </w:rPr>
            </w:pPr>
            <w:r w:rsidRPr="009B15A9">
              <w:rPr>
                <w:rFonts w:ascii="Arial" w:hAnsi="Arial"/>
                <w:b/>
                <w:bCs/>
              </w:rPr>
              <w:t>Consequence</w:t>
            </w:r>
          </w:p>
        </w:tc>
      </w:tr>
      <w:tr w:rsidR="00013543" w:rsidRPr="009B15A9" w14:paraId="3F748B87" w14:textId="77777777" w:rsidTr="002A7EFA">
        <w:tc>
          <w:tcPr>
            <w:tcW w:w="1984" w:type="dxa"/>
            <w:vMerge/>
          </w:tcPr>
          <w:p w14:paraId="1E49C47F" w14:textId="77777777" w:rsidR="00013543" w:rsidRPr="009B15A9" w:rsidRDefault="00013543" w:rsidP="002A7EFA">
            <w:pPr>
              <w:pStyle w:val="BodyText"/>
              <w:rPr>
                <w:rFonts w:ascii="Arial" w:hAnsi="Arial"/>
                <w:b/>
                <w:bCs/>
              </w:rPr>
            </w:pPr>
          </w:p>
        </w:tc>
        <w:tc>
          <w:tcPr>
            <w:tcW w:w="1417" w:type="dxa"/>
            <w:vAlign w:val="center"/>
          </w:tcPr>
          <w:p w14:paraId="0F040EB6" w14:textId="77777777" w:rsidR="00013543" w:rsidRPr="009B15A9" w:rsidRDefault="00013543" w:rsidP="002A7EFA">
            <w:pPr>
              <w:pStyle w:val="BodyText"/>
              <w:jc w:val="center"/>
              <w:rPr>
                <w:rFonts w:ascii="Arial" w:hAnsi="Arial"/>
                <w:b/>
                <w:bCs/>
              </w:rPr>
            </w:pPr>
            <w:r w:rsidRPr="009B15A9">
              <w:rPr>
                <w:rFonts w:ascii="Arial" w:hAnsi="Arial"/>
                <w:b/>
                <w:bCs/>
              </w:rPr>
              <w:t>Negligible</w:t>
            </w:r>
          </w:p>
        </w:tc>
        <w:tc>
          <w:tcPr>
            <w:tcW w:w="1417" w:type="dxa"/>
            <w:vAlign w:val="center"/>
          </w:tcPr>
          <w:p w14:paraId="29B5160A" w14:textId="77777777" w:rsidR="00013543" w:rsidRPr="009B15A9" w:rsidRDefault="00013543" w:rsidP="002A7EFA">
            <w:pPr>
              <w:pStyle w:val="BodyText"/>
              <w:jc w:val="center"/>
              <w:rPr>
                <w:rFonts w:ascii="Arial" w:hAnsi="Arial"/>
                <w:b/>
                <w:bCs/>
              </w:rPr>
            </w:pPr>
            <w:r w:rsidRPr="009B15A9">
              <w:rPr>
                <w:rFonts w:ascii="Arial" w:hAnsi="Arial"/>
                <w:b/>
                <w:bCs/>
              </w:rPr>
              <w:t>Minor</w:t>
            </w:r>
          </w:p>
        </w:tc>
        <w:tc>
          <w:tcPr>
            <w:tcW w:w="1417" w:type="dxa"/>
            <w:vAlign w:val="center"/>
          </w:tcPr>
          <w:p w14:paraId="231B40C5" w14:textId="77777777" w:rsidR="00013543" w:rsidRPr="009B15A9" w:rsidRDefault="00013543" w:rsidP="002A7EFA">
            <w:pPr>
              <w:pStyle w:val="BodyText"/>
              <w:jc w:val="center"/>
              <w:rPr>
                <w:rFonts w:ascii="Arial" w:hAnsi="Arial"/>
                <w:b/>
                <w:bCs/>
              </w:rPr>
            </w:pPr>
            <w:r w:rsidRPr="009B15A9">
              <w:rPr>
                <w:rFonts w:ascii="Arial" w:hAnsi="Arial"/>
                <w:b/>
                <w:bCs/>
              </w:rPr>
              <w:t>Moderate</w:t>
            </w:r>
          </w:p>
        </w:tc>
        <w:tc>
          <w:tcPr>
            <w:tcW w:w="1417" w:type="dxa"/>
            <w:vAlign w:val="center"/>
          </w:tcPr>
          <w:p w14:paraId="679095D0" w14:textId="77777777" w:rsidR="00013543" w:rsidRPr="009B15A9" w:rsidRDefault="00013543" w:rsidP="002A7EFA">
            <w:pPr>
              <w:pStyle w:val="BodyText"/>
              <w:jc w:val="center"/>
              <w:rPr>
                <w:rFonts w:ascii="Arial" w:hAnsi="Arial"/>
                <w:b/>
                <w:bCs/>
              </w:rPr>
            </w:pPr>
            <w:r w:rsidRPr="009B15A9">
              <w:rPr>
                <w:rFonts w:ascii="Arial" w:hAnsi="Arial"/>
                <w:b/>
                <w:bCs/>
              </w:rPr>
              <w:t>Major</w:t>
            </w:r>
          </w:p>
        </w:tc>
        <w:tc>
          <w:tcPr>
            <w:tcW w:w="1419" w:type="dxa"/>
            <w:vAlign w:val="center"/>
          </w:tcPr>
          <w:p w14:paraId="30D03B02" w14:textId="77777777" w:rsidR="00013543" w:rsidRPr="009B15A9" w:rsidRDefault="00013543" w:rsidP="002A7EFA">
            <w:pPr>
              <w:pStyle w:val="BodyText"/>
              <w:jc w:val="center"/>
              <w:rPr>
                <w:rFonts w:ascii="Arial" w:hAnsi="Arial"/>
                <w:b/>
                <w:bCs/>
              </w:rPr>
            </w:pPr>
            <w:r w:rsidRPr="009B15A9">
              <w:rPr>
                <w:rFonts w:ascii="Arial" w:hAnsi="Arial"/>
                <w:b/>
                <w:bCs/>
              </w:rPr>
              <w:t>Extreme</w:t>
            </w:r>
          </w:p>
        </w:tc>
      </w:tr>
      <w:tr w:rsidR="00013543" w:rsidRPr="009B15A9" w14:paraId="4B9B8142" w14:textId="77777777" w:rsidTr="00E81301">
        <w:tc>
          <w:tcPr>
            <w:tcW w:w="1984" w:type="dxa"/>
            <w:vAlign w:val="center"/>
          </w:tcPr>
          <w:p w14:paraId="75197EAD" w14:textId="77777777" w:rsidR="00013543" w:rsidRPr="009B15A9" w:rsidRDefault="00013543" w:rsidP="002A7EFA">
            <w:pPr>
              <w:pStyle w:val="BodyText"/>
              <w:rPr>
                <w:rFonts w:ascii="Arial" w:hAnsi="Arial"/>
                <w:b/>
                <w:bCs/>
              </w:rPr>
            </w:pPr>
            <w:r w:rsidRPr="009B15A9">
              <w:rPr>
                <w:rFonts w:ascii="Arial" w:hAnsi="Arial"/>
                <w:b/>
                <w:bCs/>
              </w:rPr>
              <w:t>Almost Certain</w:t>
            </w:r>
          </w:p>
        </w:tc>
        <w:tc>
          <w:tcPr>
            <w:tcW w:w="1417" w:type="dxa"/>
            <w:shd w:val="clear" w:color="auto" w:fill="FFFF00"/>
            <w:vAlign w:val="center"/>
          </w:tcPr>
          <w:p w14:paraId="6E1D9B5F" w14:textId="77777777" w:rsidR="00013543" w:rsidRPr="009B15A9" w:rsidRDefault="00013543" w:rsidP="00E81301">
            <w:pPr>
              <w:pStyle w:val="BodyText"/>
              <w:jc w:val="center"/>
              <w:rPr>
                <w:rFonts w:ascii="Arial" w:hAnsi="Arial"/>
              </w:rPr>
            </w:pPr>
            <w:r w:rsidRPr="009B15A9">
              <w:rPr>
                <w:rFonts w:ascii="Arial" w:hAnsi="Arial"/>
              </w:rPr>
              <w:t>Medium</w:t>
            </w:r>
          </w:p>
        </w:tc>
        <w:tc>
          <w:tcPr>
            <w:tcW w:w="1417" w:type="dxa"/>
            <w:shd w:val="clear" w:color="auto" w:fill="FFC000"/>
            <w:vAlign w:val="center"/>
          </w:tcPr>
          <w:p w14:paraId="00DE7457" w14:textId="77777777" w:rsidR="00013543" w:rsidRPr="009B15A9" w:rsidRDefault="00013543" w:rsidP="00E81301">
            <w:pPr>
              <w:pStyle w:val="BodyText"/>
              <w:jc w:val="center"/>
              <w:rPr>
                <w:rFonts w:ascii="Arial" w:hAnsi="Arial"/>
              </w:rPr>
            </w:pPr>
            <w:r w:rsidRPr="009B15A9">
              <w:rPr>
                <w:rFonts w:ascii="Arial" w:hAnsi="Arial"/>
              </w:rPr>
              <w:t>Significant</w:t>
            </w:r>
          </w:p>
        </w:tc>
        <w:tc>
          <w:tcPr>
            <w:tcW w:w="1417" w:type="dxa"/>
            <w:shd w:val="clear" w:color="auto" w:fill="FF0000"/>
            <w:vAlign w:val="center"/>
          </w:tcPr>
          <w:p w14:paraId="7121E593" w14:textId="77777777" w:rsidR="00013543" w:rsidRPr="009B15A9" w:rsidRDefault="00013543" w:rsidP="00E81301">
            <w:pPr>
              <w:pStyle w:val="BodyText"/>
              <w:jc w:val="center"/>
              <w:rPr>
                <w:rFonts w:ascii="Arial" w:hAnsi="Arial"/>
              </w:rPr>
            </w:pPr>
            <w:r w:rsidRPr="009B15A9">
              <w:rPr>
                <w:rFonts w:ascii="Arial" w:hAnsi="Arial"/>
              </w:rPr>
              <w:t>High</w:t>
            </w:r>
          </w:p>
        </w:tc>
        <w:tc>
          <w:tcPr>
            <w:tcW w:w="1417" w:type="dxa"/>
            <w:shd w:val="clear" w:color="auto" w:fill="FF0000"/>
            <w:vAlign w:val="center"/>
          </w:tcPr>
          <w:p w14:paraId="3C712C8B" w14:textId="77777777" w:rsidR="00013543" w:rsidRPr="009B15A9" w:rsidRDefault="00013543" w:rsidP="00E81301">
            <w:pPr>
              <w:pStyle w:val="BodyText"/>
              <w:jc w:val="center"/>
              <w:rPr>
                <w:rFonts w:ascii="Arial" w:hAnsi="Arial"/>
              </w:rPr>
            </w:pPr>
            <w:r w:rsidRPr="009B15A9">
              <w:rPr>
                <w:rFonts w:ascii="Arial" w:hAnsi="Arial"/>
              </w:rPr>
              <w:t>High</w:t>
            </w:r>
          </w:p>
        </w:tc>
        <w:tc>
          <w:tcPr>
            <w:tcW w:w="1419" w:type="dxa"/>
            <w:shd w:val="clear" w:color="auto" w:fill="FF0000"/>
            <w:vAlign w:val="center"/>
          </w:tcPr>
          <w:p w14:paraId="5CC6A457" w14:textId="77777777" w:rsidR="00013543" w:rsidRPr="009B15A9" w:rsidRDefault="00013543" w:rsidP="00E81301">
            <w:pPr>
              <w:pStyle w:val="BodyText"/>
              <w:jc w:val="center"/>
              <w:rPr>
                <w:rFonts w:ascii="Arial" w:hAnsi="Arial"/>
              </w:rPr>
            </w:pPr>
            <w:r w:rsidRPr="009B15A9">
              <w:rPr>
                <w:rFonts w:ascii="Arial" w:hAnsi="Arial"/>
              </w:rPr>
              <w:t>High</w:t>
            </w:r>
          </w:p>
        </w:tc>
      </w:tr>
      <w:tr w:rsidR="00013543" w:rsidRPr="009B15A9" w14:paraId="6B92A4AE" w14:textId="77777777" w:rsidTr="00E81301">
        <w:tc>
          <w:tcPr>
            <w:tcW w:w="1984" w:type="dxa"/>
            <w:vAlign w:val="center"/>
          </w:tcPr>
          <w:p w14:paraId="27BAB125" w14:textId="77777777" w:rsidR="00013543" w:rsidRPr="009B15A9" w:rsidRDefault="00013543" w:rsidP="002A7EFA">
            <w:pPr>
              <w:pStyle w:val="BodyText"/>
              <w:rPr>
                <w:rFonts w:ascii="Arial" w:hAnsi="Arial"/>
                <w:b/>
                <w:bCs/>
              </w:rPr>
            </w:pPr>
            <w:r w:rsidRPr="009B15A9">
              <w:rPr>
                <w:rFonts w:ascii="Arial" w:hAnsi="Arial"/>
                <w:b/>
                <w:bCs/>
              </w:rPr>
              <w:t>Likely</w:t>
            </w:r>
          </w:p>
        </w:tc>
        <w:tc>
          <w:tcPr>
            <w:tcW w:w="1417" w:type="dxa"/>
            <w:shd w:val="clear" w:color="auto" w:fill="FFFF00"/>
            <w:vAlign w:val="center"/>
          </w:tcPr>
          <w:p w14:paraId="402AAF0F" w14:textId="77777777" w:rsidR="00013543" w:rsidRPr="009B15A9" w:rsidRDefault="00013543" w:rsidP="00E81301">
            <w:pPr>
              <w:pStyle w:val="BodyText"/>
              <w:jc w:val="center"/>
              <w:rPr>
                <w:rFonts w:ascii="Arial" w:hAnsi="Arial"/>
              </w:rPr>
            </w:pPr>
            <w:r w:rsidRPr="009B15A9">
              <w:rPr>
                <w:rFonts w:ascii="Arial" w:hAnsi="Arial"/>
              </w:rPr>
              <w:t>Medium</w:t>
            </w:r>
          </w:p>
        </w:tc>
        <w:tc>
          <w:tcPr>
            <w:tcW w:w="1417" w:type="dxa"/>
            <w:shd w:val="clear" w:color="auto" w:fill="FFFF00"/>
            <w:vAlign w:val="center"/>
          </w:tcPr>
          <w:p w14:paraId="408AAB64" w14:textId="77777777" w:rsidR="00013543" w:rsidRPr="009B15A9" w:rsidRDefault="00013543" w:rsidP="00E81301">
            <w:pPr>
              <w:pStyle w:val="BodyText"/>
              <w:jc w:val="center"/>
              <w:rPr>
                <w:rFonts w:ascii="Arial" w:hAnsi="Arial"/>
              </w:rPr>
            </w:pPr>
            <w:r w:rsidRPr="009B15A9">
              <w:rPr>
                <w:rFonts w:ascii="Arial" w:hAnsi="Arial"/>
              </w:rPr>
              <w:t>Medium</w:t>
            </w:r>
          </w:p>
        </w:tc>
        <w:tc>
          <w:tcPr>
            <w:tcW w:w="1417" w:type="dxa"/>
            <w:shd w:val="clear" w:color="auto" w:fill="FFC000"/>
            <w:vAlign w:val="center"/>
          </w:tcPr>
          <w:p w14:paraId="22DDE61C" w14:textId="77777777" w:rsidR="00013543" w:rsidRPr="009B15A9" w:rsidRDefault="00013543" w:rsidP="00E81301">
            <w:pPr>
              <w:pStyle w:val="BodyText"/>
              <w:jc w:val="center"/>
              <w:rPr>
                <w:rFonts w:ascii="Arial" w:hAnsi="Arial"/>
              </w:rPr>
            </w:pPr>
            <w:r w:rsidRPr="009B15A9">
              <w:rPr>
                <w:rFonts w:ascii="Arial" w:hAnsi="Arial"/>
              </w:rPr>
              <w:t>Significant</w:t>
            </w:r>
          </w:p>
        </w:tc>
        <w:tc>
          <w:tcPr>
            <w:tcW w:w="1417" w:type="dxa"/>
            <w:shd w:val="clear" w:color="auto" w:fill="FF0000"/>
            <w:vAlign w:val="center"/>
          </w:tcPr>
          <w:p w14:paraId="35D17E4A" w14:textId="77777777" w:rsidR="00013543" w:rsidRPr="009B15A9" w:rsidRDefault="00013543" w:rsidP="00E81301">
            <w:pPr>
              <w:pStyle w:val="BodyText"/>
              <w:jc w:val="center"/>
              <w:rPr>
                <w:rFonts w:ascii="Arial" w:hAnsi="Arial"/>
              </w:rPr>
            </w:pPr>
            <w:r w:rsidRPr="009B15A9">
              <w:rPr>
                <w:rFonts w:ascii="Arial" w:hAnsi="Arial"/>
              </w:rPr>
              <w:t>High</w:t>
            </w:r>
          </w:p>
        </w:tc>
        <w:tc>
          <w:tcPr>
            <w:tcW w:w="1419" w:type="dxa"/>
            <w:shd w:val="clear" w:color="auto" w:fill="FF0000"/>
            <w:vAlign w:val="center"/>
          </w:tcPr>
          <w:p w14:paraId="40E6A69D" w14:textId="77777777" w:rsidR="00013543" w:rsidRPr="009B15A9" w:rsidRDefault="00013543" w:rsidP="00E81301">
            <w:pPr>
              <w:pStyle w:val="BodyText"/>
              <w:jc w:val="center"/>
              <w:rPr>
                <w:rFonts w:ascii="Arial" w:hAnsi="Arial"/>
              </w:rPr>
            </w:pPr>
            <w:r w:rsidRPr="009B15A9">
              <w:rPr>
                <w:rFonts w:ascii="Arial" w:hAnsi="Arial"/>
              </w:rPr>
              <w:t>High</w:t>
            </w:r>
          </w:p>
        </w:tc>
      </w:tr>
      <w:tr w:rsidR="00013543" w:rsidRPr="009B15A9" w14:paraId="7809256B" w14:textId="77777777" w:rsidTr="00E81301">
        <w:tc>
          <w:tcPr>
            <w:tcW w:w="1984" w:type="dxa"/>
            <w:vAlign w:val="center"/>
          </w:tcPr>
          <w:p w14:paraId="73C4AAA2" w14:textId="77777777" w:rsidR="00013543" w:rsidRPr="009B15A9" w:rsidRDefault="00013543" w:rsidP="002A7EFA">
            <w:pPr>
              <w:pStyle w:val="BodyText"/>
              <w:rPr>
                <w:rFonts w:ascii="Arial" w:hAnsi="Arial"/>
                <w:b/>
                <w:bCs/>
              </w:rPr>
            </w:pPr>
            <w:r w:rsidRPr="009B15A9">
              <w:rPr>
                <w:rFonts w:ascii="Arial" w:hAnsi="Arial"/>
                <w:b/>
                <w:bCs/>
              </w:rPr>
              <w:t>Possible</w:t>
            </w:r>
          </w:p>
        </w:tc>
        <w:tc>
          <w:tcPr>
            <w:tcW w:w="1417" w:type="dxa"/>
            <w:shd w:val="clear" w:color="auto" w:fill="92D050"/>
            <w:vAlign w:val="center"/>
          </w:tcPr>
          <w:p w14:paraId="5AD2F9C4" w14:textId="77777777" w:rsidR="00013543" w:rsidRPr="009B15A9" w:rsidRDefault="00013543" w:rsidP="00E81301">
            <w:pPr>
              <w:pStyle w:val="BodyText"/>
              <w:jc w:val="center"/>
              <w:rPr>
                <w:rFonts w:ascii="Arial" w:hAnsi="Arial"/>
              </w:rPr>
            </w:pPr>
            <w:r w:rsidRPr="009B15A9">
              <w:rPr>
                <w:rFonts w:ascii="Arial" w:hAnsi="Arial"/>
              </w:rPr>
              <w:t>Low</w:t>
            </w:r>
          </w:p>
        </w:tc>
        <w:tc>
          <w:tcPr>
            <w:tcW w:w="1417" w:type="dxa"/>
            <w:shd w:val="clear" w:color="auto" w:fill="FFFF00"/>
            <w:vAlign w:val="center"/>
          </w:tcPr>
          <w:p w14:paraId="6AC4CA37" w14:textId="77777777" w:rsidR="00013543" w:rsidRPr="009B15A9" w:rsidRDefault="00013543" w:rsidP="00E81301">
            <w:pPr>
              <w:pStyle w:val="BodyText"/>
              <w:jc w:val="center"/>
              <w:rPr>
                <w:rFonts w:ascii="Arial" w:hAnsi="Arial"/>
              </w:rPr>
            </w:pPr>
            <w:r w:rsidRPr="009B15A9">
              <w:rPr>
                <w:rFonts w:ascii="Arial" w:hAnsi="Arial"/>
              </w:rPr>
              <w:t>Medium</w:t>
            </w:r>
          </w:p>
        </w:tc>
        <w:tc>
          <w:tcPr>
            <w:tcW w:w="1417" w:type="dxa"/>
            <w:shd w:val="clear" w:color="auto" w:fill="FFFF00"/>
            <w:vAlign w:val="center"/>
          </w:tcPr>
          <w:p w14:paraId="1A8E7D0B" w14:textId="77777777" w:rsidR="00013543" w:rsidRPr="009B15A9" w:rsidRDefault="00013543" w:rsidP="00E81301">
            <w:pPr>
              <w:pStyle w:val="BodyText"/>
              <w:jc w:val="center"/>
              <w:rPr>
                <w:rFonts w:ascii="Arial" w:hAnsi="Arial"/>
              </w:rPr>
            </w:pPr>
            <w:r w:rsidRPr="009B15A9">
              <w:rPr>
                <w:rFonts w:ascii="Arial" w:hAnsi="Arial"/>
              </w:rPr>
              <w:t>Medium</w:t>
            </w:r>
          </w:p>
        </w:tc>
        <w:tc>
          <w:tcPr>
            <w:tcW w:w="1417" w:type="dxa"/>
            <w:shd w:val="clear" w:color="auto" w:fill="FFC000"/>
            <w:vAlign w:val="center"/>
          </w:tcPr>
          <w:p w14:paraId="675FD966" w14:textId="77777777" w:rsidR="00013543" w:rsidRPr="009B15A9" w:rsidRDefault="00013543" w:rsidP="00E81301">
            <w:pPr>
              <w:pStyle w:val="BodyText"/>
              <w:jc w:val="center"/>
              <w:rPr>
                <w:rFonts w:ascii="Arial" w:hAnsi="Arial"/>
              </w:rPr>
            </w:pPr>
            <w:r w:rsidRPr="009B15A9">
              <w:rPr>
                <w:rFonts w:ascii="Arial" w:hAnsi="Arial"/>
              </w:rPr>
              <w:t>Significant</w:t>
            </w:r>
          </w:p>
        </w:tc>
        <w:tc>
          <w:tcPr>
            <w:tcW w:w="1419" w:type="dxa"/>
            <w:shd w:val="clear" w:color="auto" w:fill="FF0000"/>
            <w:vAlign w:val="center"/>
          </w:tcPr>
          <w:p w14:paraId="6324060E" w14:textId="77777777" w:rsidR="00013543" w:rsidRPr="009B15A9" w:rsidRDefault="00013543" w:rsidP="00E81301">
            <w:pPr>
              <w:pStyle w:val="BodyText"/>
              <w:jc w:val="center"/>
              <w:rPr>
                <w:rFonts w:ascii="Arial" w:hAnsi="Arial"/>
              </w:rPr>
            </w:pPr>
            <w:r w:rsidRPr="009B15A9">
              <w:rPr>
                <w:rFonts w:ascii="Arial" w:hAnsi="Arial"/>
              </w:rPr>
              <w:t>High</w:t>
            </w:r>
          </w:p>
        </w:tc>
      </w:tr>
      <w:tr w:rsidR="00013543" w:rsidRPr="009B15A9" w14:paraId="17D2280D" w14:textId="77777777" w:rsidTr="00E81301">
        <w:tc>
          <w:tcPr>
            <w:tcW w:w="1984" w:type="dxa"/>
            <w:vAlign w:val="center"/>
          </w:tcPr>
          <w:p w14:paraId="11ED6E03" w14:textId="77777777" w:rsidR="00013543" w:rsidRPr="009B15A9" w:rsidRDefault="00013543" w:rsidP="002A7EFA">
            <w:pPr>
              <w:pStyle w:val="BodyText"/>
              <w:rPr>
                <w:rFonts w:ascii="Arial" w:hAnsi="Arial"/>
                <w:b/>
                <w:bCs/>
              </w:rPr>
            </w:pPr>
            <w:r w:rsidRPr="009B15A9">
              <w:rPr>
                <w:rFonts w:ascii="Arial" w:hAnsi="Arial"/>
                <w:b/>
                <w:bCs/>
              </w:rPr>
              <w:t>Unlikely</w:t>
            </w:r>
          </w:p>
        </w:tc>
        <w:tc>
          <w:tcPr>
            <w:tcW w:w="1417" w:type="dxa"/>
            <w:shd w:val="clear" w:color="auto" w:fill="92D050"/>
            <w:vAlign w:val="center"/>
          </w:tcPr>
          <w:p w14:paraId="5CA2318B" w14:textId="77777777" w:rsidR="00013543" w:rsidRPr="009B15A9" w:rsidRDefault="00013543" w:rsidP="00E81301">
            <w:pPr>
              <w:pStyle w:val="BodyText"/>
              <w:jc w:val="center"/>
              <w:rPr>
                <w:rFonts w:ascii="Arial" w:hAnsi="Arial"/>
              </w:rPr>
            </w:pPr>
            <w:r w:rsidRPr="009B15A9">
              <w:rPr>
                <w:rFonts w:ascii="Arial" w:hAnsi="Arial"/>
              </w:rPr>
              <w:t>Low</w:t>
            </w:r>
          </w:p>
        </w:tc>
        <w:tc>
          <w:tcPr>
            <w:tcW w:w="1417" w:type="dxa"/>
            <w:shd w:val="clear" w:color="auto" w:fill="92D050"/>
            <w:vAlign w:val="center"/>
          </w:tcPr>
          <w:p w14:paraId="55539423" w14:textId="77777777" w:rsidR="00013543" w:rsidRPr="009B15A9" w:rsidRDefault="00013543" w:rsidP="00E81301">
            <w:pPr>
              <w:pStyle w:val="BodyText"/>
              <w:jc w:val="center"/>
              <w:rPr>
                <w:rFonts w:ascii="Arial" w:hAnsi="Arial"/>
              </w:rPr>
            </w:pPr>
            <w:r w:rsidRPr="009B15A9">
              <w:rPr>
                <w:rFonts w:ascii="Arial" w:hAnsi="Arial"/>
              </w:rPr>
              <w:t>Low</w:t>
            </w:r>
          </w:p>
        </w:tc>
        <w:tc>
          <w:tcPr>
            <w:tcW w:w="1417" w:type="dxa"/>
            <w:shd w:val="clear" w:color="auto" w:fill="FFFF00"/>
            <w:vAlign w:val="center"/>
          </w:tcPr>
          <w:p w14:paraId="0266D91C" w14:textId="77777777" w:rsidR="00013543" w:rsidRPr="009B15A9" w:rsidRDefault="00013543" w:rsidP="00E81301">
            <w:pPr>
              <w:pStyle w:val="BodyText"/>
              <w:jc w:val="center"/>
              <w:rPr>
                <w:rFonts w:ascii="Arial" w:hAnsi="Arial"/>
              </w:rPr>
            </w:pPr>
            <w:r w:rsidRPr="009B15A9">
              <w:rPr>
                <w:rFonts w:ascii="Arial" w:hAnsi="Arial"/>
              </w:rPr>
              <w:t>Medium</w:t>
            </w:r>
          </w:p>
        </w:tc>
        <w:tc>
          <w:tcPr>
            <w:tcW w:w="1417" w:type="dxa"/>
            <w:shd w:val="clear" w:color="auto" w:fill="FFFF00"/>
            <w:vAlign w:val="center"/>
          </w:tcPr>
          <w:p w14:paraId="3EA3CB35" w14:textId="77777777" w:rsidR="00013543" w:rsidRPr="009B15A9" w:rsidRDefault="00013543" w:rsidP="00E81301">
            <w:pPr>
              <w:pStyle w:val="BodyText"/>
              <w:jc w:val="center"/>
              <w:rPr>
                <w:rFonts w:ascii="Arial" w:hAnsi="Arial"/>
              </w:rPr>
            </w:pPr>
            <w:r w:rsidRPr="009B15A9">
              <w:rPr>
                <w:rFonts w:ascii="Arial" w:hAnsi="Arial"/>
              </w:rPr>
              <w:t>Medium</w:t>
            </w:r>
          </w:p>
        </w:tc>
        <w:tc>
          <w:tcPr>
            <w:tcW w:w="1419" w:type="dxa"/>
            <w:shd w:val="clear" w:color="auto" w:fill="FFC000"/>
            <w:vAlign w:val="center"/>
          </w:tcPr>
          <w:p w14:paraId="2CB78766" w14:textId="77777777" w:rsidR="00013543" w:rsidRPr="009B15A9" w:rsidRDefault="00013543" w:rsidP="00E81301">
            <w:pPr>
              <w:pStyle w:val="BodyText"/>
              <w:jc w:val="center"/>
              <w:rPr>
                <w:rFonts w:ascii="Arial" w:hAnsi="Arial"/>
              </w:rPr>
            </w:pPr>
            <w:r w:rsidRPr="009B15A9">
              <w:rPr>
                <w:rFonts w:ascii="Arial" w:hAnsi="Arial"/>
              </w:rPr>
              <w:t>Significant</w:t>
            </w:r>
          </w:p>
        </w:tc>
      </w:tr>
      <w:tr w:rsidR="00013543" w:rsidRPr="009B15A9" w14:paraId="71B1C38E" w14:textId="77777777" w:rsidTr="00E81301">
        <w:tc>
          <w:tcPr>
            <w:tcW w:w="1984" w:type="dxa"/>
            <w:vAlign w:val="center"/>
          </w:tcPr>
          <w:p w14:paraId="745745F3" w14:textId="77777777" w:rsidR="00013543" w:rsidRPr="009B15A9" w:rsidRDefault="00013543" w:rsidP="002A7EFA">
            <w:pPr>
              <w:pStyle w:val="BodyText"/>
              <w:rPr>
                <w:rFonts w:ascii="Arial" w:hAnsi="Arial"/>
                <w:b/>
                <w:bCs/>
              </w:rPr>
            </w:pPr>
            <w:r w:rsidRPr="009B15A9">
              <w:rPr>
                <w:rFonts w:ascii="Arial" w:hAnsi="Arial"/>
                <w:b/>
                <w:bCs/>
              </w:rPr>
              <w:t>Rare</w:t>
            </w:r>
          </w:p>
        </w:tc>
        <w:tc>
          <w:tcPr>
            <w:tcW w:w="1417" w:type="dxa"/>
            <w:shd w:val="clear" w:color="auto" w:fill="92D050"/>
            <w:vAlign w:val="center"/>
          </w:tcPr>
          <w:p w14:paraId="53236334" w14:textId="77777777" w:rsidR="00013543" w:rsidRPr="009B15A9" w:rsidRDefault="00013543" w:rsidP="00E81301">
            <w:pPr>
              <w:pStyle w:val="BodyText"/>
              <w:jc w:val="center"/>
              <w:rPr>
                <w:rFonts w:ascii="Arial" w:hAnsi="Arial"/>
              </w:rPr>
            </w:pPr>
            <w:r w:rsidRPr="009B15A9">
              <w:rPr>
                <w:rFonts w:ascii="Arial" w:hAnsi="Arial"/>
              </w:rPr>
              <w:t>Low</w:t>
            </w:r>
          </w:p>
        </w:tc>
        <w:tc>
          <w:tcPr>
            <w:tcW w:w="1417" w:type="dxa"/>
            <w:shd w:val="clear" w:color="auto" w:fill="92D050"/>
            <w:vAlign w:val="center"/>
          </w:tcPr>
          <w:p w14:paraId="0FA19956" w14:textId="77777777" w:rsidR="00013543" w:rsidRPr="009B15A9" w:rsidRDefault="00013543" w:rsidP="00E81301">
            <w:pPr>
              <w:pStyle w:val="BodyText"/>
              <w:jc w:val="center"/>
              <w:rPr>
                <w:rFonts w:ascii="Arial" w:hAnsi="Arial"/>
              </w:rPr>
            </w:pPr>
            <w:r w:rsidRPr="009B15A9">
              <w:rPr>
                <w:rFonts w:ascii="Arial" w:hAnsi="Arial"/>
              </w:rPr>
              <w:t>Low</w:t>
            </w:r>
          </w:p>
        </w:tc>
        <w:tc>
          <w:tcPr>
            <w:tcW w:w="1417" w:type="dxa"/>
            <w:shd w:val="clear" w:color="auto" w:fill="92D050"/>
            <w:vAlign w:val="center"/>
          </w:tcPr>
          <w:p w14:paraId="45842ABE" w14:textId="77777777" w:rsidR="00013543" w:rsidRPr="009B15A9" w:rsidRDefault="00013543" w:rsidP="00E81301">
            <w:pPr>
              <w:pStyle w:val="BodyText"/>
              <w:jc w:val="center"/>
              <w:rPr>
                <w:rFonts w:ascii="Arial" w:hAnsi="Arial"/>
              </w:rPr>
            </w:pPr>
            <w:r w:rsidRPr="009B15A9">
              <w:rPr>
                <w:rFonts w:ascii="Arial" w:hAnsi="Arial"/>
              </w:rPr>
              <w:t>Low</w:t>
            </w:r>
          </w:p>
        </w:tc>
        <w:tc>
          <w:tcPr>
            <w:tcW w:w="1417" w:type="dxa"/>
            <w:shd w:val="clear" w:color="auto" w:fill="FFFF00"/>
            <w:vAlign w:val="center"/>
          </w:tcPr>
          <w:p w14:paraId="7A68A532" w14:textId="77777777" w:rsidR="00013543" w:rsidRPr="009B15A9" w:rsidRDefault="00013543" w:rsidP="00E81301">
            <w:pPr>
              <w:pStyle w:val="BodyText"/>
              <w:jc w:val="center"/>
              <w:rPr>
                <w:rFonts w:ascii="Arial" w:hAnsi="Arial"/>
              </w:rPr>
            </w:pPr>
            <w:r w:rsidRPr="009B15A9">
              <w:rPr>
                <w:rFonts w:ascii="Arial" w:hAnsi="Arial"/>
              </w:rPr>
              <w:t>Medium</w:t>
            </w:r>
          </w:p>
        </w:tc>
        <w:tc>
          <w:tcPr>
            <w:tcW w:w="1419" w:type="dxa"/>
            <w:shd w:val="clear" w:color="auto" w:fill="FFC000"/>
            <w:vAlign w:val="center"/>
          </w:tcPr>
          <w:p w14:paraId="1B9657C4" w14:textId="77777777" w:rsidR="00013543" w:rsidRPr="009B15A9" w:rsidRDefault="00013543" w:rsidP="00E81301">
            <w:pPr>
              <w:pStyle w:val="BodyText"/>
              <w:jc w:val="center"/>
              <w:rPr>
                <w:rFonts w:ascii="Arial" w:hAnsi="Arial"/>
              </w:rPr>
            </w:pPr>
            <w:r w:rsidRPr="009B15A9">
              <w:rPr>
                <w:rFonts w:ascii="Arial" w:hAnsi="Arial"/>
              </w:rPr>
              <w:t>Significant</w:t>
            </w:r>
          </w:p>
        </w:tc>
      </w:tr>
    </w:tbl>
    <w:p w14:paraId="0A41422A" w14:textId="114FB8EB" w:rsidR="00013543" w:rsidRPr="00FF310C" w:rsidRDefault="00701B9B" w:rsidP="006670D2">
      <w:pPr>
        <w:pStyle w:val="Caption"/>
        <w:rPr>
          <w:rFonts w:ascii="Arial" w:hAnsi="Arial"/>
        </w:rPr>
      </w:pPr>
      <w:r w:rsidRPr="00FF310C">
        <w:t xml:space="preserve">Table </w:t>
      </w:r>
      <w:r w:rsidR="000B6788" w:rsidRPr="00B846FE">
        <w:rPr>
          <w:bCs/>
        </w:rPr>
        <w:fldChar w:fldCharType="begin"/>
      </w:r>
      <w:r w:rsidR="000B6788" w:rsidRPr="00FF310C">
        <w:instrText xml:space="preserve"> SEQ Table \* ARABIC </w:instrText>
      </w:r>
      <w:r w:rsidR="000B6788" w:rsidRPr="00B846FE">
        <w:rPr>
          <w:bCs/>
        </w:rPr>
        <w:fldChar w:fldCharType="separate"/>
      </w:r>
      <w:r w:rsidR="00692F0D">
        <w:rPr>
          <w:noProof/>
        </w:rPr>
        <w:t>309</w:t>
      </w:r>
      <w:r w:rsidR="000B6788" w:rsidRPr="00B846FE">
        <w:rPr>
          <w:bCs/>
          <w:noProof/>
        </w:rPr>
        <w:fldChar w:fldCharType="end"/>
      </w:r>
      <w:r w:rsidRPr="00FF310C">
        <w:t>.</w:t>
      </w:r>
      <w:r w:rsidR="00013543" w:rsidRPr="00FF310C">
        <w:rPr>
          <w:rFonts w:ascii="Arial" w:hAnsi="Arial"/>
        </w:rPr>
        <w:t xml:space="preserve"> Confidence in risk assessment</w:t>
      </w:r>
      <w:r w:rsidR="00013543" w:rsidRPr="00FF310C">
        <w:rPr>
          <w:rStyle w:val="FootnoteReference"/>
        </w:rPr>
        <w:footnoteReference w:id="2"/>
      </w:r>
    </w:p>
    <w:tbl>
      <w:tblPr>
        <w:tblStyle w:val="TableGrid"/>
        <w:tblW w:w="9072" w:type="dxa"/>
        <w:tblLook w:val="04A0" w:firstRow="1" w:lastRow="0" w:firstColumn="1" w:lastColumn="0" w:noHBand="0" w:noVBand="1"/>
      </w:tblPr>
      <w:tblGrid>
        <w:gridCol w:w="1619"/>
        <w:gridCol w:w="2452"/>
        <w:gridCol w:w="5001"/>
      </w:tblGrid>
      <w:tr w:rsidR="00013543" w:rsidRPr="009B15A9" w14:paraId="54104BEE" w14:textId="77777777" w:rsidTr="002A7EF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19" w:type="dxa"/>
          </w:tcPr>
          <w:p w14:paraId="38069748" w14:textId="77777777" w:rsidR="00013543" w:rsidRPr="009B15A9" w:rsidRDefault="00013543" w:rsidP="002A7EFA">
            <w:pPr>
              <w:autoSpaceDE w:val="0"/>
              <w:autoSpaceDN w:val="0"/>
              <w:adjustRightInd w:val="0"/>
              <w:spacing w:before="120" w:after="120"/>
              <w:rPr>
                <w:rFonts w:ascii="Arial" w:hAnsi="Arial" w:cs="Arial"/>
                <w:b/>
                <w:bCs/>
              </w:rPr>
            </w:pPr>
            <w:r w:rsidRPr="009B15A9">
              <w:rPr>
                <w:rFonts w:ascii="Arial" w:hAnsi="Arial" w:cs="Arial"/>
                <w:b/>
                <w:bCs/>
              </w:rPr>
              <w:t>Confidence level</w:t>
            </w:r>
          </w:p>
        </w:tc>
        <w:tc>
          <w:tcPr>
            <w:tcW w:w="2452" w:type="dxa"/>
          </w:tcPr>
          <w:p w14:paraId="6FE67840" w14:textId="77777777" w:rsidR="00013543" w:rsidRPr="009B15A9" w:rsidRDefault="00013543" w:rsidP="002A7EFA">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B15A9">
              <w:rPr>
                <w:rFonts w:ascii="Arial" w:hAnsi="Arial" w:cs="Arial"/>
                <w:b/>
                <w:bCs/>
              </w:rPr>
              <w:t>Descriptor</w:t>
            </w:r>
          </w:p>
        </w:tc>
        <w:tc>
          <w:tcPr>
            <w:tcW w:w="5001" w:type="dxa"/>
          </w:tcPr>
          <w:p w14:paraId="77A019F2" w14:textId="77777777" w:rsidR="00013543" w:rsidRPr="009B15A9" w:rsidRDefault="00013543" w:rsidP="002A7EFA">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9B15A9">
              <w:rPr>
                <w:rFonts w:ascii="Arial" w:hAnsi="Arial" w:cs="Arial"/>
                <w:b/>
                <w:bCs/>
              </w:rPr>
              <w:t>Supporting evidence</w:t>
            </w:r>
          </w:p>
        </w:tc>
      </w:tr>
      <w:tr w:rsidR="00013543" w:rsidRPr="009B15A9" w14:paraId="088C43E7" w14:textId="77777777" w:rsidTr="002A7EFA">
        <w:tc>
          <w:tcPr>
            <w:tcW w:w="1619" w:type="dxa"/>
          </w:tcPr>
          <w:p w14:paraId="103DBC69"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 xml:space="preserve">Highest </w:t>
            </w:r>
          </w:p>
        </w:tc>
        <w:tc>
          <w:tcPr>
            <w:tcW w:w="2452" w:type="dxa"/>
          </w:tcPr>
          <w:p w14:paraId="2B71BE8B"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Assessed likelihood, consequence or risk is easily assessed to one level, with almost no uncertainty</w:t>
            </w:r>
          </w:p>
        </w:tc>
        <w:tc>
          <w:tcPr>
            <w:tcW w:w="5001" w:type="dxa"/>
          </w:tcPr>
          <w:p w14:paraId="45A7AF64"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Recent historical event of similar magnitude to that being assessed in the community of interest</w:t>
            </w:r>
          </w:p>
          <w:p w14:paraId="4D006173"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or</w:t>
            </w:r>
          </w:p>
          <w:p w14:paraId="22A7559E"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Quantitative modelling and analysis of highest quality and length of data relating directly to the affected community, used to derive results of direct relevance to the scenario being assessed</w:t>
            </w:r>
          </w:p>
        </w:tc>
      </w:tr>
      <w:tr w:rsidR="00013543" w:rsidRPr="009B15A9" w14:paraId="2B9BBB4B" w14:textId="77777777" w:rsidTr="002A7EFA">
        <w:tc>
          <w:tcPr>
            <w:tcW w:w="1619" w:type="dxa"/>
          </w:tcPr>
          <w:p w14:paraId="08159C8F"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 xml:space="preserve">High </w:t>
            </w:r>
          </w:p>
        </w:tc>
        <w:tc>
          <w:tcPr>
            <w:tcW w:w="2452" w:type="dxa"/>
          </w:tcPr>
          <w:p w14:paraId="4023D0CC"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Assessed likelihood, consequence or risk has only one level, but with some uncertainty in the assessment</w:t>
            </w:r>
          </w:p>
        </w:tc>
        <w:tc>
          <w:tcPr>
            <w:tcW w:w="5001" w:type="dxa"/>
          </w:tcPr>
          <w:p w14:paraId="390DFA73"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Recent historical event of similar magnitude to that being assessed in a directly comparable community of interest</w:t>
            </w:r>
          </w:p>
          <w:p w14:paraId="684DED89"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or</w:t>
            </w:r>
          </w:p>
          <w:p w14:paraId="109E7FDB"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Quantitative modelling and analysis use sufficient quality and length of data to derive results of direct relevance to the event being assessed</w:t>
            </w:r>
          </w:p>
        </w:tc>
      </w:tr>
      <w:tr w:rsidR="00013543" w:rsidRPr="009B15A9" w14:paraId="6F0FA8D1" w14:textId="77777777" w:rsidTr="002A7EFA">
        <w:tc>
          <w:tcPr>
            <w:tcW w:w="1619" w:type="dxa"/>
          </w:tcPr>
          <w:p w14:paraId="106CF1B5"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 xml:space="preserve">Moderate </w:t>
            </w:r>
          </w:p>
        </w:tc>
        <w:tc>
          <w:tcPr>
            <w:tcW w:w="2452" w:type="dxa"/>
          </w:tcPr>
          <w:p w14:paraId="3E816ED7"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Assessed likelihood, consequence or risk could be one of two levels, with significant uncertainty</w:t>
            </w:r>
          </w:p>
        </w:tc>
        <w:tc>
          <w:tcPr>
            <w:tcW w:w="5001" w:type="dxa"/>
          </w:tcPr>
          <w:p w14:paraId="06860FE4"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Historical event of similar magnitude to that being assessed in a comparable community of interest</w:t>
            </w:r>
          </w:p>
          <w:p w14:paraId="601C52E0"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or</w:t>
            </w:r>
          </w:p>
          <w:p w14:paraId="39A44C4B"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Quantitative modelling and analysis with reasonable extrapolation of data required to derive results of direct relevance to the event being assessed</w:t>
            </w:r>
          </w:p>
        </w:tc>
      </w:tr>
      <w:tr w:rsidR="00013543" w:rsidRPr="009B15A9" w14:paraId="00D167C2" w14:textId="77777777" w:rsidTr="002A7EFA">
        <w:tc>
          <w:tcPr>
            <w:tcW w:w="1619" w:type="dxa"/>
          </w:tcPr>
          <w:p w14:paraId="46CC5662"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 xml:space="preserve">Low </w:t>
            </w:r>
          </w:p>
        </w:tc>
        <w:tc>
          <w:tcPr>
            <w:tcW w:w="2452" w:type="dxa"/>
          </w:tcPr>
          <w:p w14:paraId="281ABC34"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Assessed likelihood, consequence or risk could be one of three or more levels, with major uncertainty</w:t>
            </w:r>
          </w:p>
        </w:tc>
        <w:tc>
          <w:tcPr>
            <w:tcW w:w="5001" w:type="dxa"/>
          </w:tcPr>
          <w:p w14:paraId="24B2DF20"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Some comparable historical events through anecdotal information</w:t>
            </w:r>
          </w:p>
          <w:p w14:paraId="7D2685FE"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or</w:t>
            </w:r>
          </w:p>
          <w:p w14:paraId="49EF6A64"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Quantitative modelling and analysis with extensive extrapolation of data required to derive results of relevance to the event being assessed</w:t>
            </w:r>
          </w:p>
        </w:tc>
      </w:tr>
      <w:tr w:rsidR="00013543" w:rsidRPr="009B15A9" w14:paraId="0D031F83" w14:textId="77777777" w:rsidTr="002A7EFA">
        <w:tc>
          <w:tcPr>
            <w:tcW w:w="1619" w:type="dxa"/>
          </w:tcPr>
          <w:p w14:paraId="7C862064"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 xml:space="preserve">Lowest </w:t>
            </w:r>
          </w:p>
        </w:tc>
        <w:tc>
          <w:tcPr>
            <w:tcW w:w="2452" w:type="dxa"/>
          </w:tcPr>
          <w:p w14:paraId="40958EE5"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Assessed likelihood, consequence or risk could be one of four or more levels, with fundamental uncertainty</w:t>
            </w:r>
          </w:p>
        </w:tc>
        <w:tc>
          <w:tcPr>
            <w:tcW w:w="5001" w:type="dxa"/>
          </w:tcPr>
          <w:p w14:paraId="4497C23B" w14:textId="77777777" w:rsidR="00013543" w:rsidRPr="009B15A9" w:rsidRDefault="00013543" w:rsidP="002A7EFA">
            <w:pPr>
              <w:autoSpaceDE w:val="0"/>
              <w:autoSpaceDN w:val="0"/>
              <w:adjustRightInd w:val="0"/>
              <w:spacing w:before="120" w:after="120"/>
              <w:rPr>
                <w:rFonts w:ascii="Arial" w:hAnsi="Arial" w:cs="Arial"/>
              </w:rPr>
            </w:pPr>
            <w:r w:rsidRPr="009B15A9">
              <w:rPr>
                <w:rFonts w:ascii="Arial" w:hAnsi="Arial" w:cs="Arial"/>
              </w:rPr>
              <w:t>No historical events or quantitative modelled results to support the levels</w:t>
            </w:r>
          </w:p>
        </w:tc>
      </w:tr>
    </w:tbl>
    <w:p w14:paraId="4BDCA268" w14:textId="77777777" w:rsidR="00013543" w:rsidRPr="009B15A9" w:rsidRDefault="00013543" w:rsidP="00013543">
      <w:pPr>
        <w:pStyle w:val="BodyText"/>
        <w:rPr>
          <w:rFonts w:ascii="Arial" w:hAnsi="Arial"/>
        </w:rPr>
      </w:pPr>
    </w:p>
    <w:p w14:paraId="6A4F4400" w14:textId="77777777" w:rsidR="00013543" w:rsidRPr="009B15A9" w:rsidRDefault="00013543" w:rsidP="00013543">
      <w:pPr>
        <w:pStyle w:val="BodyText"/>
      </w:pPr>
    </w:p>
    <w:p w14:paraId="2FD06FED" w14:textId="77777777" w:rsidR="00013543" w:rsidRPr="00915D82" w:rsidRDefault="00013543">
      <w:pPr>
        <w:pStyle w:val="BodyText"/>
        <w:rPr>
          <w:lang w:eastAsia="en-AU"/>
        </w:rPr>
      </w:pPr>
    </w:p>
    <w:p w14:paraId="05C34A6E" w14:textId="6A2F1143" w:rsidR="00442EF7" w:rsidRDefault="00442EF7">
      <w:pPr>
        <w:rPr>
          <w:rFonts w:cs="Times New Roman"/>
          <w:sz w:val="18"/>
          <w:szCs w:val="18"/>
          <w:lang w:eastAsia="en-US"/>
        </w:rPr>
      </w:pPr>
      <w:r>
        <w:br w:type="page"/>
      </w:r>
    </w:p>
    <w:p w14:paraId="2AB6302A" w14:textId="3DF714A3" w:rsidR="00A93E74" w:rsidRDefault="00442EF7" w:rsidP="00442EF7">
      <w:pPr>
        <w:pStyle w:val="Heading1"/>
        <w:numPr>
          <w:ilvl w:val="0"/>
          <w:numId w:val="0"/>
        </w:numPr>
      </w:pPr>
      <w:bookmarkStart w:id="1545" w:name="_Toc113271098"/>
      <w:r>
        <w:t>Appendix 3</w:t>
      </w:r>
      <w:bookmarkEnd w:id="1545"/>
      <w:r w:rsidR="00114EB3">
        <w:t xml:space="preserve"> – Soil absorption of EVCs</w:t>
      </w:r>
    </w:p>
    <w:p w14:paraId="52314314" w14:textId="77777777" w:rsidR="00114EB3" w:rsidRDefault="00114EB3" w:rsidP="00114EB3">
      <w:pPr>
        <w:pStyle w:val="BodyText"/>
      </w:pPr>
    </w:p>
    <w:p w14:paraId="46E734E6" w14:textId="77777777" w:rsidR="00114EB3" w:rsidRPr="00D86AB8" w:rsidRDefault="00114EB3" w:rsidP="00114EB3">
      <w:pPr>
        <w:pStyle w:val="BodyText"/>
      </w:pPr>
      <w:r w:rsidRPr="00D86AB8">
        <w:t xml:space="preserve">The following tables indicate which </w:t>
      </w:r>
      <w:r w:rsidRPr="00D86AB8">
        <w:rPr>
          <w:rFonts w:ascii="Arial" w:hAnsi="Arial"/>
        </w:rPr>
        <w:t>ecological vegetation class</w:t>
      </w:r>
      <w:r w:rsidRPr="00D86AB8">
        <w:t xml:space="preserve">es (EVCs) fall in which soil absorption capacity (vbt5) type. Wider buffers will apply to low absorption capacity soils for both crayfish and galaxiid prescriptions. EVCs have been assigned to high or low absorption capacity classes in accordance with Nyman </w:t>
      </w:r>
      <w:r w:rsidRPr="00675EEE">
        <w:t>et al.</w:t>
      </w:r>
      <w:r w:rsidRPr="00D86AB8">
        <w:t xml:space="preserve"> (2022) as well as further advice provided by Nyman, Shelley, Lane and Noske (pers. comm. 10/08/2022). Note that the EVCs listed below are only a small subset of all Victorian EVCs. Soil absorption capacity has not yet been assigned to other EVCs.</w:t>
      </w:r>
    </w:p>
    <w:p w14:paraId="2EE54534" w14:textId="77777777" w:rsidR="00114EB3" w:rsidRDefault="00114EB3" w:rsidP="00114EB3">
      <w:pPr>
        <w:spacing w:line="240" w:lineRule="auto"/>
      </w:pPr>
    </w:p>
    <w:tbl>
      <w:tblPr>
        <w:tblStyle w:val="TableGrid"/>
        <w:tblW w:w="0" w:type="auto"/>
        <w:tblLook w:val="04A0" w:firstRow="1" w:lastRow="0" w:firstColumn="1" w:lastColumn="0" w:noHBand="0" w:noVBand="1"/>
      </w:tblPr>
      <w:tblGrid>
        <w:gridCol w:w="4762"/>
      </w:tblGrid>
      <w:tr w:rsidR="00114EB3" w:rsidRPr="00AA49D3" w14:paraId="139B511C" w14:textId="77777777" w:rsidTr="00460D1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762" w:type="dxa"/>
          </w:tcPr>
          <w:p w14:paraId="2C9CBA14" w14:textId="77777777" w:rsidR="00114EB3" w:rsidRPr="00C91022" w:rsidRDefault="00114EB3" w:rsidP="00460D1B">
            <w:pPr>
              <w:spacing w:before="40" w:after="40" w:line="240" w:lineRule="auto"/>
              <w:rPr>
                <w:rFonts w:cstheme="minorHAnsi"/>
                <w:b/>
                <w:szCs w:val="18"/>
              </w:rPr>
            </w:pPr>
            <w:r w:rsidRPr="00C91022">
              <w:rPr>
                <w:rFonts w:cstheme="minorHAnsi"/>
                <w:b/>
                <w:szCs w:val="18"/>
              </w:rPr>
              <w:t>High absorption capacity EVCs</w:t>
            </w:r>
          </w:p>
        </w:tc>
      </w:tr>
      <w:tr w:rsidR="00114EB3" w:rsidRPr="00AA49D3" w14:paraId="6FA20C03" w14:textId="77777777" w:rsidTr="00460D1B">
        <w:tc>
          <w:tcPr>
            <w:tcW w:w="4762" w:type="dxa"/>
            <w:vAlign w:val="bottom"/>
          </w:tcPr>
          <w:p w14:paraId="4883495B" w14:textId="77777777" w:rsidR="00114EB3" w:rsidRPr="00EA17D3" w:rsidRDefault="00114EB3" w:rsidP="00460D1B">
            <w:pPr>
              <w:spacing w:before="40" w:after="40" w:line="240" w:lineRule="auto"/>
            </w:pPr>
            <w:r w:rsidRPr="00EA17D3">
              <w:t>Montane Damp Forest</w:t>
            </w:r>
          </w:p>
        </w:tc>
      </w:tr>
      <w:tr w:rsidR="00114EB3" w:rsidRPr="00AA49D3" w14:paraId="272AAFC7" w14:textId="77777777" w:rsidTr="00460D1B">
        <w:tc>
          <w:tcPr>
            <w:tcW w:w="4762" w:type="dxa"/>
            <w:vAlign w:val="bottom"/>
          </w:tcPr>
          <w:p w14:paraId="36B3B4C5" w14:textId="77777777" w:rsidR="00114EB3" w:rsidRPr="00EA17D3" w:rsidRDefault="00114EB3" w:rsidP="00460D1B">
            <w:pPr>
              <w:spacing w:before="40" w:after="40" w:line="240" w:lineRule="auto"/>
            </w:pPr>
            <w:r w:rsidRPr="00EA17D3">
              <w:t>Montane Herb-rich Woodland</w:t>
            </w:r>
          </w:p>
        </w:tc>
      </w:tr>
      <w:tr w:rsidR="00114EB3" w:rsidRPr="00AA49D3" w14:paraId="1F33622E" w14:textId="77777777" w:rsidTr="00460D1B">
        <w:tc>
          <w:tcPr>
            <w:tcW w:w="4762" w:type="dxa"/>
            <w:vAlign w:val="bottom"/>
          </w:tcPr>
          <w:p w14:paraId="2BA62057" w14:textId="77777777" w:rsidR="00114EB3" w:rsidRPr="00EA17D3" w:rsidRDefault="00114EB3" w:rsidP="00460D1B">
            <w:pPr>
              <w:spacing w:before="40" w:after="40" w:line="240" w:lineRule="auto"/>
            </w:pPr>
            <w:r w:rsidRPr="00EA17D3">
              <w:t>Montane Wet Forest</w:t>
            </w:r>
          </w:p>
        </w:tc>
      </w:tr>
      <w:tr w:rsidR="00114EB3" w:rsidRPr="00AA49D3" w14:paraId="674043ED" w14:textId="77777777" w:rsidTr="00460D1B">
        <w:tc>
          <w:tcPr>
            <w:tcW w:w="4762" w:type="dxa"/>
            <w:vAlign w:val="bottom"/>
          </w:tcPr>
          <w:p w14:paraId="114A3782" w14:textId="77777777" w:rsidR="00114EB3" w:rsidRPr="00EA17D3" w:rsidRDefault="00114EB3" w:rsidP="00460D1B">
            <w:pPr>
              <w:spacing w:before="40" w:after="40" w:line="240" w:lineRule="auto"/>
            </w:pPr>
            <w:r w:rsidRPr="00EA17D3">
              <w:t>Shrubby Wet Forest</w:t>
            </w:r>
          </w:p>
        </w:tc>
      </w:tr>
      <w:tr w:rsidR="00114EB3" w:rsidRPr="00AA49D3" w14:paraId="2B8FF4F0" w14:textId="77777777" w:rsidTr="00460D1B">
        <w:tc>
          <w:tcPr>
            <w:tcW w:w="4762" w:type="dxa"/>
            <w:vAlign w:val="bottom"/>
          </w:tcPr>
          <w:p w14:paraId="277AC2CD" w14:textId="77777777" w:rsidR="00114EB3" w:rsidRPr="00EA17D3" w:rsidRDefault="00114EB3" w:rsidP="00460D1B">
            <w:pPr>
              <w:spacing w:before="40" w:after="40" w:line="240" w:lineRule="auto"/>
            </w:pPr>
            <w:r w:rsidRPr="00EA17D3">
              <w:t>Swampy Riparian Complex</w:t>
            </w:r>
          </w:p>
        </w:tc>
      </w:tr>
      <w:tr w:rsidR="00114EB3" w:rsidRPr="00AA49D3" w14:paraId="3CE439CD" w14:textId="77777777" w:rsidTr="00460D1B">
        <w:tc>
          <w:tcPr>
            <w:tcW w:w="4762" w:type="dxa"/>
            <w:vAlign w:val="bottom"/>
          </w:tcPr>
          <w:p w14:paraId="4CB45315" w14:textId="77777777" w:rsidR="00114EB3" w:rsidRPr="00EA17D3" w:rsidRDefault="00114EB3" w:rsidP="00460D1B">
            <w:pPr>
              <w:spacing w:before="40" w:after="40" w:line="240" w:lineRule="auto"/>
            </w:pPr>
            <w:r w:rsidRPr="00EA17D3">
              <w:t>Swampy Riparian Woodland</w:t>
            </w:r>
          </w:p>
        </w:tc>
      </w:tr>
      <w:tr w:rsidR="00114EB3" w:rsidRPr="00AA49D3" w14:paraId="43DC10E2" w14:textId="77777777" w:rsidTr="00460D1B">
        <w:tc>
          <w:tcPr>
            <w:tcW w:w="4762" w:type="dxa"/>
            <w:vAlign w:val="bottom"/>
          </w:tcPr>
          <w:p w14:paraId="1A8A39E7" w14:textId="77777777" w:rsidR="00114EB3" w:rsidRPr="00EA17D3" w:rsidRDefault="00114EB3" w:rsidP="00460D1B">
            <w:pPr>
              <w:spacing w:before="40" w:after="40" w:line="240" w:lineRule="auto"/>
            </w:pPr>
            <w:r w:rsidRPr="00EA17D3">
              <w:t>Wet Forest</w:t>
            </w:r>
          </w:p>
        </w:tc>
      </w:tr>
    </w:tbl>
    <w:p w14:paraId="6C809041" w14:textId="77777777" w:rsidR="00114EB3" w:rsidRDefault="00114EB3" w:rsidP="00114EB3">
      <w:pPr>
        <w:spacing w:line="240" w:lineRule="auto"/>
      </w:pPr>
      <w:r>
        <w:t xml:space="preserve"> </w:t>
      </w:r>
    </w:p>
    <w:tbl>
      <w:tblPr>
        <w:tblStyle w:val="TableGrid"/>
        <w:tblW w:w="9529" w:type="dxa"/>
        <w:tblLook w:val="04A0" w:firstRow="1" w:lastRow="0" w:firstColumn="1" w:lastColumn="0" w:noHBand="0" w:noVBand="1"/>
      </w:tblPr>
      <w:tblGrid>
        <w:gridCol w:w="4764"/>
        <w:gridCol w:w="4765"/>
      </w:tblGrid>
      <w:tr w:rsidR="00114EB3" w:rsidRPr="00523CCA" w14:paraId="24A0D1B0" w14:textId="77777777" w:rsidTr="00460D1B">
        <w:trPr>
          <w:cnfStyle w:val="100000000000" w:firstRow="1" w:lastRow="0" w:firstColumn="0" w:lastColumn="0" w:oddVBand="0" w:evenVBand="0" w:oddHBand="0" w:evenHBand="0" w:firstRowFirstColumn="0" w:firstRowLastColumn="0" w:lastRowFirstColumn="0" w:lastRowLastColumn="0"/>
          <w:trHeight w:val="283"/>
        </w:trPr>
        <w:tc>
          <w:tcPr>
            <w:cnfStyle w:val="000000000100" w:firstRow="0" w:lastRow="0" w:firstColumn="0" w:lastColumn="0" w:oddVBand="0" w:evenVBand="0" w:oddHBand="0" w:evenHBand="0" w:firstRowFirstColumn="1" w:firstRowLastColumn="0" w:lastRowFirstColumn="0" w:lastRowLastColumn="0"/>
            <w:tcW w:w="4764" w:type="dxa"/>
          </w:tcPr>
          <w:p w14:paraId="1B2B0BDF" w14:textId="77777777" w:rsidR="00114EB3" w:rsidRPr="00C91022" w:rsidRDefault="00114EB3" w:rsidP="00460D1B">
            <w:pPr>
              <w:spacing w:before="40" w:after="40" w:line="240" w:lineRule="auto"/>
              <w:rPr>
                <w:rFonts w:cstheme="minorHAnsi"/>
                <w:b/>
                <w:szCs w:val="18"/>
              </w:rPr>
            </w:pPr>
            <w:r w:rsidRPr="00C91022">
              <w:rPr>
                <w:rFonts w:cstheme="minorHAnsi"/>
                <w:b/>
                <w:szCs w:val="18"/>
              </w:rPr>
              <w:t xml:space="preserve">Low absorption </w:t>
            </w:r>
            <w:r w:rsidRPr="00C91022">
              <w:rPr>
                <w:rFonts w:cstheme="minorHAnsi"/>
                <w:b/>
                <w:bCs/>
                <w:szCs w:val="18"/>
              </w:rPr>
              <w:t>capacity</w:t>
            </w:r>
            <w:r w:rsidRPr="00C91022">
              <w:rPr>
                <w:rFonts w:cstheme="minorHAnsi"/>
                <w:b/>
                <w:szCs w:val="18"/>
              </w:rPr>
              <w:t xml:space="preserve"> EVCs</w:t>
            </w:r>
          </w:p>
        </w:tc>
        <w:tc>
          <w:tcPr>
            <w:tcW w:w="4762" w:type="dxa"/>
          </w:tcPr>
          <w:p w14:paraId="5D732009" w14:textId="77777777" w:rsidR="00114EB3" w:rsidRPr="00C91022" w:rsidRDefault="00114EB3" w:rsidP="00460D1B">
            <w:pPr>
              <w:spacing w:before="40" w:after="40" w:line="240" w:lineRule="auto"/>
              <w:cnfStyle w:val="100000000000" w:firstRow="1" w:lastRow="0" w:firstColumn="0" w:lastColumn="0" w:oddVBand="0" w:evenVBand="0" w:oddHBand="0" w:evenHBand="0" w:firstRowFirstColumn="0" w:firstRowLastColumn="0" w:lastRowFirstColumn="0" w:lastRowLastColumn="0"/>
              <w:rPr>
                <w:rFonts w:cstheme="minorHAnsi"/>
                <w:szCs w:val="18"/>
              </w:rPr>
            </w:pPr>
          </w:p>
        </w:tc>
      </w:tr>
      <w:tr w:rsidR="00114EB3" w:rsidRPr="00523CCA" w14:paraId="43A9474B" w14:textId="77777777" w:rsidTr="00460D1B">
        <w:trPr>
          <w:trHeight w:val="283"/>
        </w:trPr>
        <w:tc>
          <w:tcPr>
            <w:tcW w:w="4764" w:type="dxa"/>
          </w:tcPr>
          <w:p w14:paraId="48990D4D"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Alpine Grassy Heathland</w:t>
            </w:r>
          </w:p>
        </w:tc>
        <w:tc>
          <w:tcPr>
            <w:tcW w:w="4765" w:type="dxa"/>
          </w:tcPr>
          <w:p w14:paraId="32A01DF0"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Montane Riparian Thicket</w:t>
            </w:r>
          </w:p>
        </w:tc>
      </w:tr>
      <w:tr w:rsidR="00114EB3" w:rsidRPr="00523CCA" w14:paraId="4610230C" w14:textId="77777777" w:rsidTr="00460D1B">
        <w:trPr>
          <w:trHeight w:val="283"/>
        </w:trPr>
        <w:tc>
          <w:tcPr>
            <w:tcW w:w="4764" w:type="dxa"/>
          </w:tcPr>
          <w:p w14:paraId="5020F08C"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Banksia Woodland</w:t>
            </w:r>
          </w:p>
        </w:tc>
        <w:tc>
          <w:tcPr>
            <w:tcW w:w="4765" w:type="dxa"/>
          </w:tcPr>
          <w:p w14:paraId="1AB8FEB5"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Montane Riparian Woodland</w:t>
            </w:r>
          </w:p>
        </w:tc>
      </w:tr>
      <w:tr w:rsidR="00114EB3" w:rsidRPr="00523CCA" w14:paraId="07E1DC52" w14:textId="77777777" w:rsidTr="00460D1B">
        <w:trPr>
          <w:trHeight w:val="283"/>
        </w:trPr>
        <w:tc>
          <w:tcPr>
            <w:tcW w:w="4764" w:type="dxa"/>
          </w:tcPr>
          <w:p w14:paraId="741D4D29"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Blackthorn Scrub</w:t>
            </w:r>
          </w:p>
        </w:tc>
        <w:tc>
          <w:tcPr>
            <w:tcW w:w="4765" w:type="dxa"/>
          </w:tcPr>
          <w:p w14:paraId="23261AE1"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Montane Rocky Shrubland</w:t>
            </w:r>
          </w:p>
        </w:tc>
      </w:tr>
      <w:tr w:rsidR="00114EB3" w:rsidRPr="00523CCA" w14:paraId="332AC351" w14:textId="77777777" w:rsidTr="00460D1B">
        <w:trPr>
          <w:trHeight w:val="283"/>
        </w:trPr>
        <w:tc>
          <w:tcPr>
            <w:tcW w:w="4764" w:type="dxa"/>
          </w:tcPr>
          <w:p w14:paraId="7ECDDA33"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Clay Heathland</w:t>
            </w:r>
          </w:p>
        </w:tc>
        <w:tc>
          <w:tcPr>
            <w:tcW w:w="4765" w:type="dxa"/>
          </w:tcPr>
          <w:p w14:paraId="3A38E15F"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Plains Grassy Forest</w:t>
            </w:r>
          </w:p>
        </w:tc>
      </w:tr>
      <w:tr w:rsidR="00114EB3" w:rsidRPr="00523CCA" w14:paraId="7484A0F7" w14:textId="77777777" w:rsidTr="00460D1B">
        <w:trPr>
          <w:trHeight w:val="283"/>
        </w:trPr>
        <w:tc>
          <w:tcPr>
            <w:tcW w:w="4764" w:type="dxa"/>
          </w:tcPr>
          <w:p w14:paraId="0A93D10C"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Clay Heathland/Wet Heathland/Riparian Scrub Mosaic</w:t>
            </w:r>
          </w:p>
        </w:tc>
        <w:tc>
          <w:tcPr>
            <w:tcW w:w="4765" w:type="dxa"/>
          </w:tcPr>
          <w:p w14:paraId="63C76BEF"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Riparian Forest</w:t>
            </w:r>
          </w:p>
        </w:tc>
      </w:tr>
      <w:tr w:rsidR="00114EB3" w:rsidRPr="00523CCA" w14:paraId="19270ADB" w14:textId="77777777" w:rsidTr="00460D1B">
        <w:trPr>
          <w:trHeight w:val="283"/>
        </w:trPr>
        <w:tc>
          <w:tcPr>
            <w:tcW w:w="4764" w:type="dxa"/>
          </w:tcPr>
          <w:p w14:paraId="1F200836"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Creekline Herb-rich Woodland</w:t>
            </w:r>
          </w:p>
        </w:tc>
        <w:tc>
          <w:tcPr>
            <w:tcW w:w="4765" w:type="dxa"/>
          </w:tcPr>
          <w:p w14:paraId="2AE7C96C"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Riparian Forest/Swampy Riparian Woodland/Riparian Shrubland/Riverine Escarpment Scrub Mosaic</w:t>
            </w:r>
          </w:p>
        </w:tc>
      </w:tr>
      <w:tr w:rsidR="00114EB3" w:rsidRPr="00523CCA" w14:paraId="46C6E141" w14:textId="77777777" w:rsidTr="00460D1B">
        <w:trPr>
          <w:trHeight w:val="283"/>
        </w:trPr>
        <w:tc>
          <w:tcPr>
            <w:tcW w:w="4764" w:type="dxa"/>
          </w:tcPr>
          <w:p w14:paraId="09D82624"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Damp Forest</w:t>
            </w:r>
          </w:p>
        </w:tc>
        <w:tc>
          <w:tcPr>
            <w:tcW w:w="4765" w:type="dxa"/>
          </w:tcPr>
          <w:p w14:paraId="443BD77E"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Riparian Scrub</w:t>
            </w:r>
          </w:p>
        </w:tc>
      </w:tr>
      <w:tr w:rsidR="00114EB3" w:rsidRPr="00523CCA" w14:paraId="23759176" w14:textId="77777777" w:rsidTr="00460D1B">
        <w:trPr>
          <w:trHeight w:val="283"/>
        </w:trPr>
        <w:tc>
          <w:tcPr>
            <w:tcW w:w="4764" w:type="dxa"/>
          </w:tcPr>
          <w:p w14:paraId="56BC4457"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Damp Sands Herb-rich Woodland</w:t>
            </w:r>
          </w:p>
        </w:tc>
        <w:tc>
          <w:tcPr>
            <w:tcW w:w="4765" w:type="dxa"/>
          </w:tcPr>
          <w:p w14:paraId="0F96B39F"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Riparian Scrub/Swampy Riparian Woodland Complex</w:t>
            </w:r>
          </w:p>
        </w:tc>
      </w:tr>
      <w:tr w:rsidR="00114EB3" w:rsidRPr="009B3844" w14:paraId="04B12384" w14:textId="77777777" w:rsidTr="00460D1B">
        <w:trPr>
          <w:trHeight w:val="283"/>
        </w:trPr>
        <w:tc>
          <w:tcPr>
            <w:tcW w:w="4764" w:type="dxa"/>
          </w:tcPr>
          <w:p w14:paraId="705A2645"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Dry Valley Forest</w:t>
            </w:r>
          </w:p>
        </w:tc>
        <w:tc>
          <w:tcPr>
            <w:tcW w:w="4765" w:type="dxa"/>
          </w:tcPr>
          <w:p w14:paraId="4D7B0D11"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Riverine Escarpment Scrub</w:t>
            </w:r>
          </w:p>
        </w:tc>
      </w:tr>
      <w:tr w:rsidR="00114EB3" w:rsidRPr="009B3844" w14:paraId="540CC2D8" w14:textId="77777777" w:rsidTr="00460D1B">
        <w:trPr>
          <w:trHeight w:val="283"/>
        </w:trPr>
        <w:tc>
          <w:tcPr>
            <w:tcW w:w="4764" w:type="dxa"/>
          </w:tcPr>
          <w:p w14:paraId="1AAC265E"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Foothill Box Ironbark Forest</w:t>
            </w:r>
          </w:p>
        </w:tc>
        <w:tc>
          <w:tcPr>
            <w:tcW w:w="4765" w:type="dxa"/>
          </w:tcPr>
          <w:p w14:paraId="5948AC74"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Rocky Outcrop Shrubland</w:t>
            </w:r>
          </w:p>
        </w:tc>
      </w:tr>
      <w:tr w:rsidR="00114EB3" w:rsidRPr="009B3844" w14:paraId="304358E8" w14:textId="77777777" w:rsidTr="00460D1B">
        <w:trPr>
          <w:trHeight w:val="283"/>
        </w:trPr>
        <w:tc>
          <w:tcPr>
            <w:tcW w:w="4764" w:type="dxa"/>
          </w:tcPr>
          <w:p w14:paraId="089BB71B"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Grassy Dry Forest</w:t>
            </w:r>
          </w:p>
        </w:tc>
        <w:tc>
          <w:tcPr>
            <w:tcW w:w="4765" w:type="dxa"/>
          </w:tcPr>
          <w:p w14:paraId="58CC4A18"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Sedge Wetland</w:t>
            </w:r>
          </w:p>
        </w:tc>
      </w:tr>
      <w:tr w:rsidR="00114EB3" w:rsidRPr="009B3844" w14:paraId="06B4C628" w14:textId="77777777" w:rsidTr="00460D1B">
        <w:trPr>
          <w:trHeight w:val="283"/>
        </w:trPr>
        <w:tc>
          <w:tcPr>
            <w:tcW w:w="4764" w:type="dxa"/>
          </w:tcPr>
          <w:p w14:paraId="22B67C1F"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Grassy Woodland</w:t>
            </w:r>
          </w:p>
        </w:tc>
        <w:tc>
          <w:tcPr>
            <w:tcW w:w="4765" w:type="dxa"/>
          </w:tcPr>
          <w:p w14:paraId="4DC481CF"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Shrubby Damp Forest</w:t>
            </w:r>
          </w:p>
        </w:tc>
      </w:tr>
      <w:tr w:rsidR="00114EB3" w:rsidRPr="009B3844" w14:paraId="5C19032B" w14:textId="77777777" w:rsidTr="00460D1B">
        <w:trPr>
          <w:trHeight w:val="283"/>
        </w:trPr>
        <w:tc>
          <w:tcPr>
            <w:tcW w:w="4764" w:type="dxa"/>
          </w:tcPr>
          <w:p w14:paraId="6022ABD8"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Heathy Dry Forest</w:t>
            </w:r>
          </w:p>
        </w:tc>
        <w:tc>
          <w:tcPr>
            <w:tcW w:w="4765" w:type="dxa"/>
          </w:tcPr>
          <w:p w14:paraId="2D2769F7"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Shrubby Dry Forest</w:t>
            </w:r>
          </w:p>
        </w:tc>
      </w:tr>
      <w:tr w:rsidR="00114EB3" w:rsidRPr="009B3844" w14:paraId="3D64DA13" w14:textId="77777777" w:rsidTr="00460D1B">
        <w:trPr>
          <w:trHeight w:val="283"/>
        </w:trPr>
        <w:tc>
          <w:tcPr>
            <w:tcW w:w="4764" w:type="dxa"/>
          </w:tcPr>
          <w:p w14:paraId="469B6BAD"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Heathy Woodland</w:t>
            </w:r>
          </w:p>
        </w:tc>
        <w:tc>
          <w:tcPr>
            <w:tcW w:w="4765" w:type="dxa"/>
          </w:tcPr>
          <w:p w14:paraId="537EAAA2"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Shrubby Foothill Forest</w:t>
            </w:r>
          </w:p>
        </w:tc>
      </w:tr>
      <w:tr w:rsidR="00114EB3" w:rsidRPr="009B3844" w14:paraId="02DAE9BE" w14:textId="77777777" w:rsidTr="00460D1B">
        <w:trPr>
          <w:trHeight w:val="283"/>
        </w:trPr>
        <w:tc>
          <w:tcPr>
            <w:tcW w:w="4764" w:type="dxa"/>
          </w:tcPr>
          <w:p w14:paraId="610EE0D8"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Herb-rich Foothill Forest</w:t>
            </w:r>
          </w:p>
        </w:tc>
        <w:tc>
          <w:tcPr>
            <w:tcW w:w="4765" w:type="dxa"/>
          </w:tcPr>
          <w:p w14:paraId="12D4A56C"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Shrubby Foothill Forest/Damp Forest Complex</w:t>
            </w:r>
          </w:p>
        </w:tc>
      </w:tr>
      <w:tr w:rsidR="00114EB3" w:rsidRPr="009B3844" w14:paraId="2A7FC0C6" w14:textId="77777777" w:rsidTr="00460D1B">
        <w:trPr>
          <w:trHeight w:val="283"/>
        </w:trPr>
        <w:tc>
          <w:tcPr>
            <w:tcW w:w="4764" w:type="dxa"/>
          </w:tcPr>
          <w:p w14:paraId="2345D8C5"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Limestone Box Forest</w:t>
            </w:r>
          </w:p>
        </w:tc>
        <w:tc>
          <w:tcPr>
            <w:tcW w:w="4765" w:type="dxa"/>
          </w:tcPr>
          <w:p w14:paraId="4999C0A1"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Sub-alpine Woodland</w:t>
            </w:r>
          </w:p>
        </w:tc>
      </w:tr>
      <w:tr w:rsidR="00114EB3" w:rsidRPr="009B3844" w14:paraId="131C70AF" w14:textId="77777777" w:rsidTr="00460D1B">
        <w:trPr>
          <w:trHeight w:val="283"/>
        </w:trPr>
        <w:tc>
          <w:tcPr>
            <w:tcW w:w="4764" w:type="dxa"/>
          </w:tcPr>
          <w:p w14:paraId="02132F12"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Lowland Forest</w:t>
            </w:r>
          </w:p>
        </w:tc>
        <w:tc>
          <w:tcPr>
            <w:tcW w:w="4765" w:type="dxa"/>
          </w:tcPr>
          <w:p w14:paraId="35016F6D"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Tableland Damp Forest</w:t>
            </w:r>
          </w:p>
        </w:tc>
      </w:tr>
      <w:tr w:rsidR="00114EB3" w:rsidRPr="009B3844" w14:paraId="6EBE042A" w14:textId="77777777" w:rsidTr="00460D1B">
        <w:trPr>
          <w:trHeight w:val="283"/>
        </w:trPr>
        <w:tc>
          <w:tcPr>
            <w:tcW w:w="4764" w:type="dxa"/>
          </w:tcPr>
          <w:p w14:paraId="451BAA03"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Lowland Herb-rich Forest</w:t>
            </w:r>
          </w:p>
        </w:tc>
        <w:tc>
          <w:tcPr>
            <w:tcW w:w="4765" w:type="dxa"/>
          </w:tcPr>
          <w:p w14:paraId="51561705"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Valley Grassy Forest</w:t>
            </w:r>
          </w:p>
        </w:tc>
      </w:tr>
      <w:tr w:rsidR="00114EB3" w:rsidRPr="009B3844" w14:paraId="1835FCBA" w14:textId="77777777" w:rsidTr="00460D1B">
        <w:trPr>
          <w:trHeight w:val="283"/>
        </w:trPr>
        <w:tc>
          <w:tcPr>
            <w:tcW w:w="4764" w:type="dxa"/>
          </w:tcPr>
          <w:p w14:paraId="0AB2A7F0"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Montane Dry Woodland</w:t>
            </w:r>
          </w:p>
        </w:tc>
        <w:tc>
          <w:tcPr>
            <w:tcW w:w="4765" w:type="dxa"/>
          </w:tcPr>
          <w:p w14:paraId="02E14C3A"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Wet Heathland</w:t>
            </w:r>
          </w:p>
        </w:tc>
      </w:tr>
      <w:tr w:rsidR="00114EB3" w:rsidRPr="009B3844" w14:paraId="5E4B1C4A" w14:textId="77777777" w:rsidTr="00460D1B">
        <w:trPr>
          <w:trHeight w:val="283"/>
        </w:trPr>
        <w:tc>
          <w:tcPr>
            <w:tcW w:w="4764" w:type="dxa"/>
          </w:tcPr>
          <w:p w14:paraId="6A2D3320" w14:textId="77777777" w:rsidR="00114EB3" w:rsidRPr="00C91022" w:rsidRDefault="00114EB3" w:rsidP="00460D1B">
            <w:pPr>
              <w:spacing w:before="40" w:after="40" w:line="240" w:lineRule="auto"/>
              <w:rPr>
                <w:rFonts w:cstheme="minorHAnsi"/>
                <w:szCs w:val="18"/>
              </w:rPr>
            </w:pPr>
            <w:r w:rsidRPr="00C91022">
              <w:rPr>
                <w:rFonts w:cstheme="minorHAnsi"/>
                <w:color w:val="363534" w:themeColor="dark1"/>
                <w:kern w:val="24"/>
                <w:szCs w:val="18"/>
              </w:rPr>
              <w:t>Montane Grassy Woodland</w:t>
            </w:r>
          </w:p>
        </w:tc>
        <w:tc>
          <w:tcPr>
            <w:tcW w:w="4765" w:type="dxa"/>
          </w:tcPr>
          <w:p w14:paraId="630F5560" w14:textId="77777777" w:rsidR="00114EB3" w:rsidRPr="00EA17D3" w:rsidRDefault="00114EB3" w:rsidP="00460D1B">
            <w:pPr>
              <w:spacing w:before="40" w:after="40" w:line="240" w:lineRule="auto"/>
              <w:rPr>
                <w:rFonts w:ascii="Calibri" w:hAnsi="Calibri" w:cs="Calibri"/>
                <w:sz w:val="20"/>
              </w:rPr>
            </w:pPr>
          </w:p>
        </w:tc>
      </w:tr>
    </w:tbl>
    <w:p w14:paraId="0289299D" w14:textId="77777777" w:rsidR="00114EB3" w:rsidRDefault="00114EB3" w:rsidP="00114EB3">
      <w:pPr>
        <w:spacing w:line="240" w:lineRule="auto"/>
      </w:pPr>
    </w:p>
    <w:p w14:paraId="630E20A2" w14:textId="77777777" w:rsidR="00114EB3" w:rsidRPr="0045799B" w:rsidRDefault="00114EB3" w:rsidP="00114EB3">
      <w:pPr>
        <w:jc w:val="center"/>
      </w:pPr>
    </w:p>
    <w:p w14:paraId="150B0CBD" w14:textId="63F45A44" w:rsidR="003906D7" w:rsidRPr="00BF50AD" w:rsidRDefault="003906D7">
      <w:pPr>
        <w:rPr>
          <w:rFonts w:cs="Times New Roman"/>
        </w:rPr>
      </w:pPr>
      <w:r w:rsidRPr="005D5D32">
        <w:br w:type="page"/>
      </w:r>
    </w:p>
    <w:p w14:paraId="743C2C86" w14:textId="1EBFBF93" w:rsidR="003906D7" w:rsidRDefault="003906D7" w:rsidP="003906D7">
      <w:pPr>
        <w:pStyle w:val="Heading1"/>
        <w:numPr>
          <w:ilvl w:val="0"/>
          <w:numId w:val="0"/>
        </w:numPr>
      </w:pPr>
      <w:bookmarkStart w:id="1546" w:name="_Toc113271099"/>
      <w:r>
        <w:t>Appendix 4</w:t>
      </w:r>
      <w:bookmarkEnd w:id="1546"/>
      <w:r w:rsidR="00114EB3">
        <w:t xml:space="preserve"> – Maps</w:t>
      </w:r>
    </w:p>
    <w:p w14:paraId="4EA629E8" w14:textId="77777777" w:rsidR="00114EB3" w:rsidRPr="00FF310C" w:rsidRDefault="00114EB3" w:rsidP="00114EB3">
      <w:pPr>
        <w:pStyle w:val="BodyText"/>
      </w:pPr>
      <w:r w:rsidRPr="00FF310C">
        <w:t>The following maps display the location of proposed interim protection measures.</w:t>
      </w:r>
    </w:p>
    <w:p w14:paraId="4DEC170F" w14:textId="77777777" w:rsidR="00CB3537" w:rsidRDefault="00CB3537" w:rsidP="0045799B">
      <w:pPr>
        <w:jc w:val="center"/>
      </w:pPr>
    </w:p>
    <w:p w14:paraId="57A299E6" w14:textId="29696C2E" w:rsidR="00114EB3" w:rsidRPr="00931BEE" w:rsidRDefault="00114EB3" w:rsidP="00114EB3">
      <w:pPr>
        <w:pStyle w:val="BodyText"/>
      </w:pPr>
      <w:r w:rsidRPr="00931BEE">
        <w:rPr>
          <w:b/>
          <w:bCs/>
        </w:rPr>
        <w:t>Map 1:</w:t>
      </w:r>
      <w:r w:rsidRPr="00931BEE">
        <w:t xml:space="preserve"> Clayton’s Spiny Crayfish</w:t>
      </w:r>
    </w:p>
    <w:p w14:paraId="13F6E69F" w14:textId="77777777" w:rsidR="00114EB3" w:rsidRPr="00931BEE" w:rsidRDefault="00114EB3" w:rsidP="00114EB3">
      <w:pPr>
        <w:pStyle w:val="BodyText"/>
      </w:pPr>
      <w:r w:rsidRPr="00931BEE">
        <w:rPr>
          <w:b/>
          <w:bCs/>
        </w:rPr>
        <w:t>Map 2:</w:t>
      </w:r>
      <w:r w:rsidRPr="00931BEE">
        <w:t xml:space="preserve"> East Gippsland Spiny Crayfish</w:t>
      </w:r>
    </w:p>
    <w:p w14:paraId="01FA21FB" w14:textId="77777777" w:rsidR="00114EB3" w:rsidRPr="00931BEE" w:rsidRDefault="00114EB3" w:rsidP="00114EB3">
      <w:pPr>
        <w:pStyle w:val="BodyText"/>
      </w:pPr>
      <w:r w:rsidRPr="00931BEE">
        <w:rPr>
          <w:b/>
          <w:bCs/>
        </w:rPr>
        <w:t>Map 3:</w:t>
      </w:r>
      <w:r w:rsidRPr="00931BEE">
        <w:t xml:space="preserve"> Variable Spiny Crayfish</w:t>
      </w:r>
    </w:p>
    <w:p w14:paraId="73F640D8" w14:textId="32CECFDC" w:rsidR="00114EB3" w:rsidRPr="00931BEE" w:rsidRDefault="00114EB3" w:rsidP="00114EB3">
      <w:pPr>
        <w:pStyle w:val="BodyText"/>
      </w:pPr>
      <w:r w:rsidRPr="00931BEE">
        <w:rPr>
          <w:b/>
          <w:bCs/>
        </w:rPr>
        <w:t>Map 4:</w:t>
      </w:r>
      <w:r w:rsidRPr="00931BEE">
        <w:t xml:space="preserve"> </w:t>
      </w:r>
      <w:r w:rsidR="00E76C74" w:rsidRPr="00D90807">
        <w:t>Warm and Cool Temperate Rainforest</w:t>
      </w:r>
    </w:p>
    <w:p w14:paraId="398B0A9B" w14:textId="66E3CE88" w:rsidR="007424FC" w:rsidRDefault="00114EB3" w:rsidP="00114EB3">
      <w:pPr>
        <w:pStyle w:val="BodyText"/>
      </w:pPr>
      <w:r w:rsidRPr="00931BEE">
        <w:rPr>
          <w:b/>
          <w:bCs/>
        </w:rPr>
        <w:t>Map 5a, b:</w:t>
      </w:r>
      <w:r w:rsidRPr="00931BEE">
        <w:t xml:space="preserve"> </w:t>
      </w:r>
      <w:r w:rsidR="00995E69">
        <w:t>Rainforest affiliated</w:t>
      </w:r>
      <w:r w:rsidRPr="00931BEE">
        <w:t xml:space="preserve"> species</w:t>
      </w:r>
    </w:p>
    <w:p w14:paraId="1EBA6498" w14:textId="6B98CB0D" w:rsidR="00995E69" w:rsidRDefault="00995E69" w:rsidP="00114EB3">
      <w:pPr>
        <w:pStyle w:val="BodyText"/>
      </w:pPr>
      <w:r w:rsidRPr="00995E69">
        <w:rPr>
          <w:b/>
          <w:bCs/>
        </w:rPr>
        <w:t>Map 6a, b:</w:t>
      </w:r>
      <w:r>
        <w:t xml:space="preserve"> </w:t>
      </w:r>
      <w:r w:rsidR="00594A81">
        <w:t>Restricted and limited</w:t>
      </w:r>
      <w:r>
        <w:t xml:space="preserve"> range </w:t>
      </w:r>
      <w:r w:rsidR="00BA6F69">
        <w:t>plants</w:t>
      </w:r>
    </w:p>
    <w:p w14:paraId="2C91EDBA" w14:textId="77777777" w:rsidR="007F05EB" w:rsidRDefault="007F05EB" w:rsidP="00114EB3">
      <w:pPr>
        <w:pStyle w:val="BodyText"/>
        <w:sectPr w:rsidR="007F05EB" w:rsidSect="0080713F">
          <w:headerReference w:type="even" r:id="rId80"/>
          <w:headerReference w:type="default" r:id="rId81"/>
          <w:footerReference w:type="even" r:id="rId82"/>
          <w:pgSz w:w="11907" w:h="16840" w:code="9"/>
          <w:pgMar w:top="1985" w:right="1134" w:bottom="1134" w:left="1134" w:header="284" w:footer="284" w:gutter="0"/>
          <w:pgNumType w:start="1"/>
          <w:cols w:space="283"/>
          <w:docGrid w:linePitch="360"/>
        </w:sectPr>
      </w:pPr>
    </w:p>
    <w:p w14:paraId="7A067C3E" w14:textId="0650035E" w:rsidR="00EF0496" w:rsidRDefault="00B9412C" w:rsidP="00114EB3">
      <w:pPr>
        <w:pStyle w:val="BodyText"/>
      </w:pPr>
      <w:r>
        <w:rPr>
          <w:noProof/>
        </w:rPr>
        <w:drawing>
          <wp:inline distT="0" distB="0" distL="0" distR="0" wp14:anchorId="469DE2A6" wp14:editId="320CC84E">
            <wp:extent cx="8648700" cy="611505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7F904531" w14:textId="46552960" w:rsidR="00B9412C" w:rsidRDefault="00E37153" w:rsidP="00114EB3">
      <w:pPr>
        <w:pStyle w:val="BodyText"/>
      </w:pPr>
      <w:r>
        <w:rPr>
          <w:noProof/>
        </w:rPr>
        <w:drawing>
          <wp:inline distT="0" distB="0" distL="0" distR="0" wp14:anchorId="4C212E4D" wp14:editId="2FFA256D">
            <wp:extent cx="8648700" cy="6115050"/>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114877B5" w14:textId="7C4397C6" w:rsidR="00E37153" w:rsidRDefault="00DD54CC" w:rsidP="00114EB3">
      <w:pPr>
        <w:pStyle w:val="BodyText"/>
      </w:pPr>
      <w:r>
        <w:rPr>
          <w:noProof/>
        </w:rPr>
        <w:drawing>
          <wp:inline distT="0" distB="0" distL="0" distR="0" wp14:anchorId="48227E97" wp14:editId="6E5F43D7">
            <wp:extent cx="8648700" cy="6115050"/>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44C31384" w14:textId="3FF93E0E" w:rsidR="00DD54CC" w:rsidRDefault="00830047" w:rsidP="00114EB3">
      <w:pPr>
        <w:pStyle w:val="BodyText"/>
      </w:pPr>
      <w:r>
        <w:rPr>
          <w:noProof/>
        </w:rPr>
        <w:drawing>
          <wp:inline distT="0" distB="0" distL="0" distR="0" wp14:anchorId="57CE81C4" wp14:editId="28552CE6">
            <wp:extent cx="8648700" cy="611505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7411388F" w14:textId="24EA7B62" w:rsidR="00424DDF" w:rsidRDefault="0015123E" w:rsidP="00114EB3">
      <w:pPr>
        <w:pStyle w:val="BodyText"/>
      </w:pPr>
      <w:r>
        <w:rPr>
          <w:noProof/>
        </w:rPr>
        <w:drawing>
          <wp:inline distT="0" distB="0" distL="0" distR="0" wp14:anchorId="620C0544" wp14:editId="528C2E66">
            <wp:extent cx="8644890" cy="6115685"/>
            <wp:effectExtent l="0" t="0" r="381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8644890" cy="6115685"/>
                    </a:xfrm>
                    <a:prstGeom prst="rect">
                      <a:avLst/>
                    </a:prstGeom>
                    <a:noFill/>
                    <a:ln>
                      <a:noFill/>
                    </a:ln>
                  </pic:spPr>
                </pic:pic>
              </a:graphicData>
            </a:graphic>
          </wp:inline>
        </w:drawing>
      </w:r>
    </w:p>
    <w:p w14:paraId="440BDD3F" w14:textId="2452580C" w:rsidR="0015123E" w:rsidRDefault="005E6DDF" w:rsidP="00114EB3">
      <w:pPr>
        <w:pStyle w:val="BodyText"/>
      </w:pPr>
      <w:r>
        <w:rPr>
          <w:noProof/>
        </w:rPr>
        <w:drawing>
          <wp:inline distT="0" distB="0" distL="0" distR="0" wp14:anchorId="2A9E7FEC" wp14:editId="060890B7">
            <wp:extent cx="8644890" cy="6115685"/>
            <wp:effectExtent l="0" t="0" r="381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8644890" cy="6115685"/>
                    </a:xfrm>
                    <a:prstGeom prst="rect">
                      <a:avLst/>
                    </a:prstGeom>
                    <a:noFill/>
                    <a:ln>
                      <a:noFill/>
                    </a:ln>
                  </pic:spPr>
                </pic:pic>
              </a:graphicData>
            </a:graphic>
          </wp:inline>
        </w:drawing>
      </w:r>
    </w:p>
    <w:p w14:paraId="7E2A5238" w14:textId="0987C79E" w:rsidR="00830047" w:rsidRDefault="007E0E9F" w:rsidP="00114EB3">
      <w:pPr>
        <w:pStyle w:val="BodyText"/>
      </w:pPr>
      <w:r>
        <w:rPr>
          <w:noProof/>
        </w:rPr>
        <w:drawing>
          <wp:inline distT="0" distB="0" distL="0" distR="0" wp14:anchorId="3901BDA2" wp14:editId="12D4C366">
            <wp:extent cx="8648700" cy="611505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5A6F207B" w14:textId="743DEA65" w:rsidR="00424DDF" w:rsidRPr="00931BEE" w:rsidRDefault="00424DDF" w:rsidP="00114EB3">
      <w:pPr>
        <w:pStyle w:val="BodyText"/>
      </w:pPr>
      <w:r>
        <w:rPr>
          <w:noProof/>
        </w:rPr>
        <w:drawing>
          <wp:inline distT="0" distB="0" distL="0" distR="0" wp14:anchorId="06560B1F" wp14:editId="2DF5636D">
            <wp:extent cx="8648700" cy="6115050"/>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sectPr w:rsidR="00424DDF" w:rsidRPr="00931BEE" w:rsidSect="00B9412C">
      <w:pgSz w:w="16840" w:h="11907" w:orient="landscape" w:code="9"/>
      <w:pgMar w:top="1134" w:right="1985" w:bottom="1134"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C20DE" w14:textId="77777777" w:rsidR="00460D1B" w:rsidRDefault="00460D1B">
      <w:r>
        <w:separator/>
      </w:r>
    </w:p>
    <w:p w14:paraId="4E55B93E" w14:textId="77777777" w:rsidR="00460D1B" w:rsidRDefault="00460D1B"/>
  </w:endnote>
  <w:endnote w:type="continuationSeparator" w:id="0">
    <w:p w14:paraId="0DCB71AD" w14:textId="77777777" w:rsidR="00460D1B" w:rsidRDefault="00460D1B">
      <w:r>
        <w:continuationSeparator/>
      </w:r>
    </w:p>
    <w:p w14:paraId="50D4ADD9" w14:textId="77777777" w:rsidR="00460D1B" w:rsidRDefault="00460D1B"/>
  </w:endnote>
  <w:endnote w:type="continuationNotice" w:id="1">
    <w:p w14:paraId="44A0CF47" w14:textId="77777777" w:rsidR="00460D1B" w:rsidRDefault="00460D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Wingdings-Regular">
    <w:altName w:val="MS Gothic"/>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C429CD" w14:paraId="284A2E8D" w14:textId="77777777" w:rsidTr="00D83BD4">
      <w:trPr>
        <w:trHeight w:val="397"/>
      </w:trPr>
      <w:tc>
        <w:tcPr>
          <w:tcW w:w="340" w:type="dxa"/>
        </w:tcPr>
        <w:p w14:paraId="492969B0" w14:textId="1E547F91" w:rsidR="00C429CD" w:rsidRPr="00D55628" w:rsidRDefault="00C429CD" w:rsidP="00D55628">
          <w:pPr>
            <w:pStyle w:val="FooterEven"/>
          </w:pPr>
          <w:r>
            <w:rPr>
              <w:noProof/>
            </w:rPr>
            <mc:AlternateContent>
              <mc:Choice Requires="wps">
                <w:drawing>
                  <wp:anchor distT="0" distB="0" distL="114300" distR="114300" simplePos="1" relativeHeight="251658247" behindDoc="0" locked="0" layoutInCell="0" allowOverlap="1" wp14:anchorId="2AAEAA1B" wp14:editId="5C5FC073">
                    <wp:simplePos x="0" y="10229453"/>
                    <wp:positionH relativeFrom="page">
                      <wp:posOffset>0</wp:posOffset>
                    </wp:positionH>
                    <wp:positionV relativeFrom="page">
                      <wp:posOffset>10229215</wp:posOffset>
                    </wp:positionV>
                    <wp:extent cx="7560945" cy="273050"/>
                    <wp:effectExtent l="0" t="0" r="0" b="12700"/>
                    <wp:wrapNone/>
                    <wp:docPr id="24" name="MSIPCM3d8a4033a37c162a36ea93f1"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65DCE2" w14:textId="1FF79FF4" w:rsidR="00C429CD" w:rsidRPr="00AB7EAC" w:rsidRDefault="00C429CD" w:rsidP="00AB7EAC">
                                <w:pPr>
                                  <w:jc w:val="center"/>
                                  <w:rPr>
                                    <w:rFonts w:ascii="Calibri" w:hAnsi="Calibri" w:cs="Calibri"/>
                                    <w:color w:val="000000"/>
                                    <w:sz w:val="24"/>
                                  </w:rPr>
                                </w:pPr>
                                <w:r w:rsidRPr="00AB7EA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AEAA1B" id="_x0000_t202" coordsize="21600,21600" o:spt="202" path="m,l,21600r21600,l21600,xe">
                    <v:stroke joinstyle="miter"/>
                    <v:path gradientshapeok="t" o:connecttype="rect"/>
                  </v:shapetype>
                  <v:shape id="MSIPCM3d8a4033a37c162a36ea93f1" o:spid="_x0000_s1175" type="#_x0000_t202" alt="{&quot;HashCode&quot;:-1264680268,&quot;Height&quot;:842.0,&quot;Width&quot;:595.0,&quot;Placement&quot;:&quot;Footer&quot;,&quot;Index&quot;:&quot;OddAndEven&quot;,&quot;Section&quot;:1,&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E65DCE2" w14:textId="1FF79FF4" w:rsidR="00C429CD" w:rsidRPr="00AB7EAC" w:rsidRDefault="00C429CD" w:rsidP="00AB7EAC">
                          <w:pPr>
                            <w:jc w:val="center"/>
                            <w:rPr>
                              <w:rFonts w:ascii="Calibri" w:hAnsi="Calibri" w:cs="Calibri"/>
                              <w:color w:val="000000"/>
                              <w:sz w:val="24"/>
                            </w:rPr>
                          </w:pPr>
                          <w:r w:rsidRPr="00AB7EAC">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54C86EA9" w14:textId="77777777" w:rsidR="00C429CD" w:rsidRPr="00D55628" w:rsidRDefault="00C429CD" w:rsidP="00D55628">
          <w:pPr>
            <w:pStyle w:val="FooterEven"/>
          </w:pPr>
          <w:r w:rsidRPr="000A15E4">
            <w:rPr>
              <w:rStyle w:val="Bold"/>
            </w:rPr>
            <w:t>Title of document</w:t>
          </w:r>
          <w:r w:rsidRPr="00D55628">
            <w:t xml:space="preserve"> Subtitle</w:t>
          </w:r>
        </w:p>
      </w:tc>
    </w:tr>
  </w:tbl>
  <w:p w14:paraId="40E892F1" w14:textId="77777777" w:rsidR="00C429CD" w:rsidRPr="008B6D45" w:rsidRDefault="00C429CD"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37847" w14:paraId="6B1E3482" w14:textId="77777777" w:rsidTr="002A7EFA">
      <w:trPr>
        <w:trHeight w:val="397"/>
      </w:trPr>
      <w:tc>
        <w:tcPr>
          <w:tcW w:w="340" w:type="dxa"/>
        </w:tcPr>
        <w:p w14:paraId="7D8A1FE9" w14:textId="57D70939" w:rsidR="00937847" w:rsidRPr="00D55628" w:rsidRDefault="0088780D" w:rsidP="00937847">
          <w:pPr>
            <w:pStyle w:val="FooterEvenPageNumber"/>
            <w:framePr w:wrap="auto" w:vAnchor="margin" w:hAnchor="text" w:yAlign="inline"/>
          </w:pPr>
          <w:r>
            <w:rPr>
              <w:noProof/>
            </w:rPr>
            <mc:AlternateContent>
              <mc:Choice Requires="wps">
                <w:drawing>
                  <wp:anchor distT="0" distB="0" distL="114300" distR="114300" simplePos="0" relativeHeight="251658248" behindDoc="0" locked="0" layoutInCell="0" allowOverlap="1" wp14:anchorId="6F89BD2D" wp14:editId="111407AC">
                    <wp:simplePos x="0" y="0"/>
                    <wp:positionH relativeFrom="page">
                      <wp:posOffset>0</wp:posOffset>
                    </wp:positionH>
                    <wp:positionV relativeFrom="page">
                      <wp:posOffset>10229215</wp:posOffset>
                    </wp:positionV>
                    <wp:extent cx="7560945" cy="273050"/>
                    <wp:effectExtent l="0" t="0" r="0" b="12700"/>
                    <wp:wrapNone/>
                    <wp:docPr id="1472" name="MSIPCMd1f049059647ac40ec77391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9B6727" w14:textId="31F882AB" w:rsidR="0088780D" w:rsidRPr="0088780D" w:rsidRDefault="0088780D" w:rsidP="0088780D">
                                <w:pPr>
                                  <w:jc w:val="center"/>
                                  <w:rPr>
                                    <w:rFonts w:ascii="Calibri" w:hAnsi="Calibri" w:cs="Calibri"/>
                                    <w:color w:val="000000"/>
                                    <w:sz w:val="24"/>
                                  </w:rPr>
                                </w:pPr>
                                <w:r w:rsidRPr="0088780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89BD2D" id="_x0000_t202" coordsize="21600,21600" o:spt="202" path="m,l,21600r21600,l21600,xe">
                    <v:stroke joinstyle="miter"/>
                    <v:path gradientshapeok="t" o:connecttype="rect"/>
                  </v:shapetype>
                  <v:shape id="MSIPCMd1f049059647ac40ec773919" o:spid="_x0000_s1176" type="#_x0000_t202" alt="{&quot;HashCode&quot;:-1264680268,&quot;Height&quot;:842.0,&quot;Width&quot;:595.0,&quot;Placement&quot;:&quot;Footer&quot;,&quot;Index&quot;:&quot;Primary&quot;,&quot;Section&quot;:1,&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229B6727" w14:textId="31F882AB" w:rsidR="0088780D" w:rsidRPr="0088780D" w:rsidRDefault="0088780D" w:rsidP="0088780D">
                          <w:pPr>
                            <w:jc w:val="center"/>
                            <w:rPr>
                              <w:rFonts w:ascii="Calibri" w:hAnsi="Calibri" w:cs="Calibri"/>
                              <w:color w:val="000000"/>
                              <w:sz w:val="24"/>
                            </w:rPr>
                          </w:pPr>
                          <w:r w:rsidRPr="0088780D">
                            <w:rPr>
                              <w:rFonts w:ascii="Calibri" w:hAnsi="Calibri" w:cs="Calibri"/>
                              <w:color w:val="000000"/>
                              <w:sz w:val="24"/>
                            </w:rPr>
                            <w:t>OFFICIAL</w:t>
                          </w:r>
                        </w:p>
                      </w:txbxContent>
                    </v:textbox>
                    <w10:wrap anchorx="page" anchory="page"/>
                  </v:shape>
                </w:pict>
              </mc:Fallback>
            </mc:AlternateContent>
          </w:r>
          <w:r w:rsidR="00937847" w:rsidRPr="00D55628">
            <w:fldChar w:fldCharType="begin"/>
          </w:r>
          <w:r w:rsidR="00937847" w:rsidRPr="00D55628">
            <w:instrText xml:space="preserve"> PAGE   \* MERGEFORMAT </w:instrText>
          </w:r>
          <w:r w:rsidR="00937847" w:rsidRPr="00D55628">
            <w:fldChar w:fldCharType="separate"/>
          </w:r>
          <w:r w:rsidR="00937847">
            <w:rPr>
              <w:noProof/>
            </w:rPr>
            <w:t>2</w:t>
          </w:r>
          <w:r w:rsidR="00937847" w:rsidRPr="00D55628">
            <w:fldChar w:fldCharType="end"/>
          </w:r>
        </w:p>
      </w:tc>
      <w:tc>
        <w:tcPr>
          <w:tcW w:w="9071" w:type="dxa"/>
        </w:tcPr>
        <w:p w14:paraId="36F71C8A" w14:textId="044E366F" w:rsidR="00937847" w:rsidRDefault="00937847" w:rsidP="00937847">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692F0D">
            <w:rPr>
              <w:rStyle w:val="Bold"/>
            </w:rPr>
            <w:t>Threatened Species and Communities Risk Assessment</w:t>
          </w:r>
          <w:r>
            <w:rPr>
              <w:rStyle w:val="Bold"/>
            </w:rPr>
            <w:fldChar w:fldCharType="end"/>
          </w:r>
        </w:p>
        <w:p w14:paraId="410EAD61" w14:textId="3764A068" w:rsidR="00937847" w:rsidRPr="00810C40" w:rsidRDefault="00460D1B" w:rsidP="00937847">
          <w:pPr>
            <w:pStyle w:val="FooterEven"/>
          </w:pPr>
          <w:fldSimple w:instr="DOCPROPERTY  xFooterSubtitle  \* MERGEFORMAT">
            <w:r w:rsidR="00692F0D">
              <w:t>Tranche 2 Risk Assessment and Interim Protections</w:t>
            </w:r>
          </w:fldSimple>
        </w:p>
      </w:tc>
    </w:tr>
  </w:tbl>
  <w:p w14:paraId="579E1A63" w14:textId="27B012ED" w:rsidR="00C429CD" w:rsidRDefault="00C429CD">
    <w:pPr>
      <w:pStyle w:val="Footer"/>
    </w:pPr>
    <w:r w:rsidRPr="00D55628">
      <w:rPr>
        <w:noProof/>
      </w:rPr>
      <mc:AlternateContent>
        <mc:Choice Requires="wps">
          <w:drawing>
            <wp:anchor distT="0" distB="0" distL="114300" distR="114300" simplePos="0" relativeHeight="251658241" behindDoc="1" locked="1" layoutInCell="1" allowOverlap="1" wp14:anchorId="2B0E6309" wp14:editId="61FA0E29">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41D47" w14:textId="3BD8BB4C" w:rsidR="00C429CD" w:rsidRPr="0001226A" w:rsidRDefault="00C429CD"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E6309" id="Text Box 224" o:spid="_x0000_s1177"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3B241D47" w14:textId="3BD8BB4C" w:rsidR="00C429CD" w:rsidRPr="0001226A" w:rsidRDefault="00C429CD"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7673F66" w14:textId="77777777" w:rsidR="00C429CD" w:rsidRDefault="00C429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906E" w14:textId="38FE947A" w:rsidR="00C429CD" w:rsidRDefault="00C429CD">
    <w:pPr>
      <w:pStyle w:val="Footer"/>
    </w:pPr>
    <w:r>
      <w:rPr>
        <w:noProof/>
      </w:rPr>
      <mc:AlternateContent>
        <mc:Choice Requires="wps">
          <w:drawing>
            <wp:anchor distT="0" distB="0" distL="114300" distR="114300" simplePos="0" relativeHeight="251658246" behindDoc="0" locked="0" layoutInCell="0" allowOverlap="1" wp14:anchorId="1992E51D" wp14:editId="2BD99E94">
              <wp:simplePos x="0" y="0"/>
              <wp:positionH relativeFrom="page">
                <wp:posOffset>0</wp:posOffset>
              </wp:positionH>
              <wp:positionV relativeFrom="page">
                <wp:posOffset>10229215</wp:posOffset>
              </wp:positionV>
              <wp:extent cx="7560945" cy="273050"/>
              <wp:effectExtent l="0" t="0" r="0" b="12700"/>
              <wp:wrapNone/>
              <wp:docPr id="23" name="MSIPCM5c9b42f2b472dd660c99c9f8"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D4BD98" w14:textId="10FEE00B" w:rsidR="00C429CD" w:rsidRPr="00AB7EAC" w:rsidRDefault="00C429CD" w:rsidP="00AB7EAC">
                          <w:pPr>
                            <w:jc w:val="center"/>
                            <w:rPr>
                              <w:rFonts w:ascii="Calibri" w:hAnsi="Calibri" w:cs="Calibri"/>
                              <w:color w:val="000000"/>
                              <w:sz w:val="24"/>
                            </w:rPr>
                          </w:pPr>
                          <w:r w:rsidRPr="00AB7EA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92E51D" id="_x0000_t202" coordsize="21600,21600" o:spt="202" path="m,l,21600r21600,l21600,xe">
              <v:stroke joinstyle="miter"/>
              <v:path gradientshapeok="t" o:connecttype="rect"/>
            </v:shapetype>
            <v:shape id="MSIPCM5c9b42f2b472dd660c99c9f8" o:spid="_x0000_s1178" type="#_x0000_t202" alt="{&quot;HashCode&quot;:-1264680268,&quot;Height&quot;:842.0,&quot;Width&quot;:595.0,&quot;Placement&quot;:&quot;Footer&quot;,&quot;Index&quot;:&quot;FirstPage&quot;,&quot;Section&quot;:1,&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5BD4BD98" w14:textId="10FEE00B" w:rsidR="00C429CD" w:rsidRPr="00AB7EAC" w:rsidRDefault="00C429CD" w:rsidP="00AB7EAC">
                    <w:pPr>
                      <w:jc w:val="center"/>
                      <w:rPr>
                        <w:rFonts w:ascii="Calibri" w:hAnsi="Calibri" w:cs="Calibri"/>
                        <w:color w:val="000000"/>
                        <w:sz w:val="24"/>
                      </w:rPr>
                    </w:pPr>
                    <w:r w:rsidRPr="00AB7EAC">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8245" behindDoc="1" locked="1" layoutInCell="1" allowOverlap="1" wp14:anchorId="50FE1615" wp14:editId="3EA1FFA4">
          <wp:simplePos x="0" y="0"/>
          <wp:positionH relativeFrom="page">
            <wp:align>left</wp:align>
          </wp:positionH>
          <wp:positionV relativeFrom="page">
            <wp:align>bottom</wp:align>
          </wp:positionV>
          <wp:extent cx="2008800" cy="950400"/>
          <wp:effectExtent l="0" t="0" r="0" b="2540"/>
          <wp:wrapNone/>
          <wp:docPr id="170"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1" layoutInCell="1" allowOverlap="1" wp14:anchorId="67D91283" wp14:editId="0DA826ED">
          <wp:simplePos x="0" y="0"/>
          <wp:positionH relativeFrom="page">
            <wp:align>right</wp:align>
          </wp:positionH>
          <wp:positionV relativeFrom="page">
            <wp:align>bottom</wp:align>
          </wp:positionV>
          <wp:extent cx="2527200" cy="1057955"/>
          <wp:effectExtent l="0" t="0" r="0" b="0"/>
          <wp:wrapNone/>
          <wp:docPr id="171"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06EA04D4" wp14:editId="5AC7EB5E">
          <wp:simplePos x="0" y="0"/>
          <wp:positionH relativeFrom="page">
            <wp:align>right</wp:align>
          </wp:positionH>
          <wp:positionV relativeFrom="page">
            <wp:align>bottom</wp:align>
          </wp:positionV>
          <wp:extent cx="2520000" cy="1062000"/>
          <wp:effectExtent l="0" t="0" r="0" b="0"/>
          <wp:wrapNone/>
          <wp:docPr id="17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3260" w14:textId="77777777" w:rsidR="00C429CD" w:rsidRPr="00124E8F" w:rsidRDefault="00C429CD" w:rsidP="00124E8F">
    <w:pPr>
      <w:pStyle w:val="Footer"/>
    </w:pPr>
    <w:r w:rsidRPr="00D55628">
      <w:rPr>
        <w:noProof/>
      </w:rPr>
      <mc:AlternateContent>
        <mc:Choice Requires="wps">
          <w:drawing>
            <wp:anchor distT="0" distB="0" distL="114300" distR="114300" simplePos="0" relativeHeight="251658243" behindDoc="1" locked="1" layoutInCell="1" allowOverlap="1" wp14:anchorId="429D5163" wp14:editId="28480D72">
              <wp:simplePos x="0" y="0"/>
              <wp:positionH relativeFrom="page">
                <wp:align>center</wp:align>
              </wp:positionH>
              <wp:positionV relativeFrom="page">
                <wp:align>center</wp:align>
              </wp:positionV>
              <wp:extent cx="7560000" cy="1796400"/>
              <wp:effectExtent l="0" t="0" r="0" b="0"/>
              <wp:wrapNone/>
              <wp:docPr id="3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1D16" w14:textId="0EF7D7AE" w:rsidR="00C429CD" w:rsidRPr="0001226A" w:rsidRDefault="00C429CD"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D5163" id="_x0000_t202" coordsize="21600,21600" o:spt="202" path="m,l,21600r21600,l21600,xe">
              <v:stroke joinstyle="miter"/>
              <v:path gradientshapeok="t" o:connecttype="rect"/>
            </v:shapetype>
            <v:shape id="Text Box 225" o:spid="_x0000_s1179"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2BD11D16" w14:textId="0EF7D7AE" w:rsidR="00C429CD" w:rsidRPr="0001226A" w:rsidRDefault="00C429CD"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429CD" w14:paraId="6538E4D6" w14:textId="77777777" w:rsidTr="00DD7238">
      <w:trPr>
        <w:trHeight w:val="397"/>
      </w:trPr>
      <w:tc>
        <w:tcPr>
          <w:tcW w:w="340" w:type="dxa"/>
        </w:tcPr>
        <w:p w14:paraId="05A37D65" w14:textId="77777777" w:rsidR="00C429CD" w:rsidRPr="00D55628" w:rsidRDefault="00C429CD"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6C0E2EAE" w14:textId="53262EAD" w:rsidR="00C429CD" w:rsidRDefault="00C429CD"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692F0D">
            <w:rPr>
              <w:rStyle w:val="Bold"/>
            </w:rPr>
            <w:t>Threatened Species and Communities Risk Assessment</w:t>
          </w:r>
          <w:r>
            <w:rPr>
              <w:rStyle w:val="Bold"/>
            </w:rPr>
            <w:fldChar w:fldCharType="end"/>
          </w:r>
        </w:p>
        <w:p w14:paraId="7721C2BE" w14:textId="073D5ED5" w:rsidR="00C429CD" w:rsidRPr="00810C40" w:rsidRDefault="00460D1B" w:rsidP="00810C40">
          <w:pPr>
            <w:pStyle w:val="FooterEven"/>
          </w:pPr>
          <w:fldSimple w:instr="DOCPROPERTY  xFooterSubtitle  \* MERGEFORMAT">
            <w:r w:rsidR="00692F0D">
              <w:t>Tranche 2 Risk Assessment and Interim Protections</w:t>
            </w:r>
          </w:fldSimple>
        </w:p>
      </w:tc>
    </w:tr>
  </w:tbl>
  <w:p w14:paraId="52AFE2A6" w14:textId="77777777" w:rsidR="00C429CD" w:rsidRDefault="00C429CD" w:rsidP="005949B0">
    <w:pPr>
      <w:pStyle w:val="FooterEven"/>
    </w:pPr>
    <w:r w:rsidRPr="00D55628">
      <w:rPr>
        <w:noProof/>
      </w:rPr>
      <mc:AlternateContent>
        <mc:Choice Requires="wps">
          <w:drawing>
            <wp:anchor distT="0" distB="0" distL="114300" distR="114300" simplePos="0" relativeHeight="251658244" behindDoc="1" locked="1" layoutInCell="1" allowOverlap="1" wp14:anchorId="6F389704" wp14:editId="69067507">
              <wp:simplePos x="0" y="0"/>
              <wp:positionH relativeFrom="page">
                <wp:align>center</wp:align>
              </wp:positionH>
              <wp:positionV relativeFrom="page">
                <wp:align>center</wp:align>
              </wp:positionV>
              <wp:extent cx="7560000" cy="1796400"/>
              <wp:effectExtent l="0" t="0" r="0" b="0"/>
              <wp:wrapNone/>
              <wp:docPr id="140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BAB70" w14:textId="5BD47B8A" w:rsidR="00C429CD" w:rsidRPr="0001226A" w:rsidRDefault="00C429CD"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89704" id="_x0000_t202" coordsize="21600,21600" o:spt="202" path="m,l,21600r21600,l21600,xe">
              <v:stroke joinstyle="miter"/>
              <v:path gradientshapeok="t" o:connecttype="rect"/>
            </v:shapetype>
            <v:shape id="_x0000_s1180"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3D3BAB70" w14:textId="5BD47B8A" w:rsidR="00C429CD" w:rsidRPr="0001226A" w:rsidRDefault="00C429CD"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096CC47" w14:textId="77777777" w:rsidR="00C429CD" w:rsidRPr="00B5221E" w:rsidRDefault="00C429CD" w:rsidP="00B52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14E6D" w14:textId="77777777" w:rsidR="00460D1B" w:rsidRPr="008F5280" w:rsidRDefault="00460D1B" w:rsidP="008F5280">
      <w:pPr>
        <w:pStyle w:val="FootnoteSeparator"/>
      </w:pPr>
    </w:p>
  </w:footnote>
  <w:footnote w:type="continuationSeparator" w:id="0">
    <w:p w14:paraId="55271614" w14:textId="77777777" w:rsidR="00460D1B" w:rsidRDefault="00460D1B" w:rsidP="008F5280">
      <w:pPr>
        <w:pStyle w:val="FootnoteSeparator"/>
      </w:pPr>
    </w:p>
    <w:p w14:paraId="5786E185" w14:textId="77777777" w:rsidR="00460D1B" w:rsidRDefault="00460D1B"/>
  </w:footnote>
  <w:footnote w:type="continuationNotice" w:id="1">
    <w:p w14:paraId="7FE2DEDF" w14:textId="77777777" w:rsidR="00460D1B" w:rsidRDefault="00460D1B" w:rsidP="00D55628"/>
    <w:p w14:paraId="3D8D1350" w14:textId="77777777" w:rsidR="00460D1B" w:rsidRDefault="00460D1B"/>
  </w:footnote>
  <w:footnote w:id="2">
    <w:p w14:paraId="7DF09421" w14:textId="77777777" w:rsidR="00013543" w:rsidRPr="003C3331" w:rsidRDefault="00013543" w:rsidP="00013543">
      <w:pPr>
        <w:pStyle w:val="FootnoteText"/>
      </w:pPr>
      <w:r w:rsidRPr="001F3959">
        <w:footnoteRef/>
      </w:r>
      <w:r>
        <w:t>.</w:t>
      </w:r>
      <w:r>
        <w:tab/>
        <w:t xml:space="preserve">National Emergency Risk Assessment Guidelines Handbook “: Confidence level descriptions” (page 42), Australian Institute for Disaster Resilience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215F" w14:textId="77777777" w:rsidR="00C429CD" w:rsidRDefault="00C429CD" w:rsidP="009C64FA">
    <w:pPr>
      <w:pStyle w:val="Header"/>
    </w:pPr>
  </w:p>
  <w:p w14:paraId="5283EAD0" w14:textId="77777777" w:rsidR="00C429CD" w:rsidRPr="00393205" w:rsidRDefault="00C429CD"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18A2" w14:textId="77777777" w:rsidR="00C429CD" w:rsidRDefault="00C429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691F" w14:textId="77777777" w:rsidR="00C429CD" w:rsidRDefault="00C429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07C0" w14:textId="77777777" w:rsidR="00C429CD" w:rsidRDefault="00C429CD" w:rsidP="009C64FA">
    <w:pPr>
      <w:pStyle w:val="Header"/>
    </w:pPr>
  </w:p>
  <w:p w14:paraId="05E35873" w14:textId="77777777" w:rsidR="00C429CD" w:rsidRPr="00393205" w:rsidRDefault="00C429CD"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738079DC"/>
    <w:lvl w:ilvl="0">
      <w:start w:val="1"/>
      <w:numFmt w:val="bullet"/>
      <w:lvlText w:val="•"/>
      <w:lvlJc w:val="left"/>
      <w:pPr>
        <w:tabs>
          <w:tab w:val="num" w:pos="454"/>
        </w:tabs>
        <w:ind w:left="454" w:hanging="170"/>
      </w:pPr>
      <w:rPr>
        <w:rFonts w:ascii="Calibri" w:hAnsi="Calibri" w:cs="Times New Roman" w:hint="default"/>
        <w:b w:val="0"/>
        <w:i w:val="0"/>
        <w:color w:val="363534" w:themeColor="text1"/>
        <w:position w:val="0"/>
        <w:sz w:val="20"/>
      </w:rPr>
    </w:lvl>
    <w:lvl w:ilvl="1">
      <w:start w:val="1"/>
      <w:numFmt w:val="bullet"/>
      <w:lvlText w:val="–"/>
      <w:lvlJc w:val="left"/>
      <w:pPr>
        <w:tabs>
          <w:tab w:val="num" w:pos="624"/>
        </w:tabs>
        <w:ind w:left="624"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794"/>
        </w:tabs>
        <w:ind w:left="794"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794"/>
        </w:tabs>
        <w:ind w:left="964" w:hanging="170"/>
      </w:pPr>
      <w:rPr>
        <w:rFonts w:hint="default"/>
      </w:rPr>
    </w:lvl>
    <w:lvl w:ilvl="4">
      <w:start w:val="1"/>
      <w:numFmt w:val="none"/>
      <w:lvlText w:val=""/>
      <w:lvlJc w:val="left"/>
      <w:pPr>
        <w:tabs>
          <w:tab w:val="num" w:pos="964"/>
        </w:tabs>
        <w:ind w:left="1134" w:hanging="170"/>
      </w:pPr>
      <w:rPr>
        <w:rFonts w:hint="default"/>
      </w:rPr>
    </w:lvl>
    <w:lvl w:ilvl="5">
      <w:start w:val="1"/>
      <w:numFmt w:val="none"/>
      <w:lvlText w:val=""/>
      <w:lvlJc w:val="left"/>
      <w:pPr>
        <w:tabs>
          <w:tab w:val="num" w:pos="1134"/>
        </w:tabs>
        <w:ind w:left="1304" w:hanging="170"/>
      </w:pPr>
      <w:rPr>
        <w:rFonts w:hint="default"/>
      </w:rPr>
    </w:lvl>
    <w:lvl w:ilvl="6">
      <w:start w:val="1"/>
      <w:numFmt w:val="none"/>
      <w:lvlText w:val=""/>
      <w:lvlJc w:val="left"/>
      <w:pPr>
        <w:tabs>
          <w:tab w:val="num" w:pos="1304"/>
        </w:tabs>
        <w:ind w:left="1474" w:hanging="170"/>
      </w:pPr>
      <w:rPr>
        <w:rFonts w:hint="default"/>
      </w:rPr>
    </w:lvl>
    <w:lvl w:ilvl="7">
      <w:start w:val="1"/>
      <w:numFmt w:val="none"/>
      <w:lvlText w:val=""/>
      <w:lvlJc w:val="left"/>
      <w:pPr>
        <w:tabs>
          <w:tab w:val="num" w:pos="1474"/>
        </w:tabs>
        <w:ind w:left="1644" w:hanging="170"/>
      </w:pPr>
      <w:rPr>
        <w:rFonts w:hint="default"/>
      </w:rPr>
    </w:lvl>
    <w:lvl w:ilvl="8">
      <w:start w:val="1"/>
      <w:numFmt w:val="none"/>
      <w:lvlText w:val=""/>
      <w:lvlJc w:val="left"/>
      <w:pPr>
        <w:tabs>
          <w:tab w:val="num" w:pos="1644"/>
        </w:tabs>
        <w:ind w:left="1814" w:hanging="170"/>
      </w:pPr>
      <w:rPr>
        <w:rFonts w:hint="default"/>
      </w:rPr>
    </w:lvl>
  </w:abstractNum>
  <w:abstractNum w:abstractNumId="1" w15:restartNumberingAfterBreak="0">
    <w:nsid w:val="07E33DCE"/>
    <w:multiLevelType w:val="multilevel"/>
    <w:tmpl w:val="9FE45D22"/>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AC901A4"/>
    <w:multiLevelType w:val="multilevel"/>
    <w:tmpl w:val="1E0051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710" w:firstLine="0"/>
      </w:pPr>
      <w:rPr>
        <w:specVanish w:val="0"/>
      </w:rPr>
    </w:lvl>
    <w:lvl w:ilvl="2">
      <w:start w:val="1"/>
      <w:numFmt w:val="decimal"/>
      <w:pStyle w:val="Heading3"/>
      <w:suff w:val="space"/>
      <w:lvlText w:val="%1.%2.%3"/>
      <w:lvlJc w:val="left"/>
      <w:pPr>
        <w:ind w:left="141"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1871942"/>
    <w:multiLevelType w:val="hybridMultilevel"/>
    <w:tmpl w:val="45623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CE36024"/>
    <w:multiLevelType w:val="hybridMultilevel"/>
    <w:tmpl w:val="14207D08"/>
    <w:lvl w:ilvl="0" w:tplc="A344FF7E">
      <w:start w:val="1"/>
      <w:numFmt w:val="bullet"/>
      <w:pStyle w:val="PullOutBoxBullet2"/>
      <w:lvlText w:val="o"/>
      <w:lvlJc w:val="left"/>
      <w:pPr>
        <w:ind w:left="672" w:hanging="360"/>
      </w:pPr>
      <w:rPr>
        <w:rFonts w:ascii="Courier New" w:hAnsi="Courier New" w:cs="Courier New" w:hint="default"/>
      </w:rPr>
    </w:lvl>
    <w:lvl w:ilvl="1" w:tplc="0C090003" w:tentative="1">
      <w:start w:val="1"/>
      <w:numFmt w:val="bullet"/>
      <w:lvlText w:val="o"/>
      <w:lvlJc w:val="left"/>
      <w:pPr>
        <w:ind w:left="1392" w:hanging="360"/>
      </w:pPr>
      <w:rPr>
        <w:rFonts w:ascii="Courier New" w:hAnsi="Courier New" w:cs="Courier New" w:hint="default"/>
      </w:rPr>
    </w:lvl>
    <w:lvl w:ilvl="2" w:tplc="0C090005" w:tentative="1">
      <w:start w:val="1"/>
      <w:numFmt w:val="bullet"/>
      <w:lvlText w:val=""/>
      <w:lvlJc w:val="left"/>
      <w:pPr>
        <w:ind w:left="2112" w:hanging="360"/>
      </w:pPr>
      <w:rPr>
        <w:rFonts w:ascii="Wingdings" w:hAnsi="Wingdings" w:hint="default"/>
      </w:rPr>
    </w:lvl>
    <w:lvl w:ilvl="3" w:tplc="0C090001" w:tentative="1">
      <w:start w:val="1"/>
      <w:numFmt w:val="bullet"/>
      <w:lvlText w:val=""/>
      <w:lvlJc w:val="left"/>
      <w:pPr>
        <w:ind w:left="2832" w:hanging="360"/>
      </w:pPr>
      <w:rPr>
        <w:rFonts w:ascii="Symbol" w:hAnsi="Symbol" w:hint="default"/>
      </w:rPr>
    </w:lvl>
    <w:lvl w:ilvl="4" w:tplc="0C090003" w:tentative="1">
      <w:start w:val="1"/>
      <w:numFmt w:val="bullet"/>
      <w:lvlText w:val="o"/>
      <w:lvlJc w:val="left"/>
      <w:pPr>
        <w:ind w:left="3552" w:hanging="360"/>
      </w:pPr>
      <w:rPr>
        <w:rFonts w:ascii="Courier New" w:hAnsi="Courier New" w:cs="Courier New" w:hint="default"/>
      </w:rPr>
    </w:lvl>
    <w:lvl w:ilvl="5" w:tplc="0C090005" w:tentative="1">
      <w:start w:val="1"/>
      <w:numFmt w:val="bullet"/>
      <w:lvlText w:val=""/>
      <w:lvlJc w:val="left"/>
      <w:pPr>
        <w:ind w:left="4272" w:hanging="360"/>
      </w:pPr>
      <w:rPr>
        <w:rFonts w:ascii="Wingdings" w:hAnsi="Wingdings" w:hint="default"/>
      </w:rPr>
    </w:lvl>
    <w:lvl w:ilvl="6" w:tplc="0C090001" w:tentative="1">
      <w:start w:val="1"/>
      <w:numFmt w:val="bullet"/>
      <w:lvlText w:val=""/>
      <w:lvlJc w:val="left"/>
      <w:pPr>
        <w:ind w:left="4992" w:hanging="360"/>
      </w:pPr>
      <w:rPr>
        <w:rFonts w:ascii="Symbol" w:hAnsi="Symbol" w:hint="default"/>
      </w:rPr>
    </w:lvl>
    <w:lvl w:ilvl="7" w:tplc="0C090003" w:tentative="1">
      <w:start w:val="1"/>
      <w:numFmt w:val="bullet"/>
      <w:lvlText w:val="o"/>
      <w:lvlJc w:val="left"/>
      <w:pPr>
        <w:ind w:left="5712" w:hanging="360"/>
      </w:pPr>
      <w:rPr>
        <w:rFonts w:ascii="Courier New" w:hAnsi="Courier New" w:cs="Courier New" w:hint="default"/>
      </w:rPr>
    </w:lvl>
    <w:lvl w:ilvl="8" w:tplc="0C090005" w:tentative="1">
      <w:start w:val="1"/>
      <w:numFmt w:val="bullet"/>
      <w:lvlText w:val=""/>
      <w:lvlJc w:val="left"/>
      <w:pPr>
        <w:ind w:left="6432" w:hanging="360"/>
      </w:pPr>
      <w:rPr>
        <w:rFonts w:ascii="Wingdings" w:hAnsi="Wingding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308346F"/>
    <w:multiLevelType w:val="hybridMultilevel"/>
    <w:tmpl w:val="119E3196"/>
    <w:lvl w:ilvl="0" w:tplc="C3F2B5E6">
      <w:start w:val="1"/>
      <w:numFmt w:val="bullet"/>
      <w:pStyle w:val="List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4AF6B9B"/>
    <w:multiLevelType w:val="multilevel"/>
    <w:tmpl w:val="F0B28CAA"/>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2" w15:restartNumberingAfterBreak="0">
    <w:nsid w:val="357F0D55"/>
    <w:multiLevelType w:val="hybridMultilevel"/>
    <w:tmpl w:val="3A343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CD104A"/>
    <w:multiLevelType w:val="hybridMultilevel"/>
    <w:tmpl w:val="53BA6CCA"/>
    <w:lvl w:ilvl="0" w:tplc="0C090017">
      <w:start w:val="1"/>
      <w:numFmt w:val="lowerLetter"/>
      <w:lvlText w:val="%1)"/>
      <w:lvlJc w:val="left"/>
      <w:pPr>
        <w:ind w:left="1004" w:hanging="360"/>
      </w:pPr>
      <w:rPr>
        <w:rFont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8723AD4"/>
    <w:multiLevelType w:val="multilevel"/>
    <w:tmpl w:val="0ACC81A0"/>
    <w:name w:val="DEPIPullOutBoxBullets"/>
    <w:lvl w:ilvl="0">
      <w:start w:val="1"/>
      <w:numFmt w:val="bullet"/>
      <w:pStyle w:val="PullOutBoxBullet"/>
      <w:lvlText w:val=""/>
      <w:lvlJc w:val="left"/>
      <w:pPr>
        <w:tabs>
          <w:tab w:val="num" w:pos="567"/>
        </w:tabs>
        <w:ind w:left="312" w:hanging="17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numFmt w:val="decimal"/>
      <w:lvlText w:val=""/>
      <w:lvlJc w:val="left"/>
    </w:lvl>
    <w:lvl w:ilvl="2">
      <w:numFmt w:val="decimal"/>
      <w:pStyle w:val="PullOutBoxBulle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rPr>
        <w:rFonts w:ascii="Symbol" w:hAnsi="Symbol" w:cs="Times New Roman" w:hint="default"/>
        <w:b w:val="0"/>
        <w:i w:val="0"/>
        <w:color w:val="363534" w:themeColor="text1"/>
        <w:spacing w:val="0"/>
        <w:w w:val="100"/>
        <w:position w:val="3"/>
        <w:sz w:val="18"/>
        <w:szCs w:val="16"/>
        <w14:glow w14:rad="0">
          <w14:srgbClr w14:val="000000"/>
        </w14:glow>
        <w14:scene3d>
          <w14:camera w14:prst="orthographicFront"/>
          <w14:lightRig w14:rig="threePt" w14:dir="t">
            <w14:rot w14:lat="0" w14:lon="0" w14:rev="0"/>
          </w14:lightRig>
        </w14:scene3d>
      </w:rPr>
    </w:lvl>
    <w:lvl w:ilvl="8">
      <w:numFmt w:val="decimal"/>
      <w:lvlText w:val=""/>
      <w:lvlJc w:val="left"/>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ADD66A6"/>
    <w:multiLevelType w:val="multilevel"/>
    <w:tmpl w:val="D1DED26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FD75B0"/>
    <w:multiLevelType w:val="multilevel"/>
    <w:tmpl w:val="0409001D"/>
    <w:styleLink w:val="1ai"/>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1F21788"/>
    <w:multiLevelType w:val="multilevel"/>
    <w:tmpl w:val="AEEC30DE"/>
    <w:lvl w:ilvl="0">
      <w:numFmt w:val="decimal"/>
      <w:pStyle w:val="Smal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D545EC4"/>
    <w:multiLevelType w:val="multilevel"/>
    <w:tmpl w:val="0C30D5B6"/>
    <w:name w:val="HighlightBoxBullet"/>
    <w:lvl w:ilvl="0">
      <w:numFmt w:val="decimal"/>
      <w:pStyle w:val="HighlightBox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D0540A9"/>
    <w:multiLevelType w:val="multilevel"/>
    <w:tmpl w:val="C43826C2"/>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5D5A0654"/>
    <w:multiLevelType w:val="multilevel"/>
    <w:tmpl w:val="D1DED26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D1D40AC"/>
    <w:multiLevelType w:val="multilevel"/>
    <w:tmpl w:val="4A4219B0"/>
    <w:name w:val="TableNumbering"/>
    <w:lvl w:ilvl="0">
      <w:numFmt w:val="decimal"/>
      <w:pStyle w:val="TableTextNumbered"/>
      <w:lvlText w:val=""/>
      <w:lvlJc w:val="left"/>
    </w:lvl>
    <w:lvl w:ilvl="1">
      <w:numFmt w:val="decimal"/>
      <w:pStyle w:val="TableTextNumbered2"/>
      <w:lvlText w:val=""/>
      <w:lvlJc w:val="left"/>
    </w:lvl>
    <w:lvl w:ilvl="2">
      <w:numFmt w:val="decimal"/>
      <w:pStyle w:val="TableTextNumbered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F060DD5"/>
    <w:multiLevelType w:val="multilevel"/>
    <w:tmpl w:val="4F500B3E"/>
    <w:name w:val="DEPIListNumbering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27" w15:restartNumberingAfterBreak="0">
    <w:nsid w:val="70250B03"/>
    <w:multiLevelType w:val="multilevel"/>
    <w:tmpl w:val="F3EA2326"/>
    <w:name w:val="DEPIQuoteBullets"/>
    <w:lvl w:ilvl="0">
      <w:numFmt w:val="decimal"/>
      <w:pStyle w:val="QuoteBullet"/>
      <w:lvlText w:val=""/>
      <w:lvlJc w:val="left"/>
    </w:lvl>
    <w:lvl w:ilvl="1">
      <w:numFmt w:val="decimal"/>
      <w:pStyle w:val="QuoteBullet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0C16014"/>
    <w:multiLevelType w:val="multilevel"/>
    <w:tmpl w:val="72CEB4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839021E"/>
    <w:multiLevelType w:val="multilevel"/>
    <w:tmpl w:val="E0E09B5E"/>
    <w:name w:val="DEPIListNumbering"/>
    <w:lvl w:ilvl="0">
      <w:numFmt w:val="decimal"/>
      <w:pStyle w:val="ListNumber"/>
      <w:lvlText w:val=""/>
      <w:lvlJc w:val="left"/>
    </w:lvl>
    <w:lvl w:ilvl="1">
      <w:numFmt w:val="decimal"/>
      <w:pStyle w:val="ListNumber2"/>
      <w:lvlText w:val=""/>
      <w:lvlJc w:val="left"/>
    </w:lvl>
    <w:lvl w:ilvl="2">
      <w:numFmt w:val="decimal"/>
      <w:pStyle w:val="ListNumber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28048850">
    <w:abstractNumId w:val="17"/>
  </w:num>
  <w:num w:numId="2" w16cid:durableId="1675036663">
    <w:abstractNumId w:val="25"/>
  </w:num>
  <w:num w:numId="3" w16cid:durableId="1340768152">
    <w:abstractNumId w:val="29"/>
  </w:num>
  <w:num w:numId="4" w16cid:durableId="1042561652">
    <w:abstractNumId w:val="10"/>
  </w:num>
  <w:num w:numId="5" w16cid:durableId="733158242">
    <w:abstractNumId w:val="4"/>
  </w:num>
  <w:num w:numId="6" w16cid:durableId="1093472966">
    <w:abstractNumId w:val="0"/>
  </w:num>
  <w:num w:numId="7" w16cid:durableId="1899516099">
    <w:abstractNumId w:val="27"/>
  </w:num>
  <w:num w:numId="8" w16cid:durableId="25571233">
    <w:abstractNumId w:val="6"/>
  </w:num>
  <w:num w:numId="9" w16cid:durableId="2052654473">
    <w:abstractNumId w:val="14"/>
  </w:num>
  <w:num w:numId="10" w16cid:durableId="371000780">
    <w:abstractNumId w:val="8"/>
  </w:num>
  <w:num w:numId="11" w16cid:durableId="413623080">
    <w:abstractNumId w:val="18"/>
  </w:num>
  <w:num w:numId="12" w16cid:durableId="1396589951">
    <w:abstractNumId w:val="19"/>
  </w:num>
  <w:num w:numId="13" w16cid:durableId="1481580491">
    <w:abstractNumId w:val="26"/>
  </w:num>
  <w:num w:numId="14" w16cid:durableId="1658076135">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965667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469407">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3413785">
    <w:abstractNumId w:val="5"/>
  </w:num>
  <w:num w:numId="18" w16cid:durableId="140659326">
    <w:abstractNumId w:val="9"/>
  </w:num>
  <w:num w:numId="19" w16cid:durableId="215287209">
    <w:abstractNumId w:val="13"/>
  </w:num>
  <w:num w:numId="20" w16cid:durableId="1389375944">
    <w:abstractNumId w:val="2"/>
    <w:lvlOverride w:ilvl="0">
      <w:startOverride w:val="3"/>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31567916">
    <w:abstractNumId w:val="23"/>
  </w:num>
  <w:num w:numId="22" w16cid:durableId="58140658">
    <w:abstractNumId w:val="16"/>
  </w:num>
  <w:num w:numId="23" w16cid:durableId="713770162">
    <w:abstractNumId w:val="28"/>
  </w:num>
  <w:num w:numId="24" w16cid:durableId="700590349">
    <w:abstractNumId w:val="1"/>
  </w:num>
  <w:num w:numId="25" w16cid:durableId="609973586">
    <w:abstractNumId w:val="11"/>
  </w:num>
  <w:num w:numId="26" w16cid:durableId="668023401">
    <w:abstractNumId w:val="12"/>
  </w:num>
  <w:num w:numId="27" w16cid:durableId="20885699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95380056">
    <w:abstractNumId w:val="7"/>
  </w:num>
  <w:num w:numId="29" w16cid:durableId="20238240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472682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795811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789074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ctiveWritingStyle w:appName="MSWord" w:lang="en-US" w:vendorID="64" w:dllVersion="0"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Environment"/>
    <w:docVar w:name="TOC" w:val="True"/>
    <w:docVar w:name="TOCNew" w:val="True"/>
    <w:docVar w:name="Version" w:val="3"/>
  </w:docVars>
  <w:rsids>
    <w:rsidRoot w:val="00DB686A"/>
    <w:rsid w:val="0000017F"/>
    <w:rsid w:val="00000201"/>
    <w:rsid w:val="00000279"/>
    <w:rsid w:val="00000293"/>
    <w:rsid w:val="000004BD"/>
    <w:rsid w:val="000009B0"/>
    <w:rsid w:val="00000B43"/>
    <w:rsid w:val="00000B7A"/>
    <w:rsid w:val="00000C89"/>
    <w:rsid w:val="00000FEB"/>
    <w:rsid w:val="00001111"/>
    <w:rsid w:val="000012BE"/>
    <w:rsid w:val="000015ED"/>
    <w:rsid w:val="00001E7B"/>
    <w:rsid w:val="00001F0C"/>
    <w:rsid w:val="00001F74"/>
    <w:rsid w:val="00001F76"/>
    <w:rsid w:val="0000214B"/>
    <w:rsid w:val="000021D7"/>
    <w:rsid w:val="00002396"/>
    <w:rsid w:val="000024EB"/>
    <w:rsid w:val="00002692"/>
    <w:rsid w:val="00002769"/>
    <w:rsid w:val="0000279C"/>
    <w:rsid w:val="000028B4"/>
    <w:rsid w:val="00002AB5"/>
    <w:rsid w:val="00002D63"/>
    <w:rsid w:val="00002DE1"/>
    <w:rsid w:val="00002E3E"/>
    <w:rsid w:val="000030A4"/>
    <w:rsid w:val="000031FC"/>
    <w:rsid w:val="00003226"/>
    <w:rsid w:val="00003960"/>
    <w:rsid w:val="00003AA7"/>
    <w:rsid w:val="00003D6D"/>
    <w:rsid w:val="00003EAA"/>
    <w:rsid w:val="000040B9"/>
    <w:rsid w:val="00004237"/>
    <w:rsid w:val="0000429E"/>
    <w:rsid w:val="0000456E"/>
    <w:rsid w:val="00004641"/>
    <w:rsid w:val="0000491E"/>
    <w:rsid w:val="00004C1E"/>
    <w:rsid w:val="00004CA4"/>
    <w:rsid w:val="00005261"/>
    <w:rsid w:val="00005647"/>
    <w:rsid w:val="0000591C"/>
    <w:rsid w:val="0000595A"/>
    <w:rsid w:val="00005CA7"/>
    <w:rsid w:val="00005ED3"/>
    <w:rsid w:val="00006000"/>
    <w:rsid w:val="0000612A"/>
    <w:rsid w:val="0000626D"/>
    <w:rsid w:val="00006306"/>
    <w:rsid w:val="0000662B"/>
    <w:rsid w:val="00006769"/>
    <w:rsid w:val="00006816"/>
    <w:rsid w:val="000068D4"/>
    <w:rsid w:val="00006A2C"/>
    <w:rsid w:val="00006AC2"/>
    <w:rsid w:val="00006F08"/>
    <w:rsid w:val="000072CE"/>
    <w:rsid w:val="000075D7"/>
    <w:rsid w:val="000077C3"/>
    <w:rsid w:val="000079BC"/>
    <w:rsid w:val="00007F41"/>
    <w:rsid w:val="00007FF7"/>
    <w:rsid w:val="0001006B"/>
    <w:rsid w:val="00010243"/>
    <w:rsid w:val="000105B0"/>
    <w:rsid w:val="00010A57"/>
    <w:rsid w:val="00010AAD"/>
    <w:rsid w:val="00010C4D"/>
    <w:rsid w:val="00010C5E"/>
    <w:rsid w:val="00010DE8"/>
    <w:rsid w:val="00010E3F"/>
    <w:rsid w:val="00010FAD"/>
    <w:rsid w:val="0001107C"/>
    <w:rsid w:val="000114BD"/>
    <w:rsid w:val="00011518"/>
    <w:rsid w:val="00011570"/>
    <w:rsid w:val="000118FD"/>
    <w:rsid w:val="00011B8F"/>
    <w:rsid w:val="00011F39"/>
    <w:rsid w:val="0001211F"/>
    <w:rsid w:val="0001226A"/>
    <w:rsid w:val="00012283"/>
    <w:rsid w:val="0001231D"/>
    <w:rsid w:val="00012710"/>
    <w:rsid w:val="000127CB"/>
    <w:rsid w:val="0001294D"/>
    <w:rsid w:val="00012AB9"/>
    <w:rsid w:val="00012ABC"/>
    <w:rsid w:val="00012B94"/>
    <w:rsid w:val="00012CEE"/>
    <w:rsid w:val="00012E66"/>
    <w:rsid w:val="00012EC2"/>
    <w:rsid w:val="00013360"/>
    <w:rsid w:val="0001338C"/>
    <w:rsid w:val="00013543"/>
    <w:rsid w:val="0001362A"/>
    <w:rsid w:val="0001389C"/>
    <w:rsid w:val="0001393A"/>
    <w:rsid w:val="00013B62"/>
    <w:rsid w:val="00013BAE"/>
    <w:rsid w:val="00013DC6"/>
    <w:rsid w:val="0001400C"/>
    <w:rsid w:val="0001466C"/>
    <w:rsid w:val="000146B8"/>
    <w:rsid w:val="00014835"/>
    <w:rsid w:val="00014944"/>
    <w:rsid w:val="00014C23"/>
    <w:rsid w:val="00014D24"/>
    <w:rsid w:val="00014DBF"/>
    <w:rsid w:val="00014E03"/>
    <w:rsid w:val="00014E15"/>
    <w:rsid w:val="00015014"/>
    <w:rsid w:val="000150F0"/>
    <w:rsid w:val="000152F8"/>
    <w:rsid w:val="00015410"/>
    <w:rsid w:val="0001547C"/>
    <w:rsid w:val="000155B4"/>
    <w:rsid w:val="00015AFF"/>
    <w:rsid w:val="00015BB6"/>
    <w:rsid w:val="00016478"/>
    <w:rsid w:val="00016497"/>
    <w:rsid w:val="0001669C"/>
    <w:rsid w:val="0001689D"/>
    <w:rsid w:val="000168AC"/>
    <w:rsid w:val="00016C60"/>
    <w:rsid w:val="00016C9B"/>
    <w:rsid w:val="000171CC"/>
    <w:rsid w:val="000171F8"/>
    <w:rsid w:val="000171FD"/>
    <w:rsid w:val="0001735F"/>
    <w:rsid w:val="0001759B"/>
    <w:rsid w:val="000175B7"/>
    <w:rsid w:val="00017669"/>
    <w:rsid w:val="00017D24"/>
    <w:rsid w:val="00017D91"/>
    <w:rsid w:val="00017E36"/>
    <w:rsid w:val="00017EE8"/>
    <w:rsid w:val="000201F7"/>
    <w:rsid w:val="00020212"/>
    <w:rsid w:val="0002026B"/>
    <w:rsid w:val="00020691"/>
    <w:rsid w:val="0002085D"/>
    <w:rsid w:val="00020A04"/>
    <w:rsid w:val="00020C40"/>
    <w:rsid w:val="00020DB2"/>
    <w:rsid w:val="0002101E"/>
    <w:rsid w:val="00021289"/>
    <w:rsid w:val="000213EC"/>
    <w:rsid w:val="00021899"/>
    <w:rsid w:val="00021A33"/>
    <w:rsid w:val="00021CF5"/>
    <w:rsid w:val="00022283"/>
    <w:rsid w:val="0002253D"/>
    <w:rsid w:val="0002261E"/>
    <w:rsid w:val="000227DA"/>
    <w:rsid w:val="00022C8F"/>
    <w:rsid w:val="00022F51"/>
    <w:rsid w:val="000230FD"/>
    <w:rsid w:val="000231B3"/>
    <w:rsid w:val="00023248"/>
    <w:rsid w:val="0002325E"/>
    <w:rsid w:val="00023306"/>
    <w:rsid w:val="00023536"/>
    <w:rsid w:val="00023597"/>
    <w:rsid w:val="000236AE"/>
    <w:rsid w:val="00023746"/>
    <w:rsid w:val="00023A68"/>
    <w:rsid w:val="00023AFB"/>
    <w:rsid w:val="00023D8F"/>
    <w:rsid w:val="00023DA7"/>
    <w:rsid w:val="00023E2B"/>
    <w:rsid w:val="00023E6E"/>
    <w:rsid w:val="00023F44"/>
    <w:rsid w:val="0002404B"/>
    <w:rsid w:val="0002449D"/>
    <w:rsid w:val="00024572"/>
    <w:rsid w:val="00024574"/>
    <w:rsid w:val="00024585"/>
    <w:rsid w:val="0002464E"/>
    <w:rsid w:val="00024787"/>
    <w:rsid w:val="00024896"/>
    <w:rsid w:val="00024990"/>
    <w:rsid w:val="00024A31"/>
    <w:rsid w:val="00024D99"/>
    <w:rsid w:val="00024DF4"/>
    <w:rsid w:val="00024E80"/>
    <w:rsid w:val="000251A3"/>
    <w:rsid w:val="00025217"/>
    <w:rsid w:val="0002541C"/>
    <w:rsid w:val="000254BA"/>
    <w:rsid w:val="000254C5"/>
    <w:rsid w:val="00025715"/>
    <w:rsid w:val="00025A48"/>
    <w:rsid w:val="00025A62"/>
    <w:rsid w:val="00025A96"/>
    <w:rsid w:val="00025ADB"/>
    <w:rsid w:val="00025B8A"/>
    <w:rsid w:val="00025C76"/>
    <w:rsid w:val="00025DE2"/>
    <w:rsid w:val="00025F6C"/>
    <w:rsid w:val="00026290"/>
    <w:rsid w:val="000262F6"/>
    <w:rsid w:val="000263AA"/>
    <w:rsid w:val="000264BE"/>
    <w:rsid w:val="00026700"/>
    <w:rsid w:val="00026706"/>
    <w:rsid w:val="0002674C"/>
    <w:rsid w:val="00026765"/>
    <w:rsid w:val="00026831"/>
    <w:rsid w:val="000268F7"/>
    <w:rsid w:val="000268FA"/>
    <w:rsid w:val="00026A47"/>
    <w:rsid w:val="00026AC5"/>
    <w:rsid w:val="00026AED"/>
    <w:rsid w:val="00026B0F"/>
    <w:rsid w:val="00026BEB"/>
    <w:rsid w:val="00026C8E"/>
    <w:rsid w:val="00026E85"/>
    <w:rsid w:val="0002719A"/>
    <w:rsid w:val="000271A3"/>
    <w:rsid w:val="0002752C"/>
    <w:rsid w:val="000275E6"/>
    <w:rsid w:val="00027779"/>
    <w:rsid w:val="00027D1E"/>
    <w:rsid w:val="00027E13"/>
    <w:rsid w:val="00027EED"/>
    <w:rsid w:val="00027F13"/>
    <w:rsid w:val="000303AC"/>
    <w:rsid w:val="0003047E"/>
    <w:rsid w:val="00030692"/>
    <w:rsid w:val="0003073B"/>
    <w:rsid w:val="000308E4"/>
    <w:rsid w:val="00030E9E"/>
    <w:rsid w:val="00030ED4"/>
    <w:rsid w:val="0003108C"/>
    <w:rsid w:val="00031190"/>
    <w:rsid w:val="00031248"/>
    <w:rsid w:val="000312CC"/>
    <w:rsid w:val="000312E9"/>
    <w:rsid w:val="0003176C"/>
    <w:rsid w:val="00031884"/>
    <w:rsid w:val="00031CC5"/>
    <w:rsid w:val="00031F1F"/>
    <w:rsid w:val="00031F2C"/>
    <w:rsid w:val="00032084"/>
    <w:rsid w:val="00032331"/>
    <w:rsid w:val="000323E0"/>
    <w:rsid w:val="000323EF"/>
    <w:rsid w:val="000325DC"/>
    <w:rsid w:val="00032608"/>
    <w:rsid w:val="00032882"/>
    <w:rsid w:val="0003294B"/>
    <w:rsid w:val="00032AB5"/>
    <w:rsid w:val="00032BB4"/>
    <w:rsid w:val="00032BE8"/>
    <w:rsid w:val="00032C04"/>
    <w:rsid w:val="00032CDC"/>
    <w:rsid w:val="00032D71"/>
    <w:rsid w:val="00033137"/>
    <w:rsid w:val="00033178"/>
    <w:rsid w:val="000331C0"/>
    <w:rsid w:val="00033331"/>
    <w:rsid w:val="000337B1"/>
    <w:rsid w:val="00033846"/>
    <w:rsid w:val="00033A8A"/>
    <w:rsid w:val="00033DC9"/>
    <w:rsid w:val="00034153"/>
    <w:rsid w:val="0003418D"/>
    <w:rsid w:val="000341AF"/>
    <w:rsid w:val="00034292"/>
    <w:rsid w:val="0003451C"/>
    <w:rsid w:val="00034E46"/>
    <w:rsid w:val="00034FF1"/>
    <w:rsid w:val="00035139"/>
    <w:rsid w:val="00035163"/>
    <w:rsid w:val="00035168"/>
    <w:rsid w:val="0003519D"/>
    <w:rsid w:val="000351A1"/>
    <w:rsid w:val="000351BA"/>
    <w:rsid w:val="000351EF"/>
    <w:rsid w:val="0003528D"/>
    <w:rsid w:val="00035377"/>
    <w:rsid w:val="000353E7"/>
    <w:rsid w:val="00035B4E"/>
    <w:rsid w:val="00035BAD"/>
    <w:rsid w:val="00035D3A"/>
    <w:rsid w:val="00035E47"/>
    <w:rsid w:val="00035F35"/>
    <w:rsid w:val="00035F72"/>
    <w:rsid w:val="00035FD9"/>
    <w:rsid w:val="000362D6"/>
    <w:rsid w:val="000363A9"/>
    <w:rsid w:val="000367D4"/>
    <w:rsid w:val="00036908"/>
    <w:rsid w:val="00036A70"/>
    <w:rsid w:val="00036AE4"/>
    <w:rsid w:val="00036FBD"/>
    <w:rsid w:val="00037072"/>
    <w:rsid w:val="000371DD"/>
    <w:rsid w:val="000372EF"/>
    <w:rsid w:val="00037452"/>
    <w:rsid w:val="000377C9"/>
    <w:rsid w:val="00037A74"/>
    <w:rsid w:val="00037CE2"/>
    <w:rsid w:val="00037D36"/>
    <w:rsid w:val="00037F49"/>
    <w:rsid w:val="00037F81"/>
    <w:rsid w:val="0004006F"/>
    <w:rsid w:val="00040749"/>
    <w:rsid w:val="0004090B"/>
    <w:rsid w:val="00040BDB"/>
    <w:rsid w:val="00040C19"/>
    <w:rsid w:val="00040E37"/>
    <w:rsid w:val="00041075"/>
    <w:rsid w:val="00041174"/>
    <w:rsid w:val="00041316"/>
    <w:rsid w:val="0004134D"/>
    <w:rsid w:val="000413AA"/>
    <w:rsid w:val="000415D8"/>
    <w:rsid w:val="000416D8"/>
    <w:rsid w:val="0004176C"/>
    <w:rsid w:val="00041797"/>
    <w:rsid w:val="00041903"/>
    <w:rsid w:val="000419FD"/>
    <w:rsid w:val="00041A46"/>
    <w:rsid w:val="00041C5B"/>
    <w:rsid w:val="00041D37"/>
    <w:rsid w:val="00041FBF"/>
    <w:rsid w:val="00042132"/>
    <w:rsid w:val="000421A9"/>
    <w:rsid w:val="000421D0"/>
    <w:rsid w:val="000423A3"/>
    <w:rsid w:val="000423B0"/>
    <w:rsid w:val="0004263E"/>
    <w:rsid w:val="00042827"/>
    <w:rsid w:val="000429F5"/>
    <w:rsid w:val="000430CC"/>
    <w:rsid w:val="000430E6"/>
    <w:rsid w:val="000432B4"/>
    <w:rsid w:val="00043650"/>
    <w:rsid w:val="00043657"/>
    <w:rsid w:val="00043866"/>
    <w:rsid w:val="00043971"/>
    <w:rsid w:val="00043BC5"/>
    <w:rsid w:val="00043D1B"/>
    <w:rsid w:val="00043DBA"/>
    <w:rsid w:val="00043E65"/>
    <w:rsid w:val="000440C3"/>
    <w:rsid w:val="000441FC"/>
    <w:rsid w:val="0004434C"/>
    <w:rsid w:val="000444B3"/>
    <w:rsid w:val="0004458C"/>
    <w:rsid w:val="0004466E"/>
    <w:rsid w:val="00044845"/>
    <w:rsid w:val="00044882"/>
    <w:rsid w:val="00044BDC"/>
    <w:rsid w:val="000451CD"/>
    <w:rsid w:val="00045283"/>
    <w:rsid w:val="000455E1"/>
    <w:rsid w:val="000456A7"/>
    <w:rsid w:val="0004598C"/>
    <w:rsid w:val="00045AA1"/>
    <w:rsid w:val="000461CA"/>
    <w:rsid w:val="0004622F"/>
    <w:rsid w:val="00046864"/>
    <w:rsid w:val="000468A8"/>
    <w:rsid w:val="00046A3F"/>
    <w:rsid w:val="00046EE3"/>
    <w:rsid w:val="00046F43"/>
    <w:rsid w:val="0004726A"/>
    <w:rsid w:val="000473A1"/>
    <w:rsid w:val="00047402"/>
    <w:rsid w:val="0004761D"/>
    <w:rsid w:val="00047C37"/>
    <w:rsid w:val="00047C72"/>
    <w:rsid w:val="00047CE9"/>
    <w:rsid w:val="00047DF1"/>
    <w:rsid w:val="000501F1"/>
    <w:rsid w:val="00050257"/>
    <w:rsid w:val="00050487"/>
    <w:rsid w:val="000504A5"/>
    <w:rsid w:val="0005050C"/>
    <w:rsid w:val="000507C3"/>
    <w:rsid w:val="00050946"/>
    <w:rsid w:val="000509A6"/>
    <w:rsid w:val="00050ACE"/>
    <w:rsid w:val="00050B26"/>
    <w:rsid w:val="00050C82"/>
    <w:rsid w:val="00050D28"/>
    <w:rsid w:val="00050FF2"/>
    <w:rsid w:val="000512D6"/>
    <w:rsid w:val="000513E8"/>
    <w:rsid w:val="0005156E"/>
    <w:rsid w:val="0005167C"/>
    <w:rsid w:val="00051E20"/>
    <w:rsid w:val="00051FC9"/>
    <w:rsid w:val="00052234"/>
    <w:rsid w:val="000523CF"/>
    <w:rsid w:val="00052630"/>
    <w:rsid w:val="00052825"/>
    <w:rsid w:val="00052BC5"/>
    <w:rsid w:val="00052C61"/>
    <w:rsid w:val="00053244"/>
    <w:rsid w:val="00053366"/>
    <w:rsid w:val="00053513"/>
    <w:rsid w:val="000535DB"/>
    <w:rsid w:val="00053C43"/>
    <w:rsid w:val="00053CF9"/>
    <w:rsid w:val="00053EE6"/>
    <w:rsid w:val="0005434E"/>
    <w:rsid w:val="000543B4"/>
    <w:rsid w:val="0005469B"/>
    <w:rsid w:val="0005472E"/>
    <w:rsid w:val="000547C6"/>
    <w:rsid w:val="00054AD4"/>
    <w:rsid w:val="00054C0A"/>
    <w:rsid w:val="00055186"/>
    <w:rsid w:val="00055546"/>
    <w:rsid w:val="00055580"/>
    <w:rsid w:val="0005568C"/>
    <w:rsid w:val="000557B4"/>
    <w:rsid w:val="00055860"/>
    <w:rsid w:val="0005594E"/>
    <w:rsid w:val="00055BEE"/>
    <w:rsid w:val="00055D0B"/>
    <w:rsid w:val="00055EB2"/>
    <w:rsid w:val="000560BA"/>
    <w:rsid w:val="000560FB"/>
    <w:rsid w:val="00056109"/>
    <w:rsid w:val="000562B1"/>
    <w:rsid w:val="0005643E"/>
    <w:rsid w:val="000564FA"/>
    <w:rsid w:val="000567B5"/>
    <w:rsid w:val="0005687C"/>
    <w:rsid w:val="0005690D"/>
    <w:rsid w:val="00056A1C"/>
    <w:rsid w:val="00056C06"/>
    <w:rsid w:val="00056E26"/>
    <w:rsid w:val="000570E5"/>
    <w:rsid w:val="000570EB"/>
    <w:rsid w:val="0005737E"/>
    <w:rsid w:val="00057588"/>
    <w:rsid w:val="000576CA"/>
    <w:rsid w:val="000576FC"/>
    <w:rsid w:val="00057B83"/>
    <w:rsid w:val="00057DF5"/>
    <w:rsid w:val="00057E6A"/>
    <w:rsid w:val="00057EB2"/>
    <w:rsid w:val="00060007"/>
    <w:rsid w:val="0006013C"/>
    <w:rsid w:val="0006032E"/>
    <w:rsid w:val="000604B4"/>
    <w:rsid w:val="00060538"/>
    <w:rsid w:val="000605E3"/>
    <w:rsid w:val="00060722"/>
    <w:rsid w:val="00060D64"/>
    <w:rsid w:val="00060EE0"/>
    <w:rsid w:val="00060FD9"/>
    <w:rsid w:val="000612A8"/>
    <w:rsid w:val="00061573"/>
    <w:rsid w:val="000617D7"/>
    <w:rsid w:val="00061A67"/>
    <w:rsid w:val="00061E0E"/>
    <w:rsid w:val="000620DA"/>
    <w:rsid w:val="000626EE"/>
    <w:rsid w:val="00062985"/>
    <w:rsid w:val="00062994"/>
    <w:rsid w:val="00062C92"/>
    <w:rsid w:val="0006349D"/>
    <w:rsid w:val="00063623"/>
    <w:rsid w:val="0006375C"/>
    <w:rsid w:val="00063DAE"/>
    <w:rsid w:val="00063E71"/>
    <w:rsid w:val="000640A9"/>
    <w:rsid w:val="00064171"/>
    <w:rsid w:val="0006422E"/>
    <w:rsid w:val="00064275"/>
    <w:rsid w:val="000642CD"/>
    <w:rsid w:val="0006430D"/>
    <w:rsid w:val="00064489"/>
    <w:rsid w:val="00064DAE"/>
    <w:rsid w:val="00064DFA"/>
    <w:rsid w:val="0006522E"/>
    <w:rsid w:val="000652C4"/>
    <w:rsid w:val="00065584"/>
    <w:rsid w:val="000655FD"/>
    <w:rsid w:val="00065941"/>
    <w:rsid w:val="00065A52"/>
    <w:rsid w:val="00065DB4"/>
    <w:rsid w:val="00065E7A"/>
    <w:rsid w:val="000660C5"/>
    <w:rsid w:val="000663AB"/>
    <w:rsid w:val="0006649D"/>
    <w:rsid w:val="000665D5"/>
    <w:rsid w:val="0006690D"/>
    <w:rsid w:val="00066ABF"/>
    <w:rsid w:val="00066B1A"/>
    <w:rsid w:val="00066E1A"/>
    <w:rsid w:val="00066F02"/>
    <w:rsid w:val="00067098"/>
    <w:rsid w:val="0006724C"/>
    <w:rsid w:val="000672D9"/>
    <w:rsid w:val="0006742D"/>
    <w:rsid w:val="000676F8"/>
    <w:rsid w:val="00067769"/>
    <w:rsid w:val="000701C1"/>
    <w:rsid w:val="000704B5"/>
    <w:rsid w:val="000704F3"/>
    <w:rsid w:val="000706CF"/>
    <w:rsid w:val="0007071B"/>
    <w:rsid w:val="00070C97"/>
    <w:rsid w:val="0007112E"/>
    <w:rsid w:val="00071459"/>
    <w:rsid w:val="0007146A"/>
    <w:rsid w:val="0007149A"/>
    <w:rsid w:val="000715D6"/>
    <w:rsid w:val="0007186F"/>
    <w:rsid w:val="00071B67"/>
    <w:rsid w:val="00071CA4"/>
    <w:rsid w:val="00071D0D"/>
    <w:rsid w:val="00071DE2"/>
    <w:rsid w:val="00071EC1"/>
    <w:rsid w:val="00072074"/>
    <w:rsid w:val="0007218D"/>
    <w:rsid w:val="00072288"/>
    <w:rsid w:val="000725BD"/>
    <w:rsid w:val="00072733"/>
    <w:rsid w:val="00072783"/>
    <w:rsid w:val="0007288D"/>
    <w:rsid w:val="00072967"/>
    <w:rsid w:val="00072A3B"/>
    <w:rsid w:val="00072B8B"/>
    <w:rsid w:val="00072C2D"/>
    <w:rsid w:val="00072D51"/>
    <w:rsid w:val="00072E02"/>
    <w:rsid w:val="00072E86"/>
    <w:rsid w:val="00073196"/>
    <w:rsid w:val="00073223"/>
    <w:rsid w:val="0007346F"/>
    <w:rsid w:val="00073536"/>
    <w:rsid w:val="00073597"/>
    <w:rsid w:val="00073599"/>
    <w:rsid w:val="0007374D"/>
    <w:rsid w:val="00073933"/>
    <w:rsid w:val="00073956"/>
    <w:rsid w:val="00073963"/>
    <w:rsid w:val="000739CC"/>
    <w:rsid w:val="00073A9B"/>
    <w:rsid w:val="00073BBA"/>
    <w:rsid w:val="00073E54"/>
    <w:rsid w:val="00073E62"/>
    <w:rsid w:val="00073F07"/>
    <w:rsid w:val="00073F9C"/>
    <w:rsid w:val="000741D9"/>
    <w:rsid w:val="000742AF"/>
    <w:rsid w:val="00074405"/>
    <w:rsid w:val="0007440E"/>
    <w:rsid w:val="00074430"/>
    <w:rsid w:val="00074A1F"/>
    <w:rsid w:val="00074C2B"/>
    <w:rsid w:val="00074C90"/>
    <w:rsid w:val="00074CCD"/>
    <w:rsid w:val="00075041"/>
    <w:rsid w:val="000752FC"/>
    <w:rsid w:val="000758E3"/>
    <w:rsid w:val="00075912"/>
    <w:rsid w:val="00076088"/>
    <w:rsid w:val="000767F1"/>
    <w:rsid w:val="0007684F"/>
    <w:rsid w:val="00076B41"/>
    <w:rsid w:val="00077199"/>
    <w:rsid w:val="00077B98"/>
    <w:rsid w:val="00077E6B"/>
    <w:rsid w:val="0008001B"/>
    <w:rsid w:val="0008006E"/>
    <w:rsid w:val="000800FA"/>
    <w:rsid w:val="000802A9"/>
    <w:rsid w:val="00080369"/>
    <w:rsid w:val="000803E5"/>
    <w:rsid w:val="0008043F"/>
    <w:rsid w:val="0008061A"/>
    <w:rsid w:val="00080A37"/>
    <w:rsid w:val="00080CFC"/>
    <w:rsid w:val="00080DFD"/>
    <w:rsid w:val="00080F90"/>
    <w:rsid w:val="00081023"/>
    <w:rsid w:val="000811D7"/>
    <w:rsid w:val="0008129B"/>
    <w:rsid w:val="0008162D"/>
    <w:rsid w:val="000816AD"/>
    <w:rsid w:val="000816F0"/>
    <w:rsid w:val="00081854"/>
    <w:rsid w:val="00081CC2"/>
    <w:rsid w:val="00082037"/>
    <w:rsid w:val="000820AE"/>
    <w:rsid w:val="0008221A"/>
    <w:rsid w:val="00082224"/>
    <w:rsid w:val="0008243F"/>
    <w:rsid w:val="0008252E"/>
    <w:rsid w:val="000825F9"/>
    <w:rsid w:val="0008271F"/>
    <w:rsid w:val="00082889"/>
    <w:rsid w:val="00082914"/>
    <w:rsid w:val="0008295D"/>
    <w:rsid w:val="000829B9"/>
    <w:rsid w:val="00082F0B"/>
    <w:rsid w:val="0008309F"/>
    <w:rsid w:val="000835DC"/>
    <w:rsid w:val="00083602"/>
    <w:rsid w:val="000838A2"/>
    <w:rsid w:val="00083917"/>
    <w:rsid w:val="000839DB"/>
    <w:rsid w:val="00083CBB"/>
    <w:rsid w:val="00083CD6"/>
    <w:rsid w:val="00083ED5"/>
    <w:rsid w:val="00084146"/>
    <w:rsid w:val="00084187"/>
    <w:rsid w:val="00084723"/>
    <w:rsid w:val="000848E9"/>
    <w:rsid w:val="00084A40"/>
    <w:rsid w:val="00084A5A"/>
    <w:rsid w:val="00084CB1"/>
    <w:rsid w:val="0008544A"/>
    <w:rsid w:val="00085505"/>
    <w:rsid w:val="00085689"/>
    <w:rsid w:val="0008568F"/>
    <w:rsid w:val="00085872"/>
    <w:rsid w:val="000858A9"/>
    <w:rsid w:val="00085A26"/>
    <w:rsid w:val="00085F05"/>
    <w:rsid w:val="00086160"/>
    <w:rsid w:val="00086265"/>
    <w:rsid w:val="0008635D"/>
    <w:rsid w:val="00086647"/>
    <w:rsid w:val="000866D6"/>
    <w:rsid w:val="00086F3D"/>
    <w:rsid w:val="0008745F"/>
    <w:rsid w:val="00087969"/>
    <w:rsid w:val="0008799A"/>
    <w:rsid w:val="00087B21"/>
    <w:rsid w:val="00087C89"/>
    <w:rsid w:val="00087DFC"/>
    <w:rsid w:val="00090469"/>
    <w:rsid w:val="0009067C"/>
    <w:rsid w:val="0009072A"/>
    <w:rsid w:val="000908D6"/>
    <w:rsid w:val="00090B03"/>
    <w:rsid w:val="00090B69"/>
    <w:rsid w:val="000910E0"/>
    <w:rsid w:val="0009125C"/>
    <w:rsid w:val="000913AD"/>
    <w:rsid w:val="00091C4B"/>
    <w:rsid w:val="00091EF2"/>
    <w:rsid w:val="00091F49"/>
    <w:rsid w:val="0009214D"/>
    <w:rsid w:val="000925B2"/>
    <w:rsid w:val="00092A17"/>
    <w:rsid w:val="00093051"/>
    <w:rsid w:val="000930EB"/>
    <w:rsid w:val="00093114"/>
    <w:rsid w:val="000935F8"/>
    <w:rsid w:val="00093839"/>
    <w:rsid w:val="000938C5"/>
    <w:rsid w:val="00093958"/>
    <w:rsid w:val="0009395D"/>
    <w:rsid w:val="00093BB0"/>
    <w:rsid w:val="00093ECE"/>
    <w:rsid w:val="00093F02"/>
    <w:rsid w:val="00094095"/>
    <w:rsid w:val="0009409C"/>
    <w:rsid w:val="0009477A"/>
    <w:rsid w:val="00094828"/>
    <w:rsid w:val="000948CF"/>
    <w:rsid w:val="00094A84"/>
    <w:rsid w:val="00094C4F"/>
    <w:rsid w:val="00094F27"/>
    <w:rsid w:val="000951AC"/>
    <w:rsid w:val="0009521E"/>
    <w:rsid w:val="00095256"/>
    <w:rsid w:val="0009547D"/>
    <w:rsid w:val="000957FE"/>
    <w:rsid w:val="00095E8A"/>
    <w:rsid w:val="000960AA"/>
    <w:rsid w:val="000964FC"/>
    <w:rsid w:val="00096627"/>
    <w:rsid w:val="000966D9"/>
    <w:rsid w:val="00096777"/>
    <w:rsid w:val="00096B2D"/>
    <w:rsid w:val="00096B35"/>
    <w:rsid w:val="00096BCC"/>
    <w:rsid w:val="00096E5A"/>
    <w:rsid w:val="00097056"/>
    <w:rsid w:val="00097170"/>
    <w:rsid w:val="00097538"/>
    <w:rsid w:val="00097763"/>
    <w:rsid w:val="000979B3"/>
    <w:rsid w:val="000979F4"/>
    <w:rsid w:val="00097B61"/>
    <w:rsid w:val="00097BCF"/>
    <w:rsid w:val="00097C1B"/>
    <w:rsid w:val="000A0179"/>
    <w:rsid w:val="000A0237"/>
    <w:rsid w:val="000A04B4"/>
    <w:rsid w:val="000A0538"/>
    <w:rsid w:val="000A055B"/>
    <w:rsid w:val="000A059B"/>
    <w:rsid w:val="000A05D6"/>
    <w:rsid w:val="000A07CB"/>
    <w:rsid w:val="000A089A"/>
    <w:rsid w:val="000A09AD"/>
    <w:rsid w:val="000A0D74"/>
    <w:rsid w:val="000A0DA2"/>
    <w:rsid w:val="000A0FB5"/>
    <w:rsid w:val="000A0FE5"/>
    <w:rsid w:val="000A106C"/>
    <w:rsid w:val="000A1099"/>
    <w:rsid w:val="000A1512"/>
    <w:rsid w:val="000A15E4"/>
    <w:rsid w:val="000A16B0"/>
    <w:rsid w:val="000A1C1B"/>
    <w:rsid w:val="000A1CB7"/>
    <w:rsid w:val="000A1D00"/>
    <w:rsid w:val="000A1EE4"/>
    <w:rsid w:val="000A2106"/>
    <w:rsid w:val="000A2315"/>
    <w:rsid w:val="000A257E"/>
    <w:rsid w:val="000A261F"/>
    <w:rsid w:val="000A2810"/>
    <w:rsid w:val="000A2885"/>
    <w:rsid w:val="000A28BD"/>
    <w:rsid w:val="000A2A90"/>
    <w:rsid w:val="000A2BC7"/>
    <w:rsid w:val="000A2C62"/>
    <w:rsid w:val="000A2E96"/>
    <w:rsid w:val="000A2ED1"/>
    <w:rsid w:val="000A30F9"/>
    <w:rsid w:val="000A327D"/>
    <w:rsid w:val="000A347E"/>
    <w:rsid w:val="000A353B"/>
    <w:rsid w:val="000A370C"/>
    <w:rsid w:val="000A3721"/>
    <w:rsid w:val="000A3841"/>
    <w:rsid w:val="000A3B01"/>
    <w:rsid w:val="000A3CBF"/>
    <w:rsid w:val="000A3EFB"/>
    <w:rsid w:val="000A4071"/>
    <w:rsid w:val="000A40E9"/>
    <w:rsid w:val="000A4712"/>
    <w:rsid w:val="000A4744"/>
    <w:rsid w:val="000A4796"/>
    <w:rsid w:val="000A4F57"/>
    <w:rsid w:val="000A506E"/>
    <w:rsid w:val="000A51F3"/>
    <w:rsid w:val="000A526C"/>
    <w:rsid w:val="000A56CA"/>
    <w:rsid w:val="000A5B96"/>
    <w:rsid w:val="000A5CA9"/>
    <w:rsid w:val="000A5E67"/>
    <w:rsid w:val="000A5EBD"/>
    <w:rsid w:val="000A5F6F"/>
    <w:rsid w:val="000A6267"/>
    <w:rsid w:val="000A639F"/>
    <w:rsid w:val="000A6530"/>
    <w:rsid w:val="000A6592"/>
    <w:rsid w:val="000A65E9"/>
    <w:rsid w:val="000A6819"/>
    <w:rsid w:val="000A6A11"/>
    <w:rsid w:val="000A6C89"/>
    <w:rsid w:val="000A719A"/>
    <w:rsid w:val="000A73D0"/>
    <w:rsid w:val="000A73DC"/>
    <w:rsid w:val="000A7418"/>
    <w:rsid w:val="000A75EE"/>
    <w:rsid w:val="000A77A1"/>
    <w:rsid w:val="000A7BBF"/>
    <w:rsid w:val="000A7E08"/>
    <w:rsid w:val="000B0006"/>
    <w:rsid w:val="000B00B1"/>
    <w:rsid w:val="000B00B4"/>
    <w:rsid w:val="000B012B"/>
    <w:rsid w:val="000B0536"/>
    <w:rsid w:val="000B05D1"/>
    <w:rsid w:val="000B0687"/>
    <w:rsid w:val="000B0695"/>
    <w:rsid w:val="000B06A6"/>
    <w:rsid w:val="000B0726"/>
    <w:rsid w:val="000B0959"/>
    <w:rsid w:val="000B0A6B"/>
    <w:rsid w:val="000B0F25"/>
    <w:rsid w:val="000B11F1"/>
    <w:rsid w:val="000B1213"/>
    <w:rsid w:val="000B130D"/>
    <w:rsid w:val="000B151D"/>
    <w:rsid w:val="000B167B"/>
    <w:rsid w:val="000B184A"/>
    <w:rsid w:val="000B19BB"/>
    <w:rsid w:val="000B1B52"/>
    <w:rsid w:val="000B1B55"/>
    <w:rsid w:val="000B1B8C"/>
    <w:rsid w:val="000B1E12"/>
    <w:rsid w:val="000B2087"/>
    <w:rsid w:val="000B20BF"/>
    <w:rsid w:val="000B22C0"/>
    <w:rsid w:val="000B241A"/>
    <w:rsid w:val="000B2568"/>
    <w:rsid w:val="000B25E3"/>
    <w:rsid w:val="000B26CC"/>
    <w:rsid w:val="000B271B"/>
    <w:rsid w:val="000B28A5"/>
    <w:rsid w:val="000B2CE6"/>
    <w:rsid w:val="000B2D07"/>
    <w:rsid w:val="000B2D62"/>
    <w:rsid w:val="000B2DE7"/>
    <w:rsid w:val="000B3193"/>
    <w:rsid w:val="000B3198"/>
    <w:rsid w:val="000B31CA"/>
    <w:rsid w:val="000B34F2"/>
    <w:rsid w:val="000B35D3"/>
    <w:rsid w:val="000B3831"/>
    <w:rsid w:val="000B3A8F"/>
    <w:rsid w:val="000B3DC1"/>
    <w:rsid w:val="000B3FB6"/>
    <w:rsid w:val="000B402E"/>
    <w:rsid w:val="000B40D6"/>
    <w:rsid w:val="000B44D9"/>
    <w:rsid w:val="000B46C3"/>
    <w:rsid w:val="000B491B"/>
    <w:rsid w:val="000B4A63"/>
    <w:rsid w:val="000B4CFC"/>
    <w:rsid w:val="000B4ECA"/>
    <w:rsid w:val="000B4F90"/>
    <w:rsid w:val="000B5144"/>
    <w:rsid w:val="000B5218"/>
    <w:rsid w:val="000B5240"/>
    <w:rsid w:val="000B547C"/>
    <w:rsid w:val="000B5504"/>
    <w:rsid w:val="000B553F"/>
    <w:rsid w:val="000B561E"/>
    <w:rsid w:val="000B5745"/>
    <w:rsid w:val="000B593C"/>
    <w:rsid w:val="000B59FB"/>
    <w:rsid w:val="000B5EA3"/>
    <w:rsid w:val="000B5F5F"/>
    <w:rsid w:val="000B61D3"/>
    <w:rsid w:val="000B654F"/>
    <w:rsid w:val="000B669C"/>
    <w:rsid w:val="000B670A"/>
    <w:rsid w:val="000B671C"/>
    <w:rsid w:val="000B6788"/>
    <w:rsid w:val="000B6B5B"/>
    <w:rsid w:val="000B6BF6"/>
    <w:rsid w:val="000B6D37"/>
    <w:rsid w:val="000B6D66"/>
    <w:rsid w:val="000B724A"/>
    <w:rsid w:val="000B7CAB"/>
    <w:rsid w:val="000B7CC2"/>
    <w:rsid w:val="000B7CD4"/>
    <w:rsid w:val="000B7EE4"/>
    <w:rsid w:val="000C005D"/>
    <w:rsid w:val="000C0104"/>
    <w:rsid w:val="000C015B"/>
    <w:rsid w:val="000C0168"/>
    <w:rsid w:val="000C0292"/>
    <w:rsid w:val="000C0411"/>
    <w:rsid w:val="000C0676"/>
    <w:rsid w:val="000C0A3E"/>
    <w:rsid w:val="000C0E68"/>
    <w:rsid w:val="000C0ECC"/>
    <w:rsid w:val="000C1464"/>
    <w:rsid w:val="000C180D"/>
    <w:rsid w:val="000C182B"/>
    <w:rsid w:val="000C1842"/>
    <w:rsid w:val="000C1EE0"/>
    <w:rsid w:val="000C1FEA"/>
    <w:rsid w:val="000C2173"/>
    <w:rsid w:val="000C243C"/>
    <w:rsid w:val="000C26FC"/>
    <w:rsid w:val="000C27FF"/>
    <w:rsid w:val="000C2888"/>
    <w:rsid w:val="000C2988"/>
    <w:rsid w:val="000C2CCC"/>
    <w:rsid w:val="000C2CD8"/>
    <w:rsid w:val="000C31A5"/>
    <w:rsid w:val="000C33EB"/>
    <w:rsid w:val="000C35CA"/>
    <w:rsid w:val="000C39D4"/>
    <w:rsid w:val="000C3B79"/>
    <w:rsid w:val="000C3BD6"/>
    <w:rsid w:val="000C3C38"/>
    <w:rsid w:val="000C3CB9"/>
    <w:rsid w:val="000C417E"/>
    <w:rsid w:val="000C41E0"/>
    <w:rsid w:val="000C41F9"/>
    <w:rsid w:val="000C4231"/>
    <w:rsid w:val="000C436A"/>
    <w:rsid w:val="000C4602"/>
    <w:rsid w:val="000C478D"/>
    <w:rsid w:val="000C47FC"/>
    <w:rsid w:val="000C48C3"/>
    <w:rsid w:val="000C4A93"/>
    <w:rsid w:val="000C4BAD"/>
    <w:rsid w:val="000C4E6D"/>
    <w:rsid w:val="000C5466"/>
    <w:rsid w:val="000C5490"/>
    <w:rsid w:val="000C55BE"/>
    <w:rsid w:val="000C57F2"/>
    <w:rsid w:val="000C5973"/>
    <w:rsid w:val="000C5D15"/>
    <w:rsid w:val="000C5E71"/>
    <w:rsid w:val="000C5F9A"/>
    <w:rsid w:val="000C6231"/>
    <w:rsid w:val="000C6287"/>
    <w:rsid w:val="000C6550"/>
    <w:rsid w:val="000C686A"/>
    <w:rsid w:val="000C6A33"/>
    <w:rsid w:val="000C6D57"/>
    <w:rsid w:val="000C707C"/>
    <w:rsid w:val="000C70E3"/>
    <w:rsid w:val="000C734E"/>
    <w:rsid w:val="000C73EF"/>
    <w:rsid w:val="000C751B"/>
    <w:rsid w:val="000C75BF"/>
    <w:rsid w:val="000C7611"/>
    <w:rsid w:val="000C7C91"/>
    <w:rsid w:val="000C7E00"/>
    <w:rsid w:val="000C7F9C"/>
    <w:rsid w:val="000D0477"/>
    <w:rsid w:val="000D04DE"/>
    <w:rsid w:val="000D050A"/>
    <w:rsid w:val="000D0526"/>
    <w:rsid w:val="000D060B"/>
    <w:rsid w:val="000D0622"/>
    <w:rsid w:val="000D065A"/>
    <w:rsid w:val="000D06EA"/>
    <w:rsid w:val="000D06F8"/>
    <w:rsid w:val="000D0BAC"/>
    <w:rsid w:val="000D0C67"/>
    <w:rsid w:val="000D0CA4"/>
    <w:rsid w:val="000D0EB6"/>
    <w:rsid w:val="000D0FA8"/>
    <w:rsid w:val="000D139F"/>
    <w:rsid w:val="000D152D"/>
    <w:rsid w:val="000D16E9"/>
    <w:rsid w:val="000D1A7B"/>
    <w:rsid w:val="000D1CBA"/>
    <w:rsid w:val="000D1D1E"/>
    <w:rsid w:val="000D1E7B"/>
    <w:rsid w:val="000D21FA"/>
    <w:rsid w:val="000D2322"/>
    <w:rsid w:val="000D2340"/>
    <w:rsid w:val="000D23AA"/>
    <w:rsid w:val="000D23F2"/>
    <w:rsid w:val="000D243B"/>
    <w:rsid w:val="000D2466"/>
    <w:rsid w:val="000D2526"/>
    <w:rsid w:val="000D25D7"/>
    <w:rsid w:val="000D2813"/>
    <w:rsid w:val="000D2B92"/>
    <w:rsid w:val="000D2EA1"/>
    <w:rsid w:val="000D312F"/>
    <w:rsid w:val="000D3159"/>
    <w:rsid w:val="000D318A"/>
    <w:rsid w:val="000D3208"/>
    <w:rsid w:val="000D320C"/>
    <w:rsid w:val="000D3282"/>
    <w:rsid w:val="000D3344"/>
    <w:rsid w:val="000D33B8"/>
    <w:rsid w:val="000D3673"/>
    <w:rsid w:val="000D38BD"/>
    <w:rsid w:val="000D3AE8"/>
    <w:rsid w:val="000D3B59"/>
    <w:rsid w:val="000D3BB5"/>
    <w:rsid w:val="000D3D33"/>
    <w:rsid w:val="000D3E39"/>
    <w:rsid w:val="000D3E9A"/>
    <w:rsid w:val="000D3F7B"/>
    <w:rsid w:val="000D40E3"/>
    <w:rsid w:val="000D41C3"/>
    <w:rsid w:val="000D429E"/>
    <w:rsid w:val="000D42D6"/>
    <w:rsid w:val="000D4499"/>
    <w:rsid w:val="000D464F"/>
    <w:rsid w:val="000D483C"/>
    <w:rsid w:val="000D48D0"/>
    <w:rsid w:val="000D49AE"/>
    <w:rsid w:val="000D4AA4"/>
    <w:rsid w:val="000D4E45"/>
    <w:rsid w:val="000D4EC1"/>
    <w:rsid w:val="000D4F82"/>
    <w:rsid w:val="000D529F"/>
    <w:rsid w:val="000D6030"/>
    <w:rsid w:val="000D6222"/>
    <w:rsid w:val="000D62A7"/>
    <w:rsid w:val="000D64A9"/>
    <w:rsid w:val="000D64B3"/>
    <w:rsid w:val="000D6DC7"/>
    <w:rsid w:val="000D6FB5"/>
    <w:rsid w:val="000D703A"/>
    <w:rsid w:val="000D7202"/>
    <w:rsid w:val="000D7482"/>
    <w:rsid w:val="000D7507"/>
    <w:rsid w:val="000D76B3"/>
    <w:rsid w:val="000D76D9"/>
    <w:rsid w:val="000D7891"/>
    <w:rsid w:val="000D7E1F"/>
    <w:rsid w:val="000D7F3B"/>
    <w:rsid w:val="000E0084"/>
    <w:rsid w:val="000E01C1"/>
    <w:rsid w:val="000E01D0"/>
    <w:rsid w:val="000E06FD"/>
    <w:rsid w:val="000E077B"/>
    <w:rsid w:val="000E091B"/>
    <w:rsid w:val="000E096C"/>
    <w:rsid w:val="000E0B14"/>
    <w:rsid w:val="000E0B1F"/>
    <w:rsid w:val="000E0B89"/>
    <w:rsid w:val="000E0DB1"/>
    <w:rsid w:val="000E0F78"/>
    <w:rsid w:val="000E1367"/>
    <w:rsid w:val="000E13F6"/>
    <w:rsid w:val="000E1546"/>
    <w:rsid w:val="000E1779"/>
    <w:rsid w:val="000E180B"/>
    <w:rsid w:val="000E1BEC"/>
    <w:rsid w:val="000E1D62"/>
    <w:rsid w:val="000E1E4E"/>
    <w:rsid w:val="000E1EDB"/>
    <w:rsid w:val="000E1F1D"/>
    <w:rsid w:val="000E1FC7"/>
    <w:rsid w:val="000E21E5"/>
    <w:rsid w:val="000E2207"/>
    <w:rsid w:val="000E239E"/>
    <w:rsid w:val="000E2471"/>
    <w:rsid w:val="000E24E1"/>
    <w:rsid w:val="000E25A9"/>
    <w:rsid w:val="000E2719"/>
    <w:rsid w:val="000E27B6"/>
    <w:rsid w:val="000E2CC1"/>
    <w:rsid w:val="000E2CE7"/>
    <w:rsid w:val="000E33C8"/>
    <w:rsid w:val="000E35C7"/>
    <w:rsid w:val="000E3849"/>
    <w:rsid w:val="000E3931"/>
    <w:rsid w:val="000E3A26"/>
    <w:rsid w:val="000E3AF5"/>
    <w:rsid w:val="000E3B96"/>
    <w:rsid w:val="000E3DA8"/>
    <w:rsid w:val="000E4050"/>
    <w:rsid w:val="000E40C6"/>
    <w:rsid w:val="000E415D"/>
    <w:rsid w:val="000E45D1"/>
    <w:rsid w:val="000E4873"/>
    <w:rsid w:val="000E4B54"/>
    <w:rsid w:val="000E4E75"/>
    <w:rsid w:val="000E4F6D"/>
    <w:rsid w:val="000E4FBE"/>
    <w:rsid w:val="000E5042"/>
    <w:rsid w:val="000E53BD"/>
    <w:rsid w:val="000E5482"/>
    <w:rsid w:val="000E55A2"/>
    <w:rsid w:val="000E5657"/>
    <w:rsid w:val="000E576F"/>
    <w:rsid w:val="000E5D86"/>
    <w:rsid w:val="000E5F4E"/>
    <w:rsid w:val="000E613B"/>
    <w:rsid w:val="000E646C"/>
    <w:rsid w:val="000E6684"/>
    <w:rsid w:val="000E6777"/>
    <w:rsid w:val="000E67AF"/>
    <w:rsid w:val="000E6835"/>
    <w:rsid w:val="000E687D"/>
    <w:rsid w:val="000E72BE"/>
    <w:rsid w:val="000E736F"/>
    <w:rsid w:val="000E73C2"/>
    <w:rsid w:val="000E7410"/>
    <w:rsid w:val="000E7430"/>
    <w:rsid w:val="000E7936"/>
    <w:rsid w:val="000E7AC9"/>
    <w:rsid w:val="000E7BF9"/>
    <w:rsid w:val="000F0294"/>
    <w:rsid w:val="000F03BC"/>
    <w:rsid w:val="000F0821"/>
    <w:rsid w:val="000F0993"/>
    <w:rsid w:val="000F0A47"/>
    <w:rsid w:val="000F0D60"/>
    <w:rsid w:val="000F0F74"/>
    <w:rsid w:val="000F106A"/>
    <w:rsid w:val="000F1169"/>
    <w:rsid w:val="000F130C"/>
    <w:rsid w:val="000F147D"/>
    <w:rsid w:val="000F1A3A"/>
    <w:rsid w:val="000F1A49"/>
    <w:rsid w:val="000F1A53"/>
    <w:rsid w:val="000F1A5A"/>
    <w:rsid w:val="000F1D45"/>
    <w:rsid w:val="000F1FA4"/>
    <w:rsid w:val="000F200E"/>
    <w:rsid w:val="000F2014"/>
    <w:rsid w:val="000F2194"/>
    <w:rsid w:val="000F2250"/>
    <w:rsid w:val="000F2487"/>
    <w:rsid w:val="000F24B2"/>
    <w:rsid w:val="000F29E8"/>
    <w:rsid w:val="000F2F08"/>
    <w:rsid w:val="000F301F"/>
    <w:rsid w:val="000F3058"/>
    <w:rsid w:val="000F306B"/>
    <w:rsid w:val="000F31A9"/>
    <w:rsid w:val="000F31D9"/>
    <w:rsid w:val="000F321B"/>
    <w:rsid w:val="000F376E"/>
    <w:rsid w:val="000F37CC"/>
    <w:rsid w:val="000F3AB8"/>
    <w:rsid w:val="000F3BF4"/>
    <w:rsid w:val="000F3FC7"/>
    <w:rsid w:val="000F4644"/>
    <w:rsid w:val="000F4726"/>
    <w:rsid w:val="000F4742"/>
    <w:rsid w:val="000F4A13"/>
    <w:rsid w:val="000F4C1A"/>
    <w:rsid w:val="000F4CD5"/>
    <w:rsid w:val="000F4F12"/>
    <w:rsid w:val="000F5080"/>
    <w:rsid w:val="000F5216"/>
    <w:rsid w:val="000F52D5"/>
    <w:rsid w:val="000F54B2"/>
    <w:rsid w:val="000F556E"/>
    <w:rsid w:val="000F567F"/>
    <w:rsid w:val="000F5700"/>
    <w:rsid w:val="000F5817"/>
    <w:rsid w:val="000F5A78"/>
    <w:rsid w:val="000F5E34"/>
    <w:rsid w:val="000F5E5F"/>
    <w:rsid w:val="000F5E8C"/>
    <w:rsid w:val="000F644B"/>
    <w:rsid w:val="000F66D3"/>
    <w:rsid w:val="000F6801"/>
    <w:rsid w:val="000F6803"/>
    <w:rsid w:val="000F6829"/>
    <w:rsid w:val="000F6D60"/>
    <w:rsid w:val="000F6D6B"/>
    <w:rsid w:val="000F6FA4"/>
    <w:rsid w:val="000F6FFC"/>
    <w:rsid w:val="000F702F"/>
    <w:rsid w:val="000F7657"/>
    <w:rsid w:val="000F7A4B"/>
    <w:rsid w:val="000F7D5E"/>
    <w:rsid w:val="000F7DCF"/>
    <w:rsid w:val="000F7F8C"/>
    <w:rsid w:val="001000DA"/>
    <w:rsid w:val="00100611"/>
    <w:rsid w:val="001006AD"/>
    <w:rsid w:val="0010072A"/>
    <w:rsid w:val="001008BD"/>
    <w:rsid w:val="001009C3"/>
    <w:rsid w:val="00100B5E"/>
    <w:rsid w:val="001010DB"/>
    <w:rsid w:val="0010130F"/>
    <w:rsid w:val="00101435"/>
    <w:rsid w:val="00101451"/>
    <w:rsid w:val="001014BB"/>
    <w:rsid w:val="0010159B"/>
    <w:rsid w:val="00101A54"/>
    <w:rsid w:val="00101E0C"/>
    <w:rsid w:val="00102513"/>
    <w:rsid w:val="00102578"/>
    <w:rsid w:val="0010278C"/>
    <w:rsid w:val="00102DA9"/>
    <w:rsid w:val="0010306F"/>
    <w:rsid w:val="001031F1"/>
    <w:rsid w:val="001031FC"/>
    <w:rsid w:val="0010384A"/>
    <w:rsid w:val="00103905"/>
    <w:rsid w:val="00103D73"/>
    <w:rsid w:val="00103F0F"/>
    <w:rsid w:val="00103F1F"/>
    <w:rsid w:val="00104185"/>
    <w:rsid w:val="001041CD"/>
    <w:rsid w:val="00104371"/>
    <w:rsid w:val="00104496"/>
    <w:rsid w:val="00104574"/>
    <w:rsid w:val="0010474A"/>
    <w:rsid w:val="00104B12"/>
    <w:rsid w:val="00104F66"/>
    <w:rsid w:val="00104F76"/>
    <w:rsid w:val="00105184"/>
    <w:rsid w:val="001054A3"/>
    <w:rsid w:val="00105566"/>
    <w:rsid w:val="0010559C"/>
    <w:rsid w:val="001059D9"/>
    <w:rsid w:val="00105B67"/>
    <w:rsid w:val="00105BAB"/>
    <w:rsid w:val="00105C32"/>
    <w:rsid w:val="0010606F"/>
    <w:rsid w:val="0010631A"/>
    <w:rsid w:val="0010632A"/>
    <w:rsid w:val="0010632E"/>
    <w:rsid w:val="00106538"/>
    <w:rsid w:val="001065AC"/>
    <w:rsid w:val="001069D8"/>
    <w:rsid w:val="00106A7E"/>
    <w:rsid w:val="00106A81"/>
    <w:rsid w:val="00106B89"/>
    <w:rsid w:val="00106CA2"/>
    <w:rsid w:val="00106D0D"/>
    <w:rsid w:val="00106E31"/>
    <w:rsid w:val="00107101"/>
    <w:rsid w:val="001071B5"/>
    <w:rsid w:val="0010734D"/>
    <w:rsid w:val="001078A1"/>
    <w:rsid w:val="00107D01"/>
    <w:rsid w:val="00107E67"/>
    <w:rsid w:val="00107EBD"/>
    <w:rsid w:val="00110635"/>
    <w:rsid w:val="00110716"/>
    <w:rsid w:val="001108B2"/>
    <w:rsid w:val="00110987"/>
    <w:rsid w:val="00110A24"/>
    <w:rsid w:val="00110A62"/>
    <w:rsid w:val="00110A79"/>
    <w:rsid w:val="00110B1B"/>
    <w:rsid w:val="00110B32"/>
    <w:rsid w:val="00110B3D"/>
    <w:rsid w:val="00110B5D"/>
    <w:rsid w:val="00110DAE"/>
    <w:rsid w:val="00110FCA"/>
    <w:rsid w:val="0011105B"/>
    <w:rsid w:val="001110AA"/>
    <w:rsid w:val="0011111B"/>
    <w:rsid w:val="001112F2"/>
    <w:rsid w:val="00111483"/>
    <w:rsid w:val="0011152F"/>
    <w:rsid w:val="00111597"/>
    <w:rsid w:val="00111886"/>
    <w:rsid w:val="00111952"/>
    <w:rsid w:val="00111B49"/>
    <w:rsid w:val="00111C09"/>
    <w:rsid w:val="00111CE1"/>
    <w:rsid w:val="00111D9A"/>
    <w:rsid w:val="00112020"/>
    <w:rsid w:val="00112074"/>
    <w:rsid w:val="00112076"/>
    <w:rsid w:val="001121E7"/>
    <w:rsid w:val="00112380"/>
    <w:rsid w:val="001123D8"/>
    <w:rsid w:val="001125DE"/>
    <w:rsid w:val="00112614"/>
    <w:rsid w:val="0011267E"/>
    <w:rsid w:val="0011271A"/>
    <w:rsid w:val="001129A5"/>
    <w:rsid w:val="00112A18"/>
    <w:rsid w:val="00112E38"/>
    <w:rsid w:val="00112E7B"/>
    <w:rsid w:val="001130E6"/>
    <w:rsid w:val="001131AA"/>
    <w:rsid w:val="00113592"/>
    <w:rsid w:val="00113754"/>
    <w:rsid w:val="001137CE"/>
    <w:rsid w:val="00113C4C"/>
    <w:rsid w:val="00113CDC"/>
    <w:rsid w:val="00113CEB"/>
    <w:rsid w:val="00113DD9"/>
    <w:rsid w:val="00114151"/>
    <w:rsid w:val="00114158"/>
    <w:rsid w:val="0011467A"/>
    <w:rsid w:val="001146FC"/>
    <w:rsid w:val="00114751"/>
    <w:rsid w:val="0011484F"/>
    <w:rsid w:val="001148DA"/>
    <w:rsid w:val="001149F4"/>
    <w:rsid w:val="00114EB3"/>
    <w:rsid w:val="00114F21"/>
    <w:rsid w:val="00114F4E"/>
    <w:rsid w:val="0011506C"/>
    <w:rsid w:val="0011527C"/>
    <w:rsid w:val="00115310"/>
    <w:rsid w:val="00115707"/>
    <w:rsid w:val="00115D6C"/>
    <w:rsid w:val="00115E3D"/>
    <w:rsid w:val="00115ECE"/>
    <w:rsid w:val="00116300"/>
    <w:rsid w:val="00116593"/>
    <w:rsid w:val="00116688"/>
    <w:rsid w:val="00116759"/>
    <w:rsid w:val="001167D5"/>
    <w:rsid w:val="001168D7"/>
    <w:rsid w:val="00116DD7"/>
    <w:rsid w:val="00116E81"/>
    <w:rsid w:val="00116F7F"/>
    <w:rsid w:val="001172B9"/>
    <w:rsid w:val="001173DE"/>
    <w:rsid w:val="001177A2"/>
    <w:rsid w:val="00117819"/>
    <w:rsid w:val="001179D3"/>
    <w:rsid w:val="00117C6F"/>
    <w:rsid w:val="00117CFE"/>
    <w:rsid w:val="00117D09"/>
    <w:rsid w:val="00117DD6"/>
    <w:rsid w:val="00117F77"/>
    <w:rsid w:val="00117FA6"/>
    <w:rsid w:val="001202B1"/>
    <w:rsid w:val="0012038A"/>
    <w:rsid w:val="001203C0"/>
    <w:rsid w:val="001203EF"/>
    <w:rsid w:val="001204D7"/>
    <w:rsid w:val="00120841"/>
    <w:rsid w:val="0012093F"/>
    <w:rsid w:val="0012097B"/>
    <w:rsid w:val="00120988"/>
    <w:rsid w:val="00120B30"/>
    <w:rsid w:val="00120BF8"/>
    <w:rsid w:val="00120D48"/>
    <w:rsid w:val="001210F1"/>
    <w:rsid w:val="00121248"/>
    <w:rsid w:val="00121266"/>
    <w:rsid w:val="00121268"/>
    <w:rsid w:val="001212A9"/>
    <w:rsid w:val="0012166B"/>
    <w:rsid w:val="001217C3"/>
    <w:rsid w:val="001219CD"/>
    <w:rsid w:val="00121AA0"/>
    <w:rsid w:val="00121AFB"/>
    <w:rsid w:val="00121D92"/>
    <w:rsid w:val="00121E66"/>
    <w:rsid w:val="00122355"/>
    <w:rsid w:val="00122358"/>
    <w:rsid w:val="00122530"/>
    <w:rsid w:val="001226AD"/>
    <w:rsid w:val="00122834"/>
    <w:rsid w:val="001228CD"/>
    <w:rsid w:val="00122A3C"/>
    <w:rsid w:val="00122AAB"/>
    <w:rsid w:val="00122AE8"/>
    <w:rsid w:val="00122C72"/>
    <w:rsid w:val="00122E2C"/>
    <w:rsid w:val="00122F75"/>
    <w:rsid w:val="00122FD1"/>
    <w:rsid w:val="001230A5"/>
    <w:rsid w:val="00123651"/>
    <w:rsid w:val="00123733"/>
    <w:rsid w:val="00123826"/>
    <w:rsid w:val="001238BA"/>
    <w:rsid w:val="00123ACC"/>
    <w:rsid w:val="00123C6B"/>
    <w:rsid w:val="00123DA3"/>
    <w:rsid w:val="00123F6E"/>
    <w:rsid w:val="00123FDE"/>
    <w:rsid w:val="00124313"/>
    <w:rsid w:val="0012440E"/>
    <w:rsid w:val="00124482"/>
    <w:rsid w:val="001244A6"/>
    <w:rsid w:val="001244AB"/>
    <w:rsid w:val="00124521"/>
    <w:rsid w:val="0012452C"/>
    <w:rsid w:val="00124611"/>
    <w:rsid w:val="001246C4"/>
    <w:rsid w:val="00124797"/>
    <w:rsid w:val="00124BC4"/>
    <w:rsid w:val="00124C3D"/>
    <w:rsid w:val="00124D82"/>
    <w:rsid w:val="00124DF2"/>
    <w:rsid w:val="00124E8F"/>
    <w:rsid w:val="00124EFE"/>
    <w:rsid w:val="001250AF"/>
    <w:rsid w:val="001253D5"/>
    <w:rsid w:val="001256B6"/>
    <w:rsid w:val="00125847"/>
    <w:rsid w:val="00125A08"/>
    <w:rsid w:val="00125A6C"/>
    <w:rsid w:val="00125C02"/>
    <w:rsid w:val="00125C50"/>
    <w:rsid w:val="00125D64"/>
    <w:rsid w:val="00125F99"/>
    <w:rsid w:val="001262FB"/>
    <w:rsid w:val="00126431"/>
    <w:rsid w:val="001266B1"/>
    <w:rsid w:val="001266E1"/>
    <w:rsid w:val="001266E6"/>
    <w:rsid w:val="001268EC"/>
    <w:rsid w:val="001269E0"/>
    <w:rsid w:val="00126D27"/>
    <w:rsid w:val="00126F00"/>
    <w:rsid w:val="001270B7"/>
    <w:rsid w:val="00127115"/>
    <w:rsid w:val="00127385"/>
    <w:rsid w:val="00127410"/>
    <w:rsid w:val="0012741A"/>
    <w:rsid w:val="00127532"/>
    <w:rsid w:val="001277D6"/>
    <w:rsid w:val="00127C91"/>
    <w:rsid w:val="00127D30"/>
    <w:rsid w:val="00127F2F"/>
    <w:rsid w:val="001300CB"/>
    <w:rsid w:val="00130253"/>
    <w:rsid w:val="0013025E"/>
    <w:rsid w:val="001302F8"/>
    <w:rsid w:val="00130377"/>
    <w:rsid w:val="0013047E"/>
    <w:rsid w:val="00130504"/>
    <w:rsid w:val="00130766"/>
    <w:rsid w:val="00130810"/>
    <w:rsid w:val="00130881"/>
    <w:rsid w:val="001308F9"/>
    <w:rsid w:val="00130A05"/>
    <w:rsid w:val="00130B15"/>
    <w:rsid w:val="00130B23"/>
    <w:rsid w:val="00130BF3"/>
    <w:rsid w:val="00130E6E"/>
    <w:rsid w:val="00130F79"/>
    <w:rsid w:val="00130FC1"/>
    <w:rsid w:val="00131040"/>
    <w:rsid w:val="00131311"/>
    <w:rsid w:val="00131374"/>
    <w:rsid w:val="0013145D"/>
    <w:rsid w:val="001314AC"/>
    <w:rsid w:val="001314EF"/>
    <w:rsid w:val="001315CE"/>
    <w:rsid w:val="00131945"/>
    <w:rsid w:val="00131A52"/>
    <w:rsid w:val="00131E25"/>
    <w:rsid w:val="00131E6D"/>
    <w:rsid w:val="001323FF"/>
    <w:rsid w:val="0013248A"/>
    <w:rsid w:val="001325D7"/>
    <w:rsid w:val="00132744"/>
    <w:rsid w:val="00132777"/>
    <w:rsid w:val="00132AAC"/>
    <w:rsid w:val="00132B92"/>
    <w:rsid w:val="00132BEF"/>
    <w:rsid w:val="00132C1B"/>
    <w:rsid w:val="00132C43"/>
    <w:rsid w:val="00132CE7"/>
    <w:rsid w:val="00133530"/>
    <w:rsid w:val="001335E0"/>
    <w:rsid w:val="00133770"/>
    <w:rsid w:val="0013397E"/>
    <w:rsid w:val="00133A3B"/>
    <w:rsid w:val="00133A4B"/>
    <w:rsid w:val="00133A9C"/>
    <w:rsid w:val="00133E3D"/>
    <w:rsid w:val="0013417E"/>
    <w:rsid w:val="0013436B"/>
    <w:rsid w:val="00134421"/>
    <w:rsid w:val="0013448B"/>
    <w:rsid w:val="001344D2"/>
    <w:rsid w:val="001345EA"/>
    <w:rsid w:val="001346B4"/>
    <w:rsid w:val="00134789"/>
    <w:rsid w:val="00134898"/>
    <w:rsid w:val="001349E2"/>
    <w:rsid w:val="00134C6A"/>
    <w:rsid w:val="00134E81"/>
    <w:rsid w:val="00134E87"/>
    <w:rsid w:val="00135262"/>
    <w:rsid w:val="0013589B"/>
    <w:rsid w:val="00135A18"/>
    <w:rsid w:val="00135CDE"/>
    <w:rsid w:val="00135D13"/>
    <w:rsid w:val="00136105"/>
    <w:rsid w:val="001361B8"/>
    <w:rsid w:val="001362DF"/>
    <w:rsid w:val="00136666"/>
    <w:rsid w:val="00136C83"/>
    <w:rsid w:val="00136CE3"/>
    <w:rsid w:val="00136D91"/>
    <w:rsid w:val="00136EBF"/>
    <w:rsid w:val="0013722A"/>
    <w:rsid w:val="001374EB"/>
    <w:rsid w:val="0013757A"/>
    <w:rsid w:val="001376E5"/>
    <w:rsid w:val="00137829"/>
    <w:rsid w:val="0013798C"/>
    <w:rsid w:val="0013799D"/>
    <w:rsid w:val="00137B82"/>
    <w:rsid w:val="00137BA5"/>
    <w:rsid w:val="00137F6C"/>
    <w:rsid w:val="00140069"/>
    <w:rsid w:val="0014019B"/>
    <w:rsid w:val="00140207"/>
    <w:rsid w:val="00140262"/>
    <w:rsid w:val="00140291"/>
    <w:rsid w:val="0014049E"/>
    <w:rsid w:val="00140680"/>
    <w:rsid w:val="001406AB"/>
    <w:rsid w:val="00140743"/>
    <w:rsid w:val="001407DE"/>
    <w:rsid w:val="001408BD"/>
    <w:rsid w:val="001408C1"/>
    <w:rsid w:val="0014097B"/>
    <w:rsid w:val="001409C8"/>
    <w:rsid w:val="00140AE9"/>
    <w:rsid w:val="00140B0D"/>
    <w:rsid w:val="00140B99"/>
    <w:rsid w:val="00140EB1"/>
    <w:rsid w:val="00140FAA"/>
    <w:rsid w:val="001413FC"/>
    <w:rsid w:val="001415E7"/>
    <w:rsid w:val="00141636"/>
    <w:rsid w:val="0014163E"/>
    <w:rsid w:val="001418BB"/>
    <w:rsid w:val="00141B97"/>
    <w:rsid w:val="00141D08"/>
    <w:rsid w:val="00141DDF"/>
    <w:rsid w:val="00141F9F"/>
    <w:rsid w:val="001422E5"/>
    <w:rsid w:val="0014246B"/>
    <w:rsid w:val="00142887"/>
    <w:rsid w:val="00142910"/>
    <w:rsid w:val="00142AFE"/>
    <w:rsid w:val="00142C15"/>
    <w:rsid w:val="00142C6C"/>
    <w:rsid w:val="00142DFA"/>
    <w:rsid w:val="00142DFF"/>
    <w:rsid w:val="00142E13"/>
    <w:rsid w:val="001431B2"/>
    <w:rsid w:val="00143397"/>
    <w:rsid w:val="0014351C"/>
    <w:rsid w:val="0014395E"/>
    <w:rsid w:val="001439C8"/>
    <w:rsid w:val="001439D1"/>
    <w:rsid w:val="00143AF9"/>
    <w:rsid w:val="00143B42"/>
    <w:rsid w:val="00143CD8"/>
    <w:rsid w:val="00143D02"/>
    <w:rsid w:val="00144020"/>
    <w:rsid w:val="00144226"/>
    <w:rsid w:val="001443D1"/>
    <w:rsid w:val="001446BD"/>
    <w:rsid w:val="00144714"/>
    <w:rsid w:val="00144766"/>
    <w:rsid w:val="001447E1"/>
    <w:rsid w:val="00144B83"/>
    <w:rsid w:val="00144B87"/>
    <w:rsid w:val="00144D8A"/>
    <w:rsid w:val="00144E27"/>
    <w:rsid w:val="00145231"/>
    <w:rsid w:val="0014567B"/>
    <w:rsid w:val="00145711"/>
    <w:rsid w:val="0014576E"/>
    <w:rsid w:val="001457F6"/>
    <w:rsid w:val="00145927"/>
    <w:rsid w:val="001459D7"/>
    <w:rsid w:val="00145B32"/>
    <w:rsid w:val="00145BB5"/>
    <w:rsid w:val="0014619D"/>
    <w:rsid w:val="001461BE"/>
    <w:rsid w:val="0014653B"/>
    <w:rsid w:val="00146842"/>
    <w:rsid w:val="00146911"/>
    <w:rsid w:val="00146B53"/>
    <w:rsid w:val="00146C0C"/>
    <w:rsid w:val="00146CDE"/>
    <w:rsid w:val="00146EB4"/>
    <w:rsid w:val="00146FA2"/>
    <w:rsid w:val="0014701F"/>
    <w:rsid w:val="001470F1"/>
    <w:rsid w:val="00147119"/>
    <w:rsid w:val="00147349"/>
    <w:rsid w:val="00147424"/>
    <w:rsid w:val="001474AE"/>
    <w:rsid w:val="001474D5"/>
    <w:rsid w:val="00147696"/>
    <w:rsid w:val="00147765"/>
    <w:rsid w:val="00147B75"/>
    <w:rsid w:val="00147B9C"/>
    <w:rsid w:val="00147D00"/>
    <w:rsid w:val="00147EC2"/>
    <w:rsid w:val="0015001F"/>
    <w:rsid w:val="001500DE"/>
    <w:rsid w:val="00150172"/>
    <w:rsid w:val="001501A0"/>
    <w:rsid w:val="001506A5"/>
    <w:rsid w:val="00150759"/>
    <w:rsid w:val="00150808"/>
    <w:rsid w:val="00150AD0"/>
    <w:rsid w:val="00150AE0"/>
    <w:rsid w:val="00150BC2"/>
    <w:rsid w:val="00150C7E"/>
    <w:rsid w:val="00150E51"/>
    <w:rsid w:val="00150F79"/>
    <w:rsid w:val="00150FF1"/>
    <w:rsid w:val="0015123E"/>
    <w:rsid w:val="001513EA"/>
    <w:rsid w:val="00151C40"/>
    <w:rsid w:val="00151D3C"/>
    <w:rsid w:val="00151DB1"/>
    <w:rsid w:val="0015212A"/>
    <w:rsid w:val="00152158"/>
    <w:rsid w:val="001521E0"/>
    <w:rsid w:val="001522A3"/>
    <w:rsid w:val="00152826"/>
    <w:rsid w:val="00152D69"/>
    <w:rsid w:val="00152DA7"/>
    <w:rsid w:val="00152DDA"/>
    <w:rsid w:val="00152F06"/>
    <w:rsid w:val="001531B9"/>
    <w:rsid w:val="00153334"/>
    <w:rsid w:val="001533EE"/>
    <w:rsid w:val="001536AD"/>
    <w:rsid w:val="0015375B"/>
    <w:rsid w:val="001537CD"/>
    <w:rsid w:val="0015388E"/>
    <w:rsid w:val="001538DD"/>
    <w:rsid w:val="001539FF"/>
    <w:rsid w:val="00153EA5"/>
    <w:rsid w:val="00153FD1"/>
    <w:rsid w:val="00153FDB"/>
    <w:rsid w:val="00154181"/>
    <w:rsid w:val="00154189"/>
    <w:rsid w:val="00154190"/>
    <w:rsid w:val="001541A8"/>
    <w:rsid w:val="001544A7"/>
    <w:rsid w:val="001544B9"/>
    <w:rsid w:val="00154503"/>
    <w:rsid w:val="0015452B"/>
    <w:rsid w:val="001547AE"/>
    <w:rsid w:val="00154876"/>
    <w:rsid w:val="00154A6C"/>
    <w:rsid w:val="00154C0E"/>
    <w:rsid w:val="00154C49"/>
    <w:rsid w:val="00154D20"/>
    <w:rsid w:val="00154D7D"/>
    <w:rsid w:val="00154F44"/>
    <w:rsid w:val="001550FE"/>
    <w:rsid w:val="001552D0"/>
    <w:rsid w:val="001556A4"/>
    <w:rsid w:val="00155AE6"/>
    <w:rsid w:val="00155B6F"/>
    <w:rsid w:val="00155EA5"/>
    <w:rsid w:val="001562D7"/>
    <w:rsid w:val="001562D9"/>
    <w:rsid w:val="0015661D"/>
    <w:rsid w:val="0015673C"/>
    <w:rsid w:val="001568CE"/>
    <w:rsid w:val="00156A81"/>
    <w:rsid w:val="00156AF2"/>
    <w:rsid w:val="00156BA3"/>
    <w:rsid w:val="00156C54"/>
    <w:rsid w:val="00156F29"/>
    <w:rsid w:val="00156F4A"/>
    <w:rsid w:val="001570AF"/>
    <w:rsid w:val="001572F3"/>
    <w:rsid w:val="001577C7"/>
    <w:rsid w:val="00157DF5"/>
    <w:rsid w:val="00157E5C"/>
    <w:rsid w:val="00157E61"/>
    <w:rsid w:val="00157E78"/>
    <w:rsid w:val="00160048"/>
    <w:rsid w:val="001601C2"/>
    <w:rsid w:val="0016071A"/>
    <w:rsid w:val="00160D33"/>
    <w:rsid w:val="00160ED7"/>
    <w:rsid w:val="001613D7"/>
    <w:rsid w:val="001614C4"/>
    <w:rsid w:val="00161595"/>
    <w:rsid w:val="001615DD"/>
    <w:rsid w:val="001615E3"/>
    <w:rsid w:val="001619E0"/>
    <w:rsid w:val="00161DEF"/>
    <w:rsid w:val="00161E60"/>
    <w:rsid w:val="00162834"/>
    <w:rsid w:val="00162B86"/>
    <w:rsid w:val="00162BC5"/>
    <w:rsid w:val="00162E29"/>
    <w:rsid w:val="00162E62"/>
    <w:rsid w:val="00162FAA"/>
    <w:rsid w:val="0016301C"/>
    <w:rsid w:val="0016306B"/>
    <w:rsid w:val="0016310E"/>
    <w:rsid w:val="0016314C"/>
    <w:rsid w:val="0016334C"/>
    <w:rsid w:val="001634AF"/>
    <w:rsid w:val="00163536"/>
    <w:rsid w:val="0016353B"/>
    <w:rsid w:val="001635A6"/>
    <w:rsid w:val="001636E6"/>
    <w:rsid w:val="00163B0A"/>
    <w:rsid w:val="00163C88"/>
    <w:rsid w:val="00163E14"/>
    <w:rsid w:val="00163E9C"/>
    <w:rsid w:val="00164055"/>
    <w:rsid w:val="00164307"/>
    <w:rsid w:val="00164B11"/>
    <w:rsid w:val="00164B4C"/>
    <w:rsid w:val="00164D40"/>
    <w:rsid w:val="00164DFD"/>
    <w:rsid w:val="00164EDB"/>
    <w:rsid w:val="0016502A"/>
    <w:rsid w:val="0016509E"/>
    <w:rsid w:val="0016513B"/>
    <w:rsid w:val="00165678"/>
    <w:rsid w:val="001656D0"/>
    <w:rsid w:val="00165754"/>
    <w:rsid w:val="0016579F"/>
    <w:rsid w:val="001657E8"/>
    <w:rsid w:val="001658FA"/>
    <w:rsid w:val="00165D74"/>
    <w:rsid w:val="00165EC2"/>
    <w:rsid w:val="00165F0F"/>
    <w:rsid w:val="00165FF4"/>
    <w:rsid w:val="001664DC"/>
    <w:rsid w:val="00166933"/>
    <w:rsid w:val="00166B17"/>
    <w:rsid w:val="00166BC9"/>
    <w:rsid w:val="00166E4A"/>
    <w:rsid w:val="00166FEF"/>
    <w:rsid w:val="0016725A"/>
    <w:rsid w:val="00167413"/>
    <w:rsid w:val="0016741F"/>
    <w:rsid w:val="001676F4"/>
    <w:rsid w:val="00167865"/>
    <w:rsid w:val="00167922"/>
    <w:rsid w:val="00167CC9"/>
    <w:rsid w:val="00167F09"/>
    <w:rsid w:val="00167FFE"/>
    <w:rsid w:val="0017019A"/>
    <w:rsid w:val="001702D5"/>
    <w:rsid w:val="001705CC"/>
    <w:rsid w:val="0017064B"/>
    <w:rsid w:val="00170713"/>
    <w:rsid w:val="0017078A"/>
    <w:rsid w:val="00170984"/>
    <w:rsid w:val="0017099D"/>
    <w:rsid w:val="00170F85"/>
    <w:rsid w:val="00170FFC"/>
    <w:rsid w:val="00171066"/>
    <w:rsid w:val="001710A6"/>
    <w:rsid w:val="00171185"/>
    <w:rsid w:val="00171329"/>
    <w:rsid w:val="00171513"/>
    <w:rsid w:val="001715D8"/>
    <w:rsid w:val="00171F18"/>
    <w:rsid w:val="00171FD1"/>
    <w:rsid w:val="00172031"/>
    <w:rsid w:val="001722C7"/>
    <w:rsid w:val="001723FF"/>
    <w:rsid w:val="001729E3"/>
    <w:rsid w:val="00172B8D"/>
    <w:rsid w:val="00172DA4"/>
    <w:rsid w:val="00172EF0"/>
    <w:rsid w:val="00173171"/>
    <w:rsid w:val="00173239"/>
    <w:rsid w:val="00173410"/>
    <w:rsid w:val="001735CF"/>
    <w:rsid w:val="0017365D"/>
    <w:rsid w:val="00173802"/>
    <w:rsid w:val="00173874"/>
    <w:rsid w:val="001739AE"/>
    <w:rsid w:val="00173F66"/>
    <w:rsid w:val="00173F6E"/>
    <w:rsid w:val="0017403E"/>
    <w:rsid w:val="0017418C"/>
    <w:rsid w:val="001742C6"/>
    <w:rsid w:val="001743D8"/>
    <w:rsid w:val="001746EE"/>
    <w:rsid w:val="00174849"/>
    <w:rsid w:val="0017484F"/>
    <w:rsid w:val="00174867"/>
    <w:rsid w:val="001748A0"/>
    <w:rsid w:val="001748EB"/>
    <w:rsid w:val="00174EB3"/>
    <w:rsid w:val="00174EFD"/>
    <w:rsid w:val="001756B6"/>
    <w:rsid w:val="0017570D"/>
    <w:rsid w:val="00175826"/>
    <w:rsid w:val="001758F7"/>
    <w:rsid w:val="0017593D"/>
    <w:rsid w:val="00175B81"/>
    <w:rsid w:val="00175BF3"/>
    <w:rsid w:val="00175C26"/>
    <w:rsid w:val="00175E2D"/>
    <w:rsid w:val="00175E56"/>
    <w:rsid w:val="001761D1"/>
    <w:rsid w:val="00176238"/>
    <w:rsid w:val="00176368"/>
    <w:rsid w:val="001763C0"/>
    <w:rsid w:val="00176560"/>
    <w:rsid w:val="00176586"/>
    <w:rsid w:val="00176922"/>
    <w:rsid w:val="00176A24"/>
    <w:rsid w:val="00176BD2"/>
    <w:rsid w:val="00176C0B"/>
    <w:rsid w:val="00176D1A"/>
    <w:rsid w:val="00176DBD"/>
    <w:rsid w:val="00176DF9"/>
    <w:rsid w:val="0017703E"/>
    <w:rsid w:val="0017720A"/>
    <w:rsid w:val="0017736B"/>
    <w:rsid w:val="00177415"/>
    <w:rsid w:val="0017754D"/>
    <w:rsid w:val="00177772"/>
    <w:rsid w:val="001777BF"/>
    <w:rsid w:val="00177AC3"/>
    <w:rsid w:val="00177B82"/>
    <w:rsid w:val="00177BE0"/>
    <w:rsid w:val="001801AC"/>
    <w:rsid w:val="00180234"/>
    <w:rsid w:val="001805FE"/>
    <w:rsid w:val="00180669"/>
    <w:rsid w:val="00180A74"/>
    <w:rsid w:val="00180A78"/>
    <w:rsid w:val="00180CE8"/>
    <w:rsid w:val="00181044"/>
    <w:rsid w:val="001810F5"/>
    <w:rsid w:val="001811ED"/>
    <w:rsid w:val="0018138B"/>
    <w:rsid w:val="0018157F"/>
    <w:rsid w:val="001819EB"/>
    <w:rsid w:val="00181A7A"/>
    <w:rsid w:val="00181CCE"/>
    <w:rsid w:val="00181EFE"/>
    <w:rsid w:val="00182011"/>
    <w:rsid w:val="0018237F"/>
    <w:rsid w:val="00182445"/>
    <w:rsid w:val="00182759"/>
    <w:rsid w:val="0018296A"/>
    <w:rsid w:val="00182986"/>
    <w:rsid w:val="00182C13"/>
    <w:rsid w:val="00182CF6"/>
    <w:rsid w:val="00182EF4"/>
    <w:rsid w:val="00183265"/>
    <w:rsid w:val="001834A8"/>
    <w:rsid w:val="00183559"/>
    <w:rsid w:val="00183605"/>
    <w:rsid w:val="00183734"/>
    <w:rsid w:val="001837D7"/>
    <w:rsid w:val="00183B52"/>
    <w:rsid w:val="00183BF3"/>
    <w:rsid w:val="00183DC3"/>
    <w:rsid w:val="00183E1E"/>
    <w:rsid w:val="00183F0D"/>
    <w:rsid w:val="0018400C"/>
    <w:rsid w:val="001845B8"/>
    <w:rsid w:val="001848D0"/>
    <w:rsid w:val="00184946"/>
    <w:rsid w:val="00184BBF"/>
    <w:rsid w:val="00184CB0"/>
    <w:rsid w:val="00184D61"/>
    <w:rsid w:val="00184D8A"/>
    <w:rsid w:val="00184FBA"/>
    <w:rsid w:val="00184FE9"/>
    <w:rsid w:val="00185004"/>
    <w:rsid w:val="00185055"/>
    <w:rsid w:val="001855D0"/>
    <w:rsid w:val="001856A2"/>
    <w:rsid w:val="00185929"/>
    <w:rsid w:val="0018593D"/>
    <w:rsid w:val="00185D75"/>
    <w:rsid w:val="00185F4B"/>
    <w:rsid w:val="0018600C"/>
    <w:rsid w:val="0018616D"/>
    <w:rsid w:val="001862CC"/>
    <w:rsid w:val="001865F4"/>
    <w:rsid w:val="001868CC"/>
    <w:rsid w:val="00186B52"/>
    <w:rsid w:val="00186ECA"/>
    <w:rsid w:val="00186EE2"/>
    <w:rsid w:val="00186F43"/>
    <w:rsid w:val="00187062"/>
    <w:rsid w:val="00187350"/>
    <w:rsid w:val="00187485"/>
    <w:rsid w:val="001874A7"/>
    <w:rsid w:val="0018753E"/>
    <w:rsid w:val="001875CC"/>
    <w:rsid w:val="00187860"/>
    <w:rsid w:val="00187910"/>
    <w:rsid w:val="00187A24"/>
    <w:rsid w:val="00187A7D"/>
    <w:rsid w:val="00187BE3"/>
    <w:rsid w:val="00187C4B"/>
    <w:rsid w:val="00187D60"/>
    <w:rsid w:val="00187FD7"/>
    <w:rsid w:val="00190073"/>
    <w:rsid w:val="00190242"/>
    <w:rsid w:val="0019095F"/>
    <w:rsid w:val="00190D5D"/>
    <w:rsid w:val="00190DE9"/>
    <w:rsid w:val="001910A1"/>
    <w:rsid w:val="001911C7"/>
    <w:rsid w:val="001911F6"/>
    <w:rsid w:val="0019138F"/>
    <w:rsid w:val="00191428"/>
    <w:rsid w:val="00191688"/>
    <w:rsid w:val="001916BD"/>
    <w:rsid w:val="0019179F"/>
    <w:rsid w:val="00191918"/>
    <w:rsid w:val="0019194F"/>
    <w:rsid w:val="00191CE9"/>
    <w:rsid w:val="00191D9C"/>
    <w:rsid w:val="00192062"/>
    <w:rsid w:val="00192333"/>
    <w:rsid w:val="00192340"/>
    <w:rsid w:val="00192396"/>
    <w:rsid w:val="001924D8"/>
    <w:rsid w:val="00192793"/>
    <w:rsid w:val="001929A8"/>
    <w:rsid w:val="00192C45"/>
    <w:rsid w:val="00192F4B"/>
    <w:rsid w:val="00192FEF"/>
    <w:rsid w:val="001931C0"/>
    <w:rsid w:val="001932CF"/>
    <w:rsid w:val="001934E4"/>
    <w:rsid w:val="001936C4"/>
    <w:rsid w:val="0019376C"/>
    <w:rsid w:val="00193A1E"/>
    <w:rsid w:val="00193BEE"/>
    <w:rsid w:val="00193EC5"/>
    <w:rsid w:val="00193F29"/>
    <w:rsid w:val="001942B8"/>
    <w:rsid w:val="001942F4"/>
    <w:rsid w:val="00194471"/>
    <w:rsid w:val="0019460B"/>
    <w:rsid w:val="0019487B"/>
    <w:rsid w:val="00194C55"/>
    <w:rsid w:val="00194CF5"/>
    <w:rsid w:val="00194F8C"/>
    <w:rsid w:val="0019501E"/>
    <w:rsid w:val="0019502C"/>
    <w:rsid w:val="00195088"/>
    <w:rsid w:val="001952E8"/>
    <w:rsid w:val="001953A7"/>
    <w:rsid w:val="001957E7"/>
    <w:rsid w:val="001959CD"/>
    <w:rsid w:val="00195B3C"/>
    <w:rsid w:val="00195B5B"/>
    <w:rsid w:val="00195D5D"/>
    <w:rsid w:val="00195EAE"/>
    <w:rsid w:val="00196016"/>
    <w:rsid w:val="00196165"/>
    <w:rsid w:val="00196393"/>
    <w:rsid w:val="001965B5"/>
    <w:rsid w:val="00196667"/>
    <w:rsid w:val="001966C9"/>
    <w:rsid w:val="0019679E"/>
    <w:rsid w:val="001969DE"/>
    <w:rsid w:val="001969E2"/>
    <w:rsid w:val="00196AD7"/>
    <w:rsid w:val="00196B14"/>
    <w:rsid w:val="00196BF1"/>
    <w:rsid w:val="00196C4B"/>
    <w:rsid w:val="00196FC2"/>
    <w:rsid w:val="00196FEE"/>
    <w:rsid w:val="00197033"/>
    <w:rsid w:val="0019725F"/>
    <w:rsid w:val="00197366"/>
    <w:rsid w:val="00197680"/>
    <w:rsid w:val="00197717"/>
    <w:rsid w:val="001977C0"/>
    <w:rsid w:val="00197BD2"/>
    <w:rsid w:val="00197CBF"/>
    <w:rsid w:val="00197E93"/>
    <w:rsid w:val="00197F7F"/>
    <w:rsid w:val="001A016B"/>
    <w:rsid w:val="001A0348"/>
    <w:rsid w:val="001A0586"/>
    <w:rsid w:val="001A0588"/>
    <w:rsid w:val="001A0616"/>
    <w:rsid w:val="001A0827"/>
    <w:rsid w:val="001A09B1"/>
    <w:rsid w:val="001A0BF2"/>
    <w:rsid w:val="001A0C92"/>
    <w:rsid w:val="001A0CBB"/>
    <w:rsid w:val="001A0E20"/>
    <w:rsid w:val="001A0EF8"/>
    <w:rsid w:val="001A1218"/>
    <w:rsid w:val="001A13E9"/>
    <w:rsid w:val="001A150E"/>
    <w:rsid w:val="001A17B5"/>
    <w:rsid w:val="001A18D2"/>
    <w:rsid w:val="001A1CA8"/>
    <w:rsid w:val="001A1CC8"/>
    <w:rsid w:val="001A20CF"/>
    <w:rsid w:val="001A245B"/>
    <w:rsid w:val="001A25AC"/>
    <w:rsid w:val="001A2A45"/>
    <w:rsid w:val="001A2B15"/>
    <w:rsid w:val="001A2D5A"/>
    <w:rsid w:val="001A2D63"/>
    <w:rsid w:val="001A3765"/>
    <w:rsid w:val="001A37A6"/>
    <w:rsid w:val="001A38C7"/>
    <w:rsid w:val="001A3A3C"/>
    <w:rsid w:val="001A3CD5"/>
    <w:rsid w:val="001A3CF5"/>
    <w:rsid w:val="001A40A7"/>
    <w:rsid w:val="001A4197"/>
    <w:rsid w:val="001A43BD"/>
    <w:rsid w:val="001A45A0"/>
    <w:rsid w:val="001A465A"/>
    <w:rsid w:val="001A4A89"/>
    <w:rsid w:val="001A4BB8"/>
    <w:rsid w:val="001A4CD0"/>
    <w:rsid w:val="001A50A5"/>
    <w:rsid w:val="001A548E"/>
    <w:rsid w:val="001A5625"/>
    <w:rsid w:val="001A5E71"/>
    <w:rsid w:val="001A5F4B"/>
    <w:rsid w:val="001A62CC"/>
    <w:rsid w:val="001A63FD"/>
    <w:rsid w:val="001A6502"/>
    <w:rsid w:val="001A65FF"/>
    <w:rsid w:val="001A670A"/>
    <w:rsid w:val="001A6B62"/>
    <w:rsid w:val="001A6E1A"/>
    <w:rsid w:val="001A70B6"/>
    <w:rsid w:val="001A7316"/>
    <w:rsid w:val="001A7616"/>
    <w:rsid w:val="001A788D"/>
    <w:rsid w:val="001A7B61"/>
    <w:rsid w:val="001A7F0C"/>
    <w:rsid w:val="001B025E"/>
    <w:rsid w:val="001B0693"/>
    <w:rsid w:val="001B0706"/>
    <w:rsid w:val="001B0770"/>
    <w:rsid w:val="001B07BE"/>
    <w:rsid w:val="001B0807"/>
    <w:rsid w:val="001B0BF0"/>
    <w:rsid w:val="001B0D36"/>
    <w:rsid w:val="001B0F9E"/>
    <w:rsid w:val="001B101F"/>
    <w:rsid w:val="001B136D"/>
    <w:rsid w:val="001B1442"/>
    <w:rsid w:val="001B1470"/>
    <w:rsid w:val="001B162E"/>
    <w:rsid w:val="001B1C97"/>
    <w:rsid w:val="001B1F30"/>
    <w:rsid w:val="001B205C"/>
    <w:rsid w:val="001B2547"/>
    <w:rsid w:val="001B270E"/>
    <w:rsid w:val="001B273A"/>
    <w:rsid w:val="001B2BCC"/>
    <w:rsid w:val="001B2C6B"/>
    <w:rsid w:val="001B2E0D"/>
    <w:rsid w:val="001B2E13"/>
    <w:rsid w:val="001B33B6"/>
    <w:rsid w:val="001B36B4"/>
    <w:rsid w:val="001B379E"/>
    <w:rsid w:val="001B38B7"/>
    <w:rsid w:val="001B39AE"/>
    <w:rsid w:val="001B3AA9"/>
    <w:rsid w:val="001B3BDA"/>
    <w:rsid w:val="001B3C1A"/>
    <w:rsid w:val="001B3E86"/>
    <w:rsid w:val="001B3ED2"/>
    <w:rsid w:val="001B3F7F"/>
    <w:rsid w:val="001B405E"/>
    <w:rsid w:val="001B411F"/>
    <w:rsid w:val="001B415F"/>
    <w:rsid w:val="001B42E9"/>
    <w:rsid w:val="001B45D8"/>
    <w:rsid w:val="001B4653"/>
    <w:rsid w:val="001B48A0"/>
    <w:rsid w:val="001B48DD"/>
    <w:rsid w:val="001B4A22"/>
    <w:rsid w:val="001B4A40"/>
    <w:rsid w:val="001B4D9C"/>
    <w:rsid w:val="001B53E0"/>
    <w:rsid w:val="001B5640"/>
    <w:rsid w:val="001B5642"/>
    <w:rsid w:val="001B58BC"/>
    <w:rsid w:val="001B5925"/>
    <w:rsid w:val="001B5A52"/>
    <w:rsid w:val="001B5B4C"/>
    <w:rsid w:val="001B5BC6"/>
    <w:rsid w:val="001B5BE2"/>
    <w:rsid w:val="001B5D0A"/>
    <w:rsid w:val="001B5E7A"/>
    <w:rsid w:val="001B659B"/>
    <w:rsid w:val="001B6732"/>
    <w:rsid w:val="001B6912"/>
    <w:rsid w:val="001B6984"/>
    <w:rsid w:val="001B6E7C"/>
    <w:rsid w:val="001B6E9E"/>
    <w:rsid w:val="001B6F52"/>
    <w:rsid w:val="001B7361"/>
    <w:rsid w:val="001B758A"/>
    <w:rsid w:val="001B7692"/>
    <w:rsid w:val="001B7723"/>
    <w:rsid w:val="001B7979"/>
    <w:rsid w:val="001B79BB"/>
    <w:rsid w:val="001B7B9F"/>
    <w:rsid w:val="001B7BC7"/>
    <w:rsid w:val="001B7C20"/>
    <w:rsid w:val="001B7C5F"/>
    <w:rsid w:val="001B7CE0"/>
    <w:rsid w:val="001B7CF0"/>
    <w:rsid w:val="001B7FBD"/>
    <w:rsid w:val="001C03D1"/>
    <w:rsid w:val="001C0512"/>
    <w:rsid w:val="001C09E6"/>
    <w:rsid w:val="001C0AC9"/>
    <w:rsid w:val="001C0ECA"/>
    <w:rsid w:val="001C1341"/>
    <w:rsid w:val="001C136A"/>
    <w:rsid w:val="001C1735"/>
    <w:rsid w:val="001C1769"/>
    <w:rsid w:val="001C1C28"/>
    <w:rsid w:val="001C1CCD"/>
    <w:rsid w:val="001C1D07"/>
    <w:rsid w:val="001C2125"/>
    <w:rsid w:val="001C21A0"/>
    <w:rsid w:val="001C2301"/>
    <w:rsid w:val="001C2359"/>
    <w:rsid w:val="001C247E"/>
    <w:rsid w:val="001C24BB"/>
    <w:rsid w:val="001C2909"/>
    <w:rsid w:val="001C2A75"/>
    <w:rsid w:val="001C2AAB"/>
    <w:rsid w:val="001C2ADE"/>
    <w:rsid w:val="001C2B42"/>
    <w:rsid w:val="001C34CE"/>
    <w:rsid w:val="001C3683"/>
    <w:rsid w:val="001C37E7"/>
    <w:rsid w:val="001C393A"/>
    <w:rsid w:val="001C3AE1"/>
    <w:rsid w:val="001C3C3B"/>
    <w:rsid w:val="001C3CD4"/>
    <w:rsid w:val="001C3EA1"/>
    <w:rsid w:val="001C3F1A"/>
    <w:rsid w:val="001C4284"/>
    <w:rsid w:val="001C4299"/>
    <w:rsid w:val="001C43F5"/>
    <w:rsid w:val="001C44D3"/>
    <w:rsid w:val="001C463E"/>
    <w:rsid w:val="001C464C"/>
    <w:rsid w:val="001C47DE"/>
    <w:rsid w:val="001C49E0"/>
    <w:rsid w:val="001C4E0A"/>
    <w:rsid w:val="001C5204"/>
    <w:rsid w:val="001C5239"/>
    <w:rsid w:val="001C5429"/>
    <w:rsid w:val="001C5501"/>
    <w:rsid w:val="001C5633"/>
    <w:rsid w:val="001C58FF"/>
    <w:rsid w:val="001C591F"/>
    <w:rsid w:val="001C595F"/>
    <w:rsid w:val="001C5CF6"/>
    <w:rsid w:val="001C5D93"/>
    <w:rsid w:val="001C61E1"/>
    <w:rsid w:val="001C63D2"/>
    <w:rsid w:val="001C6484"/>
    <w:rsid w:val="001C6526"/>
    <w:rsid w:val="001C67CC"/>
    <w:rsid w:val="001C69D7"/>
    <w:rsid w:val="001C6A33"/>
    <w:rsid w:val="001C6A87"/>
    <w:rsid w:val="001C6E3A"/>
    <w:rsid w:val="001C7078"/>
    <w:rsid w:val="001C709B"/>
    <w:rsid w:val="001C7118"/>
    <w:rsid w:val="001C71B1"/>
    <w:rsid w:val="001C7326"/>
    <w:rsid w:val="001C75EC"/>
    <w:rsid w:val="001C7668"/>
    <w:rsid w:val="001C780F"/>
    <w:rsid w:val="001C7813"/>
    <w:rsid w:val="001C78E4"/>
    <w:rsid w:val="001C7B17"/>
    <w:rsid w:val="001C7F51"/>
    <w:rsid w:val="001D02CF"/>
    <w:rsid w:val="001D12DC"/>
    <w:rsid w:val="001D1390"/>
    <w:rsid w:val="001D15D4"/>
    <w:rsid w:val="001D1792"/>
    <w:rsid w:val="001D17AD"/>
    <w:rsid w:val="001D1DBF"/>
    <w:rsid w:val="001D221F"/>
    <w:rsid w:val="001D237D"/>
    <w:rsid w:val="001D2509"/>
    <w:rsid w:val="001D25DA"/>
    <w:rsid w:val="001D25DB"/>
    <w:rsid w:val="001D2644"/>
    <w:rsid w:val="001D2C97"/>
    <w:rsid w:val="001D2DA8"/>
    <w:rsid w:val="001D3116"/>
    <w:rsid w:val="001D347F"/>
    <w:rsid w:val="001D34C7"/>
    <w:rsid w:val="001D35B6"/>
    <w:rsid w:val="001D37B5"/>
    <w:rsid w:val="001D3902"/>
    <w:rsid w:val="001D3B9E"/>
    <w:rsid w:val="001D3E47"/>
    <w:rsid w:val="001D3E83"/>
    <w:rsid w:val="001D3F6F"/>
    <w:rsid w:val="001D3F96"/>
    <w:rsid w:val="001D4141"/>
    <w:rsid w:val="001D4225"/>
    <w:rsid w:val="001D4303"/>
    <w:rsid w:val="001D4452"/>
    <w:rsid w:val="001D4664"/>
    <w:rsid w:val="001D46CD"/>
    <w:rsid w:val="001D4A29"/>
    <w:rsid w:val="001D4E6E"/>
    <w:rsid w:val="001D4F9A"/>
    <w:rsid w:val="001D5114"/>
    <w:rsid w:val="001D54EE"/>
    <w:rsid w:val="001D55F2"/>
    <w:rsid w:val="001D572C"/>
    <w:rsid w:val="001D576D"/>
    <w:rsid w:val="001D5C0F"/>
    <w:rsid w:val="001D5F7D"/>
    <w:rsid w:val="001D5FA6"/>
    <w:rsid w:val="001D6325"/>
    <w:rsid w:val="001D6368"/>
    <w:rsid w:val="001D6393"/>
    <w:rsid w:val="001D6465"/>
    <w:rsid w:val="001D6553"/>
    <w:rsid w:val="001D65FF"/>
    <w:rsid w:val="001D67EF"/>
    <w:rsid w:val="001D686B"/>
    <w:rsid w:val="001D687D"/>
    <w:rsid w:val="001D68CD"/>
    <w:rsid w:val="001D6992"/>
    <w:rsid w:val="001D69B7"/>
    <w:rsid w:val="001D69FE"/>
    <w:rsid w:val="001D6AE8"/>
    <w:rsid w:val="001D6CF1"/>
    <w:rsid w:val="001D6CFC"/>
    <w:rsid w:val="001D6D1D"/>
    <w:rsid w:val="001D70F5"/>
    <w:rsid w:val="001D729D"/>
    <w:rsid w:val="001D74DB"/>
    <w:rsid w:val="001D7632"/>
    <w:rsid w:val="001D7673"/>
    <w:rsid w:val="001D7738"/>
    <w:rsid w:val="001D77C4"/>
    <w:rsid w:val="001D797E"/>
    <w:rsid w:val="001D79AB"/>
    <w:rsid w:val="001D7AED"/>
    <w:rsid w:val="001E0042"/>
    <w:rsid w:val="001E00AD"/>
    <w:rsid w:val="001E0190"/>
    <w:rsid w:val="001E0314"/>
    <w:rsid w:val="001E0734"/>
    <w:rsid w:val="001E0777"/>
    <w:rsid w:val="001E0ACF"/>
    <w:rsid w:val="001E0ADE"/>
    <w:rsid w:val="001E0D25"/>
    <w:rsid w:val="001E0E7E"/>
    <w:rsid w:val="001E1098"/>
    <w:rsid w:val="001E10C8"/>
    <w:rsid w:val="001E1592"/>
    <w:rsid w:val="001E16A6"/>
    <w:rsid w:val="001E1771"/>
    <w:rsid w:val="001E1ACC"/>
    <w:rsid w:val="001E1E96"/>
    <w:rsid w:val="001E2103"/>
    <w:rsid w:val="001E24D4"/>
    <w:rsid w:val="001E25C4"/>
    <w:rsid w:val="001E261D"/>
    <w:rsid w:val="001E26D3"/>
    <w:rsid w:val="001E2CED"/>
    <w:rsid w:val="001E2D0F"/>
    <w:rsid w:val="001E2D10"/>
    <w:rsid w:val="001E2E6F"/>
    <w:rsid w:val="001E2F64"/>
    <w:rsid w:val="001E3191"/>
    <w:rsid w:val="001E3511"/>
    <w:rsid w:val="001E3642"/>
    <w:rsid w:val="001E388E"/>
    <w:rsid w:val="001E3899"/>
    <w:rsid w:val="001E3A67"/>
    <w:rsid w:val="001E3B3D"/>
    <w:rsid w:val="001E3DBD"/>
    <w:rsid w:val="001E4198"/>
    <w:rsid w:val="001E450B"/>
    <w:rsid w:val="001E4751"/>
    <w:rsid w:val="001E4814"/>
    <w:rsid w:val="001E4938"/>
    <w:rsid w:val="001E496E"/>
    <w:rsid w:val="001E4B42"/>
    <w:rsid w:val="001E4CD8"/>
    <w:rsid w:val="001E4D39"/>
    <w:rsid w:val="001E4D70"/>
    <w:rsid w:val="001E4FB6"/>
    <w:rsid w:val="001E517A"/>
    <w:rsid w:val="001E51C8"/>
    <w:rsid w:val="001E51EA"/>
    <w:rsid w:val="001E5273"/>
    <w:rsid w:val="001E53A9"/>
    <w:rsid w:val="001E55D5"/>
    <w:rsid w:val="001E5635"/>
    <w:rsid w:val="001E589C"/>
    <w:rsid w:val="001E5BBA"/>
    <w:rsid w:val="001E5E0A"/>
    <w:rsid w:val="001E5F98"/>
    <w:rsid w:val="001E60D9"/>
    <w:rsid w:val="001E6493"/>
    <w:rsid w:val="001E68D8"/>
    <w:rsid w:val="001E68FD"/>
    <w:rsid w:val="001E6920"/>
    <w:rsid w:val="001E693A"/>
    <w:rsid w:val="001E69A5"/>
    <w:rsid w:val="001E6A7C"/>
    <w:rsid w:val="001E6E05"/>
    <w:rsid w:val="001E6EC8"/>
    <w:rsid w:val="001E733F"/>
    <w:rsid w:val="001E7395"/>
    <w:rsid w:val="001E75A0"/>
    <w:rsid w:val="001E75A7"/>
    <w:rsid w:val="001E76DD"/>
    <w:rsid w:val="001E778E"/>
    <w:rsid w:val="001E7905"/>
    <w:rsid w:val="001E7933"/>
    <w:rsid w:val="001E7A5C"/>
    <w:rsid w:val="001E7DD8"/>
    <w:rsid w:val="001F005D"/>
    <w:rsid w:val="001F0190"/>
    <w:rsid w:val="001F0858"/>
    <w:rsid w:val="001F0883"/>
    <w:rsid w:val="001F08A4"/>
    <w:rsid w:val="001F0A0A"/>
    <w:rsid w:val="001F0A1D"/>
    <w:rsid w:val="001F0AF8"/>
    <w:rsid w:val="001F0B61"/>
    <w:rsid w:val="001F0CE3"/>
    <w:rsid w:val="001F0DCF"/>
    <w:rsid w:val="001F1193"/>
    <w:rsid w:val="001F11E2"/>
    <w:rsid w:val="001F13AE"/>
    <w:rsid w:val="001F141F"/>
    <w:rsid w:val="001F14F2"/>
    <w:rsid w:val="001F1BAB"/>
    <w:rsid w:val="001F1C4E"/>
    <w:rsid w:val="001F1CE7"/>
    <w:rsid w:val="001F1EEE"/>
    <w:rsid w:val="001F1F4B"/>
    <w:rsid w:val="001F203C"/>
    <w:rsid w:val="001F2108"/>
    <w:rsid w:val="001F23A3"/>
    <w:rsid w:val="001F276A"/>
    <w:rsid w:val="001F28C2"/>
    <w:rsid w:val="001F29F6"/>
    <w:rsid w:val="001F2A4D"/>
    <w:rsid w:val="001F2AF1"/>
    <w:rsid w:val="001F2BD3"/>
    <w:rsid w:val="001F2DAE"/>
    <w:rsid w:val="001F2DC6"/>
    <w:rsid w:val="001F2EA1"/>
    <w:rsid w:val="001F337E"/>
    <w:rsid w:val="001F353A"/>
    <w:rsid w:val="001F3603"/>
    <w:rsid w:val="001F386B"/>
    <w:rsid w:val="001F3B3D"/>
    <w:rsid w:val="001F3D89"/>
    <w:rsid w:val="001F4052"/>
    <w:rsid w:val="001F410D"/>
    <w:rsid w:val="001F4435"/>
    <w:rsid w:val="001F4497"/>
    <w:rsid w:val="001F455C"/>
    <w:rsid w:val="001F46F5"/>
    <w:rsid w:val="001F4731"/>
    <w:rsid w:val="001F4FA9"/>
    <w:rsid w:val="001F5029"/>
    <w:rsid w:val="001F513B"/>
    <w:rsid w:val="001F548A"/>
    <w:rsid w:val="001F552F"/>
    <w:rsid w:val="001F579C"/>
    <w:rsid w:val="001F58E7"/>
    <w:rsid w:val="001F5940"/>
    <w:rsid w:val="001F5C40"/>
    <w:rsid w:val="001F5D92"/>
    <w:rsid w:val="001F5EDD"/>
    <w:rsid w:val="001F5F13"/>
    <w:rsid w:val="001F626C"/>
    <w:rsid w:val="001F6511"/>
    <w:rsid w:val="001F668A"/>
    <w:rsid w:val="001F6AB6"/>
    <w:rsid w:val="001F6D64"/>
    <w:rsid w:val="001F6DB4"/>
    <w:rsid w:val="001F7074"/>
    <w:rsid w:val="001F765B"/>
    <w:rsid w:val="001F770A"/>
    <w:rsid w:val="001F7BE2"/>
    <w:rsid w:val="001F7C33"/>
    <w:rsid w:val="001F7C7D"/>
    <w:rsid w:val="00200013"/>
    <w:rsid w:val="0020039C"/>
    <w:rsid w:val="002007A5"/>
    <w:rsid w:val="00200995"/>
    <w:rsid w:val="00200A9D"/>
    <w:rsid w:val="00200B2E"/>
    <w:rsid w:val="00200B5F"/>
    <w:rsid w:val="00200F3A"/>
    <w:rsid w:val="00201162"/>
    <w:rsid w:val="00201324"/>
    <w:rsid w:val="002017D2"/>
    <w:rsid w:val="002017EA"/>
    <w:rsid w:val="00201841"/>
    <w:rsid w:val="0020194C"/>
    <w:rsid w:val="00201B56"/>
    <w:rsid w:val="00201B5A"/>
    <w:rsid w:val="00201DBE"/>
    <w:rsid w:val="0020205B"/>
    <w:rsid w:val="0020215C"/>
    <w:rsid w:val="002026A2"/>
    <w:rsid w:val="00202758"/>
    <w:rsid w:val="0020278D"/>
    <w:rsid w:val="002029E4"/>
    <w:rsid w:val="00202AB6"/>
    <w:rsid w:val="00202B14"/>
    <w:rsid w:val="00202C45"/>
    <w:rsid w:val="00202C53"/>
    <w:rsid w:val="00202E4A"/>
    <w:rsid w:val="00202FFB"/>
    <w:rsid w:val="00203011"/>
    <w:rsid w:val="002031FC"/>
    <w:rsid w:val="0020332E"/>
    <w:rsid w:val="00203733"/>
    <w:rsid w:val="0020390A"/>
    <w:rsid w:val="00203A4C"/>
    <w:rsid w:val="00203DDB"/>
    <w:rsid w:val="00203ECB"/>
    <w:rsid w:val="00203F16"/>
    <w:rsid w:val="0020402B"/>
    <w:rsid w:val="002041DB"/>
    <w:rsid w:val="00204208"/>
    <w:rsid w:val="00204306"/>
    <w:rsid w:val="002044EA"/>
    <w:rsid w:val="0020460C"/>
    <w:rsid w:val="0020466A"/>
    <w:rsid w:val="0020491F"/>
    <w:rsid w:val="00204B1D"/>
    <w:rsid w:val="00204DA9"/>
    <w:rsid w:val="00205116"/>
    <w:rsid w:val="00205306"/>
    <w:rsid w:val="00205535"/>
    <w:rsid w:val="00205553"/>
    <w:rsid w:val="00205654"/>
    <w:rsid w:val="002057D9"/>
    <w:rsid w:val="0020587F"/>
    <w:rsid w:val="00205984"/>
    <w:rsid w:val="002059C8"/>
    <w:rsid w:val="002059CB"/>
    <w:rsid w:val="00205C19"/>
    <w:rsid w:val="00206005"/>
    <w:rsid w:val="00206928"/>
    <w:rsid w:val="002069CC"/>
    <w:rsid w:val="00206B40"/>
    <w:rsid w:val="00206C16"/>
    <w:rsid w:val="00206E6B"/>
    <w:rsid w:val="00206E82"/>
    <w:rsid w:val="00206F64"/>
    <w:rsid w:val="0020707D"/>
    <w:rsid w:val="0020726F"/>
    <w:rsid w:val="002073CA"/>
    <w:rsid w:val="00207662"/>
    <w:rsid w:val="0020767E"/>
    <w:rsid w:val="002076FD"/>
    <w:rsid w:val="0020775A"/>
    <w:rsid w:val="0020777E"/>
    <w:rsid w:val="0020778C"/>
    <w:rsid w:val="002077E0"/>
    <w:rsid w:val="0020798F"/>
    <w:rsid w:val="002079B6"/>
    <w:rsid w:val="002079D0"/>
    <w:rsid w:val="00207CF8"/>
    <w:rsid w:val="00207D4E"/>
    <w:rsid w:val="00207ED2"/>
    <w:rsid w:val="00210443"/>
    <w:rsid w:val="00210464"/>
    <w:rsid w:val="002104A5"/>
    <w:rsid w:val="002104FF"/>
    <w:rsid w:val="00210A44"/>
    <w:rsid w:val="00210D74"/>
    <w:rsid w:val="00211046"/>
    <w:rsid w:val="002112B2"/>
    <w:rsid w:val="002117B6"/>
    <w:rsid w:val="00211A40"/>
    <w:rsid w:val="00211AE6"/>
    <w:rsid w:val="00211B07"/>
    <w:rsid w:val="00211BAD"/>
    <w:rsid w:val="00211D8E"/>
    <w:rsid w:val="00211FD3"/>
    <w:rsid w:val="00211FE8"/>
    <w:rsid w:val="00211FF8"/>
    <w:rsid w:val="00212104"/>
    <w:rsid w:val="00212CB6"/>
    <w:rsid w:val="00212DA6"/>
    <w:rsid w:val="00212E98"/>
    <w:rsid w:val="00212F2F"/>
    <w:rsid w:val="00213056"/>
    <w:rsid w:val="00213289"/>
    <w:rsid w:val="0021343A"/>
    <w:rsid w:val="002139D9"/>
    <w:rsid w:val="00213B45"/>
    <w:rsid w:val="00213CF2"/>
    <w:rsid w:val="00213CFF"/>
    <w:rsid w:val="0021400A"/>
    <w:rsid w:val="00214155"/>
    <w:rsid w:val="00214189"/>
    <w:rsid w:val="0021423E"/>
    <w:rsid w:val="00214650"/>
    <w:rsid w:val="002147CA"/>
    <w:rsid w:val="002148DF"/>
    <w:rsid w:val="002149AC"/>
    <w:rsid w:val="00214B70"/>
    <w:rsid w:val="00214E83"/>
    <w:rsid w:val="002150A4"/>
    <w:rsid w:val="002150E0"/>
    <w:rsid w:val="00215370"/>
    <w:rsid w:val="002153F8"/>
    <w:rsid w:val="002154DF"/>
    <w:rsid w:val="00215678"/>
    <w:rsid w:val="002158A2"/>
    <w:rsid w:val="00215AEB"/>
    <w:rsid w:val="00215CE4"/>
    <w:rsid w:val="00215D47"/>
    <w:rsid w:val="00215E20"/>
    <w:rsid w:val="00215EB1"/>
    <w:rsid w:val="0021610D"/>
    <w:rsid w:val="00216121"/>
    <w:rsid w:val="002165C1"/>
    <w:rsid w:val="002169A0"/>
    <w:rsid w:val="00216A8E"/>
    <w:rsid w:val="00216B0C"/>
    <w:rsid w:val="00216C5F"/>
    <w:rsid w:val="00216CDF"/>
    <w:rsid w:val="002172A4"/>
    <w:rsid w:val="00217538"/>
    <w:rsid w:val="00217563"/>
    <w:rsid w:val="002175A0"/>
    <w:rsid w:val="0021772D"/>
    <w:rsid w:val="00217998"/>
    <w:rsid w:val="00217DA5"/>
    <w:rsid w:val="00217EC2"/>
    <w:rsid w:val="00220268"/>
    <w:rsid w:val="00220499"/>
    <w:rsid w:val="00220B8F"/>
    <w:rsid w:val="00220BA2"/>
    <w:rsid w:val="00220C6D"/>
    <w:rsid w:val="00220E04"/>
    <w:rsid w:val="00220ED6"/>
    <w:rsid w:val="002210ED"/>
    <w:rsid w:val="0022120B"/>
    <w:rsid w:val="00221747"/>
    <w:rsid w:val="00221B02"/>
    <w:rsid w:val="00221B56"/>
    <w:rsid w:val="00221B68"/>
    <w:rsid w:val="00221D29"/>
    <w:rsid w:val="00221FB0"/>
    <w:rsid w:val="00222352"/>
    <w:rsid w:val="0022236B"/>
    <w:rsid w:val="00222411"/>
    <w:rsid w:val="0022243D"/>
    <w:rsid w:val="0022253A"/>
    <w:rsid w:val="002229FF"/>
    <w:rsid w:val="00222ACC"/>
    <w:rsid w:val="00222D23"/>
    <w:rsid w:val="00222F9D"/>
    <w:rsid w:val="002230B4"/>
    <w:rsid w:val="00223339"/>
    <w:rsid w:val="002234BB"/>
    <w:rsid w:val="002239E6"/>
    <w:rsid w:val="00223B2D"/>
    <w:rsid w:val="00223B9B"/>
    <w:rsid w:val="00223E41"/>
    <w:rsid w:val="00223E9F"/>
    <w:rsid w:val="00223EC7"/>
    <w:rsid w:val="002240AD"/>
    <w:rsid w:val="00224117"/>
    <w:rsid w:val="002241F7"/>
    <w:rsid w:val="00224234"/>
    <w:rsid w:val="002242F0"/>
    <w:rsid w:val="002243DA"/>
    <w:rsid w:val="0022452B"/>
    <w:rsid w:val="002245D8"/>
    <w:rsid w:val="00224872"/>
    <w:rsid w:val="00224A61"/>
    <w:rsid w:val="00224C1D"/>
    <w:rsid w:val="00224DE5"/>
    <w:rsid w:val="00224EDC"/>
    <w:rsid w:val="00224F1D"/>
    <w:rsid w:val="0022514E"/>
    <w:rsid w:val="002251F7"/>
    <w:rsid w:val="002252B7"/>
    <w:rsid w:val="00225397"/>
    <w:rsid w:val="002256E5"/>
    <w:rsid w:val="0022594E"/>
    <w:rsid w:val="002259B8"/>
    <w:rsid w:val="00225A90"/>
    <w:rsid w:val="00225CB2"/>
    <w:rsid w:val="00225DD6"/>
    <w:rsid w:val="00225EDF"/>
    <w:rsid w:val="00225F7B"/>
    <w:rsid w:val="002260FC"/>
    <w:rsid w:val="00226134"/>
    <w:rsid w:val="002262A7"/>
    <w:rsid w:val="00226647"/>
    <w:rsid w:val="002266CF"/>
    <w:rsid w:val="002266DB"/>
    <w:rsid w:val="002269F1"/>
    <w:rsid w:val="00226DE8"/>
    <w:rsid w:val="0022721E"/>
    <w:rsid w:val="0022791B"/>
    <w:rsid w:val="00227B32"/>
    <w:rsid w:val="00227B9B"/>
    <w:rsid w:val="0023007D"/>
    <w:rsid w:val="002301F9"/>
    <w:rsid w:val="002302F5"/>
    <w:rsid w:val="00230478"/>
    <w:rsid w:val="002304B3"/>
    <w:rsid w:val="0023084B"/>
    <w:rsid w:val="00230927"/>
    <w:rsid w:val="00230B05"/>
    <w:rsid w:val="00230EF0"/>
    <w:rsid w:val="00231311"/>
    <w:rsid w:val="00231483"/>
    <w:rsid w:val="0023151E"/>
    <w:rsid w:val="002315FE"/>
    <w:rsid w:val="00231616"/>
    <w:rsid w:val="002316DA"/>
    <w:rsid w:val="00231979"/>
    <w:rsid w:val="002319E4"/>
    <w:rsid w:val="00231EDC"/>
    <w:rsid w:val="0023219B"/>
    <w:rsid w:val="0023230E"/>
    <w:rsid w:val="002323DD"/>
    <w:rsid w:val="00232467"/>
    <w:rsid w:val="00232801"/>
    <w:rsid w:val="0023282F"/>
    <w:rsid w:val="00232980"/>
    <w:rsid w:val="00232ACA"/>
    <w:rsid w:val="00232DFC"/>
    <w:rsid w:val="00232E2E"/>
    <w:rsid w:val="00232E42"/>
    <w:rsid w:val="00233104"/>
    <w:rsid w:val="00233255"/>
    <w:rsid w:val="0023340B"/>
    <w:rsid w:val="00233827"/>
    <w:rsid w:val="0023395C"/>
    <w:rsid w:val="0023399F"/>
    <w:rsid w:val="00233B56"/>
    <w:rsid w:val="00233DE4"/>
    <w:rsid w:val="00233EB7"/>
    <w:rsid w:val="00233F42"/>
    <w:rsid w:val="0023403C"/>
    <w:rsid w:val="00234272"/>
    <w:rsid w:val="00234281"/>
    <w:rsid w:val="0023454E"/>
    <w:rsid w:val="00234746"/>
    <w:rsid w:val="00234771"/>
    <w:rsid w:val="002347C3"/>
    <w:rsid w:val="00234809"/>
    <w:rsid w:val="00234856"/>
    <w:rsid w:val="002349B2"/>
    <w:rsid w:val="00234A09"/>
    <w:rsid w:val="00234B8F"/>
    <w:rsid w:val="00234C6A"/>
    <w:rsid w:val="00235450"/>
    <w:rsid w:val="00235706"/>
    <w:rsid w:val="0023599F"/>
    <w:rsid w:val="002359C3"/>
    <w:rsid w:val="00235ABC"/>
    <w:rsid w:val="00235C2D"/>
    <w:rsid w:val="00235CBD"/>
    <w:rsid w:val="00236054"/>
    <w:rsid w:val="00236138"/>
    <w:rsid w:val="00236455"/>
    <w:rsid w:val="00236737"/>
    <w:rsid w:val="00236778"/>
    <w:rsid w:val="0023678B"/>
    <w:rsid w:val="00236E1C"/>
    <w:rsid w:val="00236EC3"/>
    <w:rsid w:val="00236EC6"/>
    <w:rsid w:val="00236F25"/>
    <w:rsid w:val="00237280"/>
    <w:rsid w:val="00237284"/>
    <w:rsid w:val="0023729F"/>
    <w:rsid w:val="00237411"/>
    <w:rsid w:val="0023749F"/>
    <w:rsid w:val="002374F6"/>
    <w:rsid w:val="002375F5"/>
    <w:rsid w:val="0023766C"/>
    <w:rsid w:val="0023766E"/>
    <w:rsid w:val="002378D3"/>
    <w:rsid w:val="002379CC"/>
    <w:rsid w:val="00237BD5"/>
    <w:rsid w:val="00237D72"/>
    <w:rsid w:val="00237EDD"/>
    <w:rsid w:val="00240082"/>
    <w:rsid w:val="00240237"/>
    <w:rsid w:val="002403F8"/>
    <w:rsid w:val="0024072E"/>
    <w:rsid w:val="00240760"/>
    <w:rsid w:val="002408BA"/>
    <w:rsid w:val="00240AE1"/>
    <w:rsid w:val="00240CBA"/>
    <w:rsid w:val="00240D24"/>
    <w:rsid w:val="00240ED3"/>
    <w:rsid w:val="00240F05"/>
    <w:rsid w:val="002412A2"/>
    <w:rsid w:val="00241449"/>
    <w:rsid w:val="00241740"/>
    <w:rsid w:val="00241810"/>
    <w:rsid w:val="002418E7"/>
    <w:rsid w:val="002419BF"/>
    <w:rsid w:val="00241B98"/>
    <w:rsid w:val="002426E7"/>
    <w:rsid w:val="00242AB5"/>
    <w:rsid w:val="00242C7B"/>
    <w:rsid w:val="00242CFC"/>
    <w:rsid w:val="00242E04"/>
    <w:rsid w:val="00242F89"/>
    <w:rsid w:val="0024305B"/>
    <w:rsid w:val="002430F9"/>
    <w:rsid w:val="002432E0"/>
    <w:rsid w:val="00243622"/>
    <w:rsid w:val="002436B2"/>
    <w:rsid w:val="002438CE"/>
    <w:rsid w:val="00243C4A"/>
    <w:rsid w:val="00243D2B"/>
    <w:rsid w:val="00243E8D"/>
    <w:rsid w:val="00243F8D"/>
    <w:rsid w:val="00244224"/>
    <w:rsid w:val="00244476"/>
    <w:rsid w:val="002444D8"/>
    <w:rsid w:val="00244AC7"/>
    <w:rsid w:val="00244B6B"/>
    <w:rsid w:val="00245430"/>
    <w:rsid w:val="002454C8"/>
    <w:rsid w:val="00245790"/>
    <w:rsid w:val="00245971"/>
    <w:rsid w:val="00245B86"/>
    <w:rsid w:val="00245CE9"/>
    <w:rsid w:val="00245E00"/>
    <w:rsid w:val="00245F04"/>
    <w:rsid w:val="00246012"/>
    <w:rsid w:val="0024624E"/>
    <w:rsid w:val="00246B5E"/>
    <w:rsid w:val="00246D28"/>
    <w:rsid w:val="00246DC4"/>
    <w:rsid w:val="002472CE"/>
    <w:rsid w:val="00247341"/>
    <w:rsid w:val="002474B7"/>
    <w:rsid w:val="002474E8"/>
    <w:rsid w:val="00247646"/>
    <w:rsid w:val="00247B52"/>
    <w:rsid w:val="00247E49"/>
    <w:rsid w:val="00247EAA"/>
    <w:rsid w:val="00247EB2"/>
    <w:rsid w:val="00250221"/>
    <w:rsid w:val="002502C9"/>
    <w:rsid w:val="00250568"/>
    <w:rsid w:val="0025056B"/>
    <w:rsid w:val="002505F2"/>
    <w:rsid w:val="00250691"/>
    <w:rsid w:val="0025069C"/>
    <w:rsid w:val="002507C7"/>
    <w:rsid w:val="00250827"/>
    <w:rsid w:val="002509DC"/>
    <w:rsid w:val="00250AF4"/>
    <w:rsid w:val="00250C79"/>
    <w:rsid w:val="00250E5E"/>
    <w:rsid w:val="00250FBF"/>
    <w:rsid w:val="002511AF"/>
    <w:rsid w:val="002511FB"/>
    <w:rsid w:val="0025138A"/>
    <w:rsid w:val="002514DF"/>
    <w:rsid w:val="0025167E"/>
    <w:rsid w:val="0025192B"/>
    <w:rsid w:val="00251AF9"/>
    <w:rsid w:val="00251BF4"/>
    <w:rsid w:val="00251DC6"/>
    <w:rsid w:val="00252028"/>
    <w:rsid w:val="00252146"/>
    <w:rsid w:val="0025233F"/>
    <w:rsid w:val="00252558"/>
    <w:rsid w:val="0025256A"/>
    <w:rsid w:val="002525B9"/>
    <w:rsid w:val="00252AC5"/>
    <w:rsid w:val="00252B3D"/>
    <w:rsid w:val="00252BA5"/>
    <w:rsid w:val="00252CFC"/>
    <w:rsid w:val="00253077"/>
    <w:rsid w:val="002530E4"/>
    <w:rsid w:val="002532AB"/>
    <w:rsid w:val="00253368"/>
    <w:rsid w:val="002534BB"/>
    <w:rsid w:val="00253811"/>
    <w:rsid w:val="00253A10"/>
    <w:rsid w:val="00253A5F"/>
    <w:rsid w:val="00253DF7"/>
    <w:rsid w:val="0025404C"/>
    <w:rsid w:val="002544FC"/>
    <w:rsid w:val="00254AB4"/>
    <w:rsid w:val="00254BD6"/>
    <w:rsid w:val="00254CA1"/>
    <w:rsid w:val="00254D73"/>
    <w:rsid w:val="00254DE3"/>
    <w:rsid w:val="00254E09"/>
    <w:rsid w:val="0025505F"/>
    <w:rsid w:val="002550FF"/>
    <w:rsid w:val="0025523C"/>
    <w:rsid w:val="002556F3"/>
    <w:rsid w:val="0025591A"/>
    <w:rsid w:val="00255D7F"/>
    <w:rsid w:val="00255DD3"/>
    <w:rsid w:val="00256057"/>
    <w:rsid w:val="002560F7"/>
    <w:rsid w:val="002562E9"/>
    <w:rsid w:val="0025632D"/>
    <w:rsid w:val="002564B0"/>
    <w:rsid w:val="002564F5"/>
    <w:rsid w:val="002568EE"/>
    <w:rsid w:val="002568FE"/>
    <w:rsid w:val="00256A69"/>
    <w:rsid w:val="00256BA7"/>
    <w:rsid w:val="00256BC7"/>
    <w:rsid w:val="00256BCB"/>
    <w:rsid w:val="00256C77"/>
    <w:rsid w:val="00256DEA"/>
    <w:rsid w:val="00257140"/>
    <w:rsid w:val="00257228"/>
    <w:rsid w:val="0025775A"/>
    <w:rsid w:val="002577DC"/>
    <w:rsid w:val="0025780F"/>
    <w:rsid w:val="002578D4"/>
    <w:rsid w:val="002579C1"/>
    <w:rsid w:val="002579F0"/>
    <w:rsid w:val="00257B28"/>
    <w:rsid w:val="00257BBD"/>
    <w:rsid w:val="002604DA"/>
    <w:rsid w:val="0026075C"/>
    <w:rsid w:val="00260781"/>
    <w:rsid w:val="00260992"/>
    <w:rsid w:val="00260A76"/>
    <w:rsid w:val="00260A96"/>
    <w:rsid w:val="00260CB8"/>
    <w:rsid w:val="00260F74"/>
    <w:rsid w:val="00260F9C"/>
    <w:rsid w:val="00260FC1"/>
    <w:rsid w:val="00261084"/>
    <w:rsid w:val="002611D2"/>
    <w:rsid w:val="002614DA"/>
    <w:rsid w:val="00261AEC"/>
    <w:rsid w:val="00261BDD"/>
    <w:rsid w:val="00261C51"/>
    <w:rsid w:val="00261D5B"/>
    <w:rsid w:val="00261DAD"/>
    <w:rsid w:val="00261DCD"/>
    <w:rsid w:val="00261FF0"/>
    <w:rsid w:val="0026285F"/>
    <w:rsid w:val="0026288F"/>
    <w:rsid w:val="00262B17"/>
    <w:rsid w:val="00262E05"/>
    <w:rsid w:val="00262E69"/>
    <w:rsid w:val="00262F83"/>
    <w:rsid w:val="00263401"/>
    <w:rsid w:val="00263415"/>
    <w:rsid w:val="0026349B"/>
    <w:rsid w:val="0026369F"/>
    <w:rsid w:val="002636AB"/>
    <w:rsid w:val="0026373B"/>
    <w:rsid w:val="00263BE7"/>
    <w:rsid w:val="002642A6"/>
    <w:rsid w:val="0026431A"/>
    <w:rsid w:val="00264333"/>
    <w:rsid w:val="002643AB"/>
    <w:rsid w:val="00264677"/>
    <w:rsid w:val="00264A62"/>
    <w:rsid w:val="00264E3B"/>
    <w:rsid w:val="00264F33"/>
    <w:rsid w:val="00265045"/>
    <w:rsid w:val="00265096"/>
    <w:rsid w:val="00265151"/>
    <w:rsid w:val="00265398"/>
    <w:rsid w:val="00265515"/>
    <w:rsid w:val="0026576A"/>
    <w:rsid w:val="0026589E"/>
    <w:rsid w:val="0026592A"/>
    <w:rsid w:val="002659C1"/>
    <w:rsid w:val="00265BB0"/>
    <w:rsid w:val="002661EB"/>
    <w:rsid w:val="002662BA"/>
    <w:rsid w:val="0026643F"/>
    <w:rsid w:val="0026668B"/>
    <w:rsid w:val="002667A0"/>
    <w:rsid w:val="002667C3"/>
    <w:rsid w:val="00266C3D"/>
    <w:rsid w:val="00266C8E"/>
    <w:rsid w:val="00266C93"/>
    <w:rsid w:val="00266EB3"/>
    <w:rsid w:val="00267693"/>
    <w:rsid w:val="00267922"/>
    <w:rsid w:val="00267AAB"/>
    <w:rsid w:val="00267C1F"/>
    <w:rsid w:val="00267CB6"/>
    <w:rsid w:val="00267EF8"/>
    <w:rsid w:val="00270126"/>
    <w:rsid w:val="00270574"/>
    <w:rsid w:val="002707F4"/>
    <w:rsid w:val="002708CC"/>
    <w:rsid w:val="00270AC9"/>
    <w:rsid w:val="00270C8A"/>
    <w:rsid w:val="00270D8C"/>
    <w:rsid w:val="00271000"/>
    <w:rsid w:val="0027181F"/>
    <w:rsid w:val="00271A34"/>
    <w:rsid w:val="00271AFF"/>
    <w:rsid w:val="00271B90"/>
    <w:rsid w:val="00271BC9"/>
    <w:rsid w:val="00271DB7"/>
    <w:rsid w:val="00271E17"/>
    <w:rsid w:val="00272039"/>
    <w:rsid w:val="0027207B"/>
    <w:rsid w:val="00272184"/>
    <w:rsid w:val="00272257"/>
    <w:rsid w:val="00272283"/>
    <w:rsid w:val="002722E5"/>
    <w:rsid w:val="002723E5"/>
    <w:rsid w:val="0027244F"/>
    <w:rsid w:val="0027300A"/>
    <w:rsid w:val="002730C0"/>
    <w:rsid w:val="0027325F"/>
    <w:rsid w:val="00273554"/>
    <w:rsid w:val="00273651"/>
    <w:rsid w:val="0027369B"/>
    <w:rsid w:val="002738D1"/>
    <w:rsid w:val="0027393A"/>
    <w:rsid w:val="00273DB4"/>
    <w:rsid w:val="00273DE1"/>
    <w:rsid w:val="00273E28"/>
    <w:rsid w:val="00273F78"/>
    <w:rsid w:val="00273FD5"/>
    <w:rsid w:val="00273FDB"/>
    <w:rsid w:val="00273FE5"/>
    <w:rsid w:val="002740A5"/>
    <w:rsid w:val="0027423D"/>
    <w:rsid w:val="0027428F"/>
    <w:rsid w:val="002743AC"/>
    <w:rsid w:val="002747C2"/>
    <w:rsid w:val="002748B4"/>
    <w:rsid w:val="0027492F"/>
    <w:rsid w:val="00274A5B"/>
    <w:rsid w:val="00274E38"/>
    <w:rsid w:val="00274F3B"/>
    <w:rsid w:val="00275014"/>
    <w:rsid w:val="002750E0"/>
    <w:rsid w:val="00275333"/>
    <w:rsid w:val="002753C1"/>
    <w:rsid w:val="00275405"/>
    <w:rsid w:val="0027546E"/>
    <w:rsid w:val="00275624"/>
    <w:rsid w:val="0027562D"/>
    <w:rsid w:val="0027571E"/>
    <w:rsid w:val="0027598E"/>
    <w:rsid w:val="00275AC3"/>
    <w:rsid w:val="00275B33"/>
    <w:rsid w:val="00275BCE"/>
    <w:rsid w:val="002760B0"/>
    <w:rsid w:val="0027632F"/>
    <w:rsid w:val="00276654"/>
    <w:rsid w:val="002766CD"/>
    <w:rsid w:val="0027678A"/>
    <w:rsid w:val="0027688A"/>
    <w:rsid w:val="002768AC"/>
    <w:rsid w:val="002769D5"/>
    <w:rsid w:val="00276B62"/>
    <w:rsid w:val="00276F6E"/>
    <w:rsid w:val="002770AD"/>
    <w:rsid w:val="00277171"/>
    <w:rsid w:val="002771E8"/>
    <w:rsid w:val="00277216"/>
    <w:rsid w:val="002772B2"/>
    <w:rsid w:val="002772DD"/>
    <w:rsid w:val="002774EC"/>
    <w:rsid w:val="002779C6"/>
    <w:rsid w:val="00277B3D"/>
    <w:rsid w:val="00277BAB"/>
    <w:rsid w:val="00277F3D"/>
    <w:rsid w:val="0028044C"/>
    <w:rsid w:val="0028048B"/>
    <w:rsid w:val="002806C3"/>
    <w:rsid w:val="0028091B"/>
    <w:rsid w:val="0028095B"/>
    <w:rsid w:val="00280B44"/>
    <w:rsid w:val="00280BAA"/>
    <w:rsid w:val="00280BDE"/>
    <w:rsid w:val="00280BEB"/>
    <w:rsid w:val="00280CB2"/>
    <w:rsid w:val="00280D29"/>
    <w:rsid w:val="00280EEC"/>
    <w:rsid w:val="0028111A"/>
    <w:rsid w:val="00281188"/>
    <w:rsid w:val="0028119F"/>
    <w:rsid w:val="00281270"/>
    <w:rsid w:val="0028128E"/>
    <w:rsid w:val="002815BC"/>
    <w:rsid w:val="002815F0"/>
    <w:rsid w:val="0028165D"/>
    <w:rsid w:val="002817EC"/>
    <w:rsid w:val="002817ED"/>
    <w:rsid w:val="00281F5E"/>
    <w:rsid w:val="002829AD"/>
    <w:rsid w:val="00282C81"/>
    <w:rsid w:val="00282D91"/>
    <w:rsid w:val="0028321C"/>
    <w:rsid w:val="0028339C"/>
    <w:rsid w:val="00283592"/>
    <w:rsid w:val="0028363C"/>
    <w:rsid w:val="002839DD"/>
    <w:rsid w:val="00283A90"/>
    <w:rsid w:val="00283E4F"/>
    <w:rsid w:val="00283FA3"/>
    <w:rsid w:val="002841B6"/>
    <w:rsid w:val="00284303"/>
    <w:rsid w:val="002845AC"/>
    <w:rsid w:val="00284680"/>
    <w:rsid w:val="00284756"/>
    <w:rsid w:val="00284B07"/>
    <w:rsid w:val="00284DE7"/>
    <w:rsid w:val="00284E21"/>
    <w:rsid w:val="002850B4"/>
    <w:rsid w:val="0028525C"/>
    <w:rsid w:val="00285263"/>
    <w:rsid w:val="00285519"/>
    <w:rsid w:val="00285A5B"/>
    <w:rsid w:val="00285BC0"/>
    <w:rsid w:val="00285C44"/>
    <w:rsid w:val="00285E6C"/>
    <w:rsid w:val="00285F04"/>
    <w:rsid w:val="00286689"/>
    <w:rsid w:val="00286BD1"/>
    <w:rsid w:val="00286C19"/>
    <w:rsid w:val="00286FF4"/>
    <w:rsid w:val="00287075"/>
    <w:rsid w:val="002870B2"/>
    <w:rsid w:val="00287146"/>
    <w:rsid w:val="002872C6"/>
    <w:rsid w:val="00287587"/>
    <w:rsid w:val="00287609"/>
    <w:rsid w:val="002877ED"/>
    <w:rsid w:val="002878A6"/>
    <w:rsid w:val="00287D08"/>
    <w:rsid w:val="00287D32"/>
    <w:rsid w:val="00290136"/>
    <w:rsid w:val="002902FD"/>
    <w:rsid w:val="002903D1"/>
    <w:rsid w:val="0029046B"/>
    <w:rsid w:val="002904C1"/>
    <w:rsid w:val="002905D9"/>
    <w:rsid w:val="00290935"/>
    <w:rsid w:val="00290A89"/>
    <w:rsid w:val="00290B29"/>
    <w:rsid w:val="0029108F"/>
    <w:rsid w:val="0029111E"/>
    <w:rsid w:val="002913D6"/>
    <w:rsid w:val="002914AF"/>
    <w:rsid w:val="002914D3"/>
    <w:rsid w:val="002915C2"/>
    <w:rsid w:val="00291810"/>
    <w:rsid w:val="00291B9E"/>
    <w:rsid w:val="00291BB4"/>
    <w:rsid w:val="00291BDC"/>
    <w:rsid w:val="002924BC"/>
    <w:rsid w:val="002925DE"/>
    <w:rsid w:val="002928B4"/>
    <w:rsid w:val="002929D8"/>
    <w:rsid w:val="00292AE8"/>
    <w:rsid w:val="00292B09"/>
    <w:rsid w:val="00292B53"/>
    <w:rsid w:val="00292C11"/>
    <w:rsid w:val="00292C66"/>
    <w:rsid w:val="00292D75"/>
    <w:rsid w:val="0029308C"/>
    <w:rsid w:val="0029318B"/>
    <w:rsid w:val="00293241"/>
    <w:rsid w:val="00293284"/>
    <w:rsid w:val="00293463"/>
    <w:rsid w:val="00293588"/>
    <w:rsid w:val="002935FF"/>
    <w:rsid w:val="00293603"/>
    <w:rsid w:val="00293633"/>
    <w:rsid w:val="00293680"/>
    <w:rsid w:val="0029381E"/>
    <w:rsid w:val="00293CB7"/>
    <w:rsid w:val="00293D1B"/>
    <w:rsid w:val="00293EDC"/>
    <w:rsid w:val="00294089"/>
    <w:rsid w:val="002940DF"/>
    <w:rsid w:val="002940FC"/>
    <w:rsid w:val="0029414D"/>
    <w:rsid w:val="00294246"/>
    <w:rsid w:val="002942A8"/>
    <w:rsid w:val="0029457A"/>
    <w:rsid w:val="002945E1"/>
    <w:rsid w:val="00294809"/>
    <w:rsid w:val="00294BC0"/>
    <w:rsid w:val="00294BC9"/>
    <w:rsid w:val="00294C41"/>
    <w:rsid w:val="00294EA6"/>
    <w:rsid w:val="00294FC8"/>
    <w:rsid w:val="0029505A"/>
    <w:rsid w:val="002958B8"/>
    <w:rsid w:val="00295CBB"/>
    <w:rsid w:val="00295D29"/>
    <w:rsid w:val="00295EC6"/>
    <w:rsid w:val="00295F12"/>
    <w:rsid w:val="00295F48"/>
    <w:rsid w:val="00296397"/>
    <w:rsid w:val="002963F3"/>
    <w:rsid w:val="00296613"/>
    <w:rsid w:val="002967F8"/>
    <w:rsid w:val="00296E0F"/>
    <w:rsid w:val="00296EBE"/>
    <w:rsid w:val="0029709B"/>
    <w:rsid w:val="0029724A"/>
    <w:rsid w:val="002972FC"/>
    <w:rsid w:val="00297462"/>
    <w:rsid w:val="00297CA9"/>
    <w:rsid w:val="00297EC6"/>
    <w:rsid w:val="00297ED6"/>
    <w:rsid w:val="002A00D6"/>
    <w:rsid w:val="002A0327"/>
    <w:rsid w:val="002A0459"/>
    <w:rsid w:val="002A048E"/>
    <w:rsid w:val="002A0515"/>
    <w:rsid w:val="002A055A"/>
    <w:rsid w:val="002A083C"/>
    <w:rsid w:val="002A09F0"/>
    <w:rsid w:val="002A0AED"/>
    <w:rsid w:val="002A0C0F"/>
    <w:rsid w:val="002A0D24"/>
    <w:rsid w:val="002A1017"/>
    <w:rsid w:val="002A10F6"/>
    <w:rsid w:val="002A12F6"/>
    <w:rsid w:val="002A13AD"/>
    <w:rsid w:val="002A1653"/>
    <w:rsid w:val="002A16CE"/>
    <w:rsid w:val="002A1CBB"/>
    <w:rsid w:val="002A1D02"/>
    <w:rsid w:val="002A1D74"/>
    <w:rsid w:val="002A1F44"/>
    <w:rsid w:val="002A2152"/>
    <w:rsid w:val="002A2754"/>
    <w:rsid w:val="002A27E3"/>
    <w:rsid w:val="002A289B"/>
    <w:rsid w:val="002A2B1B"/>
    <w:rsid w:val="002A2B20"/>
    <w:rsid w:val="002A2C23"/>
    <w:rsid w:val="002A2D40"/>
    <w:rsid w:val="002A307B"/>
    <w:rsid w:val="002A3091"/>
    <w:rsid w:val="002A3122"/>
    <w:rsid w:val="002A314B"/>
    <w:rsid w:val="002A3189"/>
    <w:rsid w:val="002A36DE"/>
    <w:rsid w:val="002A38F1"/>
    <w:rsid w:val="002A3D58"/>
    <w:rsid w:val="002A3DA4"/>
    <w:rsid w:val="002A3FAD"/>
    <w:rsid w:val="002A3FAF"/>
    <w:rsid w:val="002A40DE"/>
    <w:rsid w:val="002A4235"/>
    <w:rsid w:val="002A4489"/>
    <w:rsid w:val="002A458B"/>
    <w:rsid w:val="002A46A2"/>
    <w:rsid w:val="002A4925"/>
    <w:rsid w:val="002A4B40"/>
    <w:rsid w:val="002A4CF9"/>
    <w:rsid w:val="002A4DF9"/>
    <w:rsid w:val="002A4E1E"/>
    <w:rsid w:val="002A5224"/>
    <w:rsid w:val="002A5358"/>
    <w:rsid w:val="002A53E8"/>
    <w:rsid w:val="002A5414"/>
    <w:rsid w:val="002A5417"/>
    <w:rsid w:val="002A5D8B"/>
    <w:rsid w:val="002A6069"/>
    <w:rsid w:val="002A66AF"/>
    <w:rsid w:val="002A67CE"/>
    <w:rsid w:val="002A6829"/>
    <w:rsid w:val="002A6BD5"/>
    <w:rsid w:val="002A6C11"/>
    <w:rsid w:val="002A6C41"/>
    <w:rsid w:val="002A6C8B"/>
    <w:rsid w:val="002A6CDD"/>
    <w:rsid w:val="002A6D38"/>
    <w:rsid w:val="002A6E85"/>
    <w:rsid w:val="002A6FC7"/>
    <w:rsid w:val="002A6FFD"/>
    <w:rsid w:val="002A702A"/>
    <w:rsid w:val="002A70FA"/>
    <w:rsid w:val="002A7217"/>
    <w:rsid w:val="002A72E8"/>
    <w:rsid w:val="002A73F9"/>
    <w:rsid w:val="002A7711"/>
    <w:rsid w:val="002A782B"/>
    <w:rsid w:val="002A783B"/>
    <w:rsid w:val="002A7AC5"/>
    <w:rsid w:val="002A7D4C"/>
    <w:rsid w:val="002A7D81"/>
    <w:rsid w:val="002A7DF3"/>
    <w:rsid w:val="002A7EFA"/>
    <w:rsid w:val="002A7F5A"/>
    <w:rsid w:val="002A7FEB"/>
    <w:rsid w:val="002B00B5"/>
    <w:rsid w:val="002B03D4"/>
    <w:rsid w:val="002B0541"/>
    <w:rsid w:val="002B0991"/>
    <w:rsid w:val="002B09D6"/>
    <w:rsid w:val="002B0A5A"/>
    <w:rsid w:val="002B0AD9"/>
    <w:rsid w:val="002B0CDB"/>
    <w:rsid w:val="002B0CFA"/>
    <w:rsid w:val="002B0E63"/>
    <w:rsid w:val="002B0EF4"/>
    <w:rsid w:val="002B0F3B"/>
    <w:rsid w:val="002B1509"/>
    <w:rsid w:val="002B171F"/>
    <w:rsid w:val="002B1B98"/>
    <w:rsid w:val="002B1C2D"/>
    <w:rsid w:val="002B1DB7"/>
    <w:rsid w:val="002B1DE7"/>
    <w:rsid w:val="002B1F25"/>
    <w:rsid w:val="002B22D1"/>
    <w:rsid w:val="002B2336"/>
    <w:rsid w:val="002B234F"/>
    <w:rsid w:val="002B2563"/>
    <w:rsid w:val="002B25C0"/>
    <w:rsid w:val="002B2BFB"/>
    <w:rsid w:val="002B2F58"/>
    <w:rsid w:val="002B2FCD"/>
    <w:rsid w:val="002B2FF1"/>
    <w:rsid w:val="002B32A8"/>
    <w:rsid w:val="002B32A9"/>
    <w:rsid w:val="002B3396"/>
    <w:rsid w:val="002B3473"/>
    <w:rsid w:val="002B3565"/>
    <w:rsid w:val="002B35C2"/>
    <w:rsid w:val="002B3794"/>
    <w:rsid w:val="002B3ABC"/>
    <w:rsid w:val="002B3CC2"/>
    <w:rsid w:val="002B407B"/>
    <w:rsid w:val="002B407C"/>
    <w:rsid w:val="002B4208"/>
    <w:rsid w:val="002B475A"/>
    <w:rsid w:val="002B4813"/>
    <w:rsid w:val="002B481F"/>
    <w:rsid w:val="002B48F8"/>
    <w:rsid w:val="002B4CAF"/>
    <w:rsid w:val="002B509A"/>
    <w:rsid w:val="002B553B"/>
    <w:rsid w:val="002B55E0"/>
    <w:rsid w:val="002B587D"/>
    <w:rsid w:val="002B58C3"/>
    <w:rsid w:val="002B5B0B"/>
    <w:rsid w:val="002B5EF7"/>
    <w:rsid w:val="002B62F2"/>
    <w:rsid w:val="002B63DF"/>
    <w:rsid w:val="002B6705"/>
    <w:rsid w:val="002B69BD"/>
    <w:rsid w:val="002B6A07"/>
    <w:rsid w:val="002B6AE7"/>
    <w:rsid w:val="002B6B41"/>
    <w:rsid w:val="002B6C6B"/>
    <w:rsid w:val="002B7092"/>
    <w:rsid w:val="002B70EB"/>
    <w:rsid w:val="002B7130"/>
    <w:rsid w:val="002B72F5"/>
    <w:rsid w:val="002B731B"/>
    <w:rsid w:val="002B737D"/>
    <w:rsid w:val="002B76BC"/>
    <w:rsid w:val="002B780E"/>
    <w:rsid w:val="002B78F7"/>
    <w:rsid w:val="002B795C"/>
    <w:rsid w:val="002B7990"/>
    <w:rsid w:val="002B7AF2"/>
    <w:rsid w:val="002B7D49"/>
    <w:rsid w:val="002B7D71"/>
    <w:rsid w:val="002C043E"/>
    <w:rsid w:val="002C04C2"/>
    <w:rsid w:val="002C0674"/>
    <w:rsid w:val="002C08F8"/>
    <w:rsid w:val="002C09A2"/>
    <w:rsid w:val="002C0B0A"/>
    <w:rsid w:val="002C0E9E"/>
    <w:rsid w:val="002C0F13"/>
    <w:rsid w:val="002C1220"/>
    <w:rsid w:val="002C13B6"/>
    <w:rsid w:val="002C13EA"/>
    <w:rsid w:val="002C148A"/>
    <w:rsid w:val="002C1547"/>
    <w:rsid w:val="002C1559"/>
    <w:rsid w:val="002C16C5"/>
    <w:rsid w:val="002C18D9"/>
    <w:rsid w:val="002C1952"/>
    <w:rsid w:val="002C1F13"/>
    <w:rsid w:val="002C223F"/>
    <w:rsid w:val="002C24C5"/>
    <w:rsid w:val="002C25A0"/>
    <w:rsid w:val="002C26C2"/>
    <w:rsid w:val="002C26CC"/>
    <w:rsid w:val="002C2713"/>
    <w:rsid w:val="002C2715"/>
    <w:rsid w:val="002C282D"/>
    <w:rsid w:val="002C296E"/>
    <w:rsid w:val="002C2C1F"/>
    <w:rsid w:val="002C2DF7"/>
    <w:rsid w:val="002C2E8E"/>
    <w:rsid w:val="002C31F5"/>
    <w:rsid w:val="002C321C"/>
    <w:rsid w:val="002C3384"/>
    <w:rsid w:val="002C3560"/>
    <w:rsid w:val="002C35FF"/>
    <w:rsid w:val="002C385F"/>
    <w:rsid w:val="002C3957"/>
    <w:rsid w:val="002C39CB"/>
    <w:rsid w:val="002C3EFD"/>
    <w:rsid w:val="002C3FA5"/>
    <w:rsid w:val="002C403C"/>
    <w:rsid w:val="002C42DF"/>
    <w:rsid w:val="002C436D"/>
    <w:rsid w:val="002C4529"/>
    <w:rsid w:val="002C4669"/>
    <w:rsid w:val="002C4786"/>
    <w:rsid w:val="002C4B27"/>
    <w:rsid w:val="002C4B2B"/>
    <w:rsid w:val="002C4C16"/>
    <w:rsid w:val="002C4C35"/>
    <w:rsid w:val="002C4FEB"/>
    <w:rsid w:val="002C4FF1"/>
    <w:rsid w:val="002C5235"/>
    <w:rsid w:val="002C536C"/>
    <w:rsid w:val="002C555C"/>
    <w:rsid w:val="002C563D"/>
    <w:rsid w:val="002C584C"/>
    <w:rsid w:val="002C5995"/>
    <w:rsid w:val="002C5B33"/>
    <w:rsid w:val="002C5DB1"/>
    <w:rsid w:val="002C5F6C"/>
    <w:rsid w:val="002C62EB"/>
    <w:rsid w:val="002C6479"/>
    <w:rsid w:val="002C6693"/>
    <w:rsid w:val="002C67BC"/>
    <w:rsid w:val="002C6986"/>
    <w:rsid w:val="002C6DFD"/>
    <w:rsid w:val="002C6FF6"/>
    <w:rsid w:val="002C700F"/>
    <w:rsid w:val="002C722F"/>
    <w:rsid w:val="002C729B"/>
    <w:rsid w:val="002C7365"/>
    <w:rsid w:val="002C73EA"/>
    <w:rsid w:val="002C75F8"/>
    <w:rsid w:val="002C770C"/>
    <w:rsid w:val="002C7F80"/>
    <w:rsid w:val="002C7FEF"/>
    <w:rsid w:val="002D01E0"/>
    <w:rsid w:val="002D023B"/>
    <w:rsid w:val="002D0412"/>
    <w:rsid w:val="002D04B2"/>
    <w:rsid w:val="002D05E3"/>
    <w:rsid w:val="002D06AC"/>
    <w:rsid w:val="002D0796"/>
    <w:rsid w:val="002D0828"/>
    <w:rsid w:val="002D0A6F"/>
    <w:rsid w:val="002D0A8B"/>
    <w:rsid w:val="002D0BFA"/>
    <w:rsid w:val="002D0C30"/>
    <w:rsid w:val="002D0E77"/>
    <w:rsid w:val="002D1038"/>
    <w:rsid w:val="002D10F3"/>
    <w:rsid w:val="002D14FB"/>
    <w:rsid w:val="002D1562"/>
    <w:rsid w:val="002D17E4"/>
    <w:rsid w:val="002D18A1"/>
    <w:rsid w:val="002D190A"/>
    <w:rsid w:val="002D1B10"/>
    <w:rsid w:val="002D1D09"/>
    <w:rsid w:val="002D1D0F"/>
    <w:rsid w:val="002D1E0C"/>
    <w:rsid w:val="002D1EEC"/>
    <w:rsid w:val="002D1F56"/>
    <w:rsid w:val="002D212B"/>
    <w:rsid w:val="002D22C6"/>
    <w:rsid w:val="002D23C0"/>
    <w:rsid w:val="002D23E1"/>
    <w:rsid w:val="002D23FC"/>
    <w:rsid w:val="002D27CA"/>
    <w:rsid w:val="002D2A06"/>
    <w:rsid w:val="002D300D"/>
    <w:rsid w:val="002D30EA"/>
    <w:rsid w:val="002D31B5"/>
    <w:rsid w:val="002D3B57"/>
    <w:rsid w:val="002D3D4E"/>
    <w:rsid w:val="002D3D68"/>
    <w:rsid w:val="002D3DFF"/>
    <w:rsid w:val="002D3F88"/>
    <w:rsid w:val="002D4193"/>
    <w:rsid w:val="002D41C4"/>
    <w:rsid w:val="002D43C7"/>
    <w:rsid w:val="002D451D"/>
    <w:rsid w:val="002D4531"/>
    <w:rsid w:val="002D47E6"/>
    <w:rsid w:val="002D48F0"/>
    <w:rsid w:val="002D4B67"/>
    <w:rsid w:val="002D517F"/>
    <w:rsid w:val="002D5318"/>
    <w:rsid w:val="002D5353"/>
    <w:rsid w:val="002D5398"/>
    <w:rsid w:val="002D539E"/>
    <w:rsid w:val="002D5584"/>
    <w:rsid w:val="002D5767"/>
    <w:rsid w:val="002D5997"/>
    <w:rsid w:val="002D63E9"/>
    <w:rsid w:val="002D65F7"/>
    <w:rsid w:val="002D667D"/>
    <w:rsid w:val="002D66F5"/>
    <w:rsid w:val="002D67F0"/>
    <w:rsid w:val="002D6A84"/>
    <w:rsid w:val="002D6B9C"/>
    <w:rsid w:val="002D6C05"/>
    <w:rsid w:val="002D7097"/>
    <w:rsid w:val="002D70B7"/>
    <w:rsid w:val="002D70B9"/>
    <w:rsid w:val="002D7C5A"/>
    <w:rsid w:val="002D7E24"/>
    <w:rsid w:val="002E0068"/>
    <w:rsid w:val="002E0210"/>
    <w:rsid w:val="002E0666"/>
    <w:rsid w:val="002E0C97"/>
    <w:rsid w:val="002E0CE5"/>
    <w:rsid w:val="002E0D07"/>
    <w:rsid w:val="002E0DE0"/>
    <w:rsid w:val="002E0ECC"/>
    <w:rsid w:val="002E1594"/>
    <w:rsid w:val="002E1893"/>
    <w:rsid w:val="002E18B5"/>
    <w:rsid w:val="002E18FF"/>
    <w:rsid w:val="002E1AC7"/>
    <w:rsid w:val="002E1BA8"/>
    <w:rsid w:val="002E1F0B"/>
    <w:rsid w:val="002E2335"/>
    <w:rsid w:val="002E235E"/>
    <w:rsid w:val="002E2379"/>
    <w:rsid w:val="002E23C3"/>
    <w:rsid w:val="002E267C"/>
    <w:rsid w:val="002E2823"/>
    <w:rsid w:val="002E28CA"/>
    <w:rsid w:val="002E2B41"/>
    <w:rsid w:val="002E2B68"/>
    <w:rsid w:val="002E2FCE"/>
    <w:rsid w:val="002E31CA"/>
    <w:rsid w:val="002E34A7"/>
    <w:rsid w:val="002E3600"/>
    <w:rsid w:val="002E36AD"/>
    <w:rsid w:val="002E37F7"/>
    <w:rsid w:val="002E380E"/>
    <w:rsid w:val="002E3891"/>
    <w:rsid w:val="002E38D5"/>
    <w:rsid w:val="002E3909"/>
    <w:rsid w:val="002E3AF5"/>
    <w:rsid w:val="002E3E90"/>
    <w:rsid w:val="002E3F9E"/>
    <w:rsid w:val="002E41BA"/>
    <w:rsid w:val="002E429F"/>
    <w:rsid w:val="002E476A"/>
    <w:rsid w:val="002E479B"/>
    <w:rsid w:val="002E47E9"/>
    <w:rsid w:val="002E4943"/>
    <w:rsid w:val="002E49CB"/>
    <w:rsid w:val="002E4AAD"/>
    <w:rsid w:val="002E4B78"/>
    <w:rsid w:val="002E4E56"/>
    <w:rsid w:val="002E52CC"/>
    <w:rsid w:val="002E5457"/>
    <w:rsid w:val="002E5808"/>
    <w:rsid w:val="002E584F"/>
    <w:rsid w:val="002E58C5"/>
    <w:rsid w:val="002E5AE9"/>
    <w:rsid w:val="002E5B9E"/>
    <w:rsid w:val="002E605B"/>
    <w:rsid w:val="002E64DB"/>
    <w:rsid w:val="002E657D"/>
    <w:rsid w:val="002E69FD"/>
    <w:rsid w:val="002E6AF6"/>
    <w:rsid w:val="002E6B7A"/>
    <w:rsid w:val="002E6DC0"/>
    <w:rsid w:val="002E6E86"/>
    <w:rsid w:val="002E7001"/>
    <w:rsid w:val="002E7013"/>
    <w:rsid w:val="002E73BB"/>
    <w:rsid w:val="002E7991"/>
    <w:rsid w:val="002E7A32"/>
    <w:rsid w:val="002E7A7E"/>
    <w:rsid w:val="002E7EE9"/>
    <w:rsid w:val="002F0230"/>
    <w:rsid w:val="002F04A2"/>
    <w:rsid w:val="002F050E"/>
    <w:rsid w:val="002F0561"/>
    <w:rsid w:val="002F0565"/>
    <w:rsid w:val="002F059C"/>
    <w:rsid w:val="002F0A6E"/>
    <w:rsid w:val="002F0B26"/>
    <w:rsid w:val="002F0BF5"/>
    <w:rsid w:val="002F0EA0"/>
    <w:rsid w:val="002F1168"/>
    <w:rsid w:val="002F120A"/>
    <w:rsid w:val="002F126A"/>
    <w:rsid w:val="002F12A6"/>
    <w:rsid w:val="002F12CF"/>
    <w:rsid w:val="002F1466"/>
    <w:rsid w:val="002F14F6"/>
    <w:rsid w:val="002F162A"/>
    <w:rsid w:val="002F1696"/>
    <w:rsid w:val="002F1740"/>
    <w:rsid w:val="002F17FA"/>
    <w:rsid w:val="002F18DF"/>
    <w:rsid w:val="002F1DB6"/>
    <w:rsid w:val="002F1ECC"/>
    <w:rsid w:val="002F2057"/>
    <w:rsid w:val="002F21B3"/>
    <w:rsid w:val="002F25E9"/>
    <w:rsid w:val="002F2643"/>
    <w:rsid w:val="002F2CD6"/>
    <w:rsid w:val="002F306F"/>
    <w:rsid w:val="002F31FE"/>
    <w:rsid w:val="002F32FE"/>
    <w:rsid w:val="002F351E"/>
    <w:rsid w:val="002F35E5"/>
    <w:rsid w:val="002F3642"/>
    <w:rsid w:val="002F367D"/>
    <w:rsid w:val="002F389B"/>
    <w:rsid w:val="002F3976"/>
    <w:rsid w:val="002F3AB1"/>
    <w:rsid w:val="002F3AD6"/>
    <w:rsid w:val="002F3B6B"/>
    <w:rsid w:val="002F3C87"/>
    <w:rsid w:val="002F3D8D"/>
    <w:rsid w:val="002F3E23"/>
    <w:rsid w:val="002F404C"/>
    <w:rsid w:val="002F4165"/>
    <w:rsid w:val="002F4183"/>
    <w:rsid w:val="002F44C2"/>
    <w:rsid w:val="002F4916"/>
    <w:rsid w:val="002F4A50"/>
    <w:rsid w:val="002F4B98"/>
    <w:rsid w:val="002F4CE0"/>
    <w:rsid w:val="002F4FB6"/>
    <w:rsid w:val="002F5200"/>
    <w:rsid w:val="002F538A"/>
    <w:rsid w:val="002F57C5"/>
    <w:rsid w:val="002F57C9"/>
    <w:rsid w:val="002F5878"/>
    <w:rsid w:val="002F596E"/>
    <w:rsid w:val="002F5CA3"/>
    <w:rsid w:val="002F5D49"/>
    <w:rsid w:val="002F5DE3"/>
    <w:rsid w:val="002F6029"/>
    <w:rsid w:val="002F620C"/>
    <w:rsid w:val="002F626C"/>
    <w:rsid w:val="002F6632"/>
    <w:rsid w:val="002F66A3"/>
    <w:rsid w:val="002F6A05"/>
    <w:rsid w:val="002F6C77"/>
    <w:rsid w:val="002F6C8D"/>
    <w:rsid w:val="002F6F25"/>
    <w:rsid w:val="002F6FE9"/>
    <w:rsid w:val="002F71D3"/>
    <w:rsid w:val="002F72E0"/>
    <w:rsid w:val="002F7395"/>
    <w:rsid w:val="002F7537"/>
    <w:rsid w:val="002F76E9"/>
    <w:rsid w:val="002F79FA"/>
    <w:rsid w:val="002F7E42"/>
    <w:rsid w:val="002F7F6A"/>
    <w:rsid w:val="002F7FDF"/>
    <w:rsid w:val="003000C3"/>
    <w:rsid w:val="00300224"/>
    <w:rsid w:val="003002D2"/>
    <w:rsid w:val="003003E2"/>
    <w:rsid w:val="00300640"/>
    <w:rsid w:val="0030067F"/>
    <w:rsid w:val="00300778"/>
    <w:rsid w:val="0030099C"/>
    <w:rsid w:val="003009EF"/>
    <w:rsid w:val="00300AF5"/>
    <w:rsid w:val="00300B22"/>
    <w:rsid w:val="0030128B"/>
    <w:rsid w:val="0030152A"/>
    <w:rsid w:val="0030153A"/>
    <w:rsid w:val="003015B7"/>
    <w:rsid w:val="003017BE"/>
    <w:rsid w:val="00301B40"/>
    <w:rsid w:val="00301C03"/>
    <w:rsid w:val="00301E80"/>
    <w:rsid w:val="00301EAE"/>
    <w:rsid w:val="00302130"/>
    <w:rsid w:val="0030244F"/>
    <w:rsid w:val="00302572"/>
    <w:rsid w:val="00302622"/>
    <w:rsid w:val="003027A8"/>
    <w:rsid w:val="00302A79"/>
    <w:rsid w:val="00302C18"/>
    <w:rsid w:val="00302C1B"/>
    <w:rsid w:val="0030321B"/>
    <w:rsid w:val="00303464"/>
    <w:rsid w:val="00303491"/>
    <w:rsid w:val="00303661"/>
    <w:rsid w:val="00303961"/>
    <w:rsid w:val="00303A51"/>
    <w:rsid w:val="00303BD5"/>
    <w:rsid w:val="00303C42"/>
    <w:rsid w:val="00303CCE"/>
    <w:rsid w:val="00303E3A"/>
    <w:rsid w:val="00303E4B"/>
    <w:rsid w:val="003040E6"/>
    <w:rsid w:val="00304292"/>
    <w:rsid w:val="00304368"/>
    <w:rsid w:val="003043BD"/>
    <w:rsid w:val="003043D2"/>
    <w:rsid w:val="003044A7"/>
    <w:rsid w:val="00304D65"/>
    <w:rsid w:val="003057BA"/>
    <w:rsid w:val="00305858"/>
    <w:rsid w:val="003059EA"/>
    <w:rsid w:val="00305AF5"/>
    <w:rsid w:val="00305BB2"/>
    <w:rsid w:val="00305EB4"/>
    <w:rsid w:val="00305EFC"/>
    <w:rsid w:val="00306030"/>
    <w:rsid w:val="00306780"/>
    <w:rsid w:val="00306796"/>
    <w:rsid w:val="00306AEE"/>
    <w:rsid w:val="00306B0C"/>
    <w:rsid w:val="00306E0D"/>
    <w:rsid w:val="00306EA5"/>
    <w:rsid w:val="00306F80"/>
    <w:rsid w:val="00307282"/>
    <w:rsid w:val="00307557"/>
    <w:rsid w:val="00307581"/>
    <w:rsid w:val="003078C0"/>
    <w:rsid w:val="00307925"/>
    <w:rsid w:val="00307BF7"/>
    <w:rsid w:val="00307C04"/>
    <w:rsid w:val="00307DE3"/>
    <w:rsid w:val="00307DED"/>
    <w:rsid w:val="00307EE7"/>
    <w:rsid w:val="00310157"/>
    <w:rsid w:val="003108EE"/>
    <w:rsid w:val="00310A6E"/>
    <w:rsid w:val="00310BB6"/>
    <w:rsid w:val="00310F51"/>
    <w:rsid w:val="003114B3"/>
    <w:rsid w:val="00311AEC"/>
    <w:rsid w:val="00311F5B"/>
    <w:rsid w:val="00312073"/>
    <w:rsid w:val="003121AB"/>
    <w:rsid w:val="0031220F"/>
    <w:rsid w:val="00312320"/>
    <w:rsid w:val="003123C0"/>
    <w:rsid w:val="003125F2"/>
    <w:rsid w:val="003126FF"/>
    <w:rsid w:val="00312892"/>
    <w:rsid w:val="00312916"/>
    <w:rsid w:val="0031299D"/>
    <w:rsid w:val="00312A2E"/>
    <w:rsid w:val="00312F19"/>
    <w:rsid w:val="00312F34"/>
    <w:rsid w:val="00312FA4"/>
    <w:rsid w:val="0031305B"/>
    <w:rsid w:val="003130FB"/>
    <w:rsid w:val="003133A1"/>
    <w:rsid w:val="003133CD"/>
    <w:rsid w:val="00313422"/>
    <w:rsid w:val="00313432"/>
    <w:rsid w:val="00313587"/>
    <w:rsid w:val="003135AD"/>
    <w:rsid w:val="003136FC"/>
    <w:rsid w:val="00313833"/>
    <w:rsid w:val="00313991"/>
    <w:rsid w:val="00313A57"/>
    <w:rsid w:val="00313AA4"/>
    <w:rsid w:val="00313C16"/>
    <w:rsid w:val="00313CC8"/>
    <w:rsid w:val="003140E6"/>
    <w:rsid w:val="00314423"/>
    <w:rsid w:val="00314485"/>
    <w:rsid w:val="003145C4"/>
    <w:rsid w:val="00314977"/>
    <w:rsid w:val="003149B0"/>
    <w:rsid w:val="00314DAA"/>
    <w:rsid w:val="00314EA8"/>
    <w:rsid w:val="003150D8"/>
    <w:rsid w:val="00315133"/>
    <w:rsid w:val="00315229"/>
    <w:rsid w:val="0031528F"/>
    <w:rsid w:val="0031535C"/>
    <w:rsid w:val="003153FF"/>
    <w:rsid w:val="0031546D"/>
    <w:rsid w:val="00315585"/>
    <w:rsid w:val="00315622"/>
    <w:rsid w:val="00315750"/>
    <w:rsid w:val="00315842"/>
    <w:rsid w:val="00315855"/>
    <w:rsid w:val="00315C91"/>
    <w:rsid w:val="00315CFC"/>
    <w:rsid w:val="00315E40"/>
    <w:rsid w:val="00315F0D"/>
    <w:rsid w:val="00315F65"/>
    <w:rsid w:val="0031611B"/>
    <w:rsid w:val="0031648A"/>
    <w:rsid w:val="00316658"/>
    <w:rsid w:val="00316670"/>
    <w:rsid w:val="003166C7"/>
    <w:rsid w:val="0031684B"/>
    <w:rsid w:val="00316878"/>
    <w:rsid w:val="00316DBB"/>
    <w:rsid w:val="00316EE5"/>
    <w:rsid w:val="00316FB6"/>
    <w:rsid w:val="003174C5"/>
    <w:rsid w:val="003174C6"/>
    <w:rsid w:val="003176CA"/>
    <w:rsid w:val="003177C7"/>
    <w:rsid w:val="00317B03"/>
    <w:rsid w:val="00317B60"/>
    <w:rsid w:val="00320109"/>
    <w:rsid w:val="00320743"/>
    <w:rsid w:val="00320D1D"/>
    <w:rsid w:val="00320E0A"/>
    <w:rsid w:val="00321131"/>
    <w:rsid w:val="00321137"/>
    <w:rsid w:val="0032121A"/>
    <w:rsid w:val="00321579"/>
    <w:rsid w:val="003216C2"/>
    <w:rsid w:val="0032170A"/>
    <w:rsid w:val="003217EF"/>
    <w:rsid w:val="00321955"/>
    <w:rsid w:val="003225AA"/>
    <w:rsid w:val="00322615"/>
    <w:rsid w:val="003227AA"/>
    <w:rsid w:val="003228AA"/>
    <w:rsid w:val="003229CA"/>
    <w:rsid w:val="00322BBE"/>
    <w:rsid w:val="00322DCA"/>
    <w:rsid w:val="00323063"/>
    <w:rsid w:val="0032348A"/>
    <w:rsid w:val="003234E6"/>
    <w:rsid w:val="00323694"/>
    <w:rsid w:val="0032380A"/>
    <w:rsid w:val="00323975"/>
    <w:rsid w:val="00323CC5"/>
    <w:rsid w:val="00323F92"/>
    <w:rsid w:val="0032405F"/>
    <w:rsid w:val="0032407D"/>
    <w:rsid w:val="003241DD"/>
    <w:rsid w:val="00324330"/>
    <w:rsid w:val="00324361"/>
    <w:rsid w:val="003243D5"/>
    <w:rsid w:val="00324666"/>
    <w:rsid w:val="00324778"/>
    <w:rsid w:val="0032492D"/>
    <w:rsid w:val="00324972"/>
    <w:rsid w:val="00324BC8"/>
    <w:rsid w:val="00324C65"/>
    <w:rsid w:val="00324D1B"/>
    <w:rsid w:val="00324E02"/>
    <w:rsid w:val="00324F57"/>
    <w:rsid w:val="00325043"/>
    <w:rsid w:val="003251B3"/>
    <w:rsid w:val="003251E1"/>
    <w:rsid w:val="0032526A"/>
    <w:rsid w:val="003253A8"/>
    <w:rsid w:val="00325924"/>
    <w:rsid w:val="00325B0F"/>
    <w:rsid w:val="00325B4F"/>
    <w:rsid w:val="00325C0C"/>
    <w:rsid w:val="00325C93"/>
    <w:rsid w:val="00325DA3"/>
    <w:rsid w:val="00325EB7"/>
    <w:rsid w:val="003260D0"/>
    <w:rsid w:val="0032621E"/>
    <w:rsid w:val="0032673B"/>
    <w:rsid w:val="00326876"/>
    <w:rsid w:val="00326C65"/>
    <w:rsid w:val="00326F6E"/>
    <w:rsid w:val="00327052"/>
    <w:rsid w:val="00327485"/>
    <w:rsid w:val="0032749B"/>
    <w:rsid w:val="003274B6"/>
    <w:rsid w:val="003276E2"/>
    <w:rsid w:val="003278F7"/>
    <w:rsid w:val="00327E9B"/>
    <w:rsid w:val="00327FD3"/>
    <w:rsid w:val="00327FF5"/>
    <w:rsid w:val="003300CB"/>
    <w:rsid w:val="0033013A"/>
    <w:rsid w:val="00330143"/>
    <w:rsid w:val="00330302"/>
    <w:rsid w:val="00330504"/>
    <w:rsid w:val="003305F7"/>
    <w:rsid w:val="003306FA"/>
    <w:rsid w:val="003307C6"/>
    <w:rsid w:val="0033087B"/>
    <w:rsid w:val="00330A9E"/>
    <w:rsid w:val="00330F50"/>
    <w:rsid w:val="0033126A"/>
    <w:rsid w:val="003312C4"/>
    <w:rsid w:val="00331509"/>
    <w:rsid w:val="003316FD"/>
    <w:rsid w:val="00331705"/>
    <w:rsid w:val="003319CC"/>
    <w:rsid w:val="00331E3F"/>
    <w:rsid w:val="00332131"/>
    <w:rsid w:val="0033220C"/>
    <w:rsid w:val="003324D9"/>
    <w:rsid w:val="00332539"/>
    <w:rsid w:val="0033279A"/>
    <w:rsid w:val="003327A3"/>
    <w:rsid w:val="00332998"/>
    <w:rsid w:val="00332AD1"/>
    <w:rsid w:val="00332B0E"/>
    <w:rsid w:val="00332B70"/>
    <w:rsid w:val="00332CA3"/>
    <w:rsid w:val="00332CF8"/>
    <w:rsid w:val="00332EA7"/>
    <w:rsid w:val="003331F6"/>
    <w:rsid w:val="00333345"/>
    <w:rsid w:val="003334C7"/>
    <w:rsid w:val="003335F7"/>
    <w:rsid w:val="0033364B"/>
    <w:rsid w:val="003336C5"/>
    <w:rsid w:val="00333978"/>
    <w:rsid w:val="00333AC0"/>
    <w:rsid w:val="00333CAC"/>
    <w:rsid w:val="0033401D"/>
    <w:rsid w:val="00334389"/>
    <w:rsid w:val="003343B4"/>
    <w:rsid w:val="003344E7"/>
    <w:rsid w:val="00334614"/>
    <w:rsid w:val="00334747"/>
    <w:rsid w:val="00334955"/>
    <w:rsid w:val="00334A68"/>
    <w:rsid w:val="00334BC7"/>
    <w:rsid w:val="00334D28"/>
    <w:rsid w:val="00334ED7"/>
    <w:rsid w:val="00334F02"/>
    <w:rsid w:val="00334F1C"/>
    <w:rsid w:val="00335813"/>
    <w:rsid w:val="00335844"/>
    <w:rsid w:val="00335955"/>
    <w:rsid w:val="00335A0C"/>
    <w:rsid w:val="00335A20"/>
    <w:rsid w:val="00335C79"/>
    <w:rsid w:val="00335CE1"/>
    <w:rsid w:val="00335CEE"/>
    <w:rsid w:val="00335E10"/>
    <w:rsid w:val="003362CF"/>
    <w:rsid w:val="003362D9"/>
    <w:rsid w:val="0033633D"/>
    <w:rsid w:val="00336363"/>
    <w:rsid w:val="003363DA"/>
    <w:rsid w:val="0033658C"/>
    <w:rsid w:val="003365F6"/>
    <w:rsid w:val="00336657"/>
    <w:rsid w:val="003368F1"/>
    <w:rsid w:val="00336A3D"/>
    <w:rsid w:val="00336B90"/>
    <w:rsid w:val="00336BCA"/>
    <w:rsid w:val="00336D71"/>
    <w:rsid w:val="00336DED"/>
    <w:rsid w:val="00336E58"/>
    <w:rsid w:val="00336F65"/>
    <w:rsid w:val="00336FDA"/>
    <w:rsid w:val="00337031"/>
    <w:rsid w:val="003370FB"/>
    <w:rsid w:val="00337224"/>
    <w:rsid w:val="00337251"/>
    <w:rsid w:val="00337380"/>
    <w:rsid w:val="0033743A"/>
    <w:rsid w:val="00337980"/>
    <w:rsid w:val="00337989"/>
    <w:rsid w:val="0034049C"/>
    <w:rsid w:val="00340922"/>
    <w:rsid w:val="00340A7D"/>
    <w:rsid w:val="00340B34"/>
    <w:rsid w:val="00340C4D"/>
    <w:rsid w:val="00340E41"/>
    <w:rsid w:val="00341662"/>
    <w:rsid w:val="003418AC"/>
    <w:rsid w:val="00341944"/>
    <w:rsid w:val="00341B15"/>
    <w:rsid w:val="00341B91"/>
    <w:rsid w:val="00341DE0"/>
    <w:rsid w:val="00341E0F"/>
    <w:rsid w:val="00341F11"/>
    <w:rsid w:val="003420E0"/>
    <w:rsid w:val="00342119"/>
    <w:rsid w:val="00342173"/>
    <w:rsid w:val="00342265"/>
    <w:rsid w:val="00342444"/>
    <w:rsid w:val="0034252E"/>
    <w:rsid w:val="00342899"/>
    <w:rsid w:val="003428F3"/>
    <w:rsid w:val="00342A52"/>
    <w:rsid w:val="00342BAA"/>
    <w:rsid w:val="00342C49"/>
    <w:rsid w:val="00342D06"/>
    <w:rsid w:val="003433B9"/>
    <w:rsid w:val="0034351D"/>
    <w:rsid w:val="003439F5"/>
    <w:rsid w:val="00343A53"/>
    <w:rsid w:val="00343B7B"/>
    <w:rsid w:val="00343D4C"/>
    <w:rsid w:val="00344087"/>
    <w:rsid w:val="003440FE"/>
    <w:rsid w:val="0034449F"/>
    <w:rsid w:val="003446A9"/>
    <w:rsid w:val="003449D3"/>
    <w:rsid w:val="00344C80"/>
    <w:rsid w:val="00344D5B"/>
    <w:rsid w:val="00344FFD"/>
    <w:rsid w:val="00345002"/>
    <w:rsid w:val="00345077"/>
    <w:rsid w:val="0034574D"/>
    <w:rsid w:val="0034585A"/>
    <w:rsid w:val="003458C2"/>
    <w:rsid w:val="0034591D"/>
    <w:rsid w:val="003459DA"/>
    <w:rsid w:val="00345AB6"/>
    <w:rsid w:val="00345AFD"/>
    <w:rsid w:val="00345B5F"/>
    <w:rsid w:val="003468F1"/>
    <w:rsid w:val="00346931"/>
    <w:rsid w:val="00346B24"/>
    <w:rsid w:val="00346B3F"/>
    <w:rsid w:val="00346F16"/>
    <w:rsid w:val="00346F41"/>
    <w:rsid w:val="00346F99"/>
    <w:rsid w:val="0034750A"/>
    <w:rsid w:val="00347BA8"/>
    <w:rsid w:val="00347FC2"/>
    <w:rsid w:val="003500EE"/>
    <w:rsid w:val="003502F9"/>
    <w:rsid w:val="00350300"/>
    <w:rsid w:val="00350C48"/>
    <w:rsid w:val="00350CFB"/>
    <w:rsid w:val="00350D13"/>
    <w:rsid w:val="00350E09"/>
    <w:rsid w:val="00350F1C"/>
    <w:rsid w:val="00350F6A"/>
    <w:rsid w:val="003511D3"/>
    <w:rsid w:val="00351400"/>
    <w:rsid w:val="003516D3"/>
    <w:rsid w:val="00351872"/>
    <w:rsid w:val="00351B24"/>
    <w:rsid w:val="00351F9A"/>
    <w:rsid w:val="00351FC6"/>
    <w:rsid w:val="00352130"/>
    <w:rsid w:val="0035218C"/>
    <w:rsid w:val="003521BA"/>
    <w:rsid w:val="00352289"/>
    <w:rsid w:val="003522C7"/>
    <w:rsid w:val="00352410"/>
    <w:rsid w:val="003524A4"/>
    <w:rsid w:val="003526DF"/>
    <w:rsid w:val="003529E8"/>
    <w:rsid w:val="00352A4A"/>
    <w:rsid w:val="00352BEA"/>
    <w:rsid w:val="00352C21"/>
    <w:rsid w:val="00352C7D"/>
    <w:rsid w:val="00352C95"/>
    <w:rsid w:val="00352E04"/>
    <w:rsid w:val="0035308C"/>
    <w:rsid w:val="0035313F"/>
    <w:rsid w:val="0035337A"/>
    <w:rsid w:val="00353573"/>
    <w:rsid w:val="0035361F"/>
    <w:rsid w:val="00353707"/>
    <w:rsid w:val="003537F9"/>
    <w:rsid w:val="00353C09"/>
    <w:rsid w:val="003542CB"/>
    <w:rsid w:val="00354532"/>
    <w:rsid w:val="003547F8"/>
    <w:rsid w:val="00354841"/>
    <w:rsid w:val="00354A20"/>
    <w:rsid w:val="00354EFD"/>
    <w:rsid w:val="00354F7E"/>
    <w:rsid w:val="003555CC"/>
    <w:rsid w:val="00355857"/>
    <w:rsid w:val="00355AF2"/>
    <w:rsid w:val="00355B9C"/>
    <w:rsid w:val="00355BEB"/>
    <w:rsid w:val="00355D5B"/>
    <w:rsid w:val="003561B4"/>
    <w:rsid w:val="003561DB"/>
    <w:rsid w:val="00356727"/>
    <w:rsid w:val="00356929"/>
    <w:rsid w:val="003569B1"/>
    <w:rsid w:val="00356B8A"/>
    <w:rsid w:val="003574ED"/>
    <w:rsid w:val="0035759D"/>
    <w:rsid w:val="00357693"/>
    <w:rsid w:val="003576A0"/>
    <w:rsid w:val="003576A7"/>
    <w:rsid w:val="003576FA"/>
    <w:rsid w:val="003578F8"/>
    <w:rsid w:val="00357922"/>
    <w:rsid w:val="0036064D"/>
    <w:rsid w:val="0036096A"/>
    <w:rsid w:val="00360B61"/>
    <w:rsid w:val="00360C3D"/>
    <w:rsid w:val="00360DEB"/>
    <w:rsid w:val="00360F3F"/>
    <w:rsid w:val="00361049"/>
    <w:rsid w:val="0036106E"/>
    <w:rsid w:val="00361106"/>
    <w:rsid w:val="00361287"/>
    <w:rsid w:val="003612B1"/>
    <w:rsid w:val="0036145D"/>
    <w:rsid w:val="003616F9"/>
    <w:rsid w:val="0036173A"/>
    <w:rsid w:val="003619CC"/>
    <w:rsid w:val="00361BEB"/>
    <w:rsid w:val="00361F2F"/>
    <w:rsid w:val="00361FBC"/>
    <w:rsid w:val="003621A3"/>
    <w:rsid w:val="003622D4"/>
    <w:rsid w:val="0036264F"/>
    <w:rsid w:val="003628F9"/>
    <w:rsid w:val="0036293B"/>
    <w:rsid w:val="00362941"/>
    <w:rsid w:val="00362B30"/>
    <w:rsid w:val="00362C11"/>
    <w:rsid w:val="00362D3F"/>
    <w:rsid w:val="00362E0D"/>
    <w:rsid w:val="00362E3A"/>
    <w:rsid w:val="00362E76"/>
    <w:rsid w:val="0036305E"/>
    <w:rsid w:val="003630B0"/>
    <w:rsid w:val="00363120"/>
    <w:rsid w:val="00363504"/>
    <w:rsid w:val="00363532"/>
    <w:rsid w:val="003636EA"/>
    <w:rsid w:val="00363763"/>
    <w:rsid w:val="00363BBC"/>
    <w:rsid w:val="00363DDE"/>
    <w:rsid w:val="00364154"/>
    <w:rsid w:val="0036415C"/>
    <w:rsid w:val="00364609"/>
    <w:rsid w:val="0036464C"/>
    <w:rsid w:val="00364710"/>
    <w:rsid w:val="003648E4"/>
    <w:rsid w:val="003649FB"/>
    <w:rsid w:val="00364CA5"/>
    <w:rsid w:val="00364D2F"/>
    <w:rsid w:val="003650C4"/>
    <w:rsid w:val="0036513A"/>
    <w:rsid w:val="003654E5"/>
    <w:rsid w:val="003657E0"/>
    <w:rsid w:val="00365886"/>
    <w:rsid w:val="003659FC"/>
    <w:rsid w:val="00365B5A"/>
    <w:rsid w:val="0036611D"/>
    <w:rsid w:val="003662C7"/>
    <w:rsid w:val="00366470"/>
    <w:rsid w:val="003664CB"/>
    <w:rsid w:val="00366725"/>
    <w:rsid w:val="00366809"/>
    <w:rsid w:val="003669E5"/>
    <w:rsid w:val="00366B64"/>
    <w:rsid w:val="00366C22"/>
    <w:rsid w:val="00366C4C"/>
    <w:rsid w:val="00367673"/>
    <w:rsid w:val="0036773C"/>
    <w:rsid w:val="003679D4"/>
    <w:rsid w:val="003702C2"/>
    <w:rsid w:val="003705DF"/>
    <w:rsid w:val="00370617"/>
    <w:rsid w:val="003707B4"/>
    <w:rsid w:val="00370899"/>
    <w:rsid w:val="00370901"/>
    <w:rsid w:val="0037093B"/>
    <w:rsid w:val="003709D8"/>
    <w:rsid w:val="00370C3F"/>
    <w:rsid w:val="00370CA4"/>
    <w:rsid w:val="00370D02"/>
    <w:rsid w:val="00370D09"/>
    <w:rsid w:val="003713ED"/>
    <w:rsid w:val="00371599"/>
    <w:rsid w:val="003718C3"/>
    <w:rsid w:val="00371A7D"/>
    <w:rsid w:val="00371C08"/>
    <w:rsid w:val="00371C1B"/>
    <w:rsid w:val="00371D63"/>
    <w:rsid w:val="00371DC8"/>
    <w:rsid w:val="00371E1B"/>
    <w:rsid w:val="003726FC"/>
    <w:rsid w:val="003728DE"/>
    <w:rsid w:val="00372BC5"/>
    <w:rsid w:val="00372D8C"/>
    <w:rsid w:val="00372E98"/>
    <w:rsid w:val="00373029"/>
    <w:rsid w:val="003731B6"/>
    <w:rsid w:val="003731CD"/>
    <w:rsid w:val="00373317"/>
    <w:rsid w:val="0037344B"/>
    <w:rsid w:val="003735DE"/>
    <w:rsid w:val="0037377A"/>
    <w:rsid w:val="003737B1"/>
    <w:rsid w:val="00373994"/>
    <w:rsid w:val="00373A4D"/>
    <w:rsid w:val="00373D12"/>
    <w:rsid w:val="00374056"/>
    <w:rsid w:val="00374140"/>
    <w:rsid w:val="00374298"/>
    <w:rsid w:val="00374735"/>
    <w:rsid w:val="0037479B"/>
    <w:rsid w:val="003748A4"/>
    <w:rsid w:val="00374B8C"/>
    <w:rsid w:val="00374CB4"/>
    <w:rsid w:val="00374D76"/>
    <w:rsid w:val="00374F8B"/>
    <w:rsid w:val="0037511C"/>
    <w:rsid w:val="00375127"/>
    <w:rsid w:val="00375160"/>
    <w:rsid w:val="003751ED"/>
    <w:rsid w:val="0037526A"/>
    <w:rsid w:val="003752C3"/>
    <w:rsid w:val="003752DA"/>
    <w:rsid w:val="003752E2"/>
    <w:rsid w:val="003758B4"/>
    <w:rsid w:val="00375AE1"/>
    <w:rsid w:val="0037615F"/>
    <w:rsid w:val="003765AD"/>
    <w:rsid w:val="003765C1"/>
    <w:rsid w:val="003766A7"/>
    <w:rsid w:val="00376B8E"/>
    <w:rsid w:val="00376FED"/>
    <w:rsid w:val="003770A6"/>
    <w:rsid w:val="00377171"/>
    <w:rsid w:val="0037763B"/>
    <w:rsid w:val="00377690"/>
    <w:rsid w:val="003776A1"/>
    <w:rsid w:val="00377A51"/>
    <w:rsid w:val="00377D8A"/>
    <w:rsid w:val="00377E6C"/>
    <w:rsid w:val="00377F1B"/>
    <w:rsid w:val="003801AF"/>
    <w:rsid w:val="003806EF"/>
    <w:rsid w:val="003807EF"/>
    <w:rsid w:val="003808D2"/>
    <w:rsid w:val="00380901"/>
    <w:rsid w:val="00380984"/>
    <w:rsid w:val="003809EB"/>
    <w:rsid w:val="003809F2"/>
    <w:rsid w:val="00380A4F"/>
    <w:rsid w:val="00380A99"/>
    <w:rsid w:val="00380BA7"/>
    <w:rsid w:val="00380C45"/>
    <w:rsid w:val="00380D51"/>
    <w:rsid w:val="00380D9F"/>
    <w:rsid w:val="00380E0D"/>
    <w:rsid w:val="003810BB"/>
    <w:rsid w:val="00381125"/>
    <w:rsid w:val="0038125D"/>
    <w:rsid w:val="00381327"/>
    <w:rsid w:val="00381337"/>
    <w:rsid w:val="003814FC"/>
    <w:rsid w:val="00381BD2"/>
    <w:rsid w:val="00381D36"/>
    <w:rsid w:val="00381DED"/>
    <w:rsid w:val="003820EA"/>
    <w:rsid w:val="00382150"/>
    <w:rsid w:val="00382164"/>
    <w:rsid w:val="00382167"/>
    <w:rsid w:val="003821FB"/>
    <w:rsid w:val="00382225"/>
    <w:rsid w:val="00382245"/>
    <w:rsid w:val="003822E0"/>
    <w:rsid w:val="003823DC"/>
    <w:rsid w:val="00382586"/>
    <w:rsid w:val="00382A16"/>
    <w:rsid w:val="00382C63"/>
    <w:rsid w:val="00382F48"/>
    <w:rsid w:val="0038300B"/>
    <w:rsid w:val="00383220"/>
    <w:rsid w:val="0038329B"/>
    <w:rsid w:val="003832A8"/>
    <w:rsid w:val="003833EC"/>
    <w:rsid w:val="00383499"/>
    <w:rsid w:val="00383A28"/>
    <w:rsid w:val="00383CF6"/>
    <w:rsid w:val="00383D60"/>
    <w:rsid w:val="00383FA3"/>
    <w:rsid w:val="00383FF9"/>
    <w:rsid w:val="00384180"/>
    <w:rsid w:val="0038434D"/>
    <w:rsid w:val="003845A7"/>
    <w:rsid w:val="00384608"/>
    <w:rsid w:val="003846E5"/>
    <w:rsid w:val="0038519E"/>
    <w:rsid w:val="003856B8"/>
    <w:rsid w:val="00385707"/>
    <w:rsid w:val="003857BF"/>
    <w:rsid w:val="0038598B"/>
    <w:rsid w:val="00385997"/>
    <w:rsid w:val="00385DC0"/>
    <w:rsid w:val="00385ED1"/>
    <w:rsid w:val="003866A9"/>
    <w:rsid w:val="003868F9"/>
    <w:rsid w:val="00386B8B"/>
    <w:rsid w:val="00386C52"/>
    <w:rsid w:val="00386CB8"/>
    <w:rsid w:val="00386D8E"/>
    <w:rsid w:val="00386DE5"/>
    <w:rsid w:val="003870F1"/>
    <w:rsid w:val="00387254"/>
    <w:rsid w:val="003875DE"/>
    <w:rsid w:val="00387788"/>
    <w:rsid w:val="003877EB"/>
    <w:rsid w:val="0038795B"/>
    <w:rsid w:val="00387B23"/>
    <w:rsid w:val="00387BAD"/>
    <w:rsid w:val="00387F20"/>
    <w:rsid w:val="00387F59"/>
    <w:rsid w:val="00390086"/>
    <w:rsid w:val="00390138"/>
    <w:rsid w:val="003901B7"/>
    <w:rsid w:val="003901DC"/>
    <w:rsid w:val="00390569"/>
    <w:rsid w:val="003906D7"/>
    <w:rsid w:val="00390ADF"/>
    <w:rsid w:val="00390EFE"/>
    <w:rsid w:val="00390F45"/>
    <w:rsid w:val="0039103B"/>
    <w:rsid w:val="00391137"/>
    <w:rsid w:val="003914E9"/>
    <w:rsid w:val="0039179C"/>
    <w:rsid w:val="00391E78"/>
    <w:rsid w:val="00391F27"/>
    <w:rsid w:val="003920B2"/>
    <w:rsid w:val="00392120"/>
    <w:rsid w:val="0039219C"/>
    <w:rsid w:val="00392376"/>
    <w:rsid w:val="003928C5"/>
    <w:rsid w:val="00392B75"/>
    <w:rsid w:val="00392E40"/>
    <w:rsid w:val="0039303B"/>
    <w:rsid w:val="0039318E"/>
    <w:rsid w:val="00393205"/>
    <w:rsid w:val="0039362B"/>
    <w:rsid w:val="003936CD"/>
    <w:rsid w:val="00393769"/>
    <w:rsid w:val="003938BA"/>
    <w:rsid w:val="0039396D"/>
    <w:rsid w:val="00393C5C"/>
    <w:rsid w:val="00393D35"/>
    <w:rsid w:val="00393EA9"/>
    <w:rsid w:val="00394109"/>
    <w:rsid w:val="00394207"/>
    <w:rsid w:val="0039449B"/>
    <w:rsid w:val="0039473F"/>
    <w:rsid w:val="003947B8"/>
    <w:rsid w:val="003950D5"/>
    <w:rsid w:val="00395181"/>
    <w:rsid w:val="003951A7"/>
    <w:rsid w:val="003960AD"/>
    <w:rsid w:val="00396395"/>
    <w:rsid w:val="003963F7"/>
    <w:rsid w:val="003964CC"/>
    <w:rsid w:val="00396652"/>
    <w:rsid w:val="0039686E"/>
    <w:rsid w:val="0039709B"/>
    <w:rsid w:val="0039720E"/>
    <w:rsid w:val="003973A1"/>
    <w:rsid w:val="00397703"/>
    <w:rsid w:val="0039796C"/>
    <w:rsid w:val="00397AC2"/>
    <w:rsid w:val="00397B60"/>
    <w:rsid w:val="00397E67"/>
    <w:rsid w:val="00397F27"/>
    <w:rsid w:val="003A0227"/>
    <w:rsid w:val="003A024F"/>
    <w:rsid w:val="003A036C"/>
    <w:rsid w:val="003A038B"/>
    <w:rsid w:val="003A054A"/>
    <w:rsid w:val="003A058B"/>
    <w:rsid w:val="003A07AC"/>
    <w:rsid w:val="003A0A57"/>
    <w:rsid w:val="003A0CD0"/>
    <w:rsid w:val="003A0CFD"/>
    <w:rsid w:val="003A0F29"/>
    <w:rsid w:val="003A0FE9"/>
    <w:rsid w:val="003A13C5"/>
    <w:rsid w:val="003A1482"/>
    <w:rsid w:val="003A1884"/>
    <w:rsid w:val="003A1914"/>
    <w:rsid w:val="003A1988"/>
    <w:rsid w:val="003A1F0D"/>
    <w:rsid w:val="003A1F6B"/>
    <w:rsid w:val="003A1F80"/>
    <w:rsid w:val="003A2682"/>
    <w:rsid w:val="003A28E8"/>
    <w:rsid w:val="003A2A8A"/>
    <w:rsid w:val="003A2A8F"/>
    <w:rsid w:val="003A2B1C"/>
    <w:rsid w:val="003A2B90"/>
    <w:rsid w:val="003A2BFD"/>
    <w:rsid w:val="003A2D2C"/>
    <w:rsid w:val="003A2FA4"/>
    <w:rsid w:val="003A3296"/>
    <w:rsid w:val="003A34C6"/>
    <w:rsid w:val="003A34F0"/>
    <w:rsid w:val="003A36AB"/>
    <w:rsid w:val="003A37BF"/>
    <w:rsid w:val="003A3AE7"/>
    <w:rsid w:val="003A3B9B"/>
    <w:rsid w:val="003A444D"/>
    <w:rsid w:val="003A4505"/>
    <w:rsid w:val="003A4527"/>
    <w:rsid w:val="003A47E2"/>
    <w:rsid w:val="003A49F0"/>
    <w:rsid w:val="003A505B"/>
    <w:rsid w:val="003A506B"/>
    <w:rsid w:val="003A5365"/>
    <w:rsid w:val="003A546D"/>
    <w:rsid w:val="003A562D"/>
    <w:rsid w:val="003A5B69"/>
    <w:rsid w:val="003A5BA3"/>
    <w:rsid w:val="003A5EBB"/>
    <w:rsid w:val="003A60B6"/>
    <w:rsid w:val="003A634F"/>
    <w:rsid w:val="003A643F"/>
    <w:rsid w:val="003A64FA"/>
    <w:rsid w:val="003A691C"/>
    <w:rsid w:val="003A6B53"/>
    <w:rsid w:val="003A6C67"/>
    <w:rsid w:val="003A6CE9"/>
    <w:rsid w:val="003A6D48"/>
    <w:rsid w:val="003A6EB2"/>
    <w:rsid w:val="003A6F47"/>
    <w:rsid w:val="003A75D6"/>
    <w:rsid w:val="003A77B1"/>
    <w:rsid w:val="003A7910"/>
    <w:rsid w:val="003A79F1"/>
    <w:rsid w:val="003A7D28"/>
    <w:rsid w:val="003A7D9F"/>
    <w:rsid w:val="003A7EA8"/>
    <w:rsid w:val="003A7ED7"/>
    <w:rsid w:val="003B0030"/>
    <w:rsid w:val="003B0339"/>
    <w:rsid w:val="003B0406"/>
    <w:rsid w:val="003B0530"/>
    <w:rsid w:val="003B061E"/>
    <w:rsid w:val="003B06BF"/>
    <w:rsid w:val="003B0724"/>
    <w:rsid w:val="003B09BB"/>
    <w:rsid w:val="003B0D7B"/>
    <w:rsid w:val="003B0DC6"/>
    <w:rsid w:val="003B11F8"/>
    <w:rsid w:val="003B12B7"/>
    <w:rsid w:val="003B148C"/>
    <w:rsid w:val="003B1716"/>
    <w:rsid w:val="003B1774"/>
    <w:rsid w:val="003B190B"/>
    <w:rsid w:val="003B1AFE"/>
    <w:rsid w:val="003B1CF4"/>
    <w:rsid w:val="003B24EC"/>
    <w:rsid w:val="003B281E"/>
    <w:rsid w:val="003B2E3A"/>
    <w:rsid w:val="003B2F35"/>
    <w:rsid w:val="003B3013"/>
    <w:rsid w:val="003B3047"/>
    <w:rsid w:val="003B32B2"/>
    <w:rsid w:val="003B32F7"/>
    <w:rsid w:val="003B3350"/>
    <w:rsid w:val="003B3410"/>
    <w:rsid w:val="003B3734"/>
    <w:rsid w:val="003B387C"/>
    <w:rsid w:val="003B3D54"/>
    <w:rsid w:val="003B3D71"/>
    <w:rsid w:val="003B3E59"/>
    <w:rsid w:val="003B3F63"/>
    <w:rsid w:val="003B3FC0"/>
    <w:rsid w:val="003B430A"/>
    <w:rsid w:val="003B43FB"/>
    <w:rsid w:val="003B4465"/>
    <w:rsid w:val="003B44A9"/>
    <w:rsid w:val="003B459C"/>
    <w:rsid w:val="003B4638"/>
    <w:rsid w:val="003B47B2"/>
    <w:rsid w:val="003B482F"/>
    <w:rsid w:val="003B4971"/>
    <w:rsid w:val="003B49A1"/>
    <w:rsid w:val="003B4BE8"/>
    <w:rsid w:val="003B4D25"/>
    <w:rsid w:val="003B4E07"/>
    <w:rsid w:val="003B4E63"/>
    <w:rsid w:val="003B50B0"/>
    <w:rsid w:val="003B5119"/>
    <w:rsid w:val="003B519D"/>
    <w:rsid w:val="003B53AB"/>
    <w:rsid w:val="003B53CC"/>
    <w:rsid w:val="003B5541"/>
    <w:rsid w:val="003B5AD3"/>
    <w:rsid w:val="003B5BE7"/>
    <w:rsid w:val="003B5DE9"/>
    <w:rsid w:val="003B5FA4"/>
    <w:rsid w:val="003B61E9"/>
    <w:rsid w:val="003B6345"/>
    <w:rsid w:val="003B6492"/>
    <w:rsid w:val="003B649B"/>
    <w:rsid w:val="003B6539"/>
    <w:rsid w:val="003B66AC"/>
    <w:rsid w:val="003B6711"/>
    <w:rsid w:val="003B6DAD"/>
    <w:rsid w:val="003B6F54"/>
    <w:rsid w:val="003B701C"/>
    <w:rsid w:val="003B712E"/>
    <w:rsid w:val="003B717B"/>
    <w:rsid w:val="003B7236"/>
    <w:rsid w:val="003B735C"/>
    <w:rsid w:val="003B7430"/>
    <w:rsid w:val="003B79B7"/>
    <w:rsid w:val="003B7CB7"/>
    <w:rsid w:val="003B7EC7"/>
    <w:rsid w:val="003C0482"/>
    <w:rsid w:val="003C05CC"/>
    <w:rsid w:val="003C0664"/>
    <w:rsid w:val="003C067F"/>
    <w:rsid w:val="003C091E"/>
    <w:rsid w:val="003C09E7"/>
    <w:rsid w:val="003C0B20"/>
    <w:rsid w:val="003C0BED"/>
    <w:rsid w:val="003C0D14"/>
    <w:rsid w:val="003C0D45"/>
    <w:rsid w:val="003C0E91"/>
    <w:rsid w:val="003C0F36"/>
    <w:rsid w:val="003C13B3"/>
    <w:rsid w:val="003C16C4"/>
    <w:rsid w:val="003C18AD"/>
    <w:rsid w:val="003C1C39"/>
    <w:rsid w:val="003C1CA8"/>
    <w:rsid w:val="003C1CE0"/>
    <w:rsid w:val="003C1F95"/>
    <w:rsid w:val="003C20D3"/>
    <w:rsid w:val="003C217F"/>
    <w:rsid w:val="003C2217"/>
    <w:rsid w:val="003C2AA7"/>
    <w:rsid w:val="003C2BD2"/>
    <w:rsid w:val="003C2DB2"/>
    <w:rsid w:val="003C2E9B"/>
    <w:rsid w:val="003C312B"/>
    <w:rsid w:val="003C3368"/>
    <w:rsid w:val="003C33AE"/>
    <w:rsid w:val="003C3651"/>
    <w:rsid w:val="003C3772"/>
    <w:rsid w:val="003C3779"/>
    <w:rsid w:val="003C37B9"/>
    <w:rsid w:val="003C37DD"/>
    <w:rsid w:val="003C38BD"/>
    <w:rsid w:val="003C3A14"/>
    <w:rsid w:val="003C3BC2"/>
    <w:rsid w:val="003C3BCD"/>
    <w:rsid w:val="003C3C33"/>
    <w:rsid w:val="003C3C78"/>
    <w:rsid w:val="003C3D91"/>
    <w:rsid w:val="003C3E0F"/>
    <w:rsid w:val="003C3EDA"/>
    <w:rsid w:val="003C3F27"/>
    <w:rsid w:val="003C3F3B"/>
    <w:rsid w:val="003C4209"/>
    <w:rsid w:val="003C425A"/>
    <w:rsid w:val="003C444F"/>
    <w:rsid w:val="003C45DE"/>
    <w:rsid w:val="003C4630"/>
    <w:rsid w:val="003C474B"/>
    <w:rsid w:val="003C475B"/>
    <w:rsid w:val="003C47E7"/>
    <w:rsid w:val="003C4940"/>
    <w:rsid w:val="003C4AC5"/>
    <w:rsid w:val="003C4CB9"/>
    <w:rsid w:val="003C5054"/>
    <w:rsid w:val="003C5099"/>
    <w:rsid w:val="003C50AA"/>
    <w:rsid w:val="003C50AE"/>
    <w:rsid w:val="003C510E"/>
    <w:rsid w:val="003C596A"/>
    <w:rsid w:val="003C598D"/>
    <w:rsid w:val="003C5AF6"/>
    <w:rsid w:val="003C5C56"/>
    <w:rsid w:val="003C6049"/>
    <w:rsid w:val="003C621D"/>
    <w:rsid w:val="003C62D6"/>
    <w:rsid w:val="003C6620"/>
    <w:rsid w:val="003C673F"/>
    <w:rsid w:val="003C6827"/>
    <w:rsid w:val="003C6A12"/>
    <w:rsid w:val="003C6B7E"/>
    <w:rsid w:val="003C6C5B"/>
    <w:rsid w:val="003C7076"/>
    <w:rsid w:val="003C70FF"/>
    <w:rsid w:val="003C71FE"/>
    <w:rsid w:val="003C7203"/>
    <w:rsid w:val="003C7290"/>
    <w:rsid w:val="003C72A9"/>
    <w:rsid w:val="003C72BB"/>
    <w:rsid w:val="003C735A"/>
    <w:rsid w:val="003C74C7"/>
    <w:rsid w:val="003C78FB"/>
    <w:rsid w:val="003C7AF1"/>
    <w:rsid w:val="003C7B87"/>
    <w:rsid w:val="003C7C61"/>
    <w:rsid w:val="003C7FB5"/>
    <w:rsid w:val="003D013E"/>
    <w:rsid w:val="003D0360"/>
    <w:rsid w:val="003D04FA"/>
    <w:rsid w:val="003D05D7"/>
    <w:rsid w:val="003D0713"/>
    <w:rsid w:val="003D0B13"/>
    <w:rsid w:val="003D0CA7"/>
    <w:rsid w:val="003D1042"/>
    <w:rsid w:val="003D1288"/>
    <w:rsid w:val="003D12AE"/>
    <w:rsid w:val="003D142B"/>
    <w:rsid w:val="003D1E04"/>
    <w:rsid w:val="003D2232"/>
    <w:rsid w:val="003D2241"/>
    <w:rsid w:val="003D22C0"/>
    <w:rsid w:val="003D2372"/>
    <w:rsid w:val="003D2533"/>
    <w:rsid w:val="003D25C4"/>
    <w:rsid w:val="003D263B"/>
    <w:rsid w:val="003D2B80"/>
    <w:rsid w:val="003D2BAA"/>
    <w:rsid w:val="003D2C4D"/>
    <w:rsid w:val="003D2E2A"/>
    <w:rsid w:val="003D30DA"/>
    <w:rsid w:val="003D3447"/>
    <w:rsid w:val="003D3468"/>
    <w:rsid w:val="003D34B7"/>
    <w:rsid w:val="003D356B"/>
    <w:rsid w:val="003D357E"/>
    <w:rsid w:val="003D3695"/>
    <w:rsid w:val="003D371F"/>
    <w:rsid w:val="003D394E"/>
    <w:rsid w:val="003D3A10"/>
    <w:rsid w:val="003D3BD7"/>
    <w:rsid w:val="003D3E1F"/>
    <w:rsid w:val="003D3F0D"/>
    <w:rsid w:val="003D3F58"/>
    <w:rsid w:val="003D4003"/>
    <w:rsid w:val="003D4055"/>
    <w:rsid w:val="003D40EB"/>
    <w:rsid w:val="003D43F2"/>
    <w:rsid w:val="003D4483"/>
    <w:rsid w:val="003D49B5"/>
    <w:rsid w:val="003D4A5F"/>
    <w:rsid w:val="003D4B38"/>
    <w:rsid w:val="003D4C15"/>
    <w:rsid w:val="003D4DC8"/>
    <w:rsid w:val="003D4F95"/>
    <w:rsid w:val="003D4FE5"/>
    <w:rsid w:val="003D4FE8"/>
    <w:rsid w:val="003D53EC"/>
    <w:rsid w:val="003D545B"/>
    <w:rsid w:val="003D5460"/>
    <w:rsid w:val="003D5476"/>
    <w:rsid w:val="003D57EB"/>
    <w:rsid w:val="003D5A45"/>
    <w:rsid w:val="003D5A4D"/>
    <w:rsid w:val="003D5B85"/>
    <w:rsid w:val="003D5CDB"/>
    <w:rsid w:val="003D5D67"/>
    <w:rsid w:val="003D5DC4"/>
    <w:rsid w:val="003D5EA3"/>
    <w:rsid w:val="003D5F52"/>
    <w:rsid w:val="003D6113"/>
    <w:rsid w:val="003D6245"/>
    <w:rsid w:val="003D627E"/>
    <w:rsid w:val="003D650B"/>
    <w:rsid w:val="003D6A16"/>
    <w:rsid w:val="003D6AA6"/>
    <w:rsid w:val="003D6D17"/>
    <w:rsid w:val="003D6F2C"/>
    <w:rsid w:val="003D738F"/>
    <w:rsid w:val="003D75A3"/>
    <w:rsid w:val="003D7644"/>
    <w:rsid w:val="003D76D7"/>
    <w:rsid w:val="003D7861"/>
    <w:rsid w:val="003D7B23"/>
    <w:rsid w:val="003D7C1A"/>
    <w:rsid w:val="003D7C35"/>
    <w:rsid w:val="003D7ECF"/>
    <w:rsid w:val="003D7EE9"/>
    <w:rsid w:val="003E00F7"/>
    <w:rsid w:val="003E0566"/>
    <w:rsid w:val="003E056F"/>
    <w:rsid w:val="003E0597"/>
    <w:rsid w:val="003E06D3"/>
    <w:rsid w:val="003E0827"/>
    <w:rsid w:val="003E0B02"/>
    <w:rsid w:val="003E0B36"/>
    <w:rsid w:val="003E0BC2"/>
    <w:rsid w:val="003E0DB9"/>
    <w:rsid w:val="003E0E29"/>
    <w:rsid w:val="003E106A"/>
    <w:rsid w:val="003E1143"/>
    <w:rsid w:val="003E13A8"/>
    <w:rsid w:val="003E1436"/>
    <w:rsid w:val="003E1E9A"/>
    <w:rsid w:val="003E1F8C"/>
    <w:rsid w:val="003E2159"/>
    <w:rsid w:val="003E2231"/>
    <w:rsid w:val="003E22D4"/>
    <w:rsid w:val="003E24BD"/>
    <w:rsid w:val="003E253F"/>
    <w:rsid w:val="003E260B"/>
    <w:rsid w:val="003E277A"/>
    <w:rsid w:val="003E2844"/>
    <w:rsid w:val="003E2B42"/>
    <w:rsid w:val="003E2C4B"/>
    <w:rsid w:val="003E2C68"/>
    <w:rsid w:val="003E2E78"/>
    <w:rsid w:val="003E3003"/>
    <w:rsid w:val="003E308B"/>
    <w:rsid w:val="003E313F"/>
    <w:rsid w:val="003E335F"/>
    <w:rsid w:val="003E340B"/>
    <w:rsid w:val="003E3435"/>
    <w:rsid w:val="003E35A5"/>
    <w:rsid w:val="003E3643"/>
    <w:rsid w:val="003E39F6"/>
    <w:rsid w:val="003E3E59"/>
    <w:rsid w:val="003E4332"/>
    <w:rsid w:val="003E461D"/>
    <w:rsid w:val="003E49A9"/>
    <w:rsid w:val="003E514F"/>
    <w:rsid w:val="003E5195"/>
    <w:rsid w:val="003E5442"/>
    <w:rsid w:val="003E575D"/>
    <w:rsid w:val="003E5948"/>
    <w:rsid w:val="003E5AAB"/>
    <w:rsid w:val="003E5C64"/>
    <w:rsid w:val="003E5E1E"/>
    <w:rsid w:val="003E5F28"/>
    <w:rsid w:val="003E6066"/>
    <w:rsid w:val="003E60CA"/>
    <w:rsid w:val="003E639A"/>
    <w:rsid w:val="003E6458"/>
    <w:rsid w:val="003E6579"/>
    <w:rsid w:val="003E690B"/>
    <w:rsid w:val="003E6917"/>
    <w:rsid w:val="003E6A4C"/>
    <w:rsid w:val="003E6CA0"/>
    <w:rsid w:val="003E718B"/>
    <w:rsid w:val="003E724B"/>
    <w:rsid w:val="003E749D"/>
    <w:rsid w:val="003E7618"/>
    <w:rsid w:val="003E764C"/>
    <w:rsid w:val="003E7784"/>
    <w:rsid w:val="003E77EB"/>
    <w:rsid w:val="003E7B99"/>
    <w:rsid w:val="003E7D82"/>
    <w:rsid w:val="003E7F3D"/>
    <w:rsid w:val="003F0131"/>
    <w:rsid w:val="003F0137"/>
    <w:rsid w:val="003F03E0"/>
    <w:rsid w:val="003F0478"/>
    <w:rsid w:val="003F0989"/>
    <w:rsid w:val="003F0C86"/>
    <w:rsid w:val="003F0FD7"/>
    <w:rsid w:val="003F1114"/>
    <w:rsid w:val="003F1131"/>
    <w:rsid w:val="003F1136"/>
    <w:rsid w:val="003F1182"/>
    <w:rsid w:val="003F1394"/>
    <w:rsid w:val="003F13AC"/>
    <w:rsid w:val="003F14CB"/>
    <w:rsid w:val="003F1523"/>
    <w:rsid w:val="003F163B"/>
    <w:rsid w:val="003F168A"/>
    <w:rsid w:val="003F1827"/>
    <w:rsid w:val="003F183B"/>
    <w:rsid w:val="003F1886"/>
    <w:rsid w:val="003F19DB"/>
    <w:rsid w:val="003F1A84"/>
    <w:rsid w:val="003F1A89"/>
    <w:rsid w:val="003F1B9D"/>
    <w:rsid w:val="003F1C4E"/>
    <w:rsid w:val="003F21C3"/>
    <w:rsid w:val="003F23AF"/>
    <w:rsid w:val="003F2424"/>
    <w:rsid w:val="003F24B9"/>
    <w:rsid w:val="003F25FD"/>
    <w:rsid w:val="003F2869"/>
    <w:rsid w:val="003F2872"/>
    <w:rsid w:val="003F2934"/>
    <w:rsid w:val="003F295A"/>
    <w:rsid w:val="003F2A2A"/>
    <w:rsid w:val="003F2B32"/>
    <w:rsid w:val="003F2D3A"/>
    <w:rsid w:val="003F2ECC"/>
    <w:rsid w:val="003F2EDD"/>
    <w:rsid w:val="003F3106"/>
    <w:rsid w:val="003F36B9"/>
    <w:rsid w:val="003F385A"/>
    <w:rsid w:val="003F3912"/>
    <w:rsid w:val="003F3AF0"/>
    <w:rsid w:val="003F3B42"/>
    <w:rsid w:val="003F3CC6"/>
    <w:rsid w:val="003F3E53"/>
    <w:rsid w:val="003F4291"/>
    <w:rsid w:val="003F44D2"/>
    <w:rsid w:val="003F44F5"/>
    <w:rsid w:val="003F4764"/>
    <w:rsid w:val="003F48DE"/>
    <w:rsid w:val="003F4A93"/>
    <w:rsid w:val="003F4AA4"/>
    <w:rsid w:val="003F4CAF"/>
    <w:rsid w:val="003F4DE2"/>
    <w:rsid w:val="003F4E79"/>
    <w:rsid w:val="003F4FC7"/>
    <w:rsid w:val="003F517F"/>
    <w:rsid w:val="003F5205"/>
    <w:rsid w:val="003F524E"/>
    <w:rsid w:val="003F547B"/>
    <w:rsid w:val="003F5500"/>
    <w:rsid w:val="003F5644"/>
    <w:rsid w:val="003F5720"/>
    <w:rsid w:val="003F5AAB"/>
    <w:rsid w:val="003F5C95"/>
    <w:rsid w:val="003F5E15"/>
    <w:rsid w:val="003F5EAE"/>
    <w:rsid w:val="003F5F32"/>
    <w:rsid w:val="003F5F7F"/>
    <w:rsid w:val="003F6017"/>
    <w:rsid w:val="003F628E"/>
    <w:rsid w:val="003F635B"/>
    <w:rsid w:val="003F637A"/>
    <w:rsid w:val="003F63AF"/>
    <w:rsid w:val="003F6472"/>
    <w:rsid w:val="003F67AF"/>
    <w:rsid w:val="003F6842"/>
    <w:rsid w:val="003F6B07"/>
    <w:rsid w:val="003F6B4D"/>
    <w:rsid w:val="003F6E4F"/>
    <w:rsid w:val="003F6FDA"/>
    <w:rsid w:val="003F71E4"/>
    <w:rsid w:val="003F72E4"/>
    <w:rsid w:val="003F7357"/>
    <w:rsid w:val="003F762F"/>
    <w:rsid w:val="003F7819"/>
    <w:rsid w:val="003F7913"/>
    <w:rsid w:val="003F7B68"/>
    <w:rsid w:val="003F7B91"/>
    <w:rsid w:val="003F7E1F"/>
    <w:rsid w:val="003F7E21"/>
    <w:rsid w:val="003F7E66"/>
    <w:rsid w:val="003F7F1D"/>
    <w:rsid w:val="004002A8"/>
    <w:rsid w:val="004005FF"/>
    <w:rsid w:val="00400760"/>
    <w:rsid w:val="00400794"/>
    <w:rsid w:val="004008E7"/>
    <w:rsid w:val="004009FF"/>
    <w:rsid w:val="00400A90"/>
    <w:rsid w:val="00400AE5"/>
    <w:rsid w:val="00400E0C"/>
    <w:rsid w:val="0040102D"/>
    <w:rsid w:val="004010B3"/>
    <w:rsid w:val="004012C1"/>
    <w:rsid w:val="0040142E"/>
    <w:rsid w:val="00401434"/>
    <w:rsid w:val="00401465"/>
    <w:rsid w:val="00401500"/>
    <w:rsid w:val="00401BE3"/>
    <w:rsid w:val="00401D39"/>
    <w:rsid w:val="00401E69"/>
    <w:rsid w:val="00401E9C"/>
    <w:rsid w:val="00401FA4"/>
    <w:rsid w:val="00401FDF"/>
    <w:rsid w:val="00402188"/>
    <w:rsid w:val="004023D1"/>
    <w:rsid w:val="004024B3"/>
    <w:rsid w:val="0040281F"/>
    <w:rsid w:val="004029E6"/>
    <w:rsid w:val="00402A1E"/>
    <w:rsid w:val="00402AAA"/>
    <w:rsid w:val="00402F90"/>
    <w:rsid w:val="00403149"/>
    <w:rsid w:val="00403185"/>
    <w:rsid w:val="00403639"/>
    <w:rsid w:val="004036D0"/>
    <w:rsid w:val="004038A5"/>
    <w:rsid w:val="004038F8"/>
    <w:rsid w:val="00403903"/>
    <w:rsid w:val="004039DA"/>
    <w:rsid w:val="00403F73"/>
    <w:rsid w:val="00403FB3"/>
    <w:rsid w:val="004043D9"/>
    <w:rsid w:val="00404818"/>
    <w:rsid w:val="00404939"/>
    <w:rsid w:val="00404C6E"/>
    <w:rsid w:val="00404F28"/>
    <w:rsid w:val="00405163"/>
    <w:rsid w:val="0040523A"/>
    <w:rsid w:val="004053B7"/>
    <w:rsid w:val="00405489"/>
    <w:rsid w:val="00405498"/>
    <w:rsid w:val="0040572F"/>
    <w:rsid w:val="00405A9D"/>
    <w:rsid w:val="00405BA7"/>
    <w:rsid w:val="00405BAA"/>
    <w:rsid w:val="00405BB7"/>
    <w:rsid w:val="00405BD4"/>
    <w:rsid w:val="00405C05"/>
    <w:rsid w:val="00405FC9"/>
    <w:rsid w:val="00406055"/>
    <w:rsid w:val="00406194"/>
    <w:rsid w:val="0040627F"/>
    <w:rsid w:val="004062FF"/>
    <w:rsid w:val="0040631B"/>
    <w:rsid w:val="00406554"/>
    <w:rsid w:val="00406619"/>
    <w:rsid w:val="004066D2"/>
    <w:rsid w:val="004068A2"/>
    <w:rsid w:val="004068A4"/>
    <w:rsid w:val="00406B5F"/>
    <w:rsid w:val="00406BCC"/>
    <w:rsid w:val="00406C2B"/>
    <w:rsid w:val="00406E1A"/>
    <w:rsid w:val="00406E30"/>
    <w:rsid w:val="00407074"/>
    <w:rsid w:val="00407088"/>
    <w:rsid w:val="004070DD"/>
    <w:rsid w:val="00407187"/>
    <w:rsid w:val="004072DB"/>
    <w:rsid w:val="00407352"/>
    <w:rsid w:val="0040753A"/>
    <w:rsid w:val="0040757B"/>
    <w:rsid w:val="004077EE"/>
    <w:rsid w:val="00407A8B"/>
    <w:rsid w:val="00407C9B"/>
    <w:rsid w:val="00407E55"/>
    <w:rsid w:val="00407F6C"/>
    <w:rsid w:val="0041001A"/>
    <w:rsid w:val="0041027F"/>
    <w:rsid w:val="00410504"/>
    <w:rsid w:val="00410539"/>
    <w:rsid w:val="00410652"/>
    <w:rsid w:val="004106E7"/>
    <w:rsid w:val="004109B0"/>
    <w:rsid w:val="00410A0F"/>
    <w:rsid w:val="00410BB0"/>
    <w:rsid w:val="00410E71"/>
    <w:rsid w:val="00410EAA"/>
    <w:rsid w:val="0041116C"/>
    <w:rsid w:val="0041132C"/>
    <w:rsid w:val="0041138E"/>
    <w:rsid w:val="004113E2"/>
    <w:rsid w:val="0041166A"/>
    <w:rsid w:val="00411F29"/>
    <w:rsid w:val="00411F52"/>
    <w:rsid w:val="00412083"/>
    <w:rsid w:val="0041209A"/>
    <w:rsid w:val="00412244"/>
    <w:rsid w:val="00412245"/>
    <w:rsid w:val="004122A2"/>
    <w:rsid w:val="004122D4"/>
    <w:rsid w:val="0041287F"/>
    <w:rsid w:val="00412968"/>
    <w:rsid w:val="00412B10"/>
    <w:rsid w:val="00412DD7"/>
    <w:rsid w:val="00412DE8"/>
    <w:rsid w:val="00412FAB"/>
    <w:rsid w:val="00412FB7"/>
    <w:rsid w:val="0041303E"/>
    <w:rsid w:val="004130B3"/>
    <w:rsid w:val="00413311"/>
    <w:rsid w:val="00413316"/>
    <w:rsid w:val="004133CE"/>
    <w:rsid w:val="004134DF"/>
    <w:rsid w:val="0041360B"/>
    <w:rsid w:val="00413A6C"/>
    <w:rsid w:val="00413DE4"/>
    <w:rsid w:val="00413E6D"/>
    <w:rsid w:val="004143E5"/>
    <w:rsid w:val="00414541"/>
    <w:rsid w:val="0041469A"/>
    <w:rsid w:val="0041497A"/>
    <w:rsid w:val="00414B30"/>
    <w:rsid w:val="00414C50"/>
    <w:rsid w:val="00414EDC"/>
    <w:rsid w:val="00414FC4"/>
    <w:rsid w:val="00415789"/>
    <w:rsid w:val="00415C01"/>
    <w:rsid w:val="00415C1D"/>
    <w:rsid w:val="00415C68"/>
    <w:rsid w:val="00415E20"/>
    <w:rsid w:val="00415E52"/>
    <w:rsid w:val="00415FBA"/>
    <w:rsid w:val="004162D7"/>
    <w:rsid w:val="00416317"/>
    <w:rsid w:val="004166A0"/>
    <w:rsid w:val="0041692C"/>
    <w:rsid w:val="004169F3"/>
    <w:rsid w:val="00416A93"/>
    <w:rsid w:val="00416BD8"/>
    <w:rsid w:val="00416CEA"/>
    <w:rsid w:val="00416F14"/>
    <w:rsid w:val="00417002"/>
    <w:rsid w:val="0041703F"/>
    <w:rsid w:val="004170F9"/>
    <w:rsid w:val="00417266"/>
    <w:rsid w:val="00417554"/>
    <w:rsid w:val="0041762D"/>
    <w:rsid w:val="0041791A"/>
    <w:rsid w:val="004179D0"/>
    <w:rsid w:val="004179ED"/>
    <w:rsid w:val="00417A6D"/>
    <w:rsid w:val="00417C65"/>
    <w:rsid w:val="00417D7A"/>
    <w:rsid w:val="004200B0"/>
    <w:rsid w:val="0042017F"/>
    <w:rsid w:val="0042050B"/>
    <w:rsid w:val="00420664"/>
    <w:rsid w:val="00420A0D"/>
    <w:rsid w:val="00420A87"/>
    <w:rsid w:val="00420AB6"/>
    <w:rsid w:val="00420B15"/>
    <w:rsid w:val="00420C24"/>
    <w:rsid w:val="00420CCC"/>
    <w:rsid w:val="00420DCE"/>
    <w:rsid w:val="00420E5E"/>
    <w:rsid w:val="00420FBC"/>
    <w:rsid w:val="004211C2"/>
    <w:rsid w:val="004211DD"/>
    <w:rsid w:val="004212F0"/>
    <w:rsid w:val="004213D3"/>
    <w:rsid w:val="00421799"/>
    <w:rsid w:val="0042191F"/>
    <w:rsid w:val="00421F78"/>
    <w:rsid w:val="004221CE"/>
    <w:rsid w:val="00422267"/>
    <w:rsid w:val="0042227F"/>
    <w:rsid w:val="004222B0"/>
    <w:rsid w:val="004225AB"/>
    <w:rsid w:val="004227C7"/>
    <w:rsid w:val="00422886"/>
    <w:rsid w:val="004228B0"/>
    <w:rsid w:val="00422CD9"/>
    <w:rsid w:val="00422E51"/>
    <w:rsid w:val="00422F63"/>
    <w:rsid w:val="00422F89"/>
    <w:rsid w:val="0042317C"/>
    <w:rsid w:val="00423524"/>
    <w:rsid w:val="004235E3"/>
    <w:rsid w:val="0042360A"/>
    <w:rsid w:val="00423925"/>
    <w:rsid w:val="00423E25"/>
    <w:rsid w:val="00423EE5"/>
    <w:rsid w:val="00423F52"/>
    <w:rsid w:val="00423F5D"/>
    <w:rsid w:val="00423FEB"/>
    <w:rsid w:val="004242B4"/>
    <w:rsid w:val="00424515"/>
    <w:rsid w:val="004245FE"/>
    <w:rsid w:val="00424795"/>
    <w:rsid w:val="004247A1"/>
    <w:rsid w:val="00424A25"/>
    <w:rsid w:val="00424C2C"/>
    <w:rsid w:val="00424CF9"/>
    <w:rsid w:val="00424DDF"/>
    <w:rsid w:val="004250A5"/>
    <w:rsid w:val="00425225"/>
    <w:rsid w:val="00425886"/>
    <w:rsid w:val="00425B02"/>
    <w:rsid w:val="00425CF9"/>
    <w:rsid w:val="00425E20"/>
    <w:rsid w:val="00425FF4"/>
    <w:rsid w:val="0042629F"/>
    <w:rsid w:val="00426450"/>
    <w:rsid w:val="0042650F"/>
    <w:rsid w:val="00426752"/>
    <w:rsid w:val="004267FC"/>
    <w:rsid w:val="00426930"/>
    <w:rsid w:val="004269D5"/>
    <w:rsid w:val="00426DC4"/>
    <w:rsid w:val="0042706D"/>
    <w:rsid w:val="004270FD"/>
    <w:rsid w:val="004271D5"/>
    <w:rsid w:val="00427261"/>
    <w:rsid w:val="004272B9"/>
    <w:rsid w:val="004273F5"/>
    <w:rsid w:val="00427581"/>
    <w:rsid w:val="004277BC"/>
    <w:rsid w:val="004278BE"/>
    <w:rsid w:val="00427915"/>
    <w:rsid w:val="00427DD1"/>
    <w:rsid w:val="00427EE3"/>
    <w:rsid w:val="004300EB"/>
    <w:rsid w:val="00430166"/>
    <w:rsid w:val="00430187"/>
    <w:rsid w:val="00430650"/>
    <w:rsid w:val="004307B8"/>
    <w:rsid w:val="004308E9"/>
    <w:rsid w:val="004309BE"/>
    <w:rsid w:val="00430AF9"/>
    <w:rsid w:val="00430DDF"/>
    <w:rsid w:val="00431066"/>
    <w:rsid w:val="004311F9"/>
    <w:rsid w:val="004313EF"/>
    <w:rsid w:val="00431441"/>
    <w:rsid w:val="004314AB"/>
    <w:rsid w:val="004316D4"/>
    <w:rsid w:val="004317D6"/>
    <w:rsid w:val="00431E52"/>
    <w:rsid w:val="00431F16"/>
    <w:rsid w:val="00432296"/>
    <w:rsid w:val="004325E6"/>
    <w:rsid w:val="00432DC4"/>
    <w:rsid w:val="00432EB5"/>
    <w:rsid w:val="0043383B"/>
    <w:rsid w:val="0043384A"/>
    <w:rsid w:val="00433885"/>
    <w:rsid w:val="004339B7"/>
    <w:rsid w:val="00433C2C"/>
    <w:rsid w:val="00433C3F"/>
    <w:rsid w:val="00433C83"/>
    <w:rsid w:val="00433CB8"/>
    <w:rsid w:val="00433EF9"/>
    <w:rsid w:val="00433F44"/>
    <w:rsid w:val="00433F6B"/>
    <w:rsid w:val="00434059"/>
    <w:rsid w:val="004340F1"/>
    <w:rsid w:val="0043415F"/>
    <w:rsid w:val="004341C4"/>
    <w:rsid w:val="004342D2"/>
    <w:rsid w:val="0043434C"/>
    <w:rsid w:val="00434369"/>
    <w:rsid w:val="00434589"/>
    <w:rsid w:val="00434601"/>
    <w:rsid w:val="00434712"/>
    <w:rsid w:val="00434965"/>
    <w:rsid w:val="0043497B"/>
    <w:rsid w:val="00434B0F"/>
    <w:rsid w:val="00434B87"/>
    <w:rsid w:val="00434D98"/>
    <w:rsid w:val="004352F3"/>
    <w:rsid w:val="0043533B"/>
    <w:rsid w:val="004356E2"/>
    <w:rsid w:val="004359B8"/>
    <w:rsid w:val="00435A10"/>
    <w:rsid w:val="00435B75"/>
    <w:rsid w:val="00435D67"/>
    <w:rsid w:val="00435D9E"/>
    <w:rsid w:val="00435ECA"/>
    <w:rsid w:val="00436000"/>
    <w:rsid w:val="004361BB"/>
    <w:rsid w:val="00436277"/>
    <w:rsid w:val="004362BE"/>
    <w:rsid w:val="004363A3"/>
    <w:rsid w:val="004366C7"/>
    <w:rsid w:val="0043696F"/>
    <w:rsid w:val="00436A6D"/>
    <w:rsid w:val="00436BD5"/>
    <w:rsid w:val="00436BF0"/>
    <w:rsid w:val="00436F22"/>
    <w:rsid w:val="00436FF9"/>
    <w:rsid w:val="00436FFD"/>
    <w:rsid w:val="00437078"/>
    <w:rsid w:val="00437190"/>
    <w:rsid w:val="004373A7"/>
    <w:rsid w:val="004374CC"/>
    <w:rsid w:val="0043764E"/>
    <w:rsid w:val="00437960"/>
    <w:rsid w:val="00437972"/>
    <w:rsid w:val="004379D8"/>
    <w:rsid w:val="00437A5E"/>
    <w:rsid w:val="00437DD2"/>
    <w:rsid w:val="00437EAC"/>
    <w:rsid w:val="00437FF2"/>
    <w:rsid w:val="004400F1"/>
    <w:rsid w:val="00440140"/>
    <w:rsid w:val="0044019A"/>
    <w:rsid w:val="004403B8"/>
    <w:rsid w:val="004403DE"/>
    <w:rsid w:val="00440550"/>
    <w:rsid w:val="00440734"/>
    <w:rsid w:val="00440804"/>
    <w:rsid w:val="00440870"/>
    <w:rsid w:val="00440A94"/>
    <w:rsid w:val="00440ABE"/>
    <w:rsid w:val="00440AF4"/>
    <w:rsid w:val="0044146D"/>
    <w:rsid w:val="00441569"/>
    <w:rsid w:val="004416C1"/>
    <w:rsid w:val="00441813"/>
    <w:rsid w:val="00441894"/>
    <w:rsid w:val="004419D0"/>
    <w:rsid w:val="00441A0D"/>
    <w:rsid w:val="00441A1E"/>
    <w:rsid w:val="00441B87"/>
    <w:rsid w:val="00441E09"/>
    <w:rsid w:val="004422DF"/>
    <w:rsid w:val="00442475"/>
    <w:rsid w:val="004424CB"/>
    <w:rsid w:val="004426D7"/>
    <w:rsid w:val="004428E9"/>
    <w:rsid w:val="00442BAA"/>
    <w:rsid w:val="00442C51"/>
    <w:rsid w:val="00442C84"/>
    <w:rsid w:val="00442D95"/>
    <w:rsid w:val="00442EF7"/>
    <w:rsid w:val="00442FB4"/>
    <w:rsid w:val="00443065"/>
    <w:rsid w:val="004430B1"/>
    <w:rsid w:val="00443176"/>
    <w:rsid w:val="004432E8"/>
    <w:rsid w:val="00443310"/>
    <w:rsid w:val="00443374"/>
    <w:rsid w:val="004433AF"/>
    <w:rsid w:val="00443463"/>
    <w:rsid w:val="00443551"/>
    <w:rsid w:val="00443564"/>
    <w:rsid w:val="0044367E"/>
    <w:rsid w:val="00443F43"/>
    <w:rsid w:val="00444041"/>
    <w:rsid w:val="004440F9"/>
    <w:rsid w:val="00444341"/>
    <w:rsid w:val="00444436"/>
    <w:rsid w:val="00444525"/>
    <w:rsid w:val="004448FD"/>
    <w:rsid w:val="004449DB"/>
    <w:rsid w:val="00444D5B"/>
    <w:rsid w:val="00444DEA"/>
    <w:rsid w:val="00444E3F"/>
    <w:rsid w:val="0044510D"/>
    <w:rsid w:val="0044516D"/>
    <w:rsid w:val="00445209"/>
    <w:rsid w:val="004452A1"/>
    <w:rsid w:val="004454C2"/>
    <w:rsid w:val="0044556A"/>
    <w:rsid w:val="004455CC"/>
    <w:rsid w:val="00445A63"/>
    <w:rsid w:val="00445CA0"/>
    <w:rsid w:val="00446089"/>
    <w:rsid w:val="00446176"/>
    <w:rsid w:val="0044618B"/>
    <w:rsid w:val="00446390"/>
    <w:rsid w:val="004464A2"/>
    <w:rsid w:val="00446920"/>
    <w:rsid w:val="00446A73"/>
    <w:rsid w:val="00446ABA"/>
    <w:rsid w:val="00446D1C"/>
    <w:rsid w:val="0044702B"/>
    <w:rsid w:val="00447244"/>
    <w:rsid w:val="00447351"/>
    <w:rsid w:val="00447372"/>
    <w:rsid w:val="00447508"/>
    <w:rsid w:val="00447974"/>
    <w:rsid w:val="00447B50"/>
    <w:rsid w:val="00447BD5"/>
    <w:rsid w:val="00447C55"/>
    <w:rsid w:val="00447F8B"/>
    <w:rsid w:val="00447FE6"/>
    <w:rsid w:val="0045004D"/>
    <w:rsid w:val="0045052F"/>
    <w:rsid w:val="0045059F"/>
    <w:rsid w:val="00450BFC"/>
    <w:rsid w:val="00450C2B"/>
    <w:rsid w:val="00450E1B"/>
    <w:rsid w:val="004512D8"/>
    <w:rsid w:val="0045140D"/>
    <w:rsid w:val="00451530"/>
    <w:rsid w:val="0045153F"/>
    <w:rsid w:val="00451B45"/>
    <w:rsid w:val="00451CFE"/>
    <w:rsid w:val="00451D03"/>
    <w:rsid w:val="00451DF6"/>
    <w:rsid w:val="00451DFE"/>
    <w:rsid w:val="00451FBE"/>
    <w:rsid w:val="00452268"/>
    <w:rsid w:val="0045230A"/>
    <w:rsid w:val="0045264C"/>
    <w:rsid w:val="0045269F"/>
    <w:rsid w:val="004528E0"/>
    <w:rsid w:val="00452AEA"/>
    <w:rsid w:val="00452D08"/>
    <w:rsid w:val="00452D17"/>
    <w:rsid w:val="00452E0B"/>
    <w:rsid w:val="00452EB7"/>
    <w:rsid w:val="004530C8"/>
    <w:rsid w:val="0045329D"/>
    <w:rsid w:val="00453449"/>
    <w:rsid w:val="00453663"/>
    <w:rsid w:val="004538BB"/>
    <w:rsid w:val="00453F14"/>
    <w:rsid w:val="00453F26"/>
    <w:rsid w:val="0045400B"/>
    <w:rsid w:val="0045406B"/>
    <w:rsid w:val="0045426D"/>
    <w:rsid w:val="0045439A"/>
    <w:rsid w:val="004545B5"/>
    <w:rsid w:val="00454727"/>
    <w:rsid w:val="004548CC"/>
    <w:rsid w:val="00454C2A"/>
    <w:rsid w:val="00454D5E"/>
    <w:rsid w:val="00454EB4"/>
    <w:rsid w:val="00454ECB"/>
    <w:rsid w:val="00454F8D"/>
    <w:rsid w:val="00454FCC"/>
    <w:rsid w:val="004550CC"/>
    <w:rsid w:val="0045510B"/>
    <w:rsid w:val="004552B4"/>
    <w:rsid w:val="00455385"/>
    <w:rsid w:val="00455390"/>
    <w:rsid w:val="004556CC"/>
    <w:rsid w:val="00455757"/>
    <w:rsid w:val="0045598B"/>
    <w:rsid w:val="00455A7E"/>
    <w:rsid w:val="00455BCE"/>
    <w:rsid w:val="00455D52"/>
    <w:rsid w:val="00455E41"/>
    <w:rsid w:val="004560AC"/>
    <w:rsid w:val="004561E6"/>
    <w:rsid w:val="004561E9"/>
    <w:rsid w:val="0045626E"/>
    <w:rsid w:val="00456483"/>
    <w:rsid w:val="004566AD"/>
    <w:rsid w:val="0045676F"/>
    <w:rsid w:val="0045691F"/>
    <w:rsid w:val="00456A60"/>
    <w:rsid w:val="00456DB5"/>
    <w:rsid w:val="00456E64"/>
    <w:rsid w:val="00456FCA"/>
    <w:rsid w:val="0045701C"/>
    <w:rsid w:val="00457135"/>
    <w:rsid w:val="0045714E"/>
    <w:rsid w:val="0045724E"/>
    <w:rsid w:val="004573AD"/>
    <w:rsid w:val="00457474"/>
    <w:rsid w:val="004575A6"/>
    <w:rsid w:val="004576B7"/>
    <w:rsid w:val="004578A8"/>
    <w:rsid w:val="0045799B"/>
    <w:rsid w:val="00457A3D"/>
    <w:rsid w:val="00457A92"/>
    <w:rsid w:val="00457A99"/>
    <w:rsid w:val="00457B73"/>
    <w:rsid w:val="00457D00"/>
    <w:rsid w:val="00457D73"/>
    <w:rsid w:val="00457E4C"/>
    <w:rsid w:val="00457EF2"/>
    <w:rsid w:val="004603EA"/>
    <w:rsid w:val="004606CB"/>
    <w:rsid w:val="004609CF"/>
    <w:rsid w:val="00460A61"/>
    <w:rsid w:val="00460B5E"/>
    <w:rsid w:val="00460BDF"/>
    <w:rsid w:val="00460CEA"/>
    <w:rsid w:val="00460D1B"/>
    <w:rsid w:val="00460EA1"/>
    <w:rsid w:val="0046109E"/>
    <w:rsid w:val="00461190"/>
    <w:rsid w:val="00461293"/>
    <w:rsid w:val="004613C9"/>
    <w:rsid w:val="004613ED"/>
    <w:rsid w:val="004614C6"/>
    <w:rsid w:val="0046150C"/>
    <w:rsid w:val="004615D2"/>
    <w:rsid w:val="004616B9"/>
    <w:rsid w:val="0046178A"/>
    <w:rsid w:val="0046190F"/>
    <w:rsid w:val="0046197F"/>
    <w:rsid w:val="00461B21"/>
    <w:rsid w:val="00461BCE"/>
    <w:rsid w:val="00461BF8"/>
    <w:rsid w:val="00461C97"/>
    <w:rsid w:val="00461E47"/>
    <w:rsid w:val="00462119"/>
    <w:rsid w:val="00462126"/>
    <w:rsid w:val="004621F0"/>
    <w:rsid w:val="004623BF"/>
    <w:rsid w:val="00462489"/>
    <w:rsid w:val="004626F4"/>
    <w:rsid w:val="004627AB"/>
    <w:rsid w:val="0046283F"/>
    <w:rsid w:val="00462901"/>
    <w:rsid w:val="004629CE"/>
    <w:rsid w:val="00462C33"/>
    <w:rsid w:val="00462D6C"/>
    <w:rsid w:val="00462D86"/>
    <w:rsid w:val="00462F2F"/>
    <w:rsid w:val="00462FE7"/>
    <w:rsid w:val="004631BC"/>
    <w:rsid w:val="004634A1"/>
    <w:rsid w:val="004634CE"/>
    <w:rsid w:val="004635A7"/>
    <w:rsid w:val="004635EF"/>
    <w:rsid w:val="00463645"/>
    <w:rsid w:val="00463783"/>
    <w:rsid w:val="004637A3"/>
    <w:rsid w:val="00463847"/>
    <w:rsid w:val="00463866"/>
    <w:rsid w:val="00463940"/>
    <w:rsid w:val="00463BC7"/>
    <w:rsid w:val="00463E97"/>
    <w:rsid w:val="00464123"/>
    <w:rsid w:val="00464682"/>
    <w:rsid w:val="004648EE"/>
    <w:rsid w:val="004649D9"/>
    <w:rsid w:val="00464AAA"/>
    <w:rsid w:val="00464D36"/>
    <w:rsid w:val="00464E02"/>
    <w:rsid w:val="00464F86"/>
    <w:rsid w:val="0046503A"/>
    <w:rsid w:val="004652D7"/>
    <w:rsid w:val="004654DC"/>
    <w:rsid w:val="004656CE"/>
    <w:rsid w:val="00465713"/>
    <w:rsid w:val="004659BD"/>
    <w:rsid w:val="00465D0D"/>
    <w:rsid w:val="00465F2A"/>
    <w:rsid w:val="00466116"/>
    <w:rsid w:val="0046621F"/>
    <w:rsid w:val="0046641D"/>
    <w:rsid w:val="004664F1"/>
    <w:rsid w:val="004666DA"/>
    <w:rsid w:val="0046673E"/>
    <w:rsid w:val="004667A6"/>
    <w:rsid w:val="0046684C"/>
    <w:rsid w:val="004668C7"/>
    <w:rsid w:val="00466A37"/>
    <w:rsid w:val="00466AC3"/>
    <w:rsid w:val="00466BF6"/>
    <w:rsid w:val="00466E27"/>
    <w:rsid w:val="00466F18"/>
    <w:rsid w:val="00466F4D"/>
    <w:rsid w:val="004674B9"/>
    <w:rsid w:val="00467591"/>
    <w:rsid w:val="004675BF"/>
    <w:rsid w:val="004677EC"/>
    <w:rsid w:val="00467962"/>
    <w:rsid w:val="00467C7B"/>
    <w:rsid w:val="00467FA5"/>
    <w:rsid w:val="00467FFA"/>
    <w:rsid w:val="00470009"/>
    <w:rsid w:val="004703F9"/>
    <w:rsid w:val="00470427"/>
    <w:rsid w:val="00470445"/>
    <w:rsid w:val="00470A3F"/>
    <w:rsid w:val="00470A67"/>
    <w:rsid w:val="00470B29"/>
    <w:rsid w:val="00470BD6"/>
    <w:rsid w:val="00470C86"/>
    <w:rsid w:val="00470D63"/>
    <w:rsid w:val="00470D6A"/>
    <w:rsid w:val="00470D9F"/>
    <w:rsid w:val="00470EC2"/>
    <w:rsid w:val="00471473"/>
    <w:rsid w:val="00471496"/>
    <w:rsid w:val="004714AF"/>
    <w:rsid w:val="004714B9"/>
    <w:rsid w:val="00471587"/>
    <w:rsid w:val="00471798"/>
    <w:rsid w:val="0047188C"/>
    <w:rsid w:val="00471B38"/>
    <w:rsid w:val="00471BF5"/>
    <w:rsid w:val="00471CC6"/>
    <w:rsid w:val="00471D90"/>
    <w:rsid w:val="00472154"/>
    <w:rsid w:val="004721B3"/>
    <w:rsid w:val="00472235"/>
    <w:rsid w:val="004723BD"/>
    <w:rsid w:val="004724D4"/>
    <w:rsid w:val="0047291F"/>
    <w:rsid w:val="00472B17"/>
    <w:rsid w:val="00472C00"/>
    <w:rsid w:val="00472D29"/>
    <w:rsid w:val="004730FA"/>
    <w:rsid w:val="004731B1"/>
    <w:rsid w:val="00473915"/>
    <w:rsid w:val="00473DB8"/>
    <w:rsid w:val="00473F01"/>
    <w:rsid w:val="00473F9D"/>
    <w:rsid w:val="004741FF"/>
    <w:rsid w:val="0047431D"/>
    <w:rsid w:val="00474492"/>
    <w:rsid w:val="00474510"/>
    <w:rsid w:val="00474924"/>
    <w:rsid w:val="004749BC"/>
    <w:rsid w:val="00474A31"/>
    <w:rsid w:val="00474AB4"/>
    <w:rsid w:val="00474C65"/>
    <w:rsid w:val="004750AA"/>
    <w:rsid w:val="0047527C"/>
    <w:rsid w:val="0047533C"/>
    <w:rsid w:val="00475575"/>
    <w:rsid w:val="004757AB"/>
    <w:rsid w:val="004757EE"/>
    <w:rsid w:val="004758EA"/>
    <w:rsid w:val="0047590F"/>
    <w:rsid w:val="00475AE1"/>
    <w:rsid w:val="00475DC7"/>
    <w:rsid w:val="00475E92"/>
    <w:rsid w:val="00475FBD"/>
    <w:rsid w:val="00476187"/>
    <w:rsid w:val="0047628D"/>
    <w:rsid w:val="004763F6"/>
    <w:rsid w:val="00476520"/>
    <w:rsid w:val="00476590"/>
    <w:rsid w:val="004765F2"/>
    <w:rsid w:val="00476858"/>
    <w:rsid w:val="00476879"/>
    <w:rsid w:val="00476884"/>
    <w:rsid w:val="004768D2"/>
    <w:rsid w:val="00476C6C"/>
    <w:rsid w:val="00476D50"/>
    <w:rsid w:val="00476D9E"/>
    <w:rsid w:val="00477146"/>
    <w:rsid w:val="004772B4"/>
    <w:rsid w:val="00477761"/>
    <w:rsid w:val="004778C7"/>
    <w:rsid w:val="00477A42"/>
    <w:rsid w:val="00477F4B"/>
    <w:rsid w:val="004800E3"/>
    <w:rsid w:val="0048018C"/>
    <w:rsid w:val="0048066C"/>
    <w:rsid w:val="0048087A"/>
    <w:rsid w:val="00480A9E"/>
    <w:rsid w:val="00480B9F"/>
    <w:rsid w:val="00480DA7"/>
    <w:rsid w:val="00480F48"/>
    <w:rsid w:val="0048135E"/>
    <w:rsid w:val="0048154D"/>
    <w:rsid w:val="0048157D"/>
    <w:rsid w:val="004815F1"/>
    <w:rsid w:val="0048179C"/>
    <w:rsid w:val="004817DA"/>
    <w:rsid w:val="00481893"/>
    <w:rsid w:val="00481A57"/>
    <w:rsid w:val="00481D61"/>
    <w:rsid w:val="00481E21"/>
    <w:rsid w:val="00481EDE"/>
    <w:rsid w:val="004825B9"/>
    <w:rsid w:val="004828B5"/>
    <w:rsid w:val="004829E8"/>
    <w:rsid w:val="00482A70"/>
    <w:rsid w:val="00482D46"/>
    <w:rsid w:val="00482DF3"/>
    <w:rsid w:val="0048301F"/>
    <w:rsid w:val="004830BA"/>
    <w:rsid w:val="004831D6"/>
    <w:rsid w:val="0048328C"/>
    <w:rsid w:val="00483326"/>
    <w:rsid w:val="00483408"/>
    <w:rsid w:val="004834A7"/>
    <w:rsid w:val="004836FE"/>
    <w:rsid w:val="004837E2"/>
    <w:rsid w:val="00483942"/>
    <w:rsid w:val="00483A51"/>
    <w:rsid w:val="00483B71"/>
    <w:rsid w:val="00483D92"/>
    <w:rsid w:val="00483FCE"/>
    <w:rsid w:val="0048405D"/>
    <w:rsid w:val="0048408A"/>
    <w:rsid w:val="0048418F"/>
    <w:rsid w:val="004841B2"/>
    <w:rsid w:val="004842EB"/>
    <w:rsid w:val="00484399"/>
    <w:rsid w:val="00484494"/>
    <w:rsid w:val="00484746"/>
    <w:rsid w:val="00484EDB"/>
    <w:rsid w:val="00484F72"/>
    <w:rsid w:val="00484FED"/>
    <w:rsid w:val="00485417"/>
    <w:rsid w:val="00485533"/>
    <w:rsid w:val="0048558F"/>
    <w:rsid w:val="0048568A"/>
    <w:rsid w:val="004856F5"/>
    <w:rsid w:val="00485759"/>
    <w:rsid w:val="00485852"/>
    <w:rsid w:val="00485BCA"/>
    <w:rsid w:val="00485C0D"/>
    <w:rsid w:val="00485D2C"/>
    <w:rsid w:val="00485DBF"/>
    <w:rsid w:val="00485E1F"/>
    <w:rsid w:val="00485E9E"/>
    <w:rsid w:val="00485FB1"/>
    <w:rsid w:val="0048677F"/>
    <w:rsid w:val="0048689E"/>
    <w:rsid w:val="004868D5"/>
    <w:rsid w:val="00486957"/>
    <w:rsid w:val="00486AF4"/>
    <w:rsid w:val="00486B9D"/>
    <w:rsid w:val="00486F4D"/>
    <w:rsid w:val="00486FCB"/>
    <w:rsid w:val="004872EB"/>
    <w:rsid w:val="00487434"/>
    <w:rsid w:val="00487851"/>
    <w:rsid w:val="004879B6"/>
    <w:rsid w:val="00487E0A"/>
    <w:rsid w:val="00487EC0"/>
    <w:rsid w:val="00487EC7"/>
    <w:rsid w:val="00487F75"/>
    <w:rsid w:val="00490189"/>
    <w:rsid w:val="0049093F"/>
    <w:rsid w:val="00490A81"/>
    <w:rsid w:val="00490BB6"/>
    <w:rsid w:val="00490F3D"/>
    <w:rsid w:val="00490F9B"/>
    <w:rsid w:val="00491465"/>
    <w:rsid w:val="004915F0"/>
    <w:rsid w:val="0049165E"/>
    <w:rsid w:val="0049180E"/>
    <w:rsid w:val="0049183C"/>
    <w:rsid w:val="004918E3"/>
    <w:rsid w:val="00491A11"/>
    <w:rsid w:val="00491C2A"/>
    <w:rsid w:val="00491E71"/>
    <w:rsid w:val="004921E8"/>
    <w:rsid w:val="004922A5"/>
    <w:rsid w:val="0049258A"/>
    <w:rsid w:val="004925EC"/>
    <w:rsid w:val="004926EA"/>
    <w:rsid w:val="004929BF"/>
    <w:rsid w:val="00492C0D"/>
    <w:rsid w:val="00492C60"/>
    <w:rsid w:val="00492C9A"/>
    <w:rsid w:val="00492CD9"/>
    <w:rsid w:val="00492DD3"/>
    <w:rsid w:val="004932CE"/>
    <w:rsid w:val="00493396"/>
    <w:rsid w:val="004937A2"/>
    <w:rsid w:val="00493CF3"/>
    <w:rsid w:val="00493DD3"/>
    <w:rsid w:val="00493FCD"/>
    <w:rsid w:val="0049412F"/>
    <w:rsid w:val="00494503"/>
    <w:rsid w:val="00494637"/>
    <w:rsid w:val="0049473E"/>
    <w:rsid w:val="0049475C"/>
    <w:rsid w:val="0049492C"/>
    <w:rsid w:val="0049493E"/>
    <w:rsid w:val="00494BF5"/>
    <w:rsid w:val="00494F2A"/>
    <w:rsid w:val="00494FE8"/>
    <w:rsid w:val="0049568B"/>
    <w:rsid w:val="004956B2"/>
    <w:rsid w:val="004957FD"/>
    <w:rsid w:val="0049587E"/>
    <w:rsid w:val="00495986"/>
    <w:rsid w:val="00495A05"/>
    <w:rsid w:val="00495AC5"/>
    <w:rsid w:val="00495B15"/>
    <w:rsid w:val="00495C08"/>
    <w:rsid w:val="00495E54"/>
    <w:rsid w:val="00495E5C"/>
    <w:rsid w:val="0049601B"/>
    <w:rsid w:val="00496446"/>
    <w:rsid w:val="00496465"/>
    <w:rsid w:val="00496982"/>
    <w:rsid w:val="00496A14"/>
    <w:rsid w:val="00496A51"/>
    <w:rsid w:val="00496C2C"/>
    <w:rsid w:val="00496C3E"/>
    <w:rsid w:val="00496C7B"/>
    <w:rsid w:val="00496E91"/>
    <w:rsid w:val="00496F4E"/>
    <w:rsid w:val="00497098"/>
    <w:rsid w:val="00497099"/>
    <w:rsid w:val="0049713E"/>
    <w:rsid w:val="00497A05"/>
    <w:rsid w:val="00497C57"/>
    <w:rsid w:val="00497DEE"/>
    <w:rsid w:val="004A0504"/>
    <w:rsid w:val="004A0535"/>
    <w:rsid w:val="004A0688"/>
    <w:rsid w:val="004A0717"/>
    <w:rsid w:val="004A07E7"/>
    <w:rsid w:val="004A0B09"/>
    <w:rsid w:val="004A0D32"/>
    <w:rsid w:val="004A0E8E"/>
    <w:rsid w:val="004A1214"/>
    <w:rsid w:val="004A140D"/>
    <w:rsid w:val="004A142F"/>
    <w:rsid w:val="004A1439"/>
    <w:rsid w:val="004A1A0D"/>
    <w:rsid w:val="004A1D6B"/>
    <w:rsid w:val="004A200E"/>
    <w:rsid w:val="004A20CB"/>
    <w:rsid w:val="004A2164"/>
    <w:rsid w:val="004A21FF"/>
    <w:rsid w:val="004A2433"/>
    <w:rsid w:val="004A247A"/>
    <w:rsid w:val="004A2515"/>
    <w:rsid w:val="004A28E3"/>
    <w:rsid w:val="004A2A23"/>
    <w:rsid w:val="004A2B54"/>
    <w:rsid w:val="004A2D79"/>
    <w:rsid w:val="004A2E41"/>
    <w:rsid w:val="004A2F8A"/>
    <w:rsid w:val="004A30FA"/>
    <w:rsid w:val="004A3147"/>
    <w:rsid w:val="004A324F"/>
    <w:rsid w:val="004A35BE"/>
    <w:rsid w:val="004A39FD"/>
    <w:rsid w:val="004A3AF3"/>
    <w:rsid w:val="004A3C3E"/>
    <w:rsid w:val="004A4041"/>
    <w:rsid w:val="004A4249"/>
    <w:rsid w:val="004A45E4"/>
    <w:rsid w:val="004A4766"/>
    <w:rsid w:val="004A4A85"/>
    <w:rsid w:val="004A4D43"/>
    <w:rsid w:val="004A4DDA"/>
    <w:rsid w:val="004A4DE7"/>
    <w:rsid w:val="004A5141"/>
    <w:rsid w:val="004A5164"/>
    <w:rsid w:val="004A5169"/>
    <w:rsid w:val="004A5391"/>
    <w:rsid w:val="004A551B"/>
    <w:rsid w:val="004A5619"/>
    <w:rsid w:val="004A570A"/>
    <w:rsid w:val="004A586B"/>
    <w:rsid w:val="004A5897"/>
    <w:rsid w:val="004A593E"/>
    <w:rsid w:val="004A5A65"/>
    <w:rsid w:val="004A5AA5"/>
    <w:rsid w:val="004A5B15"/>
    <w:rsid w:val="004A5B3B"/>
    <w:rsid w:val="004A5D61"/>
    <w:rsid w:val="004A60D3"/>
    <w:rsid w:val="004A634F"/>
    <w:rsid w:val="004A64AB"/>
    <w:rsid w:val="004A650C"/>
    <w:rsid w:val="004A6650"/>
    <w:rsid w:val="004A69C8"/>
    <w:rsid w:val="004A6C11"/>
    <w:rsid w:val="004A6C97"/>
    <w:rsid w:val="004A713F"/>
    <w:rsid w:val="004A7300"/>
    <w:rsid w:val="004A7339"/>
    <w:rsid w:val="004A7615"/>
    <w:rsid w:val="004A772F"/>
    <w:rsid w:val="004A79D7"/>
    <w:rsid w:val="004A7A43"/>
    <w:rsid w:val="004A7AA8"/>
    <w:rsid w:val="004A7F29"/>
    <w:rsid w:val="004B00B0"/>
    <w:rsid w:val="004B016B"/>
    <w:rsid w:val="004B017E"/>
    <w:rsid w:val="004B021F"/>
    <w:rsid w:val="004B0364"/>
    <w:rsid w:val="004B0796"/>
    <w:rsid w:val="004B097B"/>
    <w:rsid w:val="004B09F7"/>
    <w:rsid w:val="004B0E07"/>
    <w:rsid w:val="004B0E1F"/>
    <w:rsid w:val="004B10EC"/>
    <w:rsid w:val="004B1176"/>
    <w:rsid w:val="004B121B"/>
    <w:rsid w:val="004B141F"/>
    <w:rsid w:val="004B1491"/>
    <w:rsid w:val="004B16BA"/>
    <w:rsid w:val="004B1736"/>
    <w:rsid w:val="004B1AED"/>
    <w:rsid w:val="004B1B30"/>
    <w:rsid w:val="004B1E2E"/>
    <w:rsid w:val="004B1E8C"/>
    <w:rsid w:val="004B286C"/>
    <w:rsid w:val="004B2C0D"/>
    <w:rsid w:val="004B2F10"/>
    <w:rsid w:val="004B38F6"/>
    <w:rsid w:val="004B3962"/>
    <w:rsid w:val="004B3987"/>
    <w:rsid w:val="004B3A9B"/>
    <w:rsid w:val="004B3C6B"/>
    <w:rsid w:val="004B3DDC"/>
    <w:rsid w:val="004B3E92"/>
    <w:rsid w:val="004B3FB3"/>
    <w:rsid w:val="004B441C"/>
    <w:rsid w:val="004B44C5"/>
    <w:rsid w:val="004B45AA"/>
    <w:rsid w:val="004B4603"/>
    <w:rsid w:val="004B4B80"/>
    <w:rsid w:val="004B5452"/>
    <w:rsid w:val="004B55DC"/>
    <w:rsid w:val="004B584D"/>
    <w:rsid w:val="004B5920"/>
    <w:rsid w:val="004B6A68"/>
    <w:rsid w:val="004B6A75"/>
    <w:rsid w:val="004B7402"/>
    <w:rsid w:val="004B742D"/>
    <w:rsid w:val="004B7651"/>
    <w:rsid w:val="004B7AB9"/>
    <w:rsid w:val="004B7D14"/>
    <w:rsid w:val="004B7FA5"/>
    <w:rsid w:val="004B7FAF"/>
    <w:rsid w:val="004B7FB7"/>
    <w:rsid w:val="004C0346"/>
    <w:rsid w:val="004C0389"/>
    <w:rsid w:val="004C0479"/>
    <w:rsid w:val="004C07A6"/>
    <w:rsid w:val="004C0A38"/>
    <w:rsid w:val="004C0B6C"/>
    <w:rsid w:val="004C0CED"/>
    <w:rsid w:val="004C1076"/>
    <w:rsid w:val="004C112B"/>
    <w:rsid w:val="004C12BA"/>
    <w:rsid w:val="004C1649"/>
    <w:rsid w:val="004C16DA"/>
    <w:rsid w:val="004C1731"/>
    <w:rsid w:val="004C182B"/>
    <w:rsid w:val="004C1838"/>
    <w:rsid w:val="004C1A1C"/>
    <w:rsid w:val="004C1AD1"/>
    <w:rsid w:val="004C1DBC"/>
    <w:rsid w:val="004C1E94"/>
    <w:rsid w:val="004C1EFF"/>
    <w:rsid w:val="004C2207"/>
    <w:rsid w:val="004C234B"/>
    <w:rsid w:val="004C2484"/>
    <w:rsid w:val="004C255F"/>
    <w:rsid w:val="004C26EC"/>
    <w:rsid w:val="004C2707"/>
    <w:rsid w:val="004C2710"/>
    <w:rsid w:val="004C2B67"/>
    <w:rsid w:val="004C3012"/>
    <w:rsid w:val="004C3051"/>
    <w:rsid w:val="004C3212"/>
    <w:rsid w:val="004C340C"/>
    <w:rsid w:val="004C3588"/>
    <w:rsid w:val="004C37B2"/>
    <w:rsid w:val="004C398D"/>
    <w:rsid w:val="004C3ACD"/>
    <w:rsid w:val="004C3C46"/>
    <w:rsid w:val="004C3DCF"/>
    <w:rsid w:val="004C402B"/>
    <w:rsid w:val="004C417C"/>
    <w:rsid w:val="004C436B"/>
    <w:rsid w:val="004C475E"/>
    <w:rsid w:val="004C4781"/>
    <w:rsid w:val="004C4801"/>
    <w:rsid w:val="004C49D5"/>
    <w:rsid w:val="004C4C8A"/>
    <w:rsid w:val="004C4E70"/>
    <w:rsid w:val="004C4EE4"/>
    <w:rsid w:val="004C5315"/>
    <w:rsid w:val="004C5512"/>
    <w:rsid w:val="004C577C"/>
    <w:rsid w:val="004C580A"/>
    <w:rsid w:val="004C581E"/>
    <w:rsid w:val="004C5CEB"/>
    <w:rsid w:val="004C6384"/>
    <w:rsid w:val="004C6604"/>
    <w:rsid w:val="004C684C"/>
    <w:rsid w:val="004C6B41"/>
    <w:rsid w:val="004C6CAD"/>
    <w:rsid w:val="004C6D86"/>
    <w:rsid w:val="004C6DFA"/>
    <w:rsid w:val="004C6E18"/>
    <w:rsid w:val="004C6E7B"/>
    <w:rsid w:val="004C7235"/>
    <w:rsid w:val="004C72EE"/>
    <w:rsid w:val="004C7306"/>
    <w:rsid w:val="004C7366"/>
    <w:rsid w:val="004C74EF"/>
    <w:rsid w:val="004C77E1"/>
    <w:rsid w:val="004C79EE"/>
    <w:rsid w:val="004C7C91"/>
    <w:rsid w:val="004C7F52"/>
    <w:rsid w:val="004C7F8E"/>
    <w:rsid w:val="004D0185"/>
    <w:rsid w:val="004D01E4"/>
    <w:rsid w:val="004D0374"/>
    <w:rsid w:val="004D03AF"/>
    <w:rsid w:val="004D0518"/>
    <w:rsid w:val="004D055D"/>
    <w:rsid w:val="004D06E0"/>
    <w:rsid w:val="004D0738"/>
    <w:rsid w:val="004D078E"/>
    <w:rsid w:val="004D082D"/>
    <w:rsid w:val="004D0913"/>
    <w:rsid w:val="004D0931"/>
    <w:rsid w:val="004D093A"/>
    <w:rsid w:val="004D09B3"/>
    <w:rsid w:val="004D09C8"/>
    <w:rsid w:val="004D0BB5"/>
    <w:rsid w:val="004D0E60"/>
    <w:rsid w:val="004D0E8F"/>
    <w:rsid w:val="004D0EBC"/>
    <w:rsid w:val="004D0ECB"/>
    <w:rsid w:val="004D0ED6"/>
    <w:rsid w:val="004D1061"/>
    <w:rsid w:val="004D10AA"/>
    <w:rsid w:val="004D146D"/>
    <w:rsid w:val="004D15AB"/>
    <w:rsid w:val="004D1A12"/>
    <w:rsid w:val="004D1CB0"/>
    <w:rsid w:val="004D1CEB"/>
    <w:rsid w:val="004D1E13"/>
    <w:rsid w:val="004D1F68"/>
    <w:rsid w:val="004D207A"/>
    <w:rsid w:val="004D22B0"/>
    <w:rsid w:val="004D2591"/>
    <w:rsid w:val="004D266E"/>
    <w:rsid w:val="004D2824"/>
    <w:rsid w:val="004D2B48"/>
    <w:rsid w:val="004D2B7A"/>
    <w:rsid w:val="004D2CF0"/>
    <w:rsid w:val="004D2F0B"/>
    <w:rsid w:val="004D3365"/>
    <w:rsid w:val="004D36AE"/>
    <w:rsid w:val="004D3B10"/>
    <w:rsid w:val="004D4063"/>
    <w:rsid w:val="004D40AE"/>
    <w:rsid w:val="004D4140"/>
    <w:rsid w:val="004D41A2"/>
    <w:rsid w:val="004D42A1"/>
    <w:rsid w:val="004D43D5"/>
    <w:rsid w:val="004D453A"/>
    <w:rsid w:val="004D4C96"/>
    <w:rsid w:val="004D5060"/>
    <w:rsid w:val="004D514B"/>
    <w:rsid w:val="004D528E"/>
    <w:rsid w:val="004D55FF"/>
    <w:rsid w:val="004D5666"/>
    <w:rsid w:val="004D56F4"/>
    <w:rsid w:val="004D5A00"/>
    <w:rsid w:val="004D5A45"/>
    <w:rsid w:val="004D5B4D"/>
    <w:rsid w:val="004D5B52"/>
    <w:rsid w:val="004D5B85"/>
    <w:rsid w:val="004D5BFF"/>
    <w:rsid w:val="004D5E09"/>
    <w:rsid w:val="004D5EE5"/>
    <w:rsid w:val="004D62AA"/>
    <w:rsid w:val="004D6449"/>
    <w:rsid w:val="004D6506"/>
    <w:rsid w:val="004D65B8"/>
    <w:rsid w:val="004D6C28"/>
    <w:rsid w:val="004D6DFE"/>
    <w:rsid w:val="004D6E07"/>
    <w:rsid w:val="004D6FAF"/>
    <w:rsid w:val="004D70A6"/>
    <w:rsid w:val="004D748C"/>
    <w:rsid w:val="004D758B"/>
    <w:rsid w:val="004D796E"/>
    <w:rsid w:val="004D7B7F"/>
    <w:rsid w:val="004D7F5A"/>
    <w:rsid w:val="004D7FA5"/>
    <w:rsid w:val="004E0044"/>
    <w:rsid w:val="004E005F"/>
    <w:rsid w:val="004E033D"/>
    <w:rsid w:val="004E053C"/>
    <w:rsid w:val="004E0746"/>
    <w:rsid w:val="004E08BA"/>
    <w:rsid w:val="004E09CD"/>
    <w:rsid w:val="004E0A64"/>
    <w:rsid w:val="004E0BE7"/>
    <w:rsid w:val="004E0E15"/>
    <w:rsid w:val="004E0F6C"/>
    <w:rsid w:val="004E12DF"/>
    <w:rsid w:val="004E1600"/>
    <w:rsid w:val="004E1964"/>
    <w:rsid w:val="004E1BAD"/>
    <w:rsid w:val="004E1BB8"/>
    <w:rsid w:val="004E1C8E"/>
    <w:rsid w:val="004E1D08"/>
    <w:rsid w:val="004E1D14"/>
    <w:rsid w:val="004E1F2E"/>
    <w:rsid w:val="004E2125"/>
    <w:rsid w:val="004E2316"/>
    <w:rsid w:val="004E2475"/>
    <w:rsid w:val="004E24FC"/>
    <w:rsid w:val="004E2566"/>
    <w:rsid w:val="004E2985"/>
    <w:rsid w:val="004E2AB6"/>
    <w:rsid w:val="004E313A"/>
    <w:rsid w:val="004E32EC"/>
    <w:rsid w:val="004E3383"/>
    <w:rsid w:val="004E34BE"/>
    <w:rsid w:val="004E3595"/>
    <w:rsid w:val="004E3598"/>
    <w:rsid w:val="004E3794"/>
    <w:rsid w:val="004E3AEF"/>
    <w:rsid w:val="004E3B13"/>
    <w:rsid w:val="004E3C09"/>
    <w:rsid w:val="004E3CC5"/>
    <w:rsid w:val="004E3D1E"/>
    <w:rsid w:val="004E3F91"/>
    <w:rsid w:val="004E414E"/>
    <w:rsid w:val="004E41A6"/>
    <w:rsid w:val="004E428D"/>
    <w:rsid w:val="004E4295"/>
    <w:rsid w:val="004E43DD"/>
    <w:rsid w:val="004E4B5E"/>
    <w:rsid w:val="004E52B6"/>
    <w:rsid w:val="004E53E9"/>
    <w:rsid w:val="004E565A"/>
    <w:rsid w:val="004E5690"/>
    <w:rsid w:val="004E5958"/>
    <w:rsid w:val="004E5961"/>
    <w:rsid w:val="004E5B87"/>
    <w:rsid w:val="004E5F43"/>
    <w:rsid w:val="004E61B4"/>
    <w:rsid w:val="004E61BA"/>
    <w:rsid w:val="004E6242"/>
    <w:rsid w:val="004E63C9"/>
    <w:rsid w:val="004E6424"/>
    <w:rsid w:val="004E6426"/>
    <w:rsid w:val="004E657B"/>
    <w:rsid w:val="004E65FA"/>
    <w:rsid w:val="004E677F"/>
    <w:rsid w:val="004E693C"/>
    <w:rsid w:val="004E6C19"/>
    <w:rsid w:val="004E6F37"/>
    <w:rsid w:val="004E6F7C"/>
    <w:rsid w:val="004E6FD9"/>
    <w:rsid w:val="004E769C"/>
    <w:rsid w:val="004E78D9"/>
    <w:rsid w:val="004E7A63"/>
    <w:rsid w:val="004E7C88"/>
    <w:rsid w:val="004E7CCE"/>
    <w:rsid w:val="004E7F3B"/>
    <w:rsid w:val="004F026C"/>
    <w:rsid w:val="004F049C"/>
    <w:rsid w:val="004F07F4"/>
    <w:rsid w:val="004F091D"/>
    <w:rsid w:val="004F0A66"/>
    <w:rsid w:val="004F0AD1"/>
    <w:rsid w:val="004F0C25"/>
    <w:rsid w:val="004F0D15"/>
    <w:rsid w:val="004F0DD8"/>
    <w:rsid w:val="004F0E4D"/>
    <w:rsid w:val="004F1002"/>
    <w:rsid w:val="004F111A"/>
    <w:rsid w:val="004F1170"/>
    <w:rsid w:val="004F11A9"/>
    <w:rsid w:val="004F11BD"/>
    <w:rsid w:val="004F1382"/>
    <w:rsid w:val="004F195F"/>
    <w:rsid w:val="004F1B1E"/>
    <w:rsid w:val="004F1DB2"/>
    <w:rsid w:val="004F1E25"/>
    <w:rsid w:val="004F20EF"/>
    <w:rsid w:val="004F240B"/>
    <w:rsid w:val="004F2D43"/>
    <w:rsid w:val="004F2DA7"/>
    <w:rsid w:val="004F2F67"/>
    <w:rsid w:val="004F2F92"/>
    <w:rsid w:val="004F30F6"/>
    <w:rsid w:val="004F32C9"/>
    <w:rsid w:val="004F3383"/>
    <w:rsid w:val="004F35E0"/>
    <w:rsid w:val="004F35EE"/>
    <w:rsid w:val="004F366C"/>
    <w:rsid w:val="004F3A12"/>
    <w:rsid w:val="004F3C0C"/>
    <w:rsid w:val="004F3D42"/>
    <w:rsid w:val="004F40B3"/>
    <w:rsid w:val="004F43A1"/>
    <w:rsid w:val="004F45E0"/>
    <w:rsid w:val="004F4929"/>
    <w:rsid w:val="004F4995"/>
    <w:rsid w:val="004F4A09"/>
    <w:rsid w:val="004F4BFB"/>
    <w:rsid w:val="004F4C0B"/>
    <w:rsid w:val="004F4C3E"/>
    <w:rsid w:val="004F4FB8"/>
    <w:rsid w:val="004F4FD3"/>
    <w:rsid w:val="004F502C"/>
    <w:rsid w:val="004F5160"/>
    <w:rsid w:val="004F560B"/>
    <w:rsid w:val="004F5773"/>
    <w:rsid w:val="004F5949"/>
    <w:rsid w:val="004F59B6"/>
    <w:rsid w:val="004F5AFD"/>
    <w:rsid w:val="004F5D45"/>
    <w:rsid w:val="004F5E24"/>
    <w:rsid w:val="004F5F40"/>
    <w:rsid w:val="004F602C"/>
    <w:rsid w:val="004F6035"/>
    <w:rsid w:val="004F63F1"/>
    <w:rsid w:val="004F6510"/>
    <w:rsid w:val="004F6690"/>
    <w:rsid w:val="004F689B"/>
    <w:rsid w:val="004F698A"/>
    <w:rsid w:val="004F6A6C"/>
    <w:rsid w:val="004F6BF1"/>
    <w:rsid w:val="004F6C64"/>
    <w:rsid w:val="004F6CEA"/>
    <w:rsid w:val="004F6F43"/>
    <w:rsid w:val="004F6F5E"/>
    <w:rsid w:val="004F70C4"/>
    <w:rsid w:val="004F7113"/>
    <w:rsid w:val="004F712A"/>
    <w:rsid w:val="004F739E"/>
    <w:rsid w:val="004F73C6"/>
    <w:rsid w:val="004F74CA"/>
    <w:rsid w:val="004F75EA"/>
    <w:rsid w:val="004F7787"/>
    <w:rsid w:val="004F79B1"/>
    <w:rsid w:val="004F79F3"/>
    <w:rsid w:val="004F7CC3"/>
    <w:rsid w:val="004F7D13"/>
    <w:rsid w:val="004F7D83"/>
    <w:rsid w:val="004F7EDF"/>
    <w:rsid w:val="00500110"/>
    <w:rsid w:val="00500512"/>
    <w:rsid w:val="00500799"/>
    <w:rsid w:val="00500A0A"/>
    <w:rsid w:val="00500DDA"/>
    <w:rsid w:val="00500DE8"/>
    <w:rsid w:val="00501064"/>
    <w:rsid w:val="00501108"/>
    <w:rsid w:val="005012AB"/>
    <w:rsid w:val="0050137E"/>
    <w:rsid w:val="005013E0"/>
    <w:rsid w:val="005014FC"/>
    <w:rsid w:val="005016E3"/>
    <w:rsid w:val="005018DF"/>
    <w:rsid w:val="00501959"/>
    <w:rsid w:val="005019B5"/>
    <w:rsid w:val="005019C0"/>
    <w:rsid w:val="00501F59"/>
    <w:rsid w:val="0050225A"/>
    <w:rsid w:val="00502450"/>
    <w:rsid w:val="005025BE"/>
    <w:rsid w:val="00502C64"/>
    <w:rsid w:val="00502D81"/>
    <w:rsid w:val="00502D84"/>
    <w:rsid w:val="00502D90"/>
    <w:rsid w:val="00502E1D"/>
    <w:rsid w:val="00502EEE"/>
    <w:rsid w:val="00502F97"/>
    <w:rsid w:val="00503352"/>
    <w:rsid w:val="005033D8"/>
    <w:rsid w:val="00503427"/>
    <w:rsid w:val="00503470"/>
    <w:rsid w:val="00503662"/>
    <w:rsid w:val="00503A1B"/>
    <w:rsid w:val="00503A9A"/>
    <w:rsid w:val="00503CF7"/>
    <w:rsid w:val="00503F00"/>
    <w:rsid w:val="00503FA2"/>
    <w:rsid w:val="005042D3"/>
    <w:rsid w:val="005046FF"/>
    <w:rsid w:val="00504889"/>
    <w:rsid w:val="00504A6A"/>
    <w:rsid w:val="00504B26"/>
    <w:rsid w:val="00505460"/>
    <w:rsid w:val="00505CE1"/>
    <w:rsid w:val="00506058"/>
    <w:rsid w:val="005061E0"/>
    <w:rsid w:val="00506259"/>
    <w:rsid w:val="005062DD"/>
    <w:rsid w:val="00506707"/>
    <w:rsid w:val="00506A1F"/>
    <w:rsid w:val="00506AB1"/>
    <w:rsid w:val="00507017"/>
    <w:rsid w:val="005071A3"/>
    <w:rsid w:val="005072AC"/>
    <w:rsid w:val="00507316"/>
    <w:rsid w:val="00507773"/>
    <w:rsid w:val="005077C6"/>
    <w:rsid w:val="00507ABD"/>
    <w:rsid w:val="00507CFB"/>
    <w:rsid w:val="00507D63"/>
    <w:rsid w:val="00507F81"/>
    <w:rsid w:val="005101AE"/>
    <w:rsid w:val="00510245"/>
    <w:rsid w:val="0051067C"/>
    <w:rsid w:val="00510833"/>
    <w:rsid w:val="0051089A"/>
    <w:rsid w:val="005108DA"/>
    <w:rsid w:val="005108EF"/>
    <w:rsid w:val="00510A01"/>
    <w:rsid w:val="00510A93"/>
    <w:rsid w:val="00511051"/>
    <w:rsid w:val="005110EA"/>
    <w:rsid w:val="00511120"/>
    <w:rsid w:val="00511125"/>
    <w:rsid w:val="00511156"/>
    <w:rsid w:val="00511167"/>
    <w:rsid w:val="0051118C"/>
    <w:rsid w:val="005111C3"/>
    <w:rsid w:val="005112F4"/>
    <w:rsid w:val="0051138B"/>
    <w:rsid w:val="005116F8"/>
    <w:rsid w:val="005118F8"/>
    <w:rsid w:val="00511987"/>
    <w:rsid w:val="00511A66"/>
    <w:rsid w:val="00511A94"/>
    <w:rsid w:val="00511DBA"/>
    <w:rsid w:val="00511E7C"/>
    <w:rsid w:val="00511E9F"/>
    <w:rsid w:val="00512229"/>
    <w:rsid w:val="0051248E"/>
    <w:rsid w:val="00512721"/>
    <w:rsid w:val="005128A5"/>
    <w:rsid w:val="00512975"/>
    <w:rsid w:val="00512A38"/>
    <w:rsid w:val="00512DFB"/>
    <w:rsid w:val="00512E08"/>
    <w:rsid w:val="00512EA6"/>
    <w:rsid w:val="005135E4"/>
    <w:rsid w:val="005137FC"/>
    <w:rsid w:val="00513C69"/>
    <w:rsid w:val="00513DAD"/>
    <w:rsid w:val="00513E5A"/>
    <w:rsid w:val="00513EDA"/>
    <w:rsid w:val="00513F6B"/>
    <w:rsid w:val="005142A8"/>
    <w:rsid w:val="005143A6"/>
    <w:rsid w:val="005143BF"/>
    <w:rsid w:val="00514409"/>
    <w:rsid w:val="00514425"/>
    <w:rsid w:val="00514469"/>
    <w:rsid w:val="005145C5"/>
    <w:rsid w:val="0051466A"/>
    <w:rsid w:val="00514BA1"/>
    <w:rsid w:val="00514DAE"/>
    <w:rsid w:val="00514E2D"/>
    <w:rsid w:val="00514ECF"/>
    <w:rsid w:val="005151BF"/>
    <w:rsid w:val="005155F4"/>
    <w:rsid w:val="00515B23"/>
    <w:rsid w:val="00515C39"/>
    <w:rsid w:val="00516381"/>
    <w:rsid w:val="005163D6"/>
    <w:rsid w:val="00516487"/>
    <w:rsid w:val="00516C58"/>
    <w:rsid w:val="00516CFB"/>
    <w:rsid w:val="00516F95"/>
    <w:rsid w:val="00517227"/>
    <w:rsid w:val="00517370"/>
    <w:rsid w:val="005173C0"/>
    <w:rsid w:val="00517471"/>
    <w:rsid w:val="005174BA"/>
    <w:rsid w:val="005174BC"/>
    <w:rsid w:val="005174BF"/>
    <w:rsid w:val="005178F9"/>
    <w:rsid w:val="00517A55"/>
    <w:rsid w:val="00517B6D"/>
    <w:rsid w:val="00520415"/>
    <w:rsid w:val="005204AE"/>
    <w:rsid w:val="00520A59"/>
    <w:rsid w:val="00520C35"/>
    <w:rsid w:val="00520E0D"/>
    <w:rsid w:val="00520FC1"/>
    <w:rsid w:val="00521126"/>
    <w:rsid w:val="00521232"/>
    <w:rsid w:val="00521244"/>
    <w:rsid w:val="005212C4"/>
    <w:rsid w:val="005212DC"/>
    <w:rsid w:val="0052133B"/>
    <w:rsid w:val="0052172C"/>
    <w:rsid w:val="0052196C"/>
    <w:rsid w:val="005219CA"/>
    <w:rsid w:val="00521B56"/>
    <w:rsid w:val="00521BFD"/>
    <w:rsid w:val="00521DB5"/>
    <w:rsid w:val="00522115"/>
    <w:rsid w:val="00522198"/>
    <w:rsid w:val="00522270"/>
    <w:rsid w:val="0052235B"/>
    <w:rsid w:val="0052239B"/>
    <w:rsid w:val="00522703"/>
    <w:rsid w:val="00522783"/>
    <w:rsid w:val="005229BD"/>
    <w:rsid w:val="00522B04"/>
    <w:rsid w:val="00522B13"/>
    <w:rsid w:val="00522B30"/>
    <w:rsid w:val="00522C03"/>
    <w:rsid w:val="00522E3F"/>
    <w:rsid w:val="0052326D"/>
    <w:rsid w:val="005232B3"/>
    <w:rsid w:val="005233A5"/>
    <w:rsid w:val="005235BA"/>
    <w:rsid w:val="00523C38"/>
    <w:rsid w:val="00524038"/>
    <w:rsid w:val="005242E0"/>
    <w:rsid w:val="0052438E"/>
    <w:rsid w:val="005246EF"/>
    <w:rsid w:val="0052479E"/>
    <w:rsid w:val="005249BF"/>
    <w:rsid w:val="00524A1A"/>
    <w:rsid w:val="00524A7A"/>
    <w:rsid w:val="0052520C"/>
    <w:rsid w:val="00525262"/>
    <w:rsid w:val="0052532A"/>
    <w:rsid w:val="005255FF"/>
    <w:rsid w:val="0052589C"/>
    <w:rsid w:val="005258BA"/>
    <w:rsid w:val="00525B0A"/>
    <w:rsid w:val="00525F4B"/>
    <w:rsid w:val="0052624A"/>
    <w:rsid w:val="00526266"/>
    <w:rsid w:val="00526493"/>
    <w:rsid w:val="005264ED"/>
    <w:rsid w:val="0052675B"/>
    <w:rsid w:val="00526A07"/>
    <w:rsid w:val="00526A0D"/>
    <w:rsid w:val="00526A2E"/>
    <w:rsid w:val="00526C7D"/>
    <w:rsid w:val="00526EBE"/>
    <w:rsid w:val="00526F6C"/>
    <w:rsid w:val="005275D2"/>
    <w:rsid w:val="00527730"/>
    <w:rsid w:val="005277A4"/>
    <w:rsid w:val="005302CE"/>
    <w:rsid w:val="0053046A"/>
    <w:rsid w:val="0053072D"/>
    <w:rsid w:val="00530988"/>
    <w:rsid w:val="00530BC0"/>
    <w:rsid w:val="005310F3"/>
    <w:rsid w:val="00531374"/>
    <w:rsid w:val="005314F1"/>
    <w:rsid w:val="0053160A"/>
    <w:rsid w:val="00531614"/>
    <w:rsid w:val="005316F7"/>
    <w:rsid w:val="005319CA"/>
    <w:rsid w:val="00531A3D"/>
    <w:rsid w:val="00531A5C"/>
    <w:rsid w:val="00531DE9"/>
    <w:rsid w:val="00531F4B"/>
    <w:rsid w:val="0053259E"/>
    <w:rsid w:val="005326CF"/>
    <w:rsid w:val="005326F6"/>
    <w:rsid w:val="0053272A"/>
    <w:rsid w:val="00532780"/>
    <w:rsid w:val="00532CD4"/>
    <w:rsid w:val="0053341E"/>
    <w:rsid w:val="0053349A"/>
    <w:rsid w:val="005334AF"/>
    <w:rsid w:val="005336D9"/>
    <w:rsid w:val="005339DC"/>
    <w:rsid w:val="005339F0"/>
    <w:rsid w:val="00533DD7"/>
    <w:rsid w:val="00534175"/>
    <w:rsid w:val="00534196"/>
    <w:rsid w:val="0053426F"/>
    <w:rsid w:val="00534527"/>
    <w:rsid w:val="0053497F"/>
    <w:rsid w:val="00534A31"/>
    <w:rsid w:val="00534DA3"/>
    <w:rsid w:val="00534DD6"/>
    <w:rsid w:val="00534FFA"/>
    <w:rsid w:val="005352F0"/>
    <w:rsid w:val="005358EB"/>
    <w:rsid w:val="00535D36"/>
    <w:rsid w:val="00535E1F"/>
    <w:rsid w:val="00535F17"/>
    <w:rsid w:val="00536231"/>
    <w:rsid w:val="0053665B"/>
    <w:rsid w:val="00536848"/>
    <w:rsid w:val="005369BC"/>
    <w:rsid w:val="00536A9E"/>
    <w:rsid w:val="00536B82"/>
    <w:rsid w:val="00536BED"/>
    <w:rsid w:val="00536C64"/>
    <w:rsid w:val="00536C9B"/>
    <w:rsid w:val="00536D5B"/>
    <w:rsid w:val="00536DA1"/>
    <w:rsid w:val="00537024"/>
    <w:rsid w:val="0053708A"/>
    <w:rsid w:val="00537261"/>
    <w:rsid w:val="0053728A"/>
    <w:rsid w:val="0053766B"/>
    <w:rsid w:val="0053770A"/>
    <w:rsid w:val="00537795"/>
    <w:rsid w:val="0053786F"/>
    <w:rsid w:val="005379C2"/>
    <w:rsid w:val="00537A0E"/>
    <w:rsid w:val="00537E54"/>
    <w:rsid w:val="00537E60"/>
    <w:rsid w:val="00537F92"/>
    <w:rsid w:val="0054010B"/>
    <w:rsid w:val="00540226"/>
    <w:rsid w:val="005402B2"/>
    <w:rsid w:val="005403DA"/>
    <w:rsid w:val="00540462"/>
    <w:rsid w:val="00540758"/>
    <w:rsid w:val="00540776"/>
    <w:rsid w:val="005407BF"/>
    <w:rsid w:val="005407D4"/>
    <w:rsid w:val="00540ED9"/>
    <w:rsid w:val="00541202"/>
    <w:rsid w:val="00541379"/>
    <w:rsid w:val="005413EA"/>
    <w:rsid w:val="0054144A"/>
    <w:rsid w:val="005414E2"/>
    <w:rsid w:val="005415A6"/>
    <w:rsid w:val="0054160D"/>
    <w:rsid w:val="005416A2"/>
    <w:rsid w:val="005416DC"/>
    <w:rsid w:val="0054188A"/>
    <w:rsid w:val="0054191B"/>
    <w:rsid w:val="00541B24"/>
    <w:rsid w:val="00541D36"/>
    <w:rsid w:val="00541D42"/>
    <w:rsid w:val="00541EB7"/>
    <w:rsid w:val="005422D5"/>
    <w:rsid w:val="00542752"/>
    <w:rsid w:val="005427BE"/>
    <w:rsid w:val="00542945"/>
    <w:rsid w:val="005429C5"/>
    <w:rsid w:val="00542AD5"/>
    <w:rsid w:val="00542B3F"/>
    <w:rsid w:val="00542C29"/>
    <w:rsid w:val="00542DE5"/>
    <w:rsid w:val="00542EDE"/>
    <w:rsid w:val="00542F46"/>
    <w:rsid w:val="0054303F"/>
    <w:rsid w:val="00543370"/>
    <w:rsid w:val="0054341E"/>
    <w:rsid w:val="005434D1"/>
    <w:rsid w:val="00543647"/>
    <w:rsid w:val="00543793"/>
    <w:rsid w:val="005438CD"/>
    <w:rsid w:val="00543FC2"/>
    <w:rsid w:val="00543FD6"/>
    <w:rsid w:val="00544037"/>
    <w:rsid w:val="00544088"/>
    <w:rsid w:val="005440E1"/>
    <w:rsid w:val="005441CB"/>
    <w:rsid w:val="0054433B"/>
    <w:rsid w:val="00544524"/>
    <w:rsid w:val="00544705"/>
    <w:rsid w:val="0054473A"/>
    <w:rsid w:val="005447C3"/>
    <w:rsid w:val="00544AD7"/>
    <w:rsid w:val="00544E48"/>
    <w:rsid w:val="005452C8"/>
    <w:rsid w:val="005452DF"/>
    <w:rsid w:val="00545729"/>
    <w:rsid w:val="0054585E"/>
    <w:rsid w:val="00545878"/>
    <w:rsid w:val="00545B76"/>
    <w:rsid w:val="00545B96"/>
    <w:rsid w:val="00545DCC"/>
    <w:rsid w:val="00545F14"/>
    <w:rsid w:val="00546073"/>
    <w:rsid w:val="00546547"/>
    <w:rsid w:val="00546666"/>
    <w:rsid w:val="00546A87"/>
    <w:rsid w:val="00546B12"/>
    <w:rsid w:val="00547167"/>
    <w:rsid w:val="0054716D"/>
    <w:rsid w:val="0054736B"/>
    <w:rsid w:val="00547441"/>
    <w:rsid w:val="00547455"/>
    <w:rsid w:val="00547498"/>
    <w:rsid w:val="0054783A"/>
    <w:rsid w:val="005478BB"/>
    <w:rsid w:val="00547BC4"/>
    <w:rsid w:val="00547E85"/>
    <w:rsid w:val="00547EA9"/>
    <w:rsid w:val="0055095A"/>
    <w:rsid w:val="00550BE8"/>
    <w:rsid w:val="00550C69"/>
    <w:rsid w:val="00550DBE"/>
    <w:rsid w:val="00550F63"/>
    <w:rsid w:val="005510CB"/>
    <w:rsid w:val="005511BE"/>
    <w:rsid w:val="005511D4"/>
    <w:rsid w:val="0055124C"/>
    <w:rsid w:val="00551607"/>
    <w:rsid w:val="00551964"/>
    <w:rsid w:val="00551A9D"/>
    <w:rsid w:val="00551AF4"/>
    <w:rsid w:val="00551BB5"/>
    <w:rsid w:val="005520DF"/>
    <w:rsid w:val="005522D1"/>
    <w:rsid w:val="005522FC"/>
    <w:rsid w:val="00552423"/>
    <w:rsid w:val="00552486"/>
    <w:rsid w:val="0055252B"/>
    <w:rsid w:val="005529B1"/>
    <w:rsid w:val="00552E1D"/>
    <w:rsid w:val="005530FE"/>
    <w:rsid w:val="00553167"/>
    <w:rsid w:val="005531E9"/>
    <w:rsid w:val="00553201"/>
    <w:rsid w:val="005532F0"/>
    <w:rsid w:val="005534A5"/>
    <w:rsid w:val="005534BB"/>
    <w:rsid w:val="00553651"/>
    <w:rsid w:val="0055365C"/>
    <w:rsid w:val="00553668"/>
    <w:rsid w:val="0055375E"/>
    <w:rsid w:val="00553876"/>
    <w:rsid w:val="00553ADF"/>
    <w:rsid w:val="00553D89"/>
    <w:rsid w:val="005541D4"/>
    <w:rsid w:val="005542A3"/>
    <w:rsid w:val="00554345"/>
    <w:rsid w:val="005543C8"/>
    <w:rsid w:val="00554562"/>
    <w:rsid w:val="00554586"/>
    <w:rsid w:val="00554842"/>
    <w:rsid w:val="0055488A"/>
    <w:rsid w:val="00554A10"/>
    <w:rsid w:val="005550AC"/>
    <w:rsid w:val="0055576B"/>
    <w:rsid w:val="0055594A"/>
    <w:rsid w:val="00555B7E"/>
    <w:rsid w:val="00555D30"/>
    <w:rsid w:val="0055612D"/>
    <w:rsid w:val="0055616E"/>
    <w:rsid w:val="005563D3"/>
    <w:rsid w:val="005565AB"/>
    <w:rsid w:val="005565BC"/>
    <w:rsid w:val="0055691C"/>
    <w:rsid w:val="00556A21"/>
    <w:rsid w:val="00556A4B"/>
    <w:rsid w:val="00556E29"/>
    <w:rsid w:val="00556E65"/>
    <w:rsid w:val="00556EE7"/>
    <w:rsid w:val="00556EE8"/>
    <w:rsid w:val="00556EEC"/>
    <w:rsid w:val="00556F2D"/>
    <w:rsid w:val="005574C3"/>
    <w:rsid w:val="00557625"/>
    <w:rsid w:val="005578BF"/>
    <w:rsid w:val="00557D88"/>
    <w:rsid w:val="0056060F"/>
    <w:rsid w:val="005608B0"/>
    <w:rsid w:val="00560A7E"/>
    <w:rsid w:val="00560DAA"/>
    <w:rsid w:val="00561027"/>
    <w:rsid w:val="005611CD"/>
    <w:rsid w:val="005613E8"/>
    <w:rsid w:val="0056142D"/>
    <w:rsid w:val="00561538"/>
    <w:rsid w:val="0056158C"/>
    <w:rsid w:val="00561614"/>
    <w:rsid w:val="00561622"/>
    <w:rsid w:val="00561816"/>
    <w:rsid w:val="00561859"/>
    <w:rsid w:val="005619B2"/>
    <w:rsid w:val="00561C27"/>
    <w:rsid w:val="00562022"/>
    <w:rsid w:val="00562032"/>
    <w:rsid w:val="00562083"/>
    <w:rsid w:val="0056225F"/>
    <w:rsid w:val="00562414"/>
    <w:rsid w:val="0056255F"/>
    <w:rsid w:val="005625F2"/>
    <w:rsid w:val="0056269B"/>
    <w:rsid w:val="0056284A"/>
    <w:rsid w:val="00562870"/>
    <w:rsid w:val="00562901"/>
    <w:rsid w:val="0056298E"/>
    <w:rsid w:val="00562C8B"/>
    <w:rsid w:val="00563627"/>
    <w:rsid w:val="00563734"/>
    <w:rsid w:val="00563764"/>
    <w:rsid w:val="0056382A"/>
    <w:rsid w:val="0056396A"/>
    <w:rsid w:val="00563EF2"/>
    <w:rsid w:val="005641CA"/>
    <w:rsid w:val="005641ED"/>
    <w:rsid w:val="005642A1"/>
    <w:rsid w:val="00564478"/>
    <w:rsid w:val="00564765"/>
    <w:rsid w:val="005647F9"/>
    <w:rsid w:val="00564CE1"/>
    <w:rsid w:val="00564D88"/>
    <w:rsid w:val="00565127"/>
    <w:rsid w:val="005653DF"/>
    <w:rsid w:val="00565411"/>
    <w:rsid w:val="00565650"/>
    <w:rsid w:val="0056574F"/>
    <w:rsid w:val="00565F98"/>
    <w:rsid w:val="00566671"/>
    <w:rsid w:val="0056675E"/>
    <w:rsid w:val="00566927"/>
    <w:rsid w:val="00566DAC"/>
    <w:rsid w:val="00566DE5"/>
    <w:rsid w:val="00566FEA"/>
    <w:rsid w:val="00567136"/>
    <w:rsid w:val="005671D9"/>
    <w:rsid w:val="005672B6"/>
    <w:rsid w:val="005676F5"/>
    <w:rsid w:val="00567937"/>
    <w:rsid w:val="00567C79"/>
    <w:rsid w:val="00567CFD"/>
    <w:rsid w:val="00567DE3"/>
    <w:rsid w:val="00567F45"/>
    <w:rsid w:val="00570012"/>
    <w:rsid w:val="00570018"/>
    <w:rsid w:val="0057002C"/>
    <w:rsid w:val="005704B3"/>
    <w:rsid w:val="005705A3"/>
    <w:rsid w:val="0057075F"/>
    <w:rsid w:val="00570FA2"/>
    <w:rsid w:val="005712D5"/>
    <w:rsid w:val="00571549"/>
    <w:rsid w:val="005715BD"/>
    <w:rsid w:val="00571674"/>
    <w:rsid w:val="00571988"/>
    <w:rsid w:val="00571E5C"/>
    <w:rsid w:val="00572C10"/>
    <w:rsid w:val="00572E51"/>
    <w:rsid w:val="00572FD2"/>
    <w:rsid w:val="0057311C"/>
    <w:rsid w:val="005734AE"/>
    <w:rsid w:val="005735A0"/>
    <w:rsid w:val="005735B8"/>
    <w:rsid w:val="005735BB"/>
    <w:rsid w:val="00573998"/>
    <w:rsid w:val="00573A22"/>
    <w:rsid w:val="00573ABC"/>
    <w:rsid w:val="00573EC6"/>
    <w:rsid w:val="0057403B"/>
    <w:rsid w:val="005740BA"/>
    <w:rsid w:val="00574185"/>
    <w:rsid w:val="005743F0"/>
    <w:rsid w:val="00574485"/>
    <w:rsid w:val="00574631"/>
    <w:rsid w:val="005746CB"/>
    <w:rsid w:val="00574944"/>
    <w:rsid w:val="00574A48"/>
    <w:rsid w:val="00574A5F"/>
    <w:rsid w:val="00574C1C"/>
    <w:rsid w:val="00574E66"/>
    <w:rsid w:val="0057520B"/>
    <w:rsid w:val="00575332"/>
    <w:rsid w:val="00575769"/>
    <w:rsid w:val="005757CB"/>
    <w:rsid w:val="00575865"/>
    <w:rsid w:val="005759A1"/>
    <w:rsid w:val="00575CFA"/>
    <w:rsid w:val="00575E59"/>
    <w:rsid w:val="00575FB3"/>
    <w:rsid w:val="005760F7"/>
    <w:rsid w:val="0057618C"/>
    <w:rsid w:val="00576192"/>
    <w:rsid w:val="005761FD"/>
    <w:rsid w:val="005766B6"/>
    <w:rsid w:val="005766DF"/>
    <w:rsid w:val="00576A48"/>
    <w:rsid w:val="00576A9C"/>
    <w:rsid w:val="00576EC9"/>
    <w:rsid w:val="00576F68"/>
    <w:rsid w:val="00577021"/>
    <w:rsid w:val="0057744C"/>
    <w:rsid w:val="00577475"/>
    <w:rsid w:val="00577550"/>
    <w:rsid w:val="005775D9"/>
    <w:rsid w:val="005776BF"/>
    <w:rsid w:val="00577878"/>
    <w:rsid w:val="00577BCD"/>
    <w:rsid w:val="00577D17"/>
    <w:rsid w:val="00577F44"/>
    <w:rsid w:val="00577F58"/>
    <w:rsid w:val="00580122"/>
    <w:rsid w:val="0058016F"/>
    <w:rsid w:val="00580227"/>
    <w:rsid w:val="00580379"/>
    <w:rsid w:val="005804A4"/>
    <w:rsid w:val="0058098D"/>
    <w:rsid w:val="00580A0D"/>
    <w:rsid w:val="00580A8D"/>
    <w:rsid w:val="00580AF4"/>
    <w:rsid w:val="00580CD7"/>
    <w:rsid w:val="00580EA8"/>
    <w:rsid w:val="00580ED7"/>
    <w:rsid w:val="005810DF"/>
    <w:rsid w:val="00581415"/>
    <w:rsid w:val="00581685"/>
    <w:rsid w:val="0058168F"/>
    <w:rsid w:val="0058187E"/>
    <w:rsid w:val="00581885"/>
    <w:rsid w:val="005818F0"/>
    <w:rsid w:val="0058191D"/>
    <w:rsid w:val="00581978"/>
    <w:rsid w:val="00581D71"/>
    <w:rsid w:val="00581FFE"/>
    <w:rsid w:val="0058204D"/>
    <w:rsid w:val="0058212C"/>
    <w:rsid w:val="0058252A"/>
    <w:rsid w:val="0058260B"/>
    <w:rsid w:val="00582647"/>
    <w:rsid w:val="00582B72"/>
    <w:rsid w:val="00582C5B"/>
    <w:rsid w:val="00582EE0"/>
    <w:rsid w:val="00582FAD"/>
    <w:rsid w:val="00583090"/>
    <w:rsid w:val="00583129"/>
    <w:rsid w:val="005835F6"/>
    <w:rsid w:val="005835FD"/>
    <w:rsid w:val="00583984"/>
    <w:rsid w:val="00583B6D"/>
    <w:rsid w:val="00583D40"/>
    <w:rsid w:val="00583E2B"/>
    <w:rsid w:val="00583E96"/>
    <w:rsid w:val="005840D6"/>
    <w:rsid w:val="005841CC"/>
    <w:rsid w:val="005842D6"/>
    <w:rsid w:val="0058436D"/>
    <w:rsid w:val="00584AF0"/>
    <w:rsid w:val="00584B8F"/>
    <w:rsid w:val="00584E40"/>
    <w:rsid w:val="00584EA7"/>
    <w:rsid w:val="00585102"/>
    <w:rsid w:val="005852C8"/>
    <w:rsid w:val="0058551B"/>
    <w:rsid w:val="0058564D"/>
    <w:rsid w:val="00585704"/>
    <w:rsid w:val="00585AB9"/>
    <w:rsid w:val="00585C73"/>
    <w:rsid w:val="00585E9E"/>
    <w:rsid w:val="00585F70"/>
    <w:rsid w:val="00586562"/>
    <w:rsid w:val="005865F4"/>
    <w:rsid w:val="00586619"/>
    <w:rsid w:val="005867AE"/>
    <w:rsid w:val="00586947"/>
    <w:rsid w:val="005869C3"/>
    <w:rsid w:val="00586D26"/>
    <w:rsid w:val="0058734C"/>
    <w:rsid w:val="005877B2"/>
    <w:rsid w:val="00587A3D"/>
    <w:rsid w:val="00587A9A"/>
    <w:rsid w:val="00587AA1"/>
    <w:rsid w:val="00587E88"/>
    <w:rsid w:val="00587F6A"/>
    <w:rsid w:val="00587FAB"/>
    <w:rsid w:val="005900AB"/>
    <w:rsid w:val="0059018F"/>
    <w:rsid w:val="005901C4"/>
    <w:rsid w:val="00590213"/>
    <w:rsid w:val="005902EF"/>
    <w:rsid w:val="005902FE"/>
    <w:rsid w:val="0059071B"/>
    <w:rsid w:val="00590815"/>
    <w:rsid w:val="00590903"/>
    <w:rsid w:val="00590B1F"/>
    <w:rsid w:val="00590B89"/>
    <w:rsid w:val="00590C84"/>
    <w:rsid w:val="00590DE9"/>
    <w:rsid w:val="00590EBC"/>
    <w:rsid w:val="00591139"/>
    <w:rsid w:val="00591309"/>
    <w:rsid w:val="00591420"/>
    <w:rsid w:val="005915F9"/>
    <w:rsid w:val="00591CE2"/>
    <w:rsid w:val="00591E3D"/>
    <w:rsid w:val="0059215B"/>
    <w:rsid w:val="005921B4"/>
    <w:rsid w:val="005921C3"/>
    <w:rsid w:val="0059226D"/>
    <w:rsid w:val="005922AA"/>
    <w:rsid w:val="005927E0"/>
    <w:rsid w:val="005928A9"/>
    <w:rsid w:val="005929C4"/>
    <w:rsid w:val="00592BC5"/>
    <w:rsid w:val="00592D66"/>
    <w:rsid w:val="00592E64"/>
    <w:rsid w:val="00593021"/>
    <w:rsid w:val="005930BC"/>
    <w:rsid w:val="0059341B"/>
    <w:rsid w:val="00593638"/>
    <w:rsid w:val="00593851"/>
    <w:rsid w:val="005938B8"/>
    <w:rsid w:val="00593988"/>
    <w:rsid w:val="00593A5E"/>
    <w:rsid w:val="00593D9E"/>
    <w:rsid w:val="005940E9"/>
    <w:rsid w:val="00594494"/>
    <w:rsid w:val="005944B2"/>
    <w:rsid w:val="00594595"/>
    <w:rsid w:val="00594693"/>
    <w:rsid w:val="00594764"/>
    <w:rsid w:val="005947A9"/>
    <w:rsid w:val="005947EE"/>
    <w:rsid w:val="0059485F"/>
    <w:rsid w:val="005948C4"/>
    <w:rsid w:val="00594944"/>
    <w:rsid w:val="005949B0"/>
    <w:rsid w:val="00594A81"/>
    <w:rsid w:val="00594D81"/>
    <w:rsid w:val="00594EA8"/>
    <w:rsid w:val="00595253"/>
    <w:rsid w:val="0059537C"/>
    <w:rsid w:val="005954D5"/>
    <w:rsid w:val="00595627"/>
    <w:rsid w:val="00595824"/>
    <w:rsid w:val="0059590E"/>
    <w:rsid w:val="00595BEE"/>
    <w:rsid w:val="00595E35"/>
    <w:rsid w:val="0059613A"/>
    <w:rsid w:val="0059627F"/>
    <w:rsid w:val="00596532"/>
    <w:rsid w:val="00596881"/>
    <w:rsid w:val="005968D6"/>
    <w:rsid w:val="00596ABE"/>
    <w:rsid w:val="00596CDC"/>
    <w:rsid w:val="00596D86"/>
    <w:rsid w:val="00596FFA"/>
    <w:rsid w:val="00597103"/>
    <w:rsid w:val="0059717E"/>
    <w:rsid w:val="00597359"/>
    <w:rsid w:val="00597443"/>
    <w:rsid w:val="0059757A"/>
    <w:rsid w:val="00597C8C"/>
    <w:rsid w:val="00597D3A"/>
    <w:rsid w:val="00597EDD"/>
    <w:rsid w:val="005A004D"/>
    <w:rsid w:val="005A00A2"/>
    <w:rsid w:val="005A02B2"/>
    <w:rsid w:val="005A0352"/>
    <w:rsid w:val="005A03D5"/>
    <w:rsid w:val="005A04E8"/>
    <w:rsid w:val="005A0771"/>
    <w:rsid w:val="005A08CC"/>
    <w:rsid w:val="005A0E0F"/>
    <w:rsid w:val="005A0E96"/>
    <w:rsid w:val="005A0FFB"/>
    <w:rsid w:val="005A1014"/>
    <w:rsid w:val="005A1226"/>
    <w:rsid w:val="005A1360"/>
    <w:rsid w:val="005A13A4"/>
    <w:rsid w:val="005A146E"/>
    <w:rsid w:val="005A1526"/>
    <w:rsid w:val="005A15BB"/>
    <w:rsid w:val="005A15E6"/>
    <w:rsid w:val="005A1842"/>
    <w:rsid w:val="005A188B"/>
    <w:rsid w:val="005A1C96"/>
    <w:rsid w:val="005A1E5D"/>
    <w:rsid w:val="005A1FAB"/>
    <w:rsid w:val="005A2142"/>
    <w:rsid w:val="005A2189"/>
    <w:rsid w:val="005A21FA"/>
    <w:rsid w:val="005A230E"/>
    <w:rsid w:val="005A24B9"/>
    <w:rsid w:val="005A2512"/>
    <w:rsid w:val="005A25CB"/>
    <w:rsid w:val="005A274F"/>
    <w:rsid w:val="005A27F6"/>
    <w:rsid w:val="005A2951"/>
    <w:rsid w:val="005A2A5D"/>
    <w:rsid w:val="005A2B1F"/>
    <w:rsid w:val="005A2BC3"/>
    <w:rsid w:val="005A2BFE"/>
    <w:rsid w:val="005A2CB7"/>
    <w:rsid w:val="005A3174"/>
    <w:rsid w:val="005A33A3"/>
    <w:rsid w:val="005A3449"/>
    <w:rsid w:val="005A36D5"/>
    <w:rsid w:val="005A3A10"/>
    <w:rsid w:val="005A3F95"/>
    <w:rsid w:val="005A4144"/>
    <w:rsid w:val="005A4249"/>
    <w:rsid w:val="005A42D6"/>
    <w:rsid w:val="005A44BF"/>
    <w:rsid w:val="005A44DD"/>
    <w:rsid w:val="005A471D"/>
    <w:rsid w:val="005A4B08"/>
    <w:rsid w:val="005A4BF3"/>
    <w:rsid w:val="005A4E7B"/>
    <w:rsid w:val="005A4E82"/>
    <w:rsid w:val="005A4F27"/>
    <w:rsid w:val="005A5248"/>
    <w:rsid w:val="005A5380"/>
    <w:rsid w:val="005A53FE"/>
    <w:rsid w:val="005A55AF"/>
    <w:rsid w:val="005A5786"/>
    <w:rsid w:val="005A5A00"/>
    <w:rsid w:val="005A5C68"/>
    <w:rsid w:val="005A5E78"/>
    <w:rsid w:val="005A6BC9"/>
    <w:rsid w:val="005A6C4D"/>
    <w:rsid w:val="005A6D6C"/>
    <w:rsid w:val="005A7264"/>
    <w:rsid w:val="005A73EE"/>
    <w:rsid w:val="005A74DB"/>
    <w:rsid w:val="005A74EC"/>
    <w:rsid w:val="005A78C7"/>
    <w:rsid w:val="005A7E08"/>
    <w:rsid w:val="005A7E99"/>
    <w:rsid w:val="005A7ED5"/>
    <w:rsid w:val="005A7FE8"/>
    <w:rsid w:val="005B07F8"/>
    <w:rsid w:val="005B0981"/>
    <w:rsid w:val="005B0AB5"/>
    <w:rsid w:val="005B1055"/>
    <w:rsid w:val="005B1133"/>
    <w:rsid w:val="005B1263"/>
    <w:rsid w:val="005B12C5"/>
    <w:rsid w:val="005B12F7"/>
    <w:rsid w:val="005B14DB"/>
    <w:rsid w:val="005B1793"/>
    <w:rsid w:val="005B17E5"/>
    <w:rsid w:val="005B18AD"/>
    <w:rsid w:val="005B1AEA"/>
    <w:rsid w:val="005B1C39"/>
    <w:rsid w:val="005B1C9E"/>
    <w:rsid w:val="005B1CB8"/>
    <w:rsid w:val="005B1DA4"/>
    <w:rsid w:val="005B1E29"/>
    <w:rsid w:val="005B213E"/>
    <w:rsid w:val="005B2177"/>
    <w:rsid w:val="005B21DF"/>
    <w:rsid w:val="005B25DB"/>
    <w:rsid w:val="005B2773"/>
    <w:rsid w:val="005B295C"/>
    <w:rsid w:val="005B2DA5"/>
    <w:rsid w:val="005B31EF"/>
    <w:rsid w:val="005B32D0"/>
    <w:rsid w:val="005B3497"/>
    <w:rsid w:val="005B355F"/>
    <w:rsid w:val="005B37C9"/>
    <w:rsid w:val="005B3C1F"/>
    <w:rsid w:val="005B3CA8"/>
    <w:rsid w:val="005B3D17"/>
    <w:rsid w:val="005B3D76"/>
    <w:rsid w:val="005B3DA2"/>
    <w:rsid w:val="005B3E62"/>
    <w:rsid w:val="005B4094"/>
    <w:rsid w:val="005B4201"/>
    <w:rsid w:val="005B45D0"/>
    <w:rsid w:val="005B4997"/>
    <w:rsid w:val="005B4AF8"/>
    <w:rsid w:val="005B4C0F"/>
    <w:rsid w:val="005B4CFC"/>
    <w:rsid w:val="005B4E3F"/>
    <w:rsid w:val="005B4EBF"/>
    <w:rsid w:val="005B515B"/>
    <w:rsid w:val="005B5324"/>
    <w:rsid w:val="005B544F"/>
    <w:rsid w:val="005B5556"/>
    <w:rsid w:val="005B57B5"/>
    <w:rsid w:val="005B587D"/>
    <w:rsid w:val="005B5E54"/>
    <w:rsid w:val="005B5EB5"/>
    <w:rsid w:val="005B6031"/>
    <w:rsid w:val="005B6209"/>
    <w:rsid w:val="005B6242"/>
    <w:rsid w:val="005B62B8"/>
    <w:rsid w:val="005B62C6"/>
    <w:rsid w:val="005B64CB"/>
    <w:rsid w:val="005B6B8A"/>
    <w:rsid w:val="005B6BDB"/>
    <w:rsid w:val="005B6CE4"/>
    <w:rsid w:val="005B6DF5"/>
    <w:rsid w:val="005B6E2E"/>
    <w:rsid w:val="005B6F7A"/>
    <w:rsid w:val="005B7044"/>
    <w:rsid w:val="005B7246"/>
    <w:rsid w:val="005B72B3"/>
    <w:rsid w:val="005B7339"/>
    <w:rsid w:val="005B78B3"/>
    <w:rsid w:val="005B79DF"/>
    <w:rsid w:val="005B79F9"/>
    <w:rsid w:val="005B7BA0"/>
    <w:rsid w:val="005B7DF7"/>
    <w:rsid w:val="005C006A"/>
    <w:rsid w:val="005C04AD"/>
    <w:rsid w:val="005C050D"/>
    <w:rsid w:val="005C05A5"/>
    <w:rsid w:val="005C0642"/>
    <w:rsid w:val="005C0704"/>
    <w:rsid w:val="005C072F"/>
    <w:rsid w:val="005C07A1"/>
    <w:rsid w:val="005C07D1"/>
    <w:rsid w:val="005C0D67"/>
    <w:rsid w:val="005C0F6F"/>
    <w:rsid w:val="005C0FC8"/>
    <w:rsid w:val="005C104B"/>
    <w:rsid w:val="005C10F2"/>
    <w:rsid w:val="005C16ED"/>
    <w:rsid w:val="005C1812"/>
    <w:rsid w:val="005C19A5"/>
    <w:rsid w:val="005C19EC"/>
    <w:rsid w:val="005C1A62"/>
    <w:rsid w:val="005C1ABA"/>
    <w:rsid w:val="005C1D9D"/>
    <w:rsid w:val="005C2117"/>
    <w:rsid w:val="005C2243"/>
    <w:rsid w:val="005C22CE"/>
    <w:rsid w:val="005C23E4"/>
    <w:rsid w:val="005C2463"/>
    <w:rsid w:val="005C246E"/>
    <w:rsid w:val="005C2571"/>
    <w:rsid w:val="005C2763"/>
    <w:rsid w:val="005C28C5"/>
    <w:rsid w:val="005C28E9"/>
    <w:rsid w:val="005C2A98"/>
    <w:rsid w:val="005C2AAF"/>
    <w:rsid w:val="005C2C1D"/>
    <w:rsid w:val="005C34FA"/>
    <w:rsid w:val="005C3631"/>
    <w:rsid w:val="005C364D"/>
    <w:rsid w:val="005C382F"/>
    <w:rsid w:val="005C3B9B"/>
    <w:rsid w:val="005C3C00"/>
    <w:rsid w:val="005C3D28"/>
    <w:rsid w:val="005C3D75"/>
    <w:rsid w:val="005C3EA3"/>
    <w:rsid w:val="005C4461"/>
    <w:rsid w:val="005C461C"/>
    <w:rsid w:val="005C4832"/>
    <w:rsid w:val="005C4982"/>
    <w:rsid w:val="005C4C44"/>
    <w:rsid w:val="005C4FB3"/>
    <w:rsid w:val="005C5186"/>
    <w:rsid w:val="005C5402"/>
    <w:rsid w:val="005C56E8"/>
    <w:rsid w:val="005C5993"/>
    <w:rsid w:val="005C5B8F"/>
    <w:rsid w:val="005C5DEF"/>
    <w:rsid w:val="005C5ECE"/>
    <w:rsid w:val="005C5ED9"/>
    <w:rsid w:val="005C5EF3"/>
    <w:rsid w:val="005C611E"/>
    <w:rsid w:val="005C676F"/>
    <w:rsid w:val="005C6825"/>
    <w:rsid w:val="005C6B73"/>
    <w:rsid w:val="005C6BE2"/>
    <w:rsid w:val="005C6C10"/>
    <w:rsid w:val="005C6C4E"/>
    <w:rsid w:val="005C711E"/>
    <w:rsid w:val="005C75C0"/>
    <w:rsid w:val="005C75C5"/>
    <w:rsid w:val="005C7741"/>
    <w:rsid w:val="005C7882"/>
    <w:rsid w:val="005C79C0"/>
    <w:rsid w:val="005C7A7A"/>
    <w:rsid w:val="005C7BCD"/>
    <w:rsid w:val="005C7DF8"/>
    <w:rsid w:val="005C7DFC"/>
    <w:rsid w:val="005C7F3E"/>
    <w:rsid w:val="005C7FAA"/>
    <w:rsid w:val="005D0397"/>
    <w:rsid w:val="005D03EB"/>
    <w:rsid w:val="005D04E8"/>
    <w:rsid w:val="005D0565"/>
    <w:rsid w:val="005D06B5"/>
    <w:rsid w:val="005D071D"/>
    <w:rsid w:val="005D0868"/>
    <w:rsid w:val="005D09B8"/>
    <w:rsid w:val="005D0BA5"/>
    <w:rsid w:val="005D0E1C"/>
    <w:rsid w:val="005D1075"/>
    <w:rsid w:val="005D1248"/>
    <w:rsid w:val="005D1255"/>
    <w:rsid w:val="005D12C4"/>
    <w:rsid w:val="005D13EB"/>
    <w:rsid w:val="005D141F"/>
    <w:rsid w:val="005D1481"/>
    <w:rsid w:val="005D1494"/>
    <w:rsid w:val="005D1677"/>
    <w:rsid w:val="005D1848"/>
    <w:rsid w:val="005D18A9"/>
    <w:rsid w:val="005D1C5E"/>
    <w:rsid w:val="005D1FD0"/>
    <w:rsid w:val="005D2015"/>
    <w:rsid w:val="005D2055"/>
    <w:rsid w:val="005D20E5"/>
    <w:rsid w:val="005D2102"/>
    <w:rsid w:val="005D2593"/>
    <w:rsid w:val="005D2885"/>
    <w:rsid w:val="005D2E73"/>
    <w:rsid w:val="005D308D"/>
    <w:rsid w:val="005D3904"/>
    <w:rsid w:val="005D395A"/>
    <w:rsid w:val="005D3A84"/>
    <w:rsid w:val="005D3AE5"/>
    <w:rsid w:val="005D3BC4"/>
    <w:rsid w:val="005D3E83"/>
    <w:rsid w:val="005D3EA8"/>
    <w:rsid w:val="005D4809"/>
    <w:rsid w:val="005D48A2"/>
    <w:rsid w:val="005D497A"/>
    <w:rsid w:val="005D4AA8"/>
    <w:rsid w:val="005D4B37"/>
    <w:rsid w:val="005D4C5A"/>
    <w:rsid w:val="005D4D11"/>
    <w:rsid w:val="005D4F69"/>
    <w:rsid w:val="005D4F73"/>
    <w:rsid w:val="005D551E"/>
    <w:rsid w:val="005D5737"/>
    <w:rsid w:val="005D57C7"/>
    <w:rsid w:val="005D5D32"/>
    <w:rsid w:val="005D5E65"/>
    <w:rsid w:val="005D5FB3"/>
    <w:rsid w:val="005D6080"/>
    <w:rsid w:val="005D6262"/>
    <w:rsid w:val="005D62B3"/>
    <w:rsid w:val="005D647D"/>
    <w:rsid w:val="005D653E"/>
    <w:rsid w:val="005D6905"/>
    <w:rsid w:val="005D6CC9"/>
    <w:rsid w:val="005D7209"/>
    <w:rsid w:val="005D742B"/>
    <w:rsid w:val="005D764B"/>
    <w:rsid w:val="005D773B"/>
    <w:rsid w:val="005D7DBB"/>
    <w:rsid w:val="005E0160"/>
    <w:rsid w:val="005E030D"/>
    <w:rsid w:val="005E03CB"/>
    <w:rsid w:val="005E054E"/>
    <w:rsid w:val="005E05EE"/>
    <w:rsid w:val="005E0647"/>
    <w:rsid w:val="005E0767"/>
    <w:rsid w:val="005E0821"/>
    <w:rsid w:val="005E0A98"/>
    <w:rsid w:val="005E0CA7"/>
    <w:rsid w:val="005E104B"/>
    <w:rsid w:val="005E109D"/>
    <w:rsid w:val="005E123C"/>
    <w:rsid w:val="005E1477"/>
    <w:rsid w:val="005E16C9"/>
    <w:rsid w:val="005E171F"/>
    <w:rsid w:val="005E1760"/>
    <w:rsid w:val="005E190B"/>
    <w:rsid w:val="005E194E"/>
    <w:rsid w:val="005E1961"/>
    <w:rsid w:val="005E21DB"/>
    <w:rsid w:val="005E2204"/>
    <w:rsid w:val="005E25C1"/>
    <w:rsid w:val="005E2661"/>
    <w:rsid w:val="005E2A24"/>
    <w:rsid w:val="005E2A6E"/>
    <w:rsid w:val="005E2E16"/>
    <w:rsid w:val="005E3167"/>
    <w:rsid w:val="005E31C5"/>
    <w:rsid w:val="005E36CC"/>
    <w:rsid w:val="005E3BBD"/>
    <w:rsid w:val="005E3C52"/>
    <w:rsid w:val="005E3CB4"/>
    <w:rsid w:val="005E3E05"/>
    <w:rsid w:val="005E3E5D"/>
    <w:rsid w:val="005E43AE"/>
    <w:rsid w:val="005E462C"/>
    <w:rsid w:val="005E4816"/>
    <w:rsid w:val="005E4832"/>
    <w:rsid w:val="005E4D33"/>
    <w:rsid w:val="005E51AB"/>
    <w:rsid w:val="005E52F3"/>
    <w:rsid w:val="005E5351"/>
    <w:rsid w:val="005E542C"/>
    <w:rsid w:val="005E5961"/>
    <w:rsid w:val="005E59CF"/>
    <w:rsid w:val="005E5EBE"/>
    <w:rsid w:val="005E5F7C"/>
    <w:rsid w:val="005E6293"/>
    <w:rsid w:val="005E64DC"/>
    <w:rsid w:val="005E651B"/>
    <w:rsid w:val="005E65CE"/>
    <w:rsid w:val="005E6A00"/>
    <w:rsid w:val="005E6DD2"/>
    <w:rsid w:val="005E6DDF"/>
    <w:rsid w:val="005E74A0"/>
    <w:rsid w:val="005E7762"/>
    <w:rsid w:val="005E7D90"/>
    <w:rsid w:val="005E7D9F"/>
    <w:rsid w:val="005E7E2C"/>
    <w:rsid w:val="005E7ECE"/>
    <w:rsid w:val="005E7FAB"/>
    <w:rsid w:val="005F05AD"/>
    <w:rsid w:val="005F0615"/>
    <w:rsid w:val="005F063F"/>
    <w:rsid w:val="005F0BB2"/>
    <w:rsid w:val="005F0C5A"/>
    <w:rsid w:val="005F0D01"/>
    <w:rsid w:val="005F0D92"/>
    <w:rsid w:val="005F0DAD"/>
    <w:rsid w:val="005F106A"/>
    <w:rsid w:val="005F15EF"/>
    <w:rsid w:val="005F1981"/>
    <w:rsid w:val="005F1B40"/>
    <w:rsid w:val="005F1DEF"/>
    <w:rsid w:val="005F1F06"/>
    <w:rsid w:val="005F2014"/>
    <w:rsid w:val="005F2030"/>
    <w:rsid w:val="005F207F"/>
    <w:rsid w:val="005F2101"/>
    <w:rsid w:val="005F2104"/>
    <w:rsid w:val="005F2398"/>
    <w:rsid w:val="005F2738"/>
    <w:rsid w:val="005F28EE"/>
    <w:rsid w:val="005F29A6"/>
    <w:rsid w:val="005F2CD9"/>
    <w:rsid w:val="005F2DD4"/>
    <w:rsid w:val="005F31B8"/>
    <w:rsid w:val="005F324C"/>
    <w:rsid w:val="005F362E"/>
    <w:rsid w:val="005F3678"/>
    <w:rsid w:val="005F392B"/>
    <w:rsid w:val="005F3AB3"/>
    <w:rsid w:val="005F3EF0"/>
    <w:rsid w:val="005F3FB7"/>
    <w:rsid w:val="005F40BB"/>
    <w:rsid w:val="005F4575"/>
    <w:rsid w:val="005F487C"/>
    <w:rsid w:val="005F4B52"/>
    <w:rsid w:val="005F4CC2"/>
    <w:rsid w:val="005F4CFD"/>
    <w:rsid w:val="005F4DA3"/>
    <w:rsid w:val="005F4FED"/>
    <w:rsid w:val="005F551C"/>
    <w:rsid w:val="005F5CE7"/>
    <w:rsid w:val="005F5D33"/>
    <w:rsid w:val="005F5F36"/>
    <w:rsid w:val="005F618D"/>
    <w:rsid w:val="005F6F30"/>
    <w:rsid w:val="005F6F53"/>
    <w:rsid w:val="005F71B5"/>
    <w:rsid w:val="005F73D0"/>
    <w:rsid w:val="005F747A"/>
    <w:rsid w:val="005F7770"/>
    <w:rsid w:val="005F783C"/>
    <w:rsid w:val="005F7AA5"/>
    <w:rsid w:val="005F7B4C"/>
    <w:rsid w:val="005F7C68"/>
    <w:rsid w:val="005F7C8F"/>
    <w:rsid w:val="005F7D8C"/>
    <w:rsid w:val="00600174"/>
    <w:rsid w:val="00600208"/>
    <w:rsid w:val="006003D1"/>
    <w:rsid w:val="0060043D"/>
    <w:rsid w:val="0060058E"/>
    <w:rsid w:val="0060064E"/>
    <w:rsid w:val="006008D1"/>
    <w:rsid w:val="006009A8"/>
    <w:rsid w:val="006009FB"/>
    <w:rsid w:val="00600A4E"/>
    <w:rsid w:val="00600A54"/>
    <w:rsid w:val="00600A7A"/>
    <w:rsid w:val="00600D71"/>
    <w:rsid w:val="0060128F"/>
    <w:rsid w:val="006012D5"/>
    <w:rsid w:val="006015B5"/>
    <w:rsid w:val="00601ACA"/>
    <w:rsid w:val="00601E8D"/>
    <w:rsid w:val="00601ECC"/>
    <w:rsid w:val="00602384"/>
    <w:rsid w:val="006023A0"/>
    <w:rsid w:val="006023D9"/>
    <w:rsid w:val="0060253B"/>
    <w:rsid w:val="0060269A"/>
    <w:rsid w:val="00602739"/>
    <w:rsid w:val="00602833"/>
    <w:rsid w:val="00602916"/>
    <w:rsid w:val="00602979"/>
    <w:rsid w:val="00602CAA"/>
    <w:rsid w:val="00602DD8"/>
    <w:rsid w:val="00603085"/>
    <w:rsid w:val="00603830"/>
    <w:rsid w:val="006039C8"/>
    <w:rsid w:val="00603A6E"/>
    <w:rsid w:val="00603A95"/>
    <w:rsid w:val="0060406A"/>
    <w:rsid w:val="006040D0"/>
    <w:rsid w:val="00604158"/>
    <w:rsid w:val="00604343"/>
    <w:rsid w:val="00604554"/>
    <w:rsid w:val="00604691"/>
    <w:rsid w:val="00604976"/>
    <w:rsid w:val="00604A26"/>
    <w:rsid w:val="00604A64"/>
    <w:rsid w:val="00604D47"/>
    <w:rsid w:val="00604F9B"/>
    <w:rsid w:val="006058DB"/>
    <w:rsid w:val="00605B17"/>
    <w:rsid w:val="00605B53"/>
    <w:rsid w:val="00605B77"/>
    <w:rsid w:val="00605E81"/>
    <w:rsid w:val="00605F62"/>
    <w:rsid w:val="006060AC"/>
    <w:rsid w:val="00606402"/>
    <w:rsid w:val="00606440"/>
    <w:rsid w:val="00606505"/>
    <w:rsid w:val="00606551"/>
    <w:rsid w:val="0060655A"/>
    <w:rsid w:val="006065BB"/>
    <w:rsid w:val="0060674B"/>
    <w:rsid w:val="00606818"/>
    <w:rsid w:val="00606951"/>
    <w:rsid w:val="00606C7D"/>
    <w:rsid w:val="00606CC0"/>
    <w:rsid w:val="00606CDD"/>
    <w:rsid w:val="00606DA5"/>
    <w:rsid w:val="00606E59"/>
    <w:rsid w:val="00607194"/>
    <w:rsid w:val="0060719E"/>
    <w:rsid w:val="006071AD"/>
    <w:rsid w:val="006072AD"/>
    <w:rsid w:val="00607702"/>
    <w:rsid w:val="0060780E"/>
    <w:rsid w:val="0060793A"/>
    <w:rsid w:val="00607A00"/>
    <w:rsid w:val="00607B72"/>
    <w:rsid w:val="0061015C"/>
    <w:rsid w:val="006103F7"/>
    <w:rsid w:val="006104E0"/>
    <w:rsid w:val="00610620"/>
    <w:rsid w:val="00610717"/>
    <w:rsid w:val="0061085A"/>
    <w:rsid w:val="00610D6C"/>
    <w:rsid w:val="00610D9C"/>
    <w:rsid w:val="00610EF7"/>
    <w:rsid w:val="00610F16"/>
    <w:rsid w:val="0061110A"/>
    <w:rsid w:val="006111A9"/>
    <w:rsid w:val="006112CD"/>
    <w:rsid w:val="0061157A"/>
    <w:rsid w:val="00611634"/>
    <w:rsid w:val="0061180F"/>
    <w:rsid w:val="00611909"/>
    <w:rsid w:val="00611A17"/>
    <w:rsid w:val="00611A84"/>
    <w:rsid w:val="00611AEA"/>
    <w:rsid w:val="00611B10"/>
    <w:rsid w:val="00611C4E"/>
    <w:rsid w:val="00611D72"/>
    <w:rsid w:val="00611E69"/>
    <w:rsid w:val="00611ED0"/>
    <w:rsid w:val="0061201A"/>
    <w:rsid w:val="006120DB"/>
    <w:rsid w:val="0061216E"/>
    <w:rsid w:val="0061220F"/>
    <w:rsid w:val="00612230"/>
    <w:rsid w:val="00612659"/>
    <w:rsid w:val="0061276C"/>
    <w:rsid w:val="00612CB7"/>
    <w:rsid w:val="00612DE6"/>
    <w:rsid w:val="00612EAE"/>
    <w:rsid w:val="0061324F"/>
    <w:rsid w:val="0061341F"/>
    <w:rsid w:val="00613A36"/>
    <w:rsid w:val="00613B4D"/>
    <w:rsid w:val="00613FC4"/>
    <w:rsid w:val="00614254"/>
    <w:rsid w:val="00614317"/>
    <w:rsid w:val="0061433C"/>
    <w:rsid w:val="00614398"/>
    <w:rsid w:val="006143BD"/>
    <w:rsid w:val="0061440E"/>
    <w:rsid w:val="0061445B"/>
    <w:rsid w:val="006145EB"/>
    <w:rsid w:val="006146B5"/>
    <w:rsid w:val="00614C53"/>
    <w:rsid w:val="00614C58"/>
    <w:rsid w:val="00615022"/>
    <w:rsid w:val="00615263"/>
    <w:rsid w:val="006155C1"/>
    <w:rsid w:val="006158E3"/>
    <w:rsid w:val="0061599C"/>
    <w:rsid w:val="00615AD4"/>
    <w:rsid w:val="00616034"/>
    <w:rsid w:val="0061619C"/>
    <w:rsid w:val="00616794"/>
    <w:rsid w:val="0061695D"/>
    <w:rsid w:val="00616A9B"/>
    <w:rsid w:val="00616BFE"/>
    <w:rsid w:val="00616E16"/>
    <w:rsid w:val="0061711A"/>
    <w:rsid w:val="00617128"/>
    <w:rsid w:val="00617567"/>
    <w:rsid w:val="006177F8"/>
    <w:rsid w:val="00617C5A"/>
    <w:rsid w:val="00617D36"/>
    <w:rsid w:val="00617FA5"/>
    <w:rsid w:val="0062001C"/>
    <w:rsid w:val="00620403"/>
    <w:rsid w:val="006205BD"/>
    <w:rsid w:val="00620965"/>
    <w:rsid w:val="006209B4"/>
    <w:rsid w:val="00620A75"/>
    <w:rsid w:val="00620AFC"/>
    <w:rsid w:val="00621089"/>
    <w:rsid w:val="00621180"/>
    <w:rsid w:val="00621407"/>
    <w:rsid w:val="00621715"/>
    <w:rsid w:val="00621757"/>
    <w:rsid w:val="0062190C"/>
    <w:rsid w:val="00621D27"/>
    <w:rsid w:val="00621F36"/>
    <w:rsid w:val="00622985"/>
    <w:rsid w:val="00622B92"/>
    <w:rsid w:val="00622CC0"/>
    <w:rsid w:val="00622E33"/>
    <w:rsid w:val="00622FC5"/>
    <w:rsid w:val="006231C1"/>
    <w:rsid w:val="00623279"/>
    <w:rsid w:val="00623688"/>
    <w:rsid w:val="0062398C"/>
    <w:rsid w:val="00623A33"/>
    <w:rsid w:val="00623ADE"/>
    <w:rsid w:val="00623C20"/>
    <w:rsid w:val="00623C26"/>
    <w:rsid w:val="00623D76"/>
    <w:rsid w:val="00623EF3"/>
    <w:rsid w:val="00623FA0"/>
    <w:rsid w:val="0062426E"/>
    <w:rsid w:val="006242B8"/>
    <w:rsid w:val="006243D6"/>
    <w:rsid w:val="0062442E"/>
    <w:rsid w:val="00624A25"/>
    <w:rsid w:val="00624B04"/>
    <w:rsid w:val="00624B1D"/>
    <w:rsid w:val="00624DDC"/>
    <w:rsid w:val="00624E73"/>
    <w:rsid w:val="00624FB0"/>
    <w:rsid w:val="00624FBB"/>
    <w:rsid w:val="0062507A"/>
    <w:rsid w:val="00625164"/>
    <w:rsid w:val="00625381"/>
    <w:rsid w:val="006253CD"/>
    <w:rsid w:val="0062546A"/>
    <w:rsid w:val="006254B4"/>
    <w:rsid w:val="006254DA"/>
    <w:rsid w:val="006254FD"/>
    <w:rsid w:val="00625A69"/>
    <w:rsid w:val="00625C6E"/>
    <w:rsid w:val="006261A3"/>
    <w:rsid w:val="00626214"/>
    <w:rsid w:val="006262CF"/>
    <w:rsid w:val="0062631B"/>
    <w:rsid w:val="00626353"/>
    <w:rsid w:val="006266D4"/>
    <w:rsid w:val="006266E1"/>
    <w:rsid w:val="006266E4"/>
    <w:rsid w:val="006266FA"/>
    <w:rsid w:val="0062690E"/>
    <w:rsid w:val="00626C03"/>
    <w:rsid w:val="00627067"/>
    <w:rsid w:val="0062712F"/>
    <w:rsid w:val="0062728C"/>
    <w:rsid w:val="00627322"/>
    <w:rsid w:val="0062732D"/>
    <w:rsid w:val="006301F1"/>
    <w:rsid w:val="006302E0"/>
    <w:rsid w:val="0063045E"/>
    <w:rsid w:val="00630731"/>
    <w:rsid w:val="00630767"/>
    <w:rsid w:val="006307CD"/>
    <w:rsid w:val="006308CD"/>
    <w:rsid w:val="00630ADD"/>
    <w:rsid w:val="00630E39"/>
    <w:rsid w:val="0063103F"/>
    <w:rsid w:val="006311D0"/>
    <w:rsid w:val="00631305"/>
    <w:rsid w:val="0063133D"/>
    <w:rsid w:val="0063137A"/>
    <w:rsid w:val="006316F0"/>
    <w:rsid w:val="006318FF"/>
    <w:rsid w:val="00631925"/>
    <w:rsid w:val="00631990"/>
    <w:rsid w:val="00631D9A"/>
    <w:rsid w:val="00631F3A"/>
    <w:rsid w:val="006326EA"/>
    <w:rsid w:val="006328AD"/>
    <w:rsid w:val="00632996"/>
    <w:rsid w:val="00632BB1"/>
    <w:rsid w:val="00632D57"/>
    <w:rsid w:val="006330C8"/>
    <w:rsid w:val="006331BD"/>
    <w:rsid w:val="00633337"/>
    <w:rsid w:val="00633361"/>
    <w:rsid w:val="00633515"/>
    <w:rsid w:val="00633B78"/>
    <w:rsid w:val="00633D4A"/>
    <w:rsid w:val="00634183"/>
    <w:rsid w:val="00634481"/>
    <w:rsid w:val="0063458B"/>
    <w:rsid w:val="00634813"/>
    <w:rsid w:val="0063484E"/>
    <w:rsid w:val="006349F9"/>
    <w:rsid w:val="00634A54"/>
    <w:rsid w:val="00634DDA"/>
    <w:rsid w:val="00634E22"/>
    <w:rsid w:val="006351DD"/>
    <w:rsid w:val="006351F7"/>
    <w:rsid w:val="00635405"/>
    <w:rsid w:val="00635540"/>
    <w:rsid w:val="006357F6"/>
    <w:rsid w:val="00635893"/>
    <w:rsid w:val="00635A9E"/>
    <w:rsid w:val="00635C17"/>
    <w:rsid w:val="00635CC5"/>
    <w:rsid w:val="00635FEF"/>
    <w:rsid w:val="00636130"/>
    <w:rsid w:val="00636235"/>
    <w:rsid w:val="0063623A"/>
    <w:rsid w:val="00636293"/>
    <w:rsid w:val="006362D1"/>
    <w:rsid w:val="00636354"/>
    <w:rsid w:val="00636358"/>
    <w:rsid w:val="00636430"/>
    <w:rsid w:val="00636447"/>
    <w:rsid w:val="00636634"/>
    <w:rsid w:val="00636998"/>
    <w:rsid w:val="006369B2"/>
    <w:rsid w:val="00636A17"/>
    <w:rsid w:val="00636CAA"/>
    <w:rsid w:val="00636FDE"/>
    <w:rsid w:val="0063703B"/>
    <w:rsid w:val="006371F2"/>
    <w:rsid w:val="006378C4"/>
    <w:rsid w:val="00637A79"/>
    <w:rsid w:val="00637AB0"/>
    <w:rsid w:val="00637D26"/>
    <w:rsid w:val="00637DEB"/>
    <w:rsid w:val="0064022F"/>
    <w:rsid w:val="006409FB"/>
    <w:rsid w:val="00640E50"/>
    <w:rsid w:val="00640EC7"/>
    <w:rsid w:val="00640F47"/>
    <w:rsid w:val="006410B9"/>
    <w:rsid w:val="006410DC"/>
    <w:rsid w:val="00641935"/>
    <w:rsid w:val="00641975"/>
    <w:rsid w:val="00641983"/>
    <w:rsid w:val="00641C1B"/>
    <w:rsid w:val="00641D85"/>
    <w:rsid w:val="00641E7E"/>
    <w:rsid w:val="00641FE4"/>
    <w:rsid w:val="006421A8"/>
    <w:rsid w:val="00642290"/>
    <w:rsid w:val="006423EC"/>
    <w:rsid w:val="0064281E"/>
    <w:rsid w:val="00642B49"/>
    <w:rsid w:val="00642E73"/>
    <w:rsid w:val="006430E4"/>
    <w:rsid w:val="00643126"/>
    <w:rsid w:val="006431EA"/>
    <w:rsid w:val="0064322B"/>
    <w:rsid w:val="006434A7"/>
    <w:rsid w:val="006434FB"/>
    <w:rsid w:val="00643B84"/>
    <w:rsid w:val="00643C6E"/>
    <w:rsid w:val="00643D77"/>
    <w:rsid w:val="00644027"/>
    <w:rsid w:val="006441D9"/>
    <w:rsid w:val="0064428A"/>
    <w:rsid w:val="00644323"/>
    <w:rsid w:val="00644375"/>
    <w:rsid w:val="006444A0"/>
    <w:rsid w:val="006445F9"/>
    <w:rsid w:val="0064481A"/>
    <w:rsid w:val="00644A6E"/>
    <w:rsid w:val="00644B15"/>
    <w:rsid w:val="00644C3A"/>
    <w:rsid w:val="00644D13"/>
    <w:rsid w:val="00644FB4"/>
    <w:rsid w:val="00645089"/>
    <w:rsid w:val="0064508F"/>
    <w:rsid w:val="00645553"/>
    <w:rsid w:val="00645637"/>
    <w:rsid w:val="0064565A"/>
    <w:rsid w:val="006458A2"/>
    <w:rsid w:val="0064591A"/>
    <w:rsid w:val="00645A8E"/>
    <w:rsid w:val="00645B93"/>
    <w:rsid w:val="00645BBF"/>
    <w:rsid w:val="00645D07"/>
    <w:rsid w:val="00645E86"/>
    <w:rsid w:val="00645EA9"/>
    <w:rsid w:val="006461FB"/>
    <w:rsid w:val="006463BB"/>
    <w:rsid w:val="0064681B"/>
    <w:rsid w:val="006469C3"/>
    <w:rsid w:val="00646C2D"/>
    <w:rsid w:val="0064742F"/>
    <w:rsid w:val="0064759D"/>
    <w:rsid w:val="006475BC"/>
    <w:rsid w:val="00647669"/>
    <w:rsid w:val="00647777"/>
    <w:rsid w:val="00647811"/>
    <w:rsid w:val="006478F2"/>
    <w:rsid w:val="00647AB3"/>
    <w:rsid w:val="00647AD8"/>
    <w:rsid w:val="00647C86"/>
    <w:rsid w:val="00647D86"/>
    <w:rsid w:val="00647F59"/>
    <w:rsid w:val="00650342"/>
    <w:rsid w:val="00650352"/>
    <w:rsid w:val="006503F4"/>
    <w:rsid w:val="006504AE"/>
    <w:rsid w:val="00650546"/>
    <w:rsid w:val="00650640"/>
    <w:rsid w:val="00650894"/>
    <w:rsid w:val="0065090C"/>
    <w:rsid w:val="00650913"/>
    <w:rsid w:val="0065091F"/>
    <w:rsid w:val="00650B0E"/>
    <w:rsid w:val="00650D59"/>
    <w:rsid w:val="00650DF0"/>
    <w:rsid w:val="00650F75"/>
    <w:rsid w:val="00650F92"/>
    <w:rsid w:val="00651335"/>
    <w:rsid w:val="00651557"/>
    <w:rsid w:val="006519E6"/>
    <w:rsid w:val="00651B89"/>
    <w:rsid w:val="00651BA3"/>
    <w:rsid w:val="00651DC3"/>
    <w:rsid w:val="006520DD"/>
    <w:rsid w:val="00652136"/>
    <w:rsid w:val="00652183"/>
    <w:rsid w:val="0065246D"/>
    <w:rsid w:val="00652673"/>
    <w:rsid w:val="00652794"/>
    <w:rsid w:val="0065282E"/>
    <w:rsid w:val="00652836"/>
    <w:rsid w:val="00652840"/>
    <w:rsid w:val="00652A66"/>
    <w:rsid w:val="00652C32"/>
    <w:rsid w:val="00652CB8"/>
    <w:rsid w:val="00652E63"/>
    <w:rsid w:val="00652EC6"/>
    <w:rsid w:val="00652EC9"/>
    <w:rsid w:val="00652F80"/>
    <w:rsid w:val="0065303F"/>
    <w:rsid w:val="00653313"/>
    <w:rsid w:val="00653354"/>
    <w:rsid w:val="006533D5"/>
    <w:rsid w:val="00653638"/>
    <w:rsid w:val="0065368C"/>
    <w:rsid w:val="0065399C"/>
    <w:rsid w:val="00653DCF"/>
    <w:rsid w:val="00653E27"/>
    <w:rsid w:val="00653E54"/>
    <w:rsid w:val="00653E58"/>
    <w:rsid w:val="00653E8C"/>
    <w:rsid w:val="00653F71"/>
    <w:rsid w:val="006545A2"/>
    <w:rsid w:val="0065474D"/>
    <w:rsid w:val="00654836"/>
    <w:rsid w:val="00654877"/>
    <w:rsid w:val="0065491A"/>
    <w:rsid w:val="00654AEE"/>
    <w:rsid w:val="00654C98"/>
    <w:rsid w:val="00654CFA"/>
    <w:rsid w:val="00654E8F"/>
    <w:rsid w:val="00654EC0"/>
    <w:rsid w:val="00654F06"/>
    <w:rsid w:val="00655133"/>
    <w:rsid w:val="006553E5"/>
    <w:rsid w:val="00655501"/>
    <w:rsid w:val="006556BA"/>
    <w:rsid w:val="00655967"/>
    <w:rsid w:val="00655B1D"/>
    <w:rsid w:val="00655BFD"/>
    <w:rsid w:val="00655CA9"/>
    <w:rsid w:val="00655D1F"/>
    <w:rsid w:val="00655E3E"/>
    <w:rsid w:val="00655F1F"/>
    <w:rsid w:val="00655F4D"/>
    <w:rsid w:val="00655F51"/>
    <w:rsid w:val="00656024"/>
    <w:rsid w:val="0065607B"/>
    <w:rsid w:val="00656569"/>
    <w:rsid w:val="00656718"/>
    <w:rsid w:val="00656BAC"/>
    <w:rsid w:val="00656D5B"/>
    <w:rsid w:val="006570EC"/>
    <w:rsid w:val="00657483"/>
    <w:rsid w:val="006575CB"/>
    <w:rsid w:val="006577B9"/>
    <w:rsid w:val="00657A05"/>
    <w:rsid w:val="00657A1A"/>
    <w:rsid w:val="00657B51"/>
    <w:rsid w:val="00660271"/>
    <w:rsid w:val="006603A8"/>
    <w:rsid w:val="006603BD"/>
    <w:rsid w:val="00660486"/>
    <w:rsid w:val="0066059B"/>
    <w:rsid w:val="00660830"/>
    <w:rsid w:val="0066084D"/>
    <w:rsid w:val="00660966"/>
    <w:rsid w:val="00660AE9"/>
    <w:rsid w:val="00660EC5"/>
    <w:rsid w:val="00661178"/>
    <w:rsid w:val="006614B8"/>
    <w:rsid w:val="006614FF"/>
    <w:rsid w:val="00661540"/>
    <w:rsid w:val="0066180C"/>
    <w:rsid w:val="006619E4"/>
    <w:rsid w:val="00661C62"/>
    <w:rsid w:val="00661D3E"/>
    <w:rsid w:val="00661F5D"/>
    <w:rsid w:val="0066220E"/>
    <w:rsid w:val="00662307"/>
    <w:rsid w:val="006623B5"/>
    <w:rsid w:val="0066247E"/>
    <w:rsid w:val="00662656"/>
    <w:rsid w:val="0066274B"/>
    <w:rsid w:val="00662838"/>
    <w:rsid w:val="0066283C"/>
    <w:rsid w:val="00662855"/>
    <w:rsid w:val="0066288A"/>
    <w:rsid w:val="00662CA4"/>
    <w:rsid w:val="00662DBF"/>
    <w:rsid w:val="006630A5"/>
    <w:rsid w:val="00663417"/>
    <w:rsid w:val="00663526"/>
    <w:rsid w:val="006637E3"/>
    <w:rsid w:val="006638C7"/>
    <w:rsid w:val="00663983"/>
    <w:rsid w:val="00663BFE"/>
    <w:rsid w:val="00663D0A"/>
    <w:rsid w:val="00663DB6"/>
    <w:rsid w:val="00663EE7"/>
    <w:rsid w:val="006643CD"/>
    <w:rsid w:val="00664914"/>
    <w:rsid w:val="00664A74"/>
    <w:rsid w:val="00664B58"/>
    <w:rsid w:val="00664BE8"/>
    <w:rsid w:val="00664BF0"/>
    <w:rsid w:val="00664C0B"/>
    <w:rsid w:val="00664CBE"/>
    <w:rsid w:val="00664D7F"/>
    <w:rsid w:val="00664F35"/>
    <w:rsid w:val="00664F7B"/>
    <w:rsid w:val="00665A3C"/>
    <w:rsid w:val="00665D0D"/>
    <w:rsid w:val="00665D20"/>
    <w:rsid w:val="00665E05"/>
    <w:rsid w:val="00665E16"/>
    <w:rsid w:val="00665E23"/>
    <w:rsid w:val="0066608B"/>
    <w:rsid w:val="00666288"/>
    <w:rsid w:val="006662EB"/>
    <w:rsid w:val="006665F5"/>
    <w:rsid w:val="006668D4"/>
    <w:rsid w:val="006669FB"/>
    <w:rsid w:val="00666A49"/>
    <w:rsid w:val="00666DFB"/>
    <w:rsid w:val="006670D2"/>
    <w:rsid w:val="0066740E"/>
    <w:rsid w:val="006679B3"/>
    <w:rsid w:val="00667A67"/>
    <w:rsid w:val="00667D0F"/>
    <w:rsid w:val="00667FC2"/>
    <w:rsid w:val="0067011C"/>
    <w:rsid w:val="006703DD"/>
    <w:rsid w:val="0067072B"/>
    <w:rsid w:val="0067076A"/>
    <w:rsid w:val="006707DC"/>
    <w:rsid w:val="00670BC1"/>
    <w:rsid w:val="00670C77"/>
    <w:rsid w:val="00670C82"/>
    <w:rsid w:val="00670D98"/>
    <w:rsid w:val="00670F64"/>
    <w:rsid w:val="0067113A"/>
    <w:rsid w:val="00671260"/>
    <w:rsid w:val="006712C2"/>
    <w:rsid w:val="00671492"/>
    <w:rsid w:val="006717E1"/>
    <w:rsid w:val="006718BE"/>
    <w:rsid w:val="006719AA"/>
    <w:rsid w:val="00671AA2"/>
    <w:rsid w:val="00671AE3"/>
    <w:rsid w:val="00671AE9"/>
    <w:rsid w:val="00671B2E"/>
    <w:rsid w:val="00671C56"/>
    <w:rsid w:val="00671D53"/>
    <w:rsid w:val="00671D89"/>
    <w:rsid w:val="00671D95"/>
    <w:rsid w:val="00671FFF"/>
    <w:rsid w:val="00672266"/>
    <w:rsid w:val="00672399"/>
    <w:rsid w:val="0067295F"/>
    <w:rsid w:val="0067299F"/>
    <w:rsid w:val="00672BB1"/>
    <w:rsid w:val="00672D08"/>
    <w:rsid w:val="00672FE7"/>
    <w:rsid w:val="0067383F"/>
    <w:rsid w:val="00673949"/>
    <w:rsid w:val="00673B0F"/>
    <w:rsid w:val="00673B43"/>
    <w:rsid w:val="00673F70"/>
    <w:rsid w:val="0067400A"/>
    <w:rsid w:val="00674175"/>
    <w:rsid w:val="00674196"/>
    <w:rsid w:val="00674720"/>
    <w:rsid w:val="0067482B"/>
    <w:rsid w:val="00674977"/>
    <w:rsid w:val="00674C30"/>
    <w:rsid w:val="00674E3A"/>
    <w:rsid w:val="00675203"/>
    <w:rsid w:val="00675389"/>
    <w:rsid w:val="0067569D"/>
    <w:rsid w:val="006757FD"/>
    <w:rsid w:val="00675A40"/>
    <w:rsid w:val="00675E8D"/>
    <w:rsid w:val="00675EEE"/>
    <w:rsid w:val="00675FBC"/>
    <w:rsid w:val="006760A1"/>
    <w:rsid w:val="006763EF"/>
    <w:rsid w:val="0067673A"/>
    <w:rsid w:val="00676875"/>
    <w:rsid w:val="00676B02"/>
    <w:rsid w:val="00676BF4"/>
    <w:rsid w:val="006770D4"/>
    <w:rsid w:val="006773B8"/>
    <w:rsid w:val="006773E8"/>
    <w:rsid w:val="0067745D"/>
    <w:rsid w:val="00677547"/>
    <w:rsid w:val="0067774A"/>
    <w:rsid w:val="006778C3"/>
    <w:rsid w:val="00677C7B"/>
    <w:rsid w:val="00677CFC"/>
    <w:rsid w:val="00677D3D"/>
    <w:rsid w:val="00677DE9"/>
    <w:rsid w:val="00677F77"/>
    <w:rsid w:val="00680781"/>
    <w:rsid w:val="0068085B"/>
    <w:rsid w:val="00680CBA"/>
    <w:rsid w:val="0068107A"/>
    <w:rsid w:val="00681219"/>
    <w:rsid w:val="006813EB"/>
    <w:rsid w:val="0068148C"/>
    <w:rsid w:val="00681603"/>
    <w:rsid w:val="006816C0"/>
    <w:rsid w:val="006817C4"/>
    <w:rsid w:val="006819A9"/>
    <w:rsid w:val="00681E17"/>
    <w:rsid w:val="00681FA4"/>
    <w:rsid w:val="006820AC"/>
    <w:rsid w:val="00682292"/>
    <w:rsid w:val="006822E7"/>
    <w:rsid w:val="0068237A"/>
    <w:rsid w:val="00682478"/>
    <w:rsid w:val="006827C3"/>
    <w:rsid w:val="006829AC"/>
    <w:rsid w:val="006829E9"/>
    <w:rsid w:val="00682A59"/>
    <w:rsid w:val="00682ADD"/>
    <w:rsid w:val="00682BD8"/>
    <w:rsid w:val="00682BF1"/>
    <w:rsid w:val="00682C8C"/>
    <w:rsid w:val="0068306F"/>
    <w:rsid w:val="0068323C"/>
    <w:rsid w:val="006832BC"/>
    <w:rsid w:val="006833CD"/>
    <w:rsid w:val="0068345F"/>
    <w:rsid w:val="00683AD9"/>
    <w:rsid w:val="00683D2E"/>
    <w:rsid w:val="00684152"/>
    <w:rsid w:val="00684211"/>
    <w:rsid w:val="00684388"/>
    <w:rsid w:val="0068458E"/>
    <w:rsid w:val="006846EB"/>
    <w:rsid w:val="006848E7"/>
    <w:rsid w:val="00684C15"/>
    <w:rsid w:val="00684C97"/>
    <w:rsid w:val="00684F46"/>
    <w:rsid w:val="00684F4B"/>
    <w:rsid w:val="006850FB"/>
    <w:rsid w:val="006852CE"/>
    <w:rsid w:val="00685A35"/>
    <w:rsid w:val="00685A53"/>
    <w:rsid w:val="00685AD4"/>
    <w:rsid w:val="00685AE3"/>
    <w:rsid w:val="00685B39"/>
    <w:rsid w:val="00685B41"/>
    <w:rsid w:val="00685F83"/>
    <w:rsid w:val="006861D0"/>
    <w:rsid w:val="00686316"/>
    <w:rsid w:val="0068657C"/>
    <w:rsid w:val="0068664E"/>
    <w:rsid w:val="006868C0"/>
    <w:rsid w:val="0068690A"/>
    <w:rsid w:val="00686997"/>
    <w:rsid w:val="00686BAD"/>
    <w:rsid w:val="00686C6D"/>
    <w:rsid w:val="00686D61"/>
    <w:rsid w:val="00686F5F"/>
    <w:rsid w:val="00686FC7"/>
    <w:rsid w:val="00687233"/>
    <w:rsid w:val="006873BE"/>
    <w:rsid w:val="006874DF"/>
    <w:rsid w:val="006875CB"/>
    <w:rsid w:val="006876AA"/>
    <w:rsid w:val="006877F5"/>
    <w:rsid w:val="006878D3"/>
    <w:rsid w:val="00687C71"/>
    <w:rsid w:val="00687FB4"/>
    <w:rsid w:val="006901D4"/>
    <w:rsid w:val="006903C0"/>
    <w:rsid w:val="0069052A"/>
    <w:rsid w:val="00690610"/>
    <w:rsid w:val="006909B7"/>
    <w:rsid w:val="00690BA0"/>
    <w:rsid w:val="00690DDB"/>
    <w:rsid w:val="00691052"/>
    <w:rsid w:val="00691060"/>
    <w:rsid w:val="0069139D"/>
    <w:rsid w:val="006913DA"/>
    <w:rsid w:val="00691445"/>
    <w:rsid w:val="00691664"/>
    <w:rsid w:val="0069168F"/>
    <w:rsid w:val="0069186E"/>
    <w:rsid w:val="00691AE9"/>
    <w:rsid w:val="00691BD2"/>
    <w:rsid w:val="006920B4"/>
    <w:rsid w:val="0069210E"/>
    <w:rsid w:val="00692220"/>
    <w:rsid w:val="00692327"/>
    <w:rsid w:val="006925DA"/>
    <w:rsid w:val="00692861"/>
    <w:rsid w:val="00692877"/>
    <w:rsid w:val="00692A0D"/>
    <w:rsid w:val="00692A7D"/>
    <w:rsid w:val="00692C21"/>
    <w:rsid w:val="00692D22"/>
    <w:rsid w:val="00692E4C"/>
    <w:rsid w:val="00692E7A"/>
    <w:rsid w:val="00692F0D"/>
    <w:rsid w:val="006930DF"/>
    <w:rsid w:val="00693285"/>
    <w:rsid w:val="0069336A"/>
    <w:rsid w:val="006934CF"/>
    <w:rsid w:val="006936B0"/>
    <w:rsid w:val="00693963"/>
    <w:rsid w:val="00693ACB"/>
    <w:rsid w:val="00693C50"/>
    <w:rsid w:val="00693F1B"/>
    <w:rsid w:val="00693FBC"/>
    <w:rsid w:val="0069415C"/>
    <w:rsid w:val="00694284"/>
    <w:rsid w:val="006945EA"/>
    <w:rsid w:val="006947BD"/>
    <w:rsid w:val="006947BF"/>
    <w:rsid w:val="006947C5"/>
    <w:rsid w:val="006947E2"/>
    <w:rsid w:val="006947F6"/>
    <w:rsid w:val="006949AA"/>
    <w:rsid w:val="00694A77"/>
    <w:rsid w:val="00694B1A"/>
    <w:rsid w:val="00694BD3"/>
    <w:rsid w:val="00694D4F"/>
    <w:rsid w:val="00694EFB"/>
    <w:rsid w:val="00694F02"/>
    <w:rsid w:val="00694F2A"/>
    <w:rsid w:val="006950EC"/>
    <w:rsid w:val="00695172"/>
    <w:rsid w:val="00695375"/>
    <w:rsid w:val="0069540B"/>
    <w:rsid w:val="006955B1"/>
    <w:rsid w:val="006955CD"/>
    <w:rsid w:val="006956B5"/>
    <w:rsid w:val="00695923"/>
    <w:rsid w:val="00695A9C"/>
    <w:rsid w:val="00695D89"/>
    <w:rsid w:val="00695F48"/>
    <w:rsid w:val="0069600B"/>
    <w:rsid w:val="006961ED"/>
    <w:rsid w:val="006961F3"/>
    <w:rsid w:val="00696314"/>
    <w:rsid w:val="0069633A"/>
    <w:rsid w:val="0069647A"/>
    <w:rsid w:val="00696530"/>
    <w:rsid w:val="006967A1"/>
    <w:rsid w:val="006967FC"/>
    <w:rsid w:val="0069690D"/>
    <w:rsid w:val="00696AB2"/>
    <w:rsid w:val="00696BC3"/>
    <w:rsid w:val="00696C33"/>
    <w:rsid w:val="00696C64"/>
    <w:rsid w:val="00696D1D"/>
    <w:rsid w:val="00697078"/>
    <w:rsid w:val="0069749C"/>
    <w:rsid w:val="00697798"/>
    <w:rsid w:val="006979AE"/>
    <w:rsid w:val="006979E4"/>
    <w:rsid w:val="00697AB9"/>
    <w:rsid w:val="00697EA6"/>
    <w:rsid w:val="00697F04"/>
    <w:rsid w:val="006A0425"/>
    <w:rsid w:val="006A06E1"/>
    <w:rsid w:val="006A0CE5"/>
    <w:rsid w:val="006A0D72"/>
    <w:rsid w:val="006A0FAB"/>
    <w:rsid w:val="006A102D"/>
    <w:rsid w:val="006A1117"/>
    <w:rsid w:val="006A1215"/>
    <w:rsid w:val="006A1297"/>
    <w:rsid w:val="006A14B6"/>
    <w:rsid w:val="006A1527"/>
    <w:rsid w:val="006A180E"/>
    <w:rsid w:val="006A1A20"/>
    <w:rsid w:val="006A1BBD"/>
    <w:rsid w:val="006A1F57"/>
    <w:rsid w:val="006A21C5"/>
    <w:rsid w:val="006A2214"/>
    <w:rsid w:val="006A2763"/>
    <w:rsid w:val="006A29B4"/>
    <w:rsid w:val="006A2DEE"/>
    <w:rsid w:val="006A3236"/>
    <w:rsid w:val="006A3398"/>
    <w:rsid w:val="006A3955"/>
    <w:rsid w:val="006A396B"/>
    <w:rsid w:val="006A3A4C"/>
    <w:rsid w:val="006A3A96"/>
    <w:rsid w:val="006A3F60"/>
    <w:rsid w:val="006A4025"/>
    <w:rsid w:val="006A40D7"/>
    <w:rsid w:val="006A41C8"/>
    <w:rsid w:val="006A4288"/>
    <w:rsid w:val="006A4550"/>
    <w:rsid w:val="006A46FF"/>
    <w:rsid w:val="006A4700"/>
    <w:rsid w:val="006A49A4"/>
    <w:rsid w:val="006A4A02"/>
    <w:rsid w:val="006A4A51"/>
    <w:rsid w:val="006A4A8A"/>
    <w:rsid w:val="006A4AB7"/>
    <w:rsid w:val="006A4C45"/>
    <w:rsid w:val="006A4D08"/>
    <w:rsid w:val="006A4D41"/>
    <w:rsid w:val="006A4F24"/>
    <w:rsid w:val="006A4F98"/>
    <w:rsid w:val="006A58A1"/>
    <w:rsid w:val="006A5A13"/>
    <w:rsid w:val="006A5AFF"/>
    <w:rsid w:val="006A5ECE"/>
    <w:rsid w:val="006A61AB"/>
    <w:rsid w:val="006A62A4"/>
    <w:rsid w:val="006A62BA"/>
    <w:rsid w:val="006A6332"/>
    <w:rsid w:val="006A66B0"/>
    <w:rsid w:val="006A6A19"/>
    <w:rsid w:val="006A6C46"/>
    <w:rsid w:val="006A7268"/>
    <w:rsid w:val="006A7288"/>
    <w:rsid w:val="006A729E"/>
    <w:rsid w:val="006A7306"/>
    <w:rsid w:val="006A73C4"/>
    <w:rsid w:val="006A7920"/>
    <w:rsid w:val="006A7BC9"/>
    <w:rsid w:val="006B00A9"/>
    <w:rsid w:val="006B0264"/>
    <w:rsid w:val="006B04EB"/>
    <w:rsid w:val="006B05BB"/>
    <w:rsid w:val="006B05D3"/>
    <w:rsid w:val="006B0A68"/>
    <w:rsid w:val="006B0C45"/>
    <w:rsid w:val="006B0D04"/>
    <w:rsid w:val="006B0F4B"/>
    <w:rsid w:val="006B121E"/>
    <w:rsid w:val="006B133F"/>
    <w:rsid w:val="006B1384"/>
    <w:rsid w:val="006B13BB"/>
    <w:rsid w:val="006B14EB"/>
    <w:rsid w:val="006B150A"/>
    <w:rsid w:val="006B16A9"/>
    <w:rsid w:val="006B16AB"/>
    <w:rsid w:val="006B1831"/>
    <w:rsid w:val="006B18BF"/>
    <w:rsid w:val="006B190F"/>
    <w:rsid w:val="006B1B43"/>
    <w:rsid w:val="006B1C34"/>
    <w:rsid w:val="006B2B4E"/>
    <w:rsid w:val="006B2C31"/>
    <w:rsid w:val="006B2C90"/>
    <w:rsid w:val="006B2F2D"/>
    <w:rsid w:val="006B30E7"/>
    <w:rsid w:val="006B3157"/>
    <w:rsid w:val="006B3160"/>
    <w:rsid w:val="006B3246"/>
    <w:rsid w:val="006B34DA"/>
    <w:rsid w:val="006B35BB"/>
    <w:rsid w:val="006B36E4"/>
    <w:rsid w:val="006B3883"/>
    <w:rsid w:val="006B3BD2"/>
    <w:rsid w:val="006B3F18"/>
    <w:rsid w:val="006B3F7F"/>
    <w:rsid w:val="006B4021"/>
    <w:rsid w:val="006B408D"/>
    <w:rsid w:val="006B41FB"/>
    <w:rsid w:val="006B4566"/>
    <w:rsid w:val="006B460D"/>
    <w:rsid w:val="006B460E"/>
    <w:rsid w:val="006B464E"/>
    <w:rsid w:val="006B46AE"/>
    <w:rsid w:val="006B47DA"/>
    <w:rsid w:val="006B47F9"/>
    <w:rsid w:val="006B480C"/>
    <w:rsid w:val="006B48AF"/>
    <w:rsid w:val="006B493A"/>
    <w:rsid w:val="006B4E17"/>
    <w:rsid w:val="006B51AE"/>
    <w:rsid w:val="006B536A"/>
    <w:rsid w:val="006B5410"/>
    <w:rsid w:val="006B550D"/>
    <w:rsid w:val="006B5A03"/>
    <w:rsid w:val="006B5CB2"/>
    <w:rsid w:val="006B62DD"/>
    <w:rsid w:val="006B62E9"/>
    <w:rsid w:val="006B64B9"/>
    <w:rsid w:val="006B65FF"/>
    <w:rsid w:val="006B67CB"/>
    <w:rsid w:val="006B6C05"/>
    <w:rsid w:val="006B6D7C"/>
    <w:rsid w:val="006B6E08"/>
    <w:rsid w:val="006B70FB"/>
    <w:rsid w:val="006B7163"/>
    <w:rsid w:val="006B7260"/>
    <w:rsid w:val="006B739A"/>
    <w:rsid w:val="006B73E6"/>
    <w:rsid w:val="006B758C"/>
    <w:rsid w:val="006B77B4"/>
    <w:rsid w:val="006B7FC2"/>
    <w:rsid w:val="006B7FD1"/>
    <w:rsid w:val="006C00D4"/>
    <w:rsid w:val="006C0385"/>
    <w:rsid w:val="006C04FB"/>
    <w:rsid w:val="006C06D8"/>
    <w:rsid w:val="006C06FD"/>
    <w:rsid w:val="006C0816"/>
    <w:rsid w:val="006C08AE"/>
    <w:rsid w:val="006C08D9"/>
    <w:rsid w:val="006C093B"/>
    <w:rsid w:val="006C0BAF"/>
    <w:rsid w:val="006C0C3D"/>
    <w:rsid w:val="006C1465"/>
    <w:rsid w:val="006C15C1"/>
    <w:rsid w:val="006C162F"/>
    <w:rsid w:val="006C16EE"/>
    <w:rsid w:val="006C1AB6"/>
    <w:rsid w:val="006C1B21"/>
    <w:rsid w:val="006C1C93"/>
    <w:rsid w:val="006C1EBB"/>
    <w:rsid w:val="006C1EC0"/>
    <w:rsid w:val="006C2524"/>
    <w:rsid w:val="006C2583"/>
    <w:rsid w:val="006C26A7"/>
    <w:rsid w:val="006C28E8"/>
    <w:rsid w:val="006C29B3"/>
    <w:rsid w:val="006C2AA5"/>
    <w:rsid w:val="006C2B9F"/>
    <w:rsid w:val="006C2CEA"/>
    <w:rsid w:val="006C2E70"/>
    <w:rsid w:val="006C2EF7"/>
    <w:rsid w:val="006C2F8B"/>
    <w:rsid w:val="006C2FAD"/>
    <w:rsid w:val="006C3053"/>
    <w:rsid w:val="006C30E6"/>
    <w:rsid w:val="006C31FF"/>
    <w:rsid w:val="006C324C"/>
    <w:rsid w:val="006C3257"/>
    <w:rsid w:val="006C3273"/>
    <w:rsid w:val="006C32C1"/>
    <w:rsid w:val="006C33B5"/>
    <w:rsid w:val="006C3567"/>
    <w:rsid w:val="006C362C"/>
    <w:rsid w:val="006C3B7C"/>
    <w:rsid w:val="006C3C99"/>
    <w:rsid w:val="006C3D2F"/>
    <w:rsid w:val="006C40D5"/>
    <w:rsid w:val="006C40F0"/>
    <w:rsid w:val="006C41B9"/>
    <w:rsid w:val="006C4473"/>
    <w:rsid w:val="006C457A"/>
    <w:rsid w:val="006C45E9"/>
    <w:rsid w:val="006C4869"/>
    <w:rsid w:val="006C48B2"/>
    <w:rsid w:val="006C49A4"/>
    <w:rsid w:val="006C49D7"/>
    <w:rsid w:val="006C4C76"/>
    <w:rsid w:val="006C52DE"/>
    <w:rsid w:val="006C55AB"/>
    <w:rsid w:val="006C577B"/>
    <w:rsid w:val="006C5B81"/>
    <w:rsid w:val="006C5D56"/>
    <w:rsid w:val="006C5DC5"/>
    <w:rsid w:val="006C5DF4"/>
    <w:rsid w:val="006C655B"/>
    <w:rsid w:val="006C660C"/>
    <w:rsid w:val="006C66D5"/>
    <w:rsid w:val="006C68CD"/>
    <w:rsid w:val="006C71AB"/>
    <w:rsid w:val="006C7696"/>
    <w:rsid w:val="006D01D1"/>
    <w:rsid w:val="006D0741"/>
    <w:rsid w:val="006D0A00"/>
    <w:rsid w:val="006D0A6F"/>
    <w:rsid w:val="006D0CAC"/>
    <w:rsid w:val="006D0E5A"/>
    <w:rsid w:val="006D0EC4"/>
    <w:rsid w:val="006D10E8"/>
    <w:rsid w:val="006D119C"/>
    <w:rsid w:val="006D1231"/>
    <w:rsid w:val="006D13BE"/>
    <w:rsid w:val="006D176E"/>
    <w:rsid w:val="006D1F88"/>
    <w:rsid w:val="006D2216"/>
    <w:rsid w:val="006D279F"/>
    <w:rsid w:val="006D27E6"/>
    <w:rsid w:val="006D2A33"/>
    <w:rsid w:val="006D2EB2"/>
    <w:rsid w:val="006D2FED"/>
    <w:rsid w:val="006D316E"/>
    <w:rsid w:val="006D3267"/>
    <w:rsid w:val="006D3599"/>
    <w:rsid w:val="006D35E8"/>
    <w:rsid w:val="006D3855"/>
    <w:rsid w:val="006D3861"/>
    <w:rsid w:val="006D39E3"/>
    <w:rsid w:val="006D3E6B"/>
    <w:rsid w:val="006D408B"/>
    <w:rsid w:val="006D4198"/>
    <w:rsid w:val="006D429F"/>
    <w:rsid w:val="006D4804"/>
    <w:rsid w:val="006D49AA"/>
    <w:rsid w:val="006D4A11"/>
    <w:rsid w:val="006D4BA8"/>
    <w:rsid w:val="006D503C"/>
    <w:rsid w:val="006D50E8"/>
    <w:rsid w:val="006D519F"/>
    <w:rsid w:val="006D5708"/>
    <w:rsid w:val="006D576A"/>
    <w:rsid w:val="006D58B9"/>
    <w:rsid w:val="006D5B8A"/>
    <w:rsid w:val="006D5EB3"/>
    <w:rsid w:val="006D62E6"/>
    <w:rsid w:val="006D6515"/>
    <w:rsid w:val="006D6720"/>
    <w:rsid w:val="006D6841"/>
    <w:rsid w:val="006D6905"/>
    <w:rsid w:val="006D6A8A"/>
    <w:rsid w:val="006D6BFA"/>
    <w:rsid w:val="006D6C20"/>
    <w:rsid w:val="006D6D19"/>
    <w:rsid w:val="006D6D63"/>
    <w:rsid w:val="006D6DCD"/>
    <w:rsid w:val="006D6EDE"/>
    <w:rsid w:val="006D71A0"/>
    <w:rsid w:val="006D7368"/>
    <w:rsid w:val="006D756A"/>
    <w:rsid w:val="006D7C46"/>
    <w:rsid w:val="006E0006"/>
    <w:rsid w:val="006E01B1"/>
    <w:rsid w:val="006E035D"/>
    <w:rsid w:val="006E03D3"/>
    <w:rsid w:val="006E0747"/>
    <w:rsid w:val="006E083A"/>
    <w:rsid w:val="006E0857"/>
    <w:rsid w:val="006E0861"/>
    <w:rsid w:val="006E0913"/>
    <w:rsid w:val="006E0970"/>
    <w:rsid w:val="006E0997"/>
    <w:rsid w:val="006E0A32"/>
    <w:rsid w:val="006E0BED"/>
    <w:rsid w:val="006E0DCA"/>
    <w:rsid w:val="006E0E3D"/>
    <w:rsid w:val="006E0EC0"/>
    <w:rsid w:val="006E0F43"/>
    <w:rsid w:val="006E0FE6"/>
    <w:rsid w:val="006E10BA"/>
    <w:rsid w:val="006E1305"/>
    <w:rsid w:val="006E1829"/>
    <w:rsid w:val="006E1A27"/>
    <w:rsid w:val="006E1DEC"/>
    <w:rsid w:val="006E2242"/>
    <w:rsid w:val="006E227F"/>
    <w:rsid w:val="006E2563"/>
    <w:rsid w:val="006E2587"/>
    <w:rsid w:val="006E258E"/>
    <w:rsid w:val="006E262F"/>
    <w:rsid w:val="006E29C7"/>
    <w:rsid w:val="006E2A46"/>
    <w:rsid w:val="006E2A62"/>
    <w:rsid w:val="006E2E1D"/>
    <w:rsid w:val="006E30C3"/>
    <w:rsid w:val="006E31AD"/>
    <w:rsid w:val="006E3454"/>
    <w:rsid w:val="006E3572"/>
    <w:rsid w:val="006E3A46"/>
    <w:rsid w:val="006E3A59"/>
    <w:rsid w:val="006E3ACC"/>
    <w:rsid w:val="006E3DCD"/>
    <w:rsid w:val="006E3F7A"/>
    <w:rsid w:val="006E4056"/>
    <w:rsid w:val="006E4097"/>
    <w:rsid w:val="006E4181"/>
    <w:rsid w:val="006E4412"/>
    <w:rsid w:val="006E443A"/>
    <w:rsid w:val="006E4474"/>
    <w:rsid w:val="006E447A"/>
    <w:rsid w:val="006E4856"/>
    <w:rsid w:val="006E49CF"/>
    <w:rsid w:val="006E4AE3"/>
    <w:rsid w:val="006E4B10"/>
    <w:rsid w:val="006E4C88"/>
    <w:rsid w:val="006E4D73"/>
    <w:rsid w:val="006E50C6"/>
    <w:rsid w:val="006E5453"/>
    <w:rsid w:val="006E5475"/>
    <w:rsid w:val="006E560A"/>
    <w:rsid w:val="006E5932"/>
    <w:rsid w:val="006E5BCC"/>
    <w:rsid w:val="006E5E7B"/>
    <w:rsid w:val="006E5FC9"/>
    <w:rsid w:val="006E67BF"/>
    <w:rsid w:val="006E6AEA"/>
    <w:rsid w:val="006E6BD4"/>
    <w:rsid w:val="006E6C8C"/>
    <w:rsid w:val="006E6DD2"/>
    <w:rsid w:val="006E6F2F"/>
    <w:rsid w:val="006E7019"/>
    <w:rsid w:val="006E711E"/>
    <w:rsid w:val="006E71FE"/>
    <w:rsid w:val="006E73FD"/>
    <w:rsid w:val="006E7518"/>
    <w:rsid w:val="006E77CB"/>
    <w:rsid w:val="006E77E2"/>
    <w:rsid w:val="006E780F"/>
    <w:rsid w:val="006E7867"/>
    <w:rsid w:val="006E7900"/>
    <w:rsid w:val="006E7A5F"/>
    <w:rsid w:val="006E7D6C"/>
    <w:rsid w:val="006E7EE2"/>
    <w:rsid w:val="006F021E"/>
    <w:rsid w:val="006F0547"/>
    <w:rsid w:val="006F0585"/>
    <w:rsid w:val="006F06E8"/>
    <w:rsid w:val="006F08C0"/>
    <w:rsid w:val="006F08EF"/>
    <w:rsid w:val="006F0AA8"/>
    <w:rsid w:val="006F0D9F"/>
    <w:rsid w:val="006F0ED7"/>
    <w:rsid w:val="006F0F4A"/>
    <w:rsid w:val="006F0FAF"/>
    <w:rsid w:val="006F0FD3"/>
    <w:rsid w:val="006F11A4"/>
    <w:rsid w:val="006F132D"/>
    <w:rsid w:val="006F1689"/>
    <w:rsid w:val="006F173E"/>
    <w:rsid w:val="006F17CE"/>
    <w:rsid w:val="006F18AF"/>
    <w:rsid w:val="006F1955"/>
    <w:rsid w:val="006F1A52"/>
    <w:rsid w:val="006F1AF1"/>
    <w:rsid w:val="006F1B37"/>
    <w:rsid w:val="006F1C41"/>
    <w:rsid w:val="006F1E76"/>
    <w:rsid w:val="006F1FAD"/>
    <w:rsid w:val="006F2094"/>
    <w:rsid w:val="006F210A"/>
    <w:rsid w:val="006F231D"/>
    <w:rsid w:val="006F24B1"/>
    <w:rsid w:val="006F2550"/>
    <w:rsid w:val="006F26DA"/>
    <w:rsid w:val="006F277E"/>
    <w:rsid w:val="006F2852"/>
    <w:rsid w:val="006F2964"/>
    <w:rsid w:val="006F2D32"/>
    <w:rsid w:val="006F2DD2"/>
    <w:rsid w:val="006F2E51"/>
    <w:rsid w:val="006F2ED0"/>
    <w:rsid w:val="006F2F5A"/>
    <w:rsid w:val="006F2F98"/>
    <w:rsid w:val="006F31D9"/>
    <w:rsid w:val="006F33A5"/>
    <w:rsid w:val="006F345F"/>
    <w:rsid w:val="006F34A5"/>
    <w:rsid w:val="006F34BB"/>
    <w:rsid w:val="006F3881"/>
    <w:rsid w:val="006F38C5"/>
    <w:rsid w:val="006F3B0E"/>
    <w:rsid w:val="006F3BAF"/>
    <w:rsid w:val="006F3CFF"/>
    <w:rsid w:val="006F3D39"/>
    <w:rsid w:val="006F3DD4"/>
    <w:rsid w:val="006F3F48"/>
    <w:rsid w:val="006F404A"/>
    <w:rsid w:val="006F4432"/>
    <w:rsid w:val="006F4752"/>
    <w:rsid w:val="006F47C3"/>
    <w:rsid w:val="006F4D61"/>
    <w:rsid w:val="006F4DE0"/>
    <w:rsid w:val="006F4FC1"/>
    <w:rsid w:val="006F4FE7"/>
    <w:rsid w:val="006F5263"/>
    <w:rsid w:val="006F536D"/>
    <w:rsid w:val="006F55BB"/>
    <w:rsid w:val="006F56E3"/>
    <w:rsid w:val="006F5709"/>
    <w:rsid w:val="006F58AF"/>
    <w:rsid w:val="006F58D3"/>
    <w:rsid w:val="006F59FA"/>
    <w:rsid w:val="006F5D26"/>
    <w:rsid w:val="006F5EBE"/>
    <w:rsid w:val="006F6198"/>
    <w:rsid w:val="006F64C2"/>
    <w:rsid w:val="006F64D1"/>
    <w:rsid w:val="006F650B"/>
    <w:rsid w:val="006F650C"/>
    <w:rsid w:val="006F6511"/>
    <w:rsid w:val="006F65F8"/>
    <w:rsid w:val="006F66F7"/>
    <w:rsid w:val="006F6865"/>
    <w:rsid w:val="006F6977"/>
    <w:rsid w:val="006F709C"/>
    <w:rsid w:val="006F7142"/>
    <w:rsid w:val="006F7338"/>
    <w:rsid w:val="006F734A"/>
    <w:rsid w:val="006F747F"/>
    <w:rsid w:val="006F7562"/>
    <w:rsid w:val="006F7810"/>
    <w:rsid w:val="006F79DF"/>
    <w:rsid w:val="006F7AB3"/>
    <w:rsid w:val="006F7BB6"/>
    <w:rsid w:val="006F7D34"/>
    <w:rsid w:val="006F7FD5"/>
    <w:rsid w:val="0070005F"/>
    <w:rsid w:val="007001FB"/>
    <w:rsid w:val="007003AA"/>
    <w:rsid w:val="007004D6"/>
    <w:rsid w:val="00700539"/>
    <w:rsid w:val="00700657"/>
    <w:rsid w:val="007009F1"/>
    <w:rsid w:val="00700C18"/>
    <w:rsid w:val="00700D7B"/>
    <w:rsid w:val="00700EA5"/>
    <w:rsid w:val="00700EBA"/>
    <w:rsid w:val="007010C5"/>
    <w:rsid w:val="007011AB"/>
    <w:rsid w:val="007011C2"/>
    <w:rsid w:val="00701200"/>
    <w:rsid w:val="007013BC"/>
    <w:rsid w:val="00701595"/>
    <w:rsid w:val="007016C0"/>
    <w:rsid w:val="007018D5"/>
    <w:rsid w:val="00701B9B"/>
    <w:rsid w:val="00701BC0"/>
    <w:rsid w:val="00701DDC"/>
    <w:rsid w:val="00701F5E"/>
    <w:rsid w:val="00702293"/>
    <w:rsid w:val="007023F5"/>
    <w:rsid w:val="00702698"/>
    <w:rsid w:val="007027A2"/>
    <w:rsid w:val="00702B73"/>
    <w:rsid w:val="00702D28"/>
    <w:rsid w:val="00702DA5"/>
    <w:rsid w:val="00702DC0"/>
    <w:rsid w:val="00703156"/>
    <w:rsid w:val="00703784"/>
    <w:rsid w:val="0070380A"/>
    <w:rsid w:val="00703855"/>
    <w:rsid w:val="0070388B"/>
    <w:rsid w:val="00703986"/>
    <w:rsid w:val="00703A01"/>
    <w:rsid w:val="00703AF1"/>
    <w:rsid w:val="00703BC5"/>
    <w:rsid w:val="00703E26"/>
    <w:rsid w:val="0070405F"/>
    <w:rsid w:val="00704255"/>
    <w:rsid w:val="00704414"/>
    <w:rsid w:val="00704B24"/>
    <w:rsid w:val="00704BAB"/>
    <w:rsid w:val="00704BD8"/>
    <w:rsid w:val="00704C4F"/>
    <w:rsid w:val="00704C93"/>
    <w:rsid w:val="00704D0F"/>
    <w:rsid w:val="00704EBE"/>
    <w:rsid w:val="007051CA"/>
    <w:rsid w:val="007052C1"/>
    <w:rsid w:val="00705657"/>
    <w:rsid w:val="00705752"/>
    <w:rsid w:val="00705BA1"/>
    <w:rsid w:val="00705C91"/>
    <w:rsid w:val="00705F10"/>
    <w:rsid w:val="007062EA"/>
    <w:rsid w:val="00706347"/>
    <w:rsid w:val="0070646F"/>
    <w:rsid w:val="007065DF"/>
    <w:rsid w:val="007065F7"/>
    <w:rsid w:val="0070662B"/>
    <w:rsid w:val="0070663E"/>
    <w:rsid w:val="00706662"/>
    <w:rsid w:val="00706666"/>
    <w:rsid w:val="00706747"/>
    <w:rsid w:val="00706CE4"/>
    <w:rsid w:val="00706EF9"/>
    <w:rsid w:val="00706F9F"/>
    <w:rsid w:val="00706FAB"/>
    <w:rsid w:val="00706FB6"/>
    <w:rsid w:val="007070EE"/>
    <w:rsid w:val="00707179"/>
    <w:rsid w:val="007071E2"/>
    <w:rsid w:val="00707264"/>
    <w:rsid w:val="00707373"/>
    <w:rsid w:val="007075A0"/>
    <w:rsid w:val="007077FE"/>
    <w:rsid w:val="0070786A"/>
    <w:rsid w:val="007078B0"/>
    <w:rsid w:val="007079A1"/>
    <w:rsid w:val="007079EF"/>
    <w:rsid w:val="00707B50"/>
    <w:rsid w:val="00707DCE"/>
    <w:rsid w:val="00707F48"/>
    <w:rsid w:val="00710069"/>
    <w:rsid w:val="00710972"/>
    <w:rsid w:val="00710A74"/>
    <w:rsid w:val="00710AB2"/>
    <w:rsid w:val="00710BBE"/>
    <w:rsid w:val="00710DC3"/>
    <w:rsid w:val="00710E03"/>
    <w:rsid w:val="0071108E"/>
    <w:rsid w:val="007112FA"/>
    <w:rsid w:val="00711344"/>
    <w:rsid w:val="007114A6"/>
    <w:rsid w:val="0071172A"/>
    <w:rsid w:val="00711876"/>
    <w:rsid w:val="0071198A"/>
    <w:rsid w:val="00711B86"/>
    <w:rsid w:val="00711CCB"/>
    <w:rsid w:val="00711D81"/>
    <w:rsid w:val="00711F73"/>
    <w:rsid w:val="007120C9"/>
    <w:rsid w:val="0071253A"/>
    <w:rsid w:val="007125E8"/>
    <w:rsid w:val="007125FD"/>
    <w:rsid w:val="007128C5"/>
    <w:rsid w:val="007129C3"/>
    <w:rsid w:val="00712E93"/>
    <w:rsid w:val="0071329F"/>
    <w:rsid w:val="007134DE"/>
    <w:rsid w:val="0071359F"/>
    <w:rsid w:val="00713906"/>
    <w:rsid w:val="00713B45"/>
    <w:rsid w:val="00714156"/>
    <w:rsid w:val="0071462E"/>
    <w:rsid w:val="0071475D"/>
    <w:rsid w:val="00714F12"/>
    <w:rsid w:val="00714FD3"/>
    <w:rsid w:val="00715189"/>
    <w:rsid w:val="0071518E"/>
    <w:rsid w:val="0071524F"/>
    <w:rsid w:val="0071530E"/>
    <w:rsid w:val="007154CE"/>
    <w:rsid w:val="00715952"/>
    <w:rsid w:val="00715D03"/>
    <w:rsid w:val="00715D94"/>
    <w:rsid w:val="00715EE8"/>
    <w:rsid w:val="00715F58"/>
    <w:rsid w:val="00716447"/>
    <w:rsid w:val="0071644F"/>
    <w:rsid w:val="00716795"/>
    <w:rsid w:val="007169A1"/>
    <w:rsid w:val="00716CA0"/>
    <w:rsid w:val="00716CA5"/>
    <w:rsid w:val="00717003"/>
    <w:rsid w:val="00717048"/>
    <w:rsid w:val="007172B7"/>
    <w:rsid w:val="007178CC"/>
    <w:rsid w:val="00717B97"/>
    <w:rsid w:val="0072008F"/>
    <w:rsid w:val="00720154"/>
    <w:rsid w:val="007202E0"/>
    <w:rsid w:val="0072033B"/>
    <w:rsid w:val="007206F0"/>
    <w:rsid w:val="007209BC"/>
    <w:rsid w:val="007209C2"/>
    <w:rsid w:val="00720CF3"/>
    <w:rsid w:val="00720D32"/>
    <w:rsid w:val="00720D3D"/>
    <w:rsid w:val="0072104D"/>
    <w:rsid w:val="0072117B"/>
    <w:rsid w:val="00721456"/>
    <w:rsid w:val="007214BE"/>
    <w:rsid w:val="0072195F"/>
    <w:rsid w:val="0072197F"/>
    <w:rsid w:val="007219AA"/>
    <w:rsid w:val="007219FD"/>
    <w:rsid w:val="00721A9C"/>
    <w:rsid w:val="00721BF7"/>
    <w:rsid w:val="00721CAD"/>
    <w:rsid w:val="00721D90"/>
    <w:rsid w:val="0072204A"/>
    <w:rsid w:val="007220E7"/>
    <w:rsid w:val="0072212E"/>
    <w:rsid w:val="007221FA"/>
    <w:rsid w:val="0072239F"/>
    <w:rsid w:val="0072254F"/>
    <w:rsid w:val="0072260B"/>
    <w:rsid w:val="00722999"/>
    <w:rsid w:val="007229A6"/>
    <w:rsid w:val="00722A0A"/>
    <w:rsid w:val="00722BDF"/>
    <w:rsid w:val="00722EF5"/>
    <w:rsid w:val="00722FFF"/>
    <w:rsid w:val="007230EC"/>
    <w:rsid w:val="00723379"/>
    <w:rsid w:val="00723383"/>
    <w:rsid w:val="0072351D"/>
    <w:rsid w:val="00723609"/>
    <w:rsid w:val="007239CA"/>
    <w:rsid w:val="007239D7"/>
    <w:rsid w:val="00723CAA"/>
    <w:rsid w:val="0072423F"/>
    <w:rsid w:val="0072434E"/>
    <w:rsid w:val="007243C6"/>
    <w:rsid w:val="007244C5"/>
    <w:rsid w:val="00724536"/>
    <w:rsid w:val="007246B3"/>
    <w:rsid w:val="007246D7"/>
    <w:rsid w:val="007247FE"/>
    <w:rsid w:val="00724CE8"/>
    <w:rsid w:val="007253F3"/>
    <w:rsid w:val="00725775"/>
    <w:rsid w:val="00725A4A"/>
    <w:rsid w:val="00725A94"/>
    <w:rsid w:val="00725ADC"/>
    <w:rsid w:val="00725BC7"/>
    <w:rsid w:val="00725E7D"/>
    <w:rsid w:val="007261D2"/>
    <w:rsid w:val="00726347"/>
    <w:rsid w:val="00726374"/>
    <w:rsid w:val="00726382"/>
    <w:rsid w:val="00726454"/>
    <w:rsid w:val="007265B3"/>
    <w:rsid w:val="00726925"/>
    <w:rsid w:val="0072693F"/>
    <w:rsid w:val="0072695D"/>
    <w:rsid w:val="00726A4B"/>
    <w:rsid w:val="00726B50"/>
    <w:rsid w:val="00726CA0"/>
    <w:rsid w:val="00726E5A"/>
    <w:rsid w:val="00726FC6"/>
    <w:rsid w:val="0072700B"/>
    <w:rsid w:val="007271B4"/>
    <w:rsid w:val="00727294"/>
    <w:rsid w:val="0072732C"/>
    <w:rsid w:val="00727346"/>
    <w:rsid w:val="007275BC"/>
    <w:rsid w:val="0072764F"/>
    <w:rsid w:val="007276C8"/>
    <w:rsid w:val="0072771D"/>
    <w:rsid w:val="00727A02"/>
    <w:rsid w:val="00727BF4"/>
    <w:rsid w:val="00727C1E"/>
    <w:rsid w:val="00727CF2"/>
    <w:rsid w:val="00727D59"/>
    <w:rsid w:val="00727DDF"/>
    <w:rsid w:val="007300DF"/>
    <w:rsid w:val="0073087F"/>
    <w:rsid w:val="00730B98"/>
    <w:rsid w:val="00730C3F"/>
    <w:rsid w:val="00730DA9"/>
    <w:rsid w:val="0073111B"/>
    <w:rsid w:val="007312FD"/>
    <w:rsid w:val="007314F4"/>
    <w:rsid w:val="0073159B"/>
    <w:rsid w:val="0073161D"/>
    <w:rsid w:val="00731798"/>
    <w:rsid w:val="007319B2"/>
    <w:rsid w:val="007319F7"/>
    <w:rsid w:val="00731B9D"/>
    <w:rsid w:val="00731C51"/>
    <w:rsid w:val="00731C59"/>
    <w:rsid w:val="00731E61"/>
    <w:rsid w:val="00731F58"/>
    <w:rsid w:val="007322F9"/>
    <w:rsid w:val="00732475"/>
    <w:rsid w:val="00732491"/>
    <w:rsid w:val="007326B2"/>
    <w:rsid w:val="0073273F"/>
    <w:rsid w:val="0073285A"/>
    <w:rsid w:val="00732B23"/>
    <w:rsid w:val="00732B3E"/>
    <w:rsid w:val="00732B4D"/>
    <w:rsid w:val="00732C6D"/>
    <w:rsid w:val="00732E23"/>
    <w:rsid w:val="0073302E"/>
    <w:rsid w:val="00733350"/>
    <w:rsid w:val="007334AC"/>
    <w:rsid w:val="00733560"/>
    <w:rsid w:val="00733863"/>
    <w:rsid w:val="00733881"/>
    <w:rsid w:val="007338D2"/>
    <w:rsid w:val="00733A08"/>
    <w:rsid w:val="00733AA2"/>
    <w:rsid w:val="00733BAD"/>
    <w:rsid w:val="00733CAD"/>
    <w:rsid w:val="00733DB9"/>
    <w:rsid w:val="00733DE8"/>
    <w:rsid w:val="00733FAF"/>
    <w:rsid w:val="00734617"/>
    <w:rsid w:val="007346AC"/>
    <w:rsid w:val="007346AE"/>
    <w:rsid w:val="00734799"/>
    <w:rsid w:val="007347E0"/>
    <w:rsid w:val="00734B53"/>
    <w:rsid w:val="00734BA1"/>
    <w:rsid w:val="00734C16"/>
    <w:rsid w:val="00735223"/>
    <w:rsid w:val="007354D4"/>
    <w:rsid w:val="00735711"/>
    <w:rsid w:val="007359DA"/>
    <w:rsid w:val="00735B6D"/>
    <w:rsid w:val="00735C7A"/>
    <w:rsid w:val="00735CBD"/>
    <w:rsid w:val="00735DCC"/>
    <w:rsid w:val="00736637"/>
    <w:rsid w:val="0073683B"/>
    <w:rsid w:val="00736BF5"/>
    <w:rsid w:val="00736CCB"/>
    <w:rsid w:val="00736EFA"/>
    <w:rsid w:val="00736FC2"/>
    <w:rsid w:val="00737041"/>
    <w:rsid w:val="00737046"/>
    <w:rsid w:val="007370B4"/>
    <w:rsid w:val="0073737D"/>
    <w:rsid w:val="00737499"/>
    <w:rsid w:val="0073754E"/>
    <w:rsid w:val="00737A4B"/>
    <w:rsid w:val="00737D06"/>
    <w:rsid w:val="00737EF9"/>
    <w:rsid w:val="00737F49"/>
    <w:rsid w:val="007402A2"/>
    <w:rsid w:val="007402C4"/>
    <w:rsid w:val="007402EF"/>
    <w:rsid w:val="00740375"/>
    <w:rsid w:val="00740843"/>
    <w:rsid w:val="007408FA"/>
    <w:rsid w:val="007408FC"/>
    <w:rsid w:val="0074094B"/>
    <w:rsid w:val="007411F8"/>
    <w:rsid w:val="0074145A"/>
    <w:rsid w:val="00741475"/>
    <w:rsid w:val="007418C9"/>
    <w:rsid w:val="0074191A"/>
    <w:rsid w:val="0074195C"/>
    <w:rsid w:val="00741B02"/>
    <w:rsid w:val="00741FE3"/>
    <w:rsid w:val="00742054"/>
    <w:rsid w:val="007420BB"/>
    <w:rsid w:val="0074211D"/>
    <w:rsid w:val="007421E4"/>
    <w:rsid w:val="007423AB"/>
    <w:rsid w:val="00742476"/>
    <w:rsid w:val="007424FC"/>
    <w:rsid w:val="0074258B"/>
    <w:rsid w:val="00742669"/>
    <w:rsid w:val="007427A9"/>
    <w:rsid w:val="0074286B"/>
    <w:rsid w:val="00742881"/>
    <w:rsid w:val="007428EA"/>
    <w:rsid w:val="00742974"/>
    <w:rsid w:val="00742E83"/>
    <w:rsid w:val="00742F48"/>
    <w:rsid w:val="007432CA"/>
    <w:rsid w:val="00743779"/>
    <w:rsid w:val="00743C5A"/>
    <w:rsid w:val="00743E88"/>
    <w:rsid w:val="007444C1"/>
    <w:rsid w:val="0074479B"/>
    <w:rsid w:val="00744B77"/>
    <w:rsid w:val="00744D69"/>
    <w:rsid w:val="00745337"/>
    <w:rsid w:val="0074545B"/>
    <w:rsid w:val="00745590"/>
    <w:rsid w:val="0074563C"/>
    <w:rsid w:val="00745643"/>
    <w:rsid w:val="007458C6"/>
    <w:rsid w:val="007459A9"/>
    <w:rsid w:val="00745AB2"/>
    <w:rsid w:val="00745C9E"/>
    <w:rsid w:val="00745DD4"/>
    <w:rsid w:val="00745DFB"/>
    <w:rsid w:val="00745F24"/>
    <w:rsid w:val="00745FAF"/>
    <w:rsid w:val="00746166"/>
    <w:rsid w:val="00746191"/>
    <w:rsid w:val="00746207"/>
    <w:rsid w:val="00746362"/>
    <w:rsid w:val="00746460"/>
    <w:rsid w:val="00746584"/>
    <w:rsid w:val="00746587"/>
    <w:rsid w:val="00746592"/>
    <w:rsid w:val="00746941"/>
    <w:rsid w:val="00746B2C"/>
    <w:rsid w:val="00746C84"/>
    <w:rsid w:val="00746FF7"/>
    <w:rsid w:val="00747267"/>
    <w:rsid w:val="007474E3"/>
    <w:rsid w:val="007477CB"/>
    <w:rsid w:val="007478E4"/>
    <w:rsid w:val="00747E72"/>
    <w:rsid w:val="00747E9B"/>
    <w:rsid w:val="00750013"/>
    <w:rsid w:val="0075006B"/>
    <w:rsid w:val="00750130"/>
    <w:rsid w:val="00750391"/>
    <w:rsid w:val="0075075D"/>
    <w:rsid w:val="00750760"/>
    <w:rsid w:val="00750A61"/>
    <w:rsid w:val="00750D2B"/>
    <w:rsid w:val="00750DDB"/>
    <w:rsid w:val="00750F60"/>
    <w:rsid w:val="00750FCA"/>
    <w:rsid w:val="0075142E"/>
    <w:rsid w:val="007514FB"/>
    <w:rsid w:val="00751E25"/>
    <w:rsid w:val="00751F9C"/>
    <w:rsid w:val="00752085"/>
    <w:rsid w:val="007523F1"/>
    <w:rsid w:val="007525FC"/>
    <w:rsid w:val="00752726"/>
    <w:rsid w:val="0075295B"/>
    <w:rsid w:val="00752B38"/>
    <w:rsid w:val="00752D7A"/>
    <w:rsid w:val="007530B0"/>
    <w:rsid w:val="007530B4"/>
    <w:rsid w:val="00753256"/>
    <w:rsid w:val="00753414"/>
    <w:rsid w:val="0075357D"/>
    <w:rsid w:val="007535AA"/>
    <w:rsid w:val="007535DA"/>
    <w:rsid w:val="0075373B"/>
    <w:rsid w:val="0075396B"/>
    <w:rsid w:val="00753AD7"/>
    <w:rsid w:val="00753D92"/>
    <w:rsid w:val="00753E07"/>
    <w:rsid w:val="00753E56"/>
    <w:rsid w:val="00753FA3"/>
    <w:rsid w:val="00754593"/>
    <w:rsid w:val="007545ED"/>
    <w:rsid w:val="00754630"/>
    <w:rsid w:val="00754BA5"/>
    <w:rsid w:val="00754BEB"/>
    <w:rsid w:val="00754D6D"/>
    <w:rsid w:val="00754F62"/>
    <w:rsid w:val="0075505A"/>
    <w:rsid w:val="007554D1"/>
    <w:rsid w:val="007556B5"/>
    <w:rsid w:val="0075581E"/>
    <w:rsid w:val="00755955"/>
    <w:rsid w:val="00755993"/>
    <w:rsid w:val="00755B35"/>
    <w:rsid w:val="00755BB8"/>
    <w:rsid w:val="00755CC8"/>
    <w:rsid w:val="00755D95"/>
    <w:rsid w:val="00755EE5"/>
    <w:rsid w:val="00755F1C"/>
    <w:rsid w:val="00755F55"/>
    <w:rsid w:val="007561BA"/>
    <w:rsid w:val="00756261"/>
    <w:rsid w:val="00756293"/>
    <w:rsid w:val="00756497"/>
    <w:rsid w:val="007564B7"/>
    <w:rsid w:val="00756552"/>
    <w:rsid w:val="0075690D"/>
    <w:rsid w:val="00756A38"/>
    <w:rsid w:val="00756D4D"/>
    <w:rsid w:val="00756F57"/>
    <w:rsid w:val="00756FFA"/>
    <w:rsid w:val="00757046"/>
    <w:rsid w:val="00757331"/>
    <w:rsid w:val="007573A2"/>
    <w:rsid w:val="007578ED"/>
    <w:rsid w:val="007579AE"/>
    <w:rsid w:val="007579E2"/>
    <w:rsid w:val="00757D38"/>
    <w:rsid w:val="0076021C"/>
    <w:rsid w:val="00760445"/>
    <w:rsid w:val="00760543"/>
    <w:rsid w:val="00760556"/>
    <w:rsid w:val="007608FB"/>
    <w:rsid w:val="00760950"/>
    <w:rsid w:val="0076096D"/>
    <w:rsid w:val="00760D9E"/>
    <w:rsid w:val="007610A8"/>
    <w:rsid w:val="00761122"/>
    <w:rsid w:val="007611B8"/>
    <w:rsid w:val="00761233"/>
    <w:rsid w:val="0076126B"/>
    <w:rsid w:val="007613E4"/>
    <w:rsid w:val="007616A6"/>
    <w:rsid w:val="007618F9"/>
    <w:rsid w:val="00761940"/>
    <w:rsid w:val="00761AFD"/>
    <w:rsid w:val="00761E45"/>
    <w:rsid w:val="00762089"/>
    <w:rsid w:val="007620DA"/>
    <w:rsid w:val="00762214"/>
    <w:rsid w:val="00762267"/>
    <w:rsid w:val="0076248B"/>
    <w:rsid w:val="0076264F"/>
    <w:rsid w:val="00762675"/>
    <w:rsid w:val="007626D9"/>
    <w:rsid w:val="0076289B"/>
    <w:rsid w:val="00762D06"/>
    <w:rsid w:val="00762D0E"/>
    <w:rsid w:val="00762F5F"/>
    <w:rsid w:val="00763313"/>
    <w:rsid w:val="00763506"/>
    <w:rsid w:val="007635C6"/>
    <w:rsid w:val="0076396F"/>
    <w:rsid w:val="00763D53"/>
    <w:rsid w:val="0076407E"/>
    <w:rsid w:val="00764110"/>
    <w:rsid w:val="0076415D"/>
    <w:rsid w:val="007642F7"/>
    <w:rsid w:val="007643BC"/>
    <w:rsid w:val="00764456"/>
    <w:rsid w:val="00764CD2"/>
    <w:rsid w:val="00764DE0"/>
    <w:rsid w:val="00764E15"/>
    <w:rsid w:val="00765855"/>
    <w:rsid w:val="0076589B"/>
    <w:rsid w:val="00765F41"/>
    <w:rsid w:val="00765F49"/>
    <w:rsid w:val="007660F9"/>
    <w:rsid w:val="00766436"/>
    <w:rsid w:val="007667D9"/>
    <w:rsid w:val="007668A6"/>
    <w:rsid w:val="007668D8"/>
    <w:rsid w:val="00766934"/>
    <w:rsid w:val="00766982"/>
    <w:rsid w:val="00766D13"/>
    <w:rsid w:val="00766EA3"/>
    <w:rsid w:val="00766EFA"/>
    <w:rsid w:val="00766FD1"/>
    <w:rsid w:val="00767004"/>
    <w:rsid w:val="0076713B"/>
    <w:rsid w:val="007671F5"/>
    <w:rsid w:val="00767205"/>
    <w:rsid w:val="007673BD"/>
    <w:rsid w:val="007673EA"/>
    <w:rsid w:val="0076761B"/>
    <w:rsid w:val="0076773C"/>
    <w:rsid w:val="007677DF"/>
    <w:rsid w:val="00767852"/>
    <w:rsid w:val="00767A5A"/>
    <w:rsid w:val="00767D34"/>
    <w:rsid w:val="00770528"/>
    <w:rsid w:val="0077067E"/>
    <w:rsid w:val="00770BCE"/>
    <w:rsid w:val="00770D11"/>
    <w:rsid w:val="00770D26"/>
    <w:rsid w:val="007711CE"/>
    <w:rsid w:val="007712BF"/>
    <w:rsid w:val="00771379"/>
    <w:rsid w:val="007713D7"/>
    <w:rsid w:val="0077170E"/>
    <w:rsid w:val="0077186C"/>
    <w:rsid w:val="00771A44"/>
    <w:rsid w:val="00771F80"/>
    <w:rsid w:val="0077215A"/>
    <w:rsid w:val="007721D3"/>
    <w:rsid w:val="0077220B"/>
    <w:rsid w:val="007722C6"/>
    <w:rsid w:val="00772910"/>
    <w:rsid w:val="00772A08"/>
    <w:rsid w:val="00772BA3"/>
    <w:rsid w:val="00772C6B"/>
    <w:rsid w:val="0077307B"/>
    <w:rsid w:val="00773277"/>
    <w:rsid w:val="00773376"/>
    <w:rsid w:val="00773489"/>
    <w:rsid w:val="0077367F"/>
    <w:rsid w:val="0077379C"/>
    <w:rsid w:val="0077381F"/>
    <w:rsid w:val="007738CB"/>
    <w:rsid w:val="0077392D"/>
    <w:rsid w:val="00773B12"/>
    <w:rsid w:val="00773C98"/>
    <w:rsid w:val="00773E3E"/>
    <w:rsid w:val="00774B0F"/>
    <w:rsid w:val="00774E5B"/>
    <w:rsid w:val="00774EEB"/>
    <w:rsid w:val="007750A0"/>
    <w:rsid w:val="0077532B"/>
    <w:rsid w:val="00775342"/>
    <w:rsid w:val="007753D6"/>
    <w:rsid w:val="007755A5"/>
    <w:rsid w:val="007755FA"/>
    <w:rsid w:val="0077571D"/>
    <w:rsid w:val="00775934"/>
    <w:rsid w:val="007759C3"/>
    <w:rsid w:val="00775F82"/>
    <w:rsid w:val="007762BC"/>
    <w:rsid w:val="007763B8"/>
    <w:rsid w:val="0077641A"/>
    <w:rsid w:val="007764E2"/>
    <w:rsid w:val="007769CB"/>
    <w:rsid w:val="00776A64"/>
    <w:rsid w:val="00776ADF"/>
    <w:rsid w:val="00776B41"/>
    <w:rsid w:val="00776B96"/>
    <w:rsid w:val="00776C58"/>
    <w:rsid w:val="00776C6C"/>
    <w:rsid w:val="00777036"/>
    <w:rsid w:val="00777103"/>
    <w:rsid w:val="0077710D"/>
    <w:rsid w:val="007778FA"/>
    <w:rsid w:val="00777D06"/>
    <w:rsid w:val="00777DA8"/>
    <w:rsid w:val="00777F7A"/>
    <w:rsid w:val="00777FE0"/>
    <w:rsid w:val="007800C3"/>
    <w:rsid w:val="007801B2"/>
    <w:rsid w:val="00780241"/>
    <w:rsid w:val="007803FC"/>
    <w:rsid w:val="00780521"/>
    <w:rsid w:val="007807F9"/>
    <w:rsid w:val="00780CEA"/>
    <w:rsid w:val="00780E0F"/>
    <w:rsid w:val="00780E10"/>
    <w:rsid w:val="007812DE"/>
    <w:rsid w:val="00781324"/>
    <w:rsid w:val="00781566"/>
    <w:rsid w:val="0078173F"/>
    <w:rsid w:val="00781795"/>
    <w:rsid w:val="00781A63"/>
    <w:rsid w:val="00781B57"/>
    <w:rsid w:val="00781D40"/>
    <w:rsid w:val="00781DD4"/>
    <w:rsid w:val="00781E89"/>
    <w:rsid w:val="00781F86"/>
    <w:rsid w:val="0078204F"/>
    <w:rsid w:val="007820A3"/>
    <w:rsid w:val="007820BF"/>
    <w:rsid w:val="007820C9"/>
    <w:rsid w:val="0078221E"/>
    <w:rsid w:val="00782410"/>
    <w:rsid w:val="0078243F"/>
    <w:rsid w:val="00782485"/>
    <w:rsid w:val="0078248E"/>
    <w:rsid w:val="0078251A"/>
    <w:rsid w:val="00782E77"/>
    <w:rsid w:val="00783113"/>
    <w:rsid w:val="0078329D"/>
    <w:rsid w:val="007832C4"/>
    <w:rsid w:val="007835EF"/>
    <w:rsid w:val="00783690"/>
    <w:rsid w:val="00783801"/>
    <w:rsid w:val="007838B7"/>
    <w:rsid w:val="007838D6"/>
    <w:rsid w:val="00783C09"/>
    <w:rsid w:val="00783ECD"/>
    <w:rsid w:val="00783F49"/>
    <w:rsid w:val="00784064"/>
    <w:rsid w:val="0078420E"/>
    <w:rsid w:val="007843F4"/>
    <w:rsid w:val="007845E8"/>
    <w:rsid w:val="0078474C"/>
    <w:rsid w:val="00784A45"/>
    <w:rsid w:val="00784B91"/>
    <w:rsid w:val="00784ECE"/>
    <w:rsid w:val="00784F85"/>
    <w:rsid w:val="00785089"/>
    <w:rsid w:val="007851E1"/>
    <w:rsid w:val="00785300"/>
    <w:rsid w:val="0078568D"/>
    <w:rsid w:val="00785938"/>
    <w:rsid w:val="00785A12"/>
    <w:rsid w:val="00785AA2"/>
    <w:rsid w:val="00785AEE"/>
    <w:rsid w:val="00785EB1"/>
    <w:rsid w:val="00785F84"/>
    <w:rsid w:val="00785FCA"/>
    <w:rsid w:val="00785FEC"/>
    <w:rsid w:val="00786086"/>
    <w:rsid w:val="007860F7"/>
    <w:rsid w:val="007861EC"/>
    <w:rsid w:val="00786333"/>
    <w:rsid w:val="00786379"/>
    <w:rsid w:val="007864F2"/>
    <w:rsid w:val="00786862"/>
    <w:rsid w:val="007868A8"/>
    <w:rsid w:val="00786907"/>
    <w:rsid w:val="007869FF"/>
    <w:rsid w:val="00786B21"/>
    <w:rsid w:val="00786EE6"/>
    <w:rsid w:val="00786F2F"/>
    <w:rsid w:val="00787171"/>
    <w:rsid w:val="00787178"/>
    <w:rsid w:val="0078724D"/>
    <w:rsid w:val="007872C5"/>
    <w:rsid w:val="0078741D"/>
    <w:rsid w:val="007875DF"/>
    <w:rsid w:val="0078778F"/>
    <w:rsid w:val="00787867"/>
    <w:rsid w:val="007879CC"/>
    <w:rsid w:val="007879D1"/>
    <w:rsid w:val="00787A59"/>
    <w:rsid w:val="00787A75"/>
    <w:rsid w:val="00787AC4"/>
    <w:rsid w:val="00787BE1"/>
    <w:rsid w:val="00787C50"/>
    <w:rsid w:val="00787CF8"/>
    <w:rsid w:val="00787EE8"/>
    <w:rsid w:val="0079025C"/>
    <w:rsid w:val="0079032E"/>
    <w:rsid w:val="0079048F"/>
    <w:rsid w:val="007904D2"/>
    <w:rsid w:val="00790656"/>
    <w:rsid w:val="00790660"/>
    <w:rsid w:val="007906D4"/>
    <w:rsid w:val="007906ED"/>
    <w:rsid w:val="00790731"/>
    <w:rsid w:val="00790B01"/>
    <w:rsid w:val="00790C23"/>
    <w:rsid w:val="00790C4F"/>
    <w:rsid w:val="00790D57"/>
    <w:rsid w:val="00790E9E"/>
    <w:rsid w:val="00790FAA"/>
    <w:rsid w:val="0079136F"/>
    <w:rsid w:val="00791401"/>
    <w:rsid w:val="007918B2"/>
    <w:rsid w:val="00791DEA"/>
    <w:rsid w:val="00791FC1"/>
    <w:rsid w:val="0079213A"/>
    <w:rsid w:val="00792161"/>
    <w:rsid w:val="0079245C"/>
    <w:rsid w:val="00792757"/>
    <w:rsid w:val="0079279B"/>
    <w:rsid w:val="007927B7"/>
    <w:rsid w:val="00792996"/>
    <w:rsid w:val="00792A52"/>
    <w:rsid w:val="00792ABB"/>
    <w:rsid w:val="00792B96"/>
    <w:rsid w:val="00792BEF"/>
    <w:rsid w:val="00792DBA"/>
    <w:rsid w:val="00792E00"/>
    <w:rsid w:val="00792F93"/>
    <w:rsid w:val="00793018"/>
    <w:rsid w:val="00793107"/>
    <w:rsid w:val="007933F8"/>
    <w:rsid w:val="00793495"/>
    <w:rsid w:val="007935D4"/>
    <w:rsid w:val="00793602"/>
    <w:rsid w:val="00793730"/>
    <w:rsid w:val="0079374D"/>
    <w:rsid w:val="007939F0"/>
    <w:rsid w:val="00793DF9"/>
    <w:rsid w:val="00793F90"/>
    <w:rsid w:val="007943AF"/>
    <w:rsid w:val="00794475"/>
    <w:rsid w:val="007947CB"/>
    <w:rsid w:val="00794808"/>
    <w:rsid w:val="0079480E"/>
    <w:rsid w:val="0079492D"/>
    <w:rsid w:val="0079496C"/>
    <w:rsid w:val="007949D5"/>
    <w:rsid w:val="00794AA5"/>
    <w:rsid w:val="00794B08"/>
    <w:rsid w:val="00794C2C"/>
    <w:rsid w:val="00794F78"/>
    <w:rsid w:val="00795196"/>
    <w:rsid w:val="0079521E"/>
    <w:rsid w:val="00795366"/>
    <w:rsid w:val="00795609"/>
    <w:rsid w:val="0079581E"/>
    <w:rsid w:val="00795992"/>
    <w:rsid w:val="00795C30"/>
    <w:rsid w:val="00795D1B"/>
    <w:rsid w:val="00795EC4"/>
    <w:rsid w:val="00796064"/>
    <w:rsid w:val="0079623D"/>
    <w:rsid w:val="0079652E"/>
    <w:rsid w:val="0079653C"/>
    <w:rsid w:val="00796589"/>
    <w:rsid w:val="0079687A"/>
    <w:rsid w:val="00796890"/>
    <w:rsid w:val="00796C23"/>
    <w:rsid w:val="00796C52"/>
    <w:rsid w:val="00796C84"/>
    <w:rsid w:val="00796D1B"/>
    <w:rsid w:val="00796DC3"/>
    <w:rsid w:val="00796EA4"/>
    <w:rsid w:val="00796EE1"/>
    <w:rsid w:val="00797148"/>
    <w:rsid w:val="00797272"/>
    <w:rsid w:val="00797371"/>
    <w:rsid w:val="007976CE"/>
    <w:rsid w:val="007978E7"/>
    <w:rsid w:val="00797BC5"/>
    <w:rsid w:val="00797CD7"/>
    <w:rsid w:val="00797D2E"/>
    <w:rsid w:val="00797D40"/>
    <w:rsid w:val="00797F77"/>
    <w:rsid w:val="007A0044"/>
    <w:rsid w:val="007A01A6"/>
    <w:rsid w:val="007A03CF"/>
    <w:rsid w:val="007A040F"/>
    <w:rsid w:val="007A041A"/>
    <w:rsid w:val="007A05FD"/>
    <w:rsid w:val="007A067E"/>
    <w:rsid w:val="007A09E6"/>
    <w:rsid w:val="007A09F9"/>
    <w:rsid w:val="007A0C72"/>
    <w:rsid w:val="007A0D63"/>
    <w:rsid w:val="007A0FC9"/>
    <w:rsid w:val="007A1097"/>
    <w:rsid w:val="007A12FC"/>
    <w:rsid w:val="007A1354"/>
    <w:rsid w:val="007A13D1"/>
    <w:rsid w:val="007A146A"/>
    <w:rsid w:val="007A1488"/>
    <w:rsid w:val="007A1567"/>
    <w:rsid w:val="007A15B8"/>
    <w:rsid w:val="007A1803"/>
    <w:rsid w:val="007A1835"/>
    <w:rsid w:val="007A19F5"/>
    <w:rsid w:val="007A1A56"/>
    <w:rsid w:val="007A1AB2"/>
    <w:rsid w:val="007A1F08"/>
    <w:rsid w:val="007A2117"/>
    <w:rsid w:val="007A22B8"/>
    <w:rsid w:val="007A23D2"/>
    <w:rsid w:val="007A2603"/>
    <w:rsid w:val="007A2AD2"/>
    <w:rsid w:val="007A2C14"/>
    <w:rsid w:val="007A2C47"/>
    <w:rsid w:val="007A30F4"/>
    <w:rsid w:val="007A3368"/>
    <w:rsid w:val="007A3485"/>
    <w:rsid w:val="007A38DD"/>
    <w:rsid w:val="007A3903"/>
    <w:rsid w:val="007A3B3F"/>
    <w:rsid w:val="007A3D22"/>
    <w:rsid w:val="007A3F4D"/>
    <w:rsid w:val="007A402E"/>
    <w:rsid w:val="007A4083"/>
    <w:rsid w:val="007A4194"/>
    <w:rsid w:val="007A424F"/>
    <w:rsid w:val="007A43CE"/>
    <w:rsid w:val="007A46E0"/>
    <w:rsid w:val="007A47C6"/>
    <w:rsid w:val="007A4821"/>
    <w:rsid w:val="007A4AE5"/>
    <w:rsid w:val="007A4AE7"/>
    <w:rsid w:val="007A4B65"/>
    <w:rsid w:val="007A4B86"/>
    <w:rsid w:val="007A4BA3"/>
    <w:rsid w:val="007A4C6F"/>
    <w:rsid w:val="007A4D1F"/>
    <w:rsid w:val="007A4DE7"/>
    <w:rsid w:val="007A4E1C"/>
    <w:rsid w:val="007A4FA6"/>
    <w:rsid w:val="007A5251"/>
    <w:rsid w:val="007A55CB"/>
    <w:rsid w:val="007A5758"/>
    <w:rsid w:val="007A587E"/>
    <w:rsid w:val="007A592F"/>
    <w:rsid w:val="007A5E1C"/>
    <w:rsid w:val="007A63BF"/>
    <w:rsid w:val="007A6440"/>
    <w:rsid w:val="007A6488"/>
    <w:rsid w:val="007A6505"/>
    <w:rsid w:val="007A6774"/>
    <w:rsid w:val="007A67D5"/>
    <w:rsid w:val="007A6AA5"/>
    <w:rsid w:val="007A6BDE"/>
    <w:rsid w:val="007A6EAE"/>
    <w:rsid w:val="007A6F50"/>
    <w:rsid w:val="007A71E7"/>
    <w:rsid w:val="007A762D"/>
    <w:rsid w:val="007A766B"/>
    <w:rsid w:val="007A7A5E"/>
    <w:rsid w:val="007A7AF1"/>
    <w:rsid w:val="007A7DED"/>
    <w:rsid w:val="007A7DF2"/>
    <w:rsid w:val="007A7F07"/>
    <w:rsid w:val="007B00D1"/>
    <w:rsid w:val="007B03D2"/>
    <w:rsid w:val="007B0425"/>
    <w:rsid w:val="007B0461"/>
    <w:rsid w:val="007B08C9"/>
    <w:rsid w:val="007B0B6E"/>
    <w:rsid w:val="007B0C90"/>
    <w:rsid w:val="007B0CF8"/>
    <w:rsid w:val="007B0E16"/>
    <w:rsid w:val="007B0F02"/>
    <w:rsid w:val="007B10DD"/>
    <w:rsid w:val="007B1164"/>
    <w:rsid w:val="007B1238"/>
    <w:rsid w:val="007B1391"/>
    <w:rsid w:val="007B140D"/>
    <w:rsid w:val="007B149C"/>
    <w:rsid w:val="007B1574"/>
    <w:rsid w:val="007B158E"/>
    <w:rsid w:val="007B1617"/>
    <w:rsid w:val="007B17C2"/>
    <w:rsid w:val="007B1813"/>
    <w:rsid w:val="007B1830"/>
    <w:rsid w:val="007B197C"/>
    <w:rsid w:val="007B1A26"/>
    <w:rsid w:val="007B1A50"/>
    <w:rsid w:val="007B1F76"/>
    <w:rsid w:val="007B275C"/>
    <w:rsid w:val="007B27B4"/>
    <w:rsid w:val="007B2802"/>
    <w:rsid w:val="007B2AE8"/>
    <w:rsid w:val="007B2C16"/>
    <w:rsid w:val="007B2E94"/>
    <w:rsid w:val="007B2EE2"/>
    <w:rsid w:val="007B3314"/>
    <w:rsid w:val="007B37FE"/>
    <w:rsid w:val="007B384D"/>
    <w:rsid w:val="007B38AF"/>
    <w:rsid w:val="007B3A0F"/>
    <w:rsid w:val="007B3ABB"/>
    <w:rsid w:val="007B3BA0"/>
    <w:rsid w:val="007B3D09"/>
    <w:rsid w:val="007B3DF5"/>
    <w:rsid w:val="007B407E"/>
    <w:rsid w:val="007B4113"/>
    <w:rsid w:val="007B431B"/>
    <w:rsid w:val="007B438E"/>
    <w:rsid w:val="007B4412"/>
    <w:rsid w:val="007B4675"/>
    <w:rsid w:val="007B47D4"/>
    <w:rsid w:val="007B4823"/>
    <w:rsid w:val="007B486E"/>
    <w:rsid w:val="007B4EC0"/>
    <w:rsid w:val="007B5135"/>
    <w:rsid w:val="007B5174"/>
    <w:rsid w:val="007B51F1"/>
    <w:rsid w:val="007B52F6"/>
    <w:rsid w:val="007B5387"/>
    <w:rsid w:val="007B5391"/>
    <w:rsid w:val="007B541D"/>
    <w:rsid w:val="007B5608"/>
    <w:rsid w:val="007B5767"/>
    <w:rsid w:val="007B5837"/>
    <w:rsid w:val="007B5BC4"/>
    <w:rsid w:val="007B608C"/>
    <w:rsid w:val="007B60AB"/>
    <w:rsid w:val="007B6535"/>
    <w:rsid w:val="007B6996"/>
    <w:rsid w:val="007B69E1"/>
    <w:rsid w:val="007B6A69"/>
    <w:rsid w:val="007B6D2E"/>
    <w:rsid w:val="007B6D7A"/>
    <w:rsid w:val="007B6D8F"/>
    <w:rsid w:val="007B6DC6"/>
    <w:rsid w:val="007B6F79"/>
    <w:rsid w:val="007B701D"/>
    <w:rsid w:val="007B7078"/>
    <w:rsid w:val="007B71BF"/>
    <w:rsid w:val="007B74C4"/>
    <w:rsid w:val="007B7559"/>
    <w:rsid w:val="007B75BD"/>
    <w:rsid w:val="007B76C3"/>
    <w:rsid w:val="007B76F2"/>
    <w:rsid w:val="007B789C"/>
    <w:rsid w:val="007B7A2B"/>
    <w:rsid w:val="007B7AAB"/>
    <w:rsid w:val="007B7B03"/>
    <w:rsid w:val="007B7F10"/>
    <w:rsid w:val="007C02A9"/>
    <w:rsid w:val="007C048D"/>
    <w:rsid w:val="007C068D"/>
    <w:rsid w:val="007C0A2E"/>
    <w:rsid w:val="007C0AD0"/>
    <w:rsid w:val="007C0B2F"/>
    <w:rsid w:val="007C10D4"/>
    <w:rsid w:val="007C1100"/>
    <w:rsid w:val="007C11CB"/>
    <w:rsid w:val="007C11ED"/>
    <w:rsid w:val="007C1312"/>
    <w:rsid w:val="007C177D"/>
    <w:rsid w:val="007C1A65"/>
    <w:rsid w:val="007C1A6E"/>
    <w:rsid w:val="007C1A76"/>
    <w:rsid w:val="007C1C91"/>
    <w:rsid w:val="007C2153"/>
    <w:rsid w:val="007C2272"/>
    <w:rsid w:val="007C2275"/>
    <w:rsid w:val="007C22CA"/>
    <w:rsid w:val="007C23BB"/>
    <w:rsid w:val="007C24A1"/>
    <w:rsid w:val="007C2518"/>
    <w:rsid w:val="007C263F"/>
    <w:rsid w:val="007C2698"/>
    <w:rsid w:val="007C26FE"/>
    <w:rsid w:val="007C27BC"/>
    <w:rsid w:val="007C2839"/>
    <w:rsid w:val="007C28EC"/>
    <w:rsid w:val="007C290F"/>
    <w:rsid w:val="007C2A32"/>
    <w:rsid w:val="007C2A64"/>
    <w:rsid w:val="007C2A69"/>
    <w:rsid w:val="007C2C27"/>
    <w:rsid w:val="007C2CCA"/>
    <w:rsid w:val="007C2CEE"/>
    <w:rsid w:val="007C2DC0"/>
    <w:rsid w:val="007C3033"/>
    <w:rsid w:val="007C3075"/>
    <w:rsid w:val="007C30CE"/>
    <w:rsid w:val="007C3122"/>
    <w:rsid w:val="007C3154"/>
    <w:rsid w:val="007C32E5"/>
    <w:rsid w:val="007C33A4"/>
    <w:rsid w:val="007C348B"/>
    <w:rsid w:val="007C3580"/>
    <w:rsid w:val="007C364B"/>
    <w:rsid w:val="007C36CA"/>
    <w:rsid w:val="007C3749"/>
    <w:rsid w:val="007C3BDD"/>
    <w:rsid w:val="007C4001"/>
    <w:rsid w:val="007C4054"/>
    <w:rsid w:val="007C4181"/>
    <w:rsid w:val="007C4248"/>
    <w:rsid w:val="007C42AD"/>
    <w:rsid w:val="007C46E7"/>
    <w:rsid w:val="007C472A"/>
    <w:rsid w:val="007C4753"/>
    <w:rsid w:val="007C477E"/>
    <w:rsid w:val="007C4A80"/>
    <w:rsid w:val="007C4BCE"/>
    <w:rsid w:val="007C4D0F"/>
    <w:rsid w:val="007C4E2B"/>
    <w:rsid w:val="007C4EA8"/>
    <w:rsid w:val="007C502B"/>
    <w:rsid w:val="007C518E"/>
    <w:rsid w:val="007C5400"/>
    <w:rsid w:val="007C5554"/>
    <w:rsid w:val="007C55D6"/>
    <w:rsid w:val="007C5620"/>
    <w:rsid w:val="007C57D5"/>
    <w:rsid w:val="007C58A1"/>
    <w:rsid w:val="007C5C52"/>
    <w:rsid w:val="007C6389"/>
    <w:rsid w:val="007C6617"/>
    <w:rsid w:val="007C6706"/>
    <w:rsid w:val="007C6777"/>
    <w:rsid w:val="007C6AA2"/>
    <w:rsid w:val="007C6CF1"/>
    <w:rsid w:val="007C6EB3"/>
    <w:rsid w:val="007C6ECA"/>
    <w:rsid w:val="007C70F5"/>
    <w:rsid w:val="007C71AF"/>
    <w:rsid w:val="007C71EB"/>
    <w:rsid w:val="007C7422"/>
    <w:rsid w:val="007C7751"/>
    <w:rsid w:val="007C7ABA"/>
    <w:rsid w:val="007C7BDE"/>
    <w:rsid w:val="007C7E1E"/>
    <w:rsid w:val="007C7E70"/>
    <w:rsid w:val="007C7E81"/>
    <w:rsid w:val="007C7EE3"/>
    <w:rsid w:val="007D0081"/>
    <w:rsid w:val="007D00DF"/>
    <w:rsid w:val="007D0181"/>
    <w:rsid w:val="007D0276"/>
    <w:rsid w:val="007D0278"/>
    <w:rsid w:val="007D02A3"/>
    <w:rsid w:val="007D0435"/>
    <w:rsid w:val="007D0603"/>
    <w:rsid w:val="007D082B"/>
    <w:rsid w:val="007D0C23"/>
    <w:rsid w:val="007D0C84"/>
    <w:rsid w:val="007D1025"/>
    <w:rsid w:val="007D12C6"/>
    <w:rsid w:val="007D13A8"/>
    <w:rsid w:val="007D153D"/>
    <w:rsid w:val="007D176E"/>
    <w:rsid w:val="007D1854"/>
    <w:rsid w:val="007D1B1F"/>
    <w:rsid w:val="007D1C4B"/>
    <w:rsid w:val="007D1D3B"/>
    <w:rsid w:val="007D1F27"/>
    <w:rsid w:val="007D1F54"/>
    <w:rsid w:val="007D20E3"/>
    <w:rsid w:val="007D2187"/>
    <w:rsid w:val="007D229D"/>
    <w:rsid w:val="007D2434"/>
    <w:rsid w:val="007D2500"/>
    <w:rsid w:val="007D25BC"/>
    <w:rsid w:val="007D2697"/>
    <w:rsid w:val="007D29CE"/>
    <w:rsid w:val="007D2EE3"/>
    <w:rsid w:val="007D2F8D"/>
    <w:rsid w:val="007D306C"/>
    <w:rsid w:val="007D32F2"/>
    <w:rsid w:val="007D3339"/>
    <w:rsid w:val="007D34DE"/>
    <w:rsid w:val="007D3E26"/>
    <w:rsid w:val="007D45FF"/>
    <w:rsid w:val="007D4AB6"/>
    <w:rsid w:val="007D4B22"/>
    <w:rsid w:val="007D4C48"/>
    <w:rsid w:val="007D4E91"/>
    <w:rsid w:val="007D50FD"/>
    <w:rsid w:val="007D5363"/>
    <w:rsid w:val="007D5449"/>
    <w:rsid w:val="007D54CD"/>
    <w:rsid w:val="007D5534"/>
    <w:rsid w:val="007D5758"/>
    <w:rsid w:val="007D5923"/>
    <w:rsid w:val="007D59B8"/>
    <w:rsid w:val="007D59D7"/>
    <w:rsid w:val="007D5A97"/>
    <w:rsid w:val="007D5C33"/>
    <w:rsid w:val="007D5CF2"/>
    <w:rsid w:val="007D5E90"/>
    <w:rsid w:val="007D5EB2"/>
    <w:rsid w:val="007D5F8C"/>
    <w:rsid w:val="007D605B"/>
    <w:rsid w:val="007D649C"/>
    <w:rsid w:val="007D6793"/>
    <w:rsid w:val="007D7075"/>
    <w:rsid w:val="007D70A3"/>
    <w:rsid w:val="007D72FE"/>
    <w:rsid w:val="007D75F7"/>
    <w:rsid w:val="007D7762"/>
    <w:rsid w:val="007D7900"/>
    <w:rsid w:val="007D79A0"/>
    <w:rsid w:val="007D7A19"/>
    <w:rsid w:val="007D7DE0"/>
    <w:rsid w:val="007D7E26"/>
    <w:rsid w:val="007D7FEE"/>
    <w:rsid w:val="007E0104"/>
    <w:rsid w:val="007E08CF"/>
    <w:rsid w:val="007E0AF4"/>
    <w:rsid w:val="007E0B6F"/>
    <w:rsid w:val="007E0DC6"/>
    <w:rsid w:val="007E0E02"/>
    <w:rsid w:val="007E0E9F"/>
    <w:rsid w:val="007E0EBF"/>
    <w:rsid w:val="007E1151"/>
    <w:rsid w:val="007E118B"/>
    <w:rsid w:val="007E1277"/>
    <w:rsid w:val="007E1453"/>
    <w:rsid w:val="007E16CC"/>
    <w:rsid w:val="007E1820"/>
    <w:rsid w:val="007E18AF"/>
    <w:rsid w:val="007E1919"/>
    <w:rsid w:val="007E1B9B"/>
    <w:rsid w:val="007E1C6B"/>
    <w:rsid w:val="007E1CF7"/>
    <w:rsid w:val="007E2004"/>
    <w:rsid w:val="007E20A4"/>
    <w:rsid w:val="007E2105"/>
    <w:rsid w:val="007E22AC"/>
    <w:rsid w:val="007E22DB"/>
    <w:rsid w:val="007E2398"/>
    <w:rsid w:val="007E23FC"/>
    <w:rsid w:val="007E2425"/>
    <w:rsid w:val="007E24AF"/>
    <w:rsid w:val="007E2959"/>
    <w:rsid w:val="007E2C3C"/>
    <w:rsid w:val="007E2C53"/>
    <w:rsid w:val="007E2CB4"/>
    <w:rsid w:val="007E2F66"/>
    <w:rsid w:val="007E311E"/>
    <w:rsid w:val="007E31F4"/>
    <w:rsid w:val="007E354C"/>
    <w:rsid w:val="007E35F2"/>
    <w:rsid w:val="007E3890"/>
    <w:rsid w:val="007E3AC6"/>
    <w:rsid w:val="007E3BF4"/>
    <w:rsid w:val="007E3D2B"/>
    <w:rsid w:val="007E3E6B"/>
    <w:rsid w:val="007E3F5A"/>
    <w:rsid w:val="007E457D"/>
    <w:rsid w:val="007E48C4"/>
    <w:rsid w:val="007E4CC0"/>
    <w:rsid w:val="007E4EC2"/>
    <w:rsid w:val="007E5278"/>
    <w:rsid w:val="007E52C8"/>
    <w:rsid w:val="007E536E"/>
    <w:rsid w:val="007E5508"/>
    <w:rsid w:val="007E5BDF"/>
    <w:rsid w:val="007E5C43"/>
    <w:rsid w:val="007E5DAB"/>
    <w:rsid w:val="007E5EBF"/>
    <w:rsid w:val="007E5F04"/>
    <w:rsid w:val="007E5F13"/>
    <w:rsid w:val="007E5F8D"/>
    <w:rsid w:val="007E6530"/>
    <w:rsid w:val="007E6561"/>
    <w:rsid w:val="007E679C"/>
    <w:rsid w:val="007E6818"/>
    <w:rsid w:val="007E6819"/>
    <w:rsid w:val="007E6F77"/>
    <w:rsid w:val="007E6FBD"/>
    <w:rsid w:val="007E712F"/>
    <w:rsid w:val="007E75B1"/>
    <w:rsid w:val="007E7B22"/>
    <w:rsid w:val="007E7BF2"/>
    <w:rsid w:val="007E7E4B"/>
    <w:rsid w:val="007E7F34"/>
    <w:rsid w:val="007E7F84"/>
    <w:rsid w:val="007F0109"/>
    <w:rsid w:val="007F05A7"/>
    <w:rsid w:val="007F05EB"/>
    <w:rsid w:val="007F06A6"/>
    <w:rsid w:val="007F08E0"/>
    <w:rsid w:val="007F0B2B"/>
    <w:rsid w:val="007F0C59"/>
    <w:rsid w:val="007F0C7E"/>
    <w:rsid w:val="007F0D76"/>
    <w:rsid w:val="007F14DA"/>
    <w:rsid w:val="007F1545"/>
    <w:rsid w:val="007F1A6B"/>
    <w:rsid w:val="007F1ACC"/>
    <w:rsid w:val="007F1CBD"/>
    <w:rsid w:val="007F1D7C"/>
    <w:rsid w:val="007F1E0E"/>
    <w:rsid w:val="007F2328"/>
    <w:rsid w:val="007F2545"/>
    <w:rsid w:val="007F2621"/>
    <w:rsid w:val="007F26D5"/>
    <w:rsid w:val="007F297D"/>
    <w:rsid w:val="007F2ADD"/>
    <w:rsid w:val="007F2BA6"/>
    <w:rsid w:val="007F2D4E"/>
    <w:rsid w:val="007F2D6D"/>
    <w:rsid w:val="007F2FB9"/>
    <w:rsid w:val="007F3088"/>
    <w:rsid w:val="007F32C9"/>
    <w:rsid w:val="007F35A0"/>
    <w:rsid w:val="007F399B"/>
    <w:rsid w:val="007F4249"/>
    <w:rsid w:val="007F4389"/>
    <w:rsid w:val="007F43C0"/>
    <w:rsid w:val="007F4643"/>
    <w:rsid w:val="007F4C28"/>
    <w:rsid w:val="007F4E3B"/>
    <w:rsid w:val="007F4F16"/>
    <w:rsid w:val="007F5131"/>
    <w:rsid w:val="007F52F1"/>
    <w:rsid w:val="007F54F4"/>
    <w:rsid w:val="007F58A3"/>
    <w:rsid w:val="007F59BF"/>
    <w:rsid w:val="007F59FA"/>
    <w:rsid w:val="007F5B9D"/>
    <w:rsid w:val="007F5BD0"/>
    <w:rsid w:val="007F5E2A"/>
    <w:rsid w:val="007F5E2F"/>
    <w:rsid w:val="007F613B"/>
    <w:rsid w:val="007F6472"/>
    <w:rsid w:val="007F6662"/>
    <w:rsid w:val="007F66D7"/>
    <w:rsid w:val="007F6763"/>
    <w:rsid w:val="007F67AC"/>
    <w:rsid w:val="007F67E3"/>
    <w:rsid w:val="007F68B8"/>
    <w:rsid w:val="007F6F7A"/>
    <w:rsid w:val="007F7147"/>
    <w:rsid w:val="007F7246"/>
    <w:rsid w:val="007F72D3"/>
    <w:rsid w:val="007F7350"/>
    <w:rsid w:val="007F7420"/>
    <w:rsid w:val="007F75BE"/>
    <w:rsid w:val="007F7635"/>
    <w:rsid w:val="007F786A"/>
    <w:rsid w:val="007F7B44"/>
    <w:rsid w:val="007F7C0D"/>
    <w:rsid w:val="007F7C8D"/>
    <w:rsid w:val="007F7E73"/>
    <w:rsid w:val="007F7E97"/>
    <w:rsid w:val="007F7ED8"/>
    <w:rsid w:val="007F7FB2"/>
    <w:rsid w:val="008000C5"/>
    <w:rsid w:val="008002E5"/>
    <w:rsid w:val="008004E4"/>
    <w:rsid w:val="00800745"/>
    <w:rsid w:val="0080079F"/>
    <w:rsid w:val="00800B65"/>
    <w:rsid w:val="00800D01"/>
    <w:rsid w:val="00801416"/>
    <w:rsid w:val="0080154F"/>
    <w:rsid w:val="00801858"/>
    <w:rsid w:val="008019EF"/>
    <w:rsid w:val="00801F39"/>
    <w:rsid w:val="00802101"/>
    <w:rsid w:val="00802595"/>
    <w:rsid w:val="00802698"/>
    <w:rsid w:val="00802711"/>
    <w:rsid w:val="00802A6A"/>
    <w:rsid w:val="00802C40"/>
    <w:rsid w:val="00802D08"/>
    <w:rsid w:val="00802EC7"/>
    <w:rsid w:val="00803081"/>
    <w:rsid w:val="00803438"/>
    <w:rsid w:val="0080352C"/>
    <w:rsid w:val="008036EA"/>
    <w:rsid w:val="008037C4"/>
    <w:rsid w:val="0080394D"/>
    <w:rsid w:val="00803B7C"/>
    <w:rsid w:val="00803E7F"/>
    <w:rsid w:val="00803F8B"/>
    <w:rsid w:val="0080405C"/>
    <w:rsid w:val="00804202"/>
    <w:rsid w:val="0080427D"/>
    <w:rsid w:val="0080475D"/>
    <w:rsid w:val="00804841"/>
    <w:rsid w:val="0080492A"/>
    <w:rsid w:val="008049A7"/>
    <w:rsid w:val="00804B47"/>
    <w:rsid w:val="00804C02"/>
    <w:rsid w:val="00804E79"/>
    <w:rsid w:val="0080513D"/>
    <w:rsid w:val="0080515C"/>
    <w:rsid w:val="00805223"/>
    <w:rsid w:val="00805563"/>
    <w:rsid w:val="008055D8"/>
    <w:rsid w:val="0080570D"/>
    <w:rsid w:val="00805828"/>
    <w:rsid w:val="00805832"/>
    <w:rsid w:val="00805915"/>
    <w:rsid w:val="00805A6B"/>
    <w:rsid w:val="00805D15"/>
    <w:rsid w:val="00805E38"/>
    <w:rsid w:val="00805FE6"/>
    <w:rsid w:val="00806201"/>
    <w:rsid w:val="0080638B"/>
    <w:rsid w:val="008063B9"/>
    <w:rsid w:val="00806438"/>
    <w:rsid w:val="0080667E"/>
    <w:rsid w:val="0080688C"/>
    <w:rsid w:val="00806C69"/>
    <w:rsid w:val="00807076"/>
    <w:rsid w:val="0080709E"/>
    <w:rsid w:val="0080713F"/>
    <w:rsid w:val="008071FC"/>
    <w:rsid w:val="0080764C"/>
    <w:rsid w:val="00807662"/>
    <w:rsid w:val="0080773A"/>
    <w:rsid w:val="00807809"/>
    <w:rsid w:val="00807820"/>
    <w:rsid w:val="008078C4"/>
    <w:rsid w:val="008079DE"/>
    <w:rsid w:val="00807AA5"/>
    <w:rsid w:val="00807D78"/>
    <w:rsid w:val="00807EA8"/>
    <w:rsid w:val="00807FD2"/>
    <w:rsid w:val="008100C1"/>
    <w:rsid w:val="0081025F"/>
    <w:rsid w:val="008102DA"/>
    <w:rsid w:val="00810394"/>
    <w:rsid w:val="0081053C"/>
    <w:rsid w:val="00810583"/>
    <w:rsid w:val="00810594"/>
    <w:rsid w:val="0081060B"/>
    <w:rsid w:val="0081087F"/>
    <w:rsid w:val="00810917"/>
    <w:rsid w:val="00810A14"/>
    <w:rsid w:val="00810B9B"/>
    <w:rsid w:val="00810C40"/>
    <w:rsid w:val="00810C97"/>
    <w:rsid w:val="00810DB7"/>
    <w:rsid w:val="00810F6F"/>
    <w:rsid w:val="0081130A"/>
    <w:rsid w:val="00811342"/>
    <w:rsid w:val="008113A3"/>
    <w:rsid w:val="008114B8"/>
    <w:rsid w:val="00811651"/>
    <w:rsid w:val="00811BE4"/>
    <w:rsid w:val="00811D09"/>
    <w:rsid w:val="00811D27"/>
    <w:rsid w:val="00811D7A"/>
    <w:rsid w:val="00812471"/>
    <w:rsid w:val="00812481"/>
    <w:rsid w:val="008125FD"/>
    <w:rsid w:val="00812815"/>
    <w:rsid w:val="0081290C"/>
    <w:rsid w:val="00812942"/>
    <w:rsid w:val="00812957"/>
    <w:rsid w:val="00812A2A"/>
    <w:rsid w:val="00812AF8"/>
    <w:rsid w:val="00812C5F"/>
    <w:rsid w:val="00812CBC"/>
    <w:rsid w:val="00812D9E"/>
    <w:rsid w:val="008130E7"/>
    <w:rsid w:val="008132E4"/>
    <w:rsid w:val="0081332D"/>
    <w:rsid w:val="008134CB"/>
    <w:rsid w:val="0081365B"/>
    <w:rsid w:val="00813897"/>
    <w:rsid w:val="00813986"/>
    <w:rsid w:val="00813A5F"/>
    <w:rsid w:val="00813B7A"/>
    <w:rsid w:val="00813D83"/>
    <w:rsid w:val="008141F0"/>
    <w:rsid w:val="008144C5"/>
    <w:rsid w:val="008146E0"/>
    <w:rsid w:val="00814930"/>
    <w:rsid w:val="00814CC0"/>
    <w:rsid w:val="00814D66"/>
    <w:rsid w:val="00814F50"/>
    <w:rsid w:val="0081521B"/>
    <w:rsid w:val="00815479"/>
    <w:rsid w:val="008155AF"/>
    <w:rsid w:val="008157A4"/>
    <w:rsid w:val="0081599A"/>
    <w:rsid w:val="00815A1F"/>
    <w:rsid w:val="00815A5C"/>
    <w:rsid w:val="00815BDC"/>
    <w:rsid w:val="0081675B"/>
    <w:rsid w:val="00816A5B"/>
    <w:rsid w:val="00816AAD"/>
    <w:rsid w:val="00816C1B"/>
    <w:rsid w:val="00816C6D"/>
    <w:rsid w:val="00816E7C"/>
    <w:rsid w:val="008170FB"/>
    <w:rsid w:val="0081717E"/>
    <w:rsid w:val="00817873"/>
    <w:rsid w:val="0082005F"/>
    <w:rsid w:val="008200CE"/>
    <w:rsid w:val="00820451"/>
    <w:rsid w:val="008206B3"/>
    <w:rsid w:val="00820785"/>
    <w:rsid w:val="008207F6"/>
    <w:rsid w:val="00820A5F"/>
    <w:rsid w:val="00820CEE"/>
    <w:rsid w:val="00820CF6"/>
    <w:rsid w:val="00820D86"/>
    <w:rsid w:val="00820DDE"/>
    <w:rsid w:val="00820F1C"/>
    <w:rsid w:val="00821237"/>
    <w:rsid w:val="00821262"/>
    <w:rsid w:val="008212DD"/>
    <w:rsid w:val="008214E3"/>
    <w:rsid w:val="008217B3"/>
    <w:rsid w:val="008219A1"/>
    <w:rsid w:val="00821D8C"/>
    <w:rsid w:val="00821E54"/>
    <w:rsid w:val="00821EEC"/>
    <w:rsid w:val="0082234F"/>
    <w:rsid w:val="008226F0"/>
    <w:rsid w:val="008227BC"/>
    <w:rsid w:val="0082288C"/>
    <w:rsid w:val="008229E9"/>
    <w:rsid w:val="00822A3C"/>
    <w:rsid w:val="00822AEC"/>
    <w:rsid w:val="00822C2B"/>
    <w:rsid w:val="00822E17"/>
    <w:rsid w:val="00822EB8"/>
    <w:rsid w:val="008230D6"/>
    <w:rsid w:val="0082310A"/>
    <w:rsid w:val="008231D7"/>
    <w:rsid w:val="00823238"/>
    <w:rsid w:val="00823255"/>
    <w:rsid w:val="00823533"/>
    <w:rsid w:val="00823550"/>
    <w:rsid w:val="00823663"/>
    <w:rsid w:val="0082367B"/>
    <w:rsid w:val="008236C5"/>
    <w:rsid w:val="008237FD"/>
    <w:rsid w:val="00823A5F"/>
    <w:rsid w:val="00823E50"/>
    <w:rsid w:val="00823F98"/>
    <w:rsid w:val="00824171"/>
    <w:rsid w:val="008242B9"/>
    <w:rsid w:val="0082431E"/>
    <w:rsid w:val="0082438E"/>
    <w:rsid w:val="00824512"/>
    <w:rsid w:val="008245A4"/>
    <w:rsid w:val="00824C64"/>
    <w:rsid w:val="00824E40"/>
    <w:rsid w:val="00824EDE"/>
    <w:rsid w:val="00825105"/>
    <w:rsid w:val="0082545D"/>
    <w:rsid w:val="00825489"/>
    <w:rsid w:val="008254FA"/>
    <w:rsid w:val="008255A3"/>
    <w:rsid w:val="008255D3"/>
    <w:rsid w:val="008255D6"/>
    <w:rsid w:val="008259DB"/>
    <w:rsid w:val="00825B69"/>
    <w:rsid w:val="00825C51"/>
    <w:rsid w:val="00825D71"/>
    <w:rsid w:val="00825DF1"/>
    <w:rsid w:val="00825E44"/>
    <w:rsid w:val="00826440"/>
    <w:rsid w:val="0082647E"/>
    <w:rsid w:val="008264CD"/>
    <w:rsid w:val="008265BC"/>
    <w:rsid w:val="00826694"/>
    <w:rsid w:val="0082677C"/>
    <w:rsid w:val="0082694E"/>
    <w:rsid w:val="00826FF7"/>
    <w:rsid w:val="00827099"/>
    <w:rsid w:val="008270F1"/>
    <w:rsid w:val="008271A9"/>
    <w:rsid w:val="008271D0"/>
    <w:rsid w:val="008273E7"/>
    <w:rsid w:val="0082740D"/>
    <w:rsid w:val="00827625"/>
    <w:rsid w:val="008276EA"/>
    <w:rsid w:val="00827871"/>
    <w:rsid w:val="008279E6"/>
    <w:rsid w:val="00827A41"/>
    <w:rsid w:val="00827CEB"/>
    <w:rsid w:val="00827DC6"/>
    <w:rsid w:val="00827FA4"/>
    <w:rsid w:val="00830017"/>
    <w:rsid w:val="00830047"/>
    <w:rsid w:val="008300F0"/>
    <w:rsid w:val="008300F4"/>
    <w:rsid w:val="00830287"/>
    <w:rsid w:val="008303BE"/>
    <w:rsid w:val="00830404"/>
    <w:rsid w:val="00830728"/>
    <w:rsid w:val="00830758"/>
    <w:rsid w:val="008307A6"/>
    <w:rsid w:val="00830898"/>
    <w:rsid w:val="00830AB7"/>
    <w:rsid w:val="00830B7E"/>
    <w:rsid w:val="00830DF8"/>
    <w:rsid w:val="00831108"/>
    <w:rsid w:val="0083118D"/>
    <w:rsid w:val="00831255"/>
    <w:rsid w:val="008312B1"/>
    <w:rsid w:val="0083134E"/>
    <w:rsid w:val="008313B0"/>
    <w:rsid w:val="00831538"/>
    <w:rsid w:val="00831A6B"/>
    <w:rsid w:val="00831B5D"/>
    <w:rsid w:val="00831C7E"/>
    <w:rsid w:val="00831F08"/>
    <w:rsid w:val="00831F50"/>
    <w:rsid w:val="00832015"/>
    <w:rsid w:val="0083207D"/>
    <w:rsid w:val="0083212F"/>
    <w:rsid w:val="008321FA"/>
    <w:rsid w:val="00832221"/>
    <w:rsid w:val="008322C1"/>
    <w:rsid w:val="00832956"/>
    <w:rsid w:val="008329DB"/>
    <w:rsid w:val="00832E83"/>
    <w:rsid w:val="008332B4"/>
    <w:rsid w:val="008333CB"/>
    <w:rsid w:val="008334B7"/>
    <w:rsid w:val="00833525"/>
    <w:rsid w:val="00833689"/>
    <w:rsid w:val="008336FF"/>
    <w:rsid w:val="0083392B"/>
    <w:rsid w:val="00833947"/>
    <w:rsid w:val="00833956"/>
    <w:rsid w:val="00833A4D"/>
    <w:rsid w:val="00833DD1"/>
    <w:rsid w:val="00834070"/>
    <w:rsid w:val="008340EF"/>
    <w:rsid w:val="0083411A"/>
    <w:rsid w:val="00834416"/>
    <w:rsid w:val="00834526"/>
    <w:rsid w:val="0083459A"/>
    <w:rsid w:val="00834719"/>
    <w:rsid w:val="00834731"/>
    <w:rsid w:val="008347DE"/>
    <w:rsid w:val="00834ACD"/>
    <w:rsid w:val="00834AF7"/>
    <w:rsid w:val="00834FC6"/>
    <w:rsid w:val="00835002"/>
    <w:rsid w:val="008352BE"/>
    <w:rsid w:val="00835546"/>
    <w:rsid w:val="0083594F"/>
    <w:rsid w:val="00835E93"/>
    <w:rsid w:val="008362B5"/>
    <w:rsid w:val="0083644E"/>
    <w:rsid w:val="00836702"/>
    <w:rsid w:val="00836923"/>
    <w:rsid w:val="00836A4F"/>
    <w:rsid w:val="00836B9A"/>
    <w:rsid w:val="00836DDA"/>
    <w:rsid w:val="00836E4A"/>
    <w:rsid w:val="00836EF0"/>
    <w:rsid w:val="008370A9"/>
    <w:rsid w:val="00837146"/>
    <w:rsid w:val="008372D4"/>
    <w:rsid w:val="00837457"/>
    <w:rsid w:val="008376D8"/>
    <w:rsid w:val="0083775B"/>
    <w:rsid w:val="00837E10"/>
    <w:rsid w:val="00837EAA"/>
    <w:rsid w:val="00840094"/>
    <w:rsid w:val="00840270"/>
    <w:rsid w:val="00840415"/>
    <w:rsid w:val="008409A3"/>
    <w:rsid w:val="00840C93"/>
    <w:rsid w:val="00840D81"/>
    <w:rsid w:val="00840DAD"/>
    <w:rsid w:val="00840DFB"/>
    <w:rsid w:val="00840EEC"/>
    <w:rsid w:val="00840F01"/>
    <w:rsid w:val="00840F9C"/>
    <w:rsid w:val="0084100E"/>
    <w:rsid w:val="008410E6"/>
    <w:rsid w:val="008411FB"/>
    <w:rsid w:val="00841202"/>
    <w:rsid w:val="0084123C"/>
    <w:rsid w:val="00841303"/>
    <w:rsid w:val="008414FC"/>
    <w:rsid w:val="00841556"/>
    <w:rsid w:val="0084157D"/>
    <w:rsid w:val="008415FB"/>
    <w:rsid w:val="00841F95"/>
    <w:rsid w:val="0084206A"/>
    <w:rsid w:val="008421E2"/>
    <w:rsid w:val="00842269"/>
    <w:rsid w:val="00842298"/>
    <w:rsid w:val="008422C1"/>
    <w:rsid w:val="00842356"/>
    <w:rsid w:val="008423CE"/>
    <w:rsid w:val="00842498"/>
    <w:rsid w:val="008424C2"/>
    <w:rsid w:val="0084262A"/>
    <w:rsid w:val="0084291E"/>
    <w:rsid w:val="00842D21"/>
    <w:rsid w:val="00842F95"/>
    <w:rsid w:val="0084301C"/>
    <w:rsid w:val="00843072"/>
    <w:rsid w:val="0084317D"/>
    <w:rsid w:val="008432D3"/>
    <w:rsid w:val="0084345F"/>
    <w:rsid w:val="008435FF"/>
    <w:rsid w:val="008436A2"/>
    <w:rsid w:val="00843BE7"/>
    <w:rsid w:val="00843E5D"/>
    <w:rsid w:val="00843F19"/>
    <w:rsid w:val="0084417E"/>
    <w:rsid w:val="008442FA"/>
    <w:rsid w:val="008445F6"/>
    <w:rsid w:val="00844619"/>
    <w:rsid w:val="00844629"/>
    <w:rsid w:val="00844804"/>
    <w:rsid w:val="00844851"/>
    <w:rsid w:val="00844875"/>
    <w:rsid w:val="008448E9"/>
    <w:rsid w:val="00844B28"/>
    <w:rsid w:val="00844B85"/>
    <w:rsid w:val="00845010"/>
    <w:rsid w:val="0084503F"/>
    <w:rsid w:val="00845490"/>
    <w:rsid w:val="008455E0"/>
    <w:rsid w:val="00845633"/>
    <w:rsid w:val="008456B5"/>
    <w:rsid w:val="00845730"/>
    <w:rsid w:val="00845837"/>
    <w:rsid w:val="0084589F"/>
    <w:rsid w:val="00845C8C"/>
    <w:rsid w:val="00845FCF"/>
    <w:rsid w:val="00846097"/>
    <w:rsid w:val="0084645D"/>
    <w:rsid w:val="0084654E"/>
    <w:rsid w:val="00846560"/>
    <w:rsid w:val="00846697"/>
    <w:rsid w:val="00846C77"/>
    <w:rsid w:val="00846CDC"/>
    <w:rsid w:val="00846D69"/>
    <w:rsid w:val="00846F12"/>
    <w:rsid w:val="00846F26"/>
    <w:rsid w:val="00846FD0"/>
    <w:rsid w:val="00847067"/>
    <w:rsid w:val="0084724B"/>
    <w:rsid w:val="008472C8"/>
    <w:rsid w:val="00847833"/>
    <w:rsid w:val="00847881"/>
    <w:rsid w:val="008479BB"/>
    <w:rsid w:val="00847A28"/>
    <w:rsid w:val="00847D31"/>
    <w:rsid w:val="00847E1D"/>
    <w:rsid w:val="00850090"/>
    <w:rsid w:val="008500A9"/>
    <w:rsid w:val="008501F1"/>
    <w:rsid w:val="0085021C"/>
    <w:rsid w:val="00850766"/>
    <w:rsid w:val="008508B2"/>
    <w:rsid w:val="008509B3"/>
    <w:rsid w:val="00850A6C"/>
    <w:rsid w:val="00850CD1"/>
    <w:rsid w:val="00850DBC"/>
    <w:rsid w:val="00850DE6"/>
    <w:rsid w:val="008511CA"/>
    <w:rsid w:val="00851242"/>
    <w:rsid w:val="00851621"/>
    <w:rsid w:val="00851639"/>
    <w:rsid w:val="00851752"/>
    <w:rsid w:val="008517EB"/>
    <w:rsid w:val="00851872"/>
    <w:rsid w:val="008519FD"/>
    <w:rsid w:val="0085205A"/>
    <w:rsid w:val="0085232C"/>
    <w:rsid w:val="00852345"/>
    <w:rsid w:val="00852C4A"/>
    <w:rsid w:val="00852C8B"/>
    <w:rsid w:val="00852CAE"/>
    <w:rsid w:val="00853053"/>
    <w:rsid w:val="0085362D"/>
    <w:rsid w:val="008536AF"/>
    <w:rsid w:val="008536DA"/>
    <w:rsid w:val="008538DB"/>
    <w:rsid w:val="00853987"/>
    <w:rsid w:val="008539A3"/>
    <w:rsid w:val="00853B92"/>
    <w:rsid w:val="00854034"/>
    <w:rsid w:val="00854215"/>
    <w:rsid w:val="00854534"/>
    <w:rsid w:val="00854775"/>
    <w:rsid w:val="00854891"/>
    <w:rsid w:val="00854A92"/>
    <w:rsid w:val="00854AFC"/>
    <w:rsid w:val="00854D25"/>
    <w:rsid w:val="00854D6A"/>
    <w:rsid w:val="00854E25"/>
    <w:rsid w:val="00854FAE"/>
    <w:rsid w:val="00855219"/>
    <w:rsid w:val="0085531E"/>
    <w:rsid w:val="00855475"/>
    <w:rsid w:val="0085570F"/>
    <w:rsid w:val="00855B0C"/>
    <w:rsid w:val="00855D27"/>
    <w:rsid w:val="00855FEB"/>
    <w:rsid w:val="0085650D"/>
    <w:rsid w:val="008566FD"/>
    <w:rsid w:val="00856840"/>
    <w:rsid w:val="00856B69"/>
    <w:rsid w:val="00856C9C"/>
    <w:rsid w:val="00856E8D"/>
    <w:rsid w:val="00856F7E"/>
    <w:rsid w:val="008571E3"/>
    <w:rsid w:val="008572D2"/>
    <w:rsid w:val="008572F6"/>
    <w:rsid w:val="0085755D"/>
    <w:rsid w:val="008577AF"/>
    <w:rsid w:val="0085793C"/>
    <w:rsid w:val="008579A6"/>
    <w:rsid w:val="00857F52"/>
    <w:rsid w:val="0086000C"/>
    <w:rsid w:val="0086003A"/>
    <w:rsid w:val="00860048"/>
    <w:rsid w:val="00860092"/>
    <w:rsid w:val="008601F2"/>
    <w:rsid w:val="008602BB"/>
    <w:rsid w:val="008603A9"/>
    <w:rsid w:val="008604FD"/>
    <w:rsid w:val="00860536"/>
    <w:rsid w:val="008608A0"/>
    <w:rsid w:val="00860AAD"/>
    <w:rsid w:val="00860C68"/>
    <w:rsid w:val="00860EA0"/>
    <w:rsid w:val="00860FAB"/>
    <w:rsid w:val="00861101"/>
    <w:rsid w:val="00861287"/>
    <w:rsid w:val="00861311"/>
    <w:rsid w:val="008613BB"/>
    <w:rsid w:val="0086143E"/>
    <w:rsid w:val="008616C5"/>
    <w:rsid w:val="00861AF5"/>
    <w:rsid w:val="00862093"/>
    <w:rsid w:val="008621DE"/>
    <w:rsid w:val="0086233C"/>
    <w:rsid w:val="008626CC"/>
    <w:rsid w:val="00862B64"/>
    <w:rsid w:val="00862CE7"/>
    <w:rsid w:val="00862FDF"/>
    <w:rsid w:val="00863018"/>
    <w:rsid w:val="0086313A"/>
    <w:rsid w:val="008632A9"/>
    <w:rsid w:val="008633FA"/>
    <w:rsid w:val="008636DA"/>
    <w:rsid w:val="008637EB"/>
    <w:rsid w:val="00863896"/>
    <w:rsid w:val="008638D3"/>
    <w:rsid w:val="00863AA4"/>
    <w:rsid w:val="00863ADD"/>
    <w:rsid w:val="00863B8B"/>
    <w:rsid w:val="00863B8F"/>
    <w:rsid w:val="008641E8"/>
    <w:rsid w:val="0086429F"/>
    <w:rsid w:val="00864302"/>
    <w:rsid w:val="00864309"/>
    <w:rsid w:val="0086451D"/>
    <w:rsid w:val="0086483B"/>
    <w:rsid w:val="0086496F"/>
    <w:rsid w:val="00864B6B"/>
    <w:rsid w:val="00864D11"/>
    <w:rsid w:val="00864D55"/>
    <w:rsid w:val="00864DAF"/>
    <w:rsid w:val="00864E4E"/>
    <w:rsid w:val="00864F54"/>
    <w:rsid w:val="0086504B"/>
    <w:rsid w:val="00865097"/>
    <w:rsid w:val="008652B7"/>
    <w:rsid w:val="008653D2"/>
    <w:rsid w:val="00865535"/>
    <w:rsid w:val="00865EE9"/>
    <w:rsid w:val="00866078"/>
    <w:rsid w:val="00866189"/>
    <w:rsid w:val="0086636C"/>
    <w:rsid w:val="00866393"/>
    <w:rsid w:val="008663E5"/>
    <w:rsid w:val="00866511"/>
    <w:rsid w:val="008666A0"/>
    <w:rsid w:val="0086675B"/>
    <w:rsid w:val="00866B22"/>
    <w:rsid w:val="00866C7C"/>
    <w:rsid w:val="00867115"/>
    <w:rsid w:val="00867184"/>
    <w:rsid w:val="008671AA"/>
    <w:rsid w:val="00867573"/>
    <w:rsid w:val="00867646"/>
    <w:rsid w:val="00867831"/>
    <w:rsid w:val="00867877"/>
    <w:rsid w:val="008678D0"/>
    <w:rsid w:val="00867908"/>
    <w:rsid w:val="00867C64"/>
    <w:rsid w:val="00867DA3"/>
    <w:rsid w:val="00867E67"/>
    <w:rsid w:val="008704DF"/>
    <w:rsid w:val="008705CB"/>
    <w:rsid w:val="00870765"/>
    <w:rsid w:val="00870A60"/>
    <w:rsid w:val="00870F09"/>
    <w:rsid w:val="00870F1D"/>
    <w:rsid w:val="008715CB"/>
    <w:rsid w:val="00871A8C"/>
    <w:rsid w:val="00871E76"/>
    <w:rsid w:val="008721A0"/>
    <w:rsid w:val="00872463"/>
    <w:rsid w:val="00872563"/>
    <w:rsid w:val="00872767"/>
    <w:rsid w:val="008727CD"/>
    <w:rsid w:val="008727D8"/>
    <w:rsid w:val="00872AB5"/>
    <w:rsid w:val="00872ABD"/>
    <w:rsid w:val="00872B1F"/>
    <w:rsid w:val="00872D8B"/>
    <w:rsid w:val="00872DD9"/>
    <w:rsid w:val="00872ED0"/>
    <w:rsid w:val="00872F03"/>
    <w:rsid w:val="008730AA"/>
    <w:rsid w:val="008730E5"/>
    <w:rsid w:val="008732E8"/>
    <w:rsid w:val="008732FF"/>
    <w:rsid w:val="00873303"/>
    <w:rsid w:val="00873328"/>
    <w:rsid w:val="0087348D"/>
    <w:rsid w:val="008734FD"/>
    <w:rsid w:val="00873725"/>
    <w:rsid w:val="008737B5"/>
    <w:rsid w:val="00873D12"/>
    <w:rsid w:val="00873E66"/>
    <w:rsid w:val="00873EB9"/>
    <w:rsid w:val="00873F5A"/>
    <w:rsid w:val="008741B8"/>
    <w:rsid w:val="008741C8"/>
    <w:rsid w:val="008741F2"/>
    <w:rsid w:val="008742AF"/>
    <w:rsid w:val="00874B42"/>
    <w:rsid w:val="00874D8C"/>
    <w:rsid w:val="0087536D"/>
    <w:rsid w:val="00875663"/>
    <w:rsid w:val="008759AC"/>
    <w:rsid w:val="00875A2E"/>
    <w:rsid w:val="00875CD3"/>
    <w:rsid w:val="00875EFF"/>
    <w:rsid w:val="00875FC6"/>
    <w:rsid w:val="0087619B"/>
    <w:rsid w:val="008761BB"/>
    <w:rsid w:val="00876217"/>
    <w:rsid w:val="008762A2"/>
    <w:rsid w:val="00876335"/>
    <w:rsid w:val="00876670"/>
    <w:rsid w:val="0087671C"/>
    <w:rsid w:val="00876BC7"/>
    <w:rsid w:val="00876EAC"/>
    <w:rsid w:val="00877009"/>
    <w:rsid w:val="0087736D"/>
    <w:rsid w:val="0087745D"/>
    <w:rsid w:val="0087758B"/>
    <w:rsid w:val="00877705"/>
    <w:rsid w:val="0087772C"/>
    <w:rsid w:val="00877818"/>
    <w:rsid w:val="00877975"/>
    <w:rsid w:val="008779C0"/>
    <w:rsid w:val="00877B92"/>
    <w:rsid w:val="00877C37"/>
    <w:rsid w:val="00877E5F"/>
    <w:rsid w:val="00877EAF"/>
    <w:rsid w:val="0088053C"/>
    <w:rsid w:val="00880672"/>
    <w:rsid w:val="00880758"/>
    <w:rsid w:val="0088086F"/>
    <w:rsid w:val="00880EE5"/>
    <w:rsid w:val="00881002"/>
    <w:rsid w:val="008811B0"/>
    <w:rsid w:val="00881256"/>
    <w:rsid w:val="008814CC"/>
    <w:rsid w:val="008818AE"/>
    <w:rsid w:val="00881C82"/>
    <w:rsid w:val="00881DE2"/>
    <w:rsid w:val="00881F0A"/>
    <w:rsid w:val="00882A32"/>
    <w:rsid w:val="008832B9"/>
    <w:rsid w:val="00883406"/>
    <w:rsid w:val="008835CF"/>
    <w:rsid w:val="0088372D"/>
    <w:rsid w:val="00883899"/>
    <w:rsid w:val="0088393B"/>
    <w:rsid w:val="00883AD8"/>
    <w:rsid w:val="00883F73"/>
    <w:rsid w:val="008840B9"/>
    <w:rsid w:val="0088426E"/>
    <w:rsid w:val="00884348"/>
    <w:rsid w:val="008845CE"/>
    <w:rsid w:val="008846CB"/>
    <w:rsid w:val="00884D2F"/>
    <w:rsid w:val="00884DA4"/>
    <w:rsid w:val="00884ED4"/>
    <w:rsid w:val="00885159"/>
    <w:rsid w:val="00885267"/>
    <w:rsid w:val="0088533E"/>
    <w:rsid w:val="008854C4"/>
    <w:rsid w:val="00885580"/>
    <w:rsid w:val="008858A3"/>
    <w:rsid w:val="00885968"/>
    <w:rsid w:val="00885BBF"/>
    <w:rsid w:val="00885C24"/>
    <w:rsid w:val="00885CB6"/>
    <w:rsid w:val="00885D41"/>
    <w:rsid w:val="00885D8C"/>
    <w:rsid w:val="00885DD3"/>
    <w:rsid w:val="00885E47"/>
    <w:rsid w:val="008861D3"/>
    <w:rsid w:val="008863EE"/>
    <w:rsid w:val="00886B6E"/>
    <w:rsid w:val="00886BDE"/>
    <w:rsid w:val="00886E96"/>
    <w:rsid w:val="008870D5"/>
    <w:rsid w:val="008872D4"/>
    <w:rsid w:val="0088732F"/>
    <w:rsid w:val="0088736D"/>
    <w:rsid w:val="00887774"/>
    <w:rsid w:val="0088780D"/>
    <w:rsid w:val="00887874"/>
    <w:rsid w:val="00887AB2"/>
    <w:rsid w:val="00887B61"/>
    <w:rsid w:val="00887CC1"/>
    <w:rsid w:val="00887D0A"/>
    <w:rsid w:val="00890048"/>
    <w:rsid w:val="00890256"/>
    <w:rsid w:val="00890393"/>
    <w:rsid w:val="0089039A"/>
    <w:rsid w:val="008903DF"/>
    <w:rsid w:val="0089049E"/>
    <w:rsid w:val="0089064F"/>
    <w:rsid w:val="00890838"/>
    <w:rsid w:val="0089091A"/>
    <w:rsid w:val="00890A1A"/>
    <w:rsid w:val="00890FC7"/>
    <w:rsid w:val="00891056"/>
    <w:rsid w:val="00891263"/>
    <w:rsid w:val="008912C8"/>
    <w:rsid w:val="00891463"/>
    <w:rsid w:val="00891A88"/>
    <w:rsid w:val="00891CB9"/>
    <w:rsid w:val="00891CBC"/>
    <w:rsid w:val="00891EBD"/>
    <w:rsid w:val="00891FB0"/>
    <w:rsid w:val="0089215E"/>
    <w:rsid w:val="008924C4"/>
    <w:rsid w:val="00892636"/>
    <w:rsid w:val="0089267F"/>
    <w:rsid w:val="0089285A"/>
    <w:rsid w:val="00892864"/>
    <w:rsid w:val="0089294F"/>
    <w:rsid w:val="00892A95"/>
    <w:rsid w:val="00892C84"/>
    <w:rsid w:val="00892E0F"/>
    <w:rsid w:val="00892F57"/>
    <w:rsid w:val="00893106"/>
    <w:rsid w:val="008933FC"/>
    <w:rsid w:val="008934BE"/>
    <w:rsid w:val="008934CA"/>
    <w:rsid w:val="00893540"/>
    <w:rsid w:val="0089370E"/>
    <w:rsid w:val="00893962"/>
    <w:rsid w:val="00893C33"/>
    <w:rsid w:val="00893E24"/>
    <w:rsid w:val="00893E62"/>
    <w:rsid w:val="008944B9"/>
    <w:rsid w:val="00894692"/>
    <w:rsid w:val="008948B8"/>
    <w:rsid w:val="00894A95"/>
    <w:rsid w:val="00894B2C"/>
    <w:rsid w:val="00895015"/>
    <w:rsid w:val="0089507E"/>
    <w:rsid w:val="0089527C"/>
    <w:rsid w:val="00895316"/>
    <w:rsid w:val="0089550A"/>
    <w:rsid w:val="008957D2"/>
    <w:rsid w:val="00895DA0"/>
    <w:rsid w:val="00895DD3"/>
    <w:rsid w:val="00896080"/>
    <w:rsid w:val="00896414"/>
    <w:rsid w:val="0089656F"/>
    <w:rsid w:val="00896AD0"/>
    <w:rsid w:val="00896C82"/>
    <w:rsid w:val="00896D2B"/>
    <w:rsid w:val="00897102"/>
    <w:rsid w:val="008971B7"/>
    <w:rsid w:val="00897355"/>
    <w:rsid w:val="00897548"/>
    <w:rsid w:val="008978A8"/>
    <w:rsid w:val="00897A8F"/>
    <w:rsid w:val="00897BF5"/>
    <w:rsid w:val="00897E3F"/>
    <w:rsid w:val="00897E51"/>
    <w:rsid w:val="00897EE1"/>
    <w:rsid w:val="00897F19"/>
    <w:rsid w:val="008A008C"/>
    <w:rsid w:val="008A01EF"/>
    <w:rsid w:val="008A02A2"/>
    <w:rsid w:val="008A0394"/>
    <w:rsid w:val="008A04BD"/>
    <w:rsid w:val="008A075A"/>
    <w:rsid w:val="008A0954"/>
    <w:rsid w:val="008A0964"/>
    <w:rsid w:val="008A0AED"/>
    <w:rsid w:val="008A0C32"/>
    <w:rsid w:val="008A0D6A"/>
    <w:rsid w:val="008A0E13"/>
    <w:rsid w:val="008A0E75"/>
    <w:rsid w:val="008A0E7B"/>
    <w:rsid w:val="008A0EF7"/>
    <w:rsid w:val="008A1055"/>
    <w:rsid w:val="008A1066"/>
    <w:rsid w:val="008A1169"/>
    <w:rsid w:val="008A125A"/>
    <w:rsid w:val="008A125C"/>
    <w:rsid w:val="008A12C6"/>
    <w:rsid w:val="008A134A"/>
    <w:rsid w:val="008A1650"/>
    <w:rsid w:val="008A19D3"/>
    <w:rsid w:val="008A1E77"/>
    <w:rsid w:val="008A1F21"/>
    <w:rsid w:val="008A256F"/>
    <w:rsid w:val="008A2740"/>
    <w:rsid w:val="008A2952"/>
    <w:rsid w:val="008A298C"/>
    <w:rsid w:val="008A29A6"/>
    <w:rsid w:val="008A2D4C"/>
    <w:rsid w:val="008A300B"/>
    <w:rsid w:val="008A3042"/>
    <w:rsid w:val="008A31E8"/>
    <w:rsid w:val="008A31F7"/>
    <w:rsid w:val="008A3450"/>
    <w:rsid w:val="008A37C0"/>
    <w:rsid w:val="008A3810"/>
    <w:rsid w:val="008A38F2"/>
    <w:rsid w:val="008A39CE"/>
    <w:rsid w:val="008A3A8A"/>
    <w:rsid w:val="008A3B83"/>
    <w:rsid w:val="008A3B88"/>
    <w:rsid w:val="008A3C9D"/>
    <w:rsid w:val="008A3FF9"/>
    <w:rsid w:val="008A4229"/>
    <w:rsid w:val="008A431B"/>
    <w:rsid w:val="008A43D8"/>
    <w:rsid w:val="008A44B6"/>
    <w:rsid w:val="008A45DF"/>
    <w:rsid w:val="008A4612"/>
    <w:rsid w:val="008A4977"/>
    <w:rsid w:val="008A5077"/>
    <w:rsid w:val="008A51F7"/>
    <w:rsid w:val="008A526F"/>
    <w:rsid w:val="008A53E6"/>
    <w:rsid w:val="008A5648"/>
    <w:rsid w:val="008A598A"/>
    <w:rsid w:val="008A5BEF"/>
    <w:rsid w:val="008A5C16"/>
    <w:rsid w:val="008A615E"/>
    <w:rsid w:val="008A6308"/>
    <w:rsid w:val="008A66B3"/>
    <w:rsid w:val="008A68F0"/>
    <w:rsid w:val="008A6926"/>
    <w:rsid w:val="008A6971"/>
    <w:rsid w:val="008A6A68"/>
    <w:rsid w:val="008A6A80"/>
    <w:rsid w:val="008A6BBB"/>
    <w:rsid w:val="008A7031"/>
    <w:rsid w:val="008A73A8"/>
    <w:rsid w:val="008A7564"/>
    <w:rsid w:val="008A759D"/>
    <w:rsid w:val="008A77D9"/>
    <w:rsid w:val="008A7840"/>
    <w:rsid w:val="008A79A4"/>
    <w:rsid w:val="008A79F0"/>
    <w:rsid w:val="008A7C31"/>
    <w:rsid w:val="008A7C44"/>
    <w:rsid w:val="008B0102"/>
    <w:rsid w:val="008B0331"/>
    <w:rsid w:val="008B035B"/>
    <w:rsid w:val="008B0509"/>
    <w:rsid w:val="008B0618"/>
    <w:rsid w:val="008B0C16"/>
    <w:rsid w:val="008B0C1A"/>
    <w:rsid w:val="008B0C58"/>
    <w:rsid w:val="008B0CF4"/>
    <w:rsid w:val="008B0D85"/>
    <w:rsid w:val="008B1026"/>
    <w:rsid w:val="008B1201"/>
    <w:rsid w:val="008B12AF"/>
    <w:rsid w:val="008B13AC"/>
    <w:rsid w:val="008B140D"/>
    <w:rsid w:val="008B1600"/>
    <w:rsid w:val="008B1774"/>
    <w:rsid w:val="008B1836"/>
    <w:rsid w:val="008B1A1D"/>
    <w:rsid w:val="008B1B28"/>
    <w:rsid w:val="008B1B79"/>
    <w:rsid w:val="008B1BD4"/>
    <w:rsid w:val="008B1F69"/>
    <w:rsid w:val="008B1FC0"/>
    <w:rsid w:val="008B1FE2"/>
    <w:rsid w:val="008B2035"/>
    <w:rsid w:val="008B2060"/>
    <w:rsid w:val="008B2488"/>
    <w:rsid w:val="008B28B2"/>
    <w:rsid w:val="008B296B"/>
    <w:rsid w:val="008B2C3D"/>
    <w:rsid w:val="008B2CE0"/>
    <w:rsid w:val="008B2CE5"/>
    <w:rsid w:val="008B340E"/>
    <w:rsid w:val="008B3506"/>
    <w:rsid w:val="008B39A6"/>
    <w:rsid w:val="008B3EB8"/>
    <w:rsid w:val="008B4221"/>
    <w:rsid w:val="008B43D4"/>
    <w:rsid w:val="008B4600"/>
    <w:rsid w:val="008B4650"/>
    <w:rsid w:val="008B4D0A"/>
    <w:rsid w:val="008B4D8B"/>
    <w:rsid w:val="008B4FF4"/>
    <w:rsid w:val="008B55E0"/>
    <w:rsid w:val="008B5796"/>
    <w:rsid w:val="008B5950"/>
    <w:rsid w:val="008B5A4D"/>
    <w:rsid w:val="008B5ADE"/>
    <w:rsid w:val="008B5BAE"/>
    <w:rsid w:val="008B5BFA"/>
    <w:rsid w:val="008B5C16"/>
    <w:rsid w:val="008B6008"/>
    <w:rsid w:val="008B61AB"/>
    <w:rsid w:val="008B6216"/>
    <w:rsid w:val="008B6359"/>
    <w:rsid w:val="008B64BF"/>
    <w:rsid w:val="008B65D8"/>
    <w:rsid w:val="008B6A2D"/>
    <w:rsid w:val="008B6B05"/>
    <w:rsid w:val="008B6F4B"/>
    <w:rsid w:val="008B7302"/>
    <w:rsid w:val="008B76F3"/>
    <w:rsid w:val="008B7717"/>
    <w:rsid w:val="008B794D"/>
    <w:rsid w:val="008B79DF"/>
    <w:rsid w:val="008B7EEF"/>
    <w:rsid w:val="008C00BE"/>
    <w:rsid w:val="008C01E9"/>
    <w:rsid w:val="008C0352"/>
    <w:rsid w:val="008C06D4"/>
    <w:rsid w:val="008C07EB"/>
    <w:rsid w:val="008C0821"/>
    <w:rsid w:val="008C0A56"/>
    <w:rsid w:val="008C0C21"/>
    <w:rsid w:val="008C0DDC"/>
    <w:rsid w:val="008C0E2F"/>
    <w:rsid w:val="008C0EFE"/>
    <w:rsid w:val="008C10AE"/>
    <w:rsid w:val="008C149D"/>
    <w:rsid w:val="008C17E1"/>
    <w:rsid w:val="008C18B2"/>
    <w:rsid w:val="008C1ABB"/>
    <w:rsid w:val="008C1ABF"/>
    <w:rsid w:val="008C1E70"/>
    <w:rsid w:val="008C1F60"/>
    <w:rsid w:val="008C20C8"/>
    <w:rsid w:val="008C2122"/>
    <w:rsid w:val="008C2579"/>
    <w:rsid w:val="008C27BC"/>
    <w:rsid w:val="008C284E"/>
    <w:rsid w:val="008C2B05"/>
    <w:rsid w:val="008C2B8E"/>
    <w:rsid w:val="008C2BE2"/>
    <w:rsid w:val="008C2D6D"/>
    <w:rsid w:val="008C2E25"/>
    <w:rsid w:val="008C2E6A"/>
    <w:rsid w:val="008C2E97"/>
    <w:rsid w:val="008C31C8"/>
    <w:rsid w:val="008C39C5"/>
    <w:rsid w:val="008C3AED"/>
    <w:rsid w:val="008C3C77"/>
    <w:rsid w:val="008C4425"/>
    <w:rsid w:val="008C4536"/>
    <w:rsid w:val="008C4558"/>
    <w:rsid w:val="008C4692"/>
    <w:rsid w:val="008C4790"/>
    <w:rsid w:val="008C4E76"/>
    <w:rsid w:val="008C4FA6"/>
    <w:rsid w:val="008C4FB4"/>
    <w:rsid w:val="008C513F"/>
    <w:rsid w:val="008C51E3"/>
    <w:rsid w:val="008C52C5"/>
    <w:rsid w:val="008C547C"/>
    <w:rsid w:val="008C54BF"/>
    <w:rsid w:val="008C5778"/>
    <w:rsid w:val="008C5947"/>
    <w:rsid w:val="008C5A15"/>
    <w:rsid w:val="008C5B9A"/>
    <w:rsid w:val="008C5D09"/>
    <w:rsid w:val="008C5D0D"/>
    <w:rsid w:val="008C5E26"/>
    <w:rsid w:val="008C5E9A"/>
    <w:rsid w:val="008C5FD2"/>
    <w:rsid w:val="008C5FD4"/>
    <w:rsid w:val="008C6168"/>
    <w:rsid w:val="008C61F5"/>
    <w:rsid w:val="008C6320"/>
    <w:rsid w:val="008C6408"/>
    <w:rsid w:val="008C6444"/>
    <w:rsid w:val="008C650B"/>
    <w:rsid w:val="008C66C7"/>
    <w:rsid w:val="008C6A8E"/>
    <w:rsid w:val="008C6BEC"/>
    <w:rsid w:val="008C6CD1"/>
    <w:rsid w:val="008C705B"/>
    <w:rsid w:val="008C7333"/>
    <w:rsid w:val="008C75F0"/>
    <w:rsid w:val="008C7852"/>
    <w:rsid w:val="008C7AC9"/>
    <w:rsid w:val="008C7AD4"/>
    <w:rsid w:val="008C7B07"/>
    <w:rsid w:val="008C7B4F"/>
    <w:rsid w:val="008C7C06"/>
    <w:rsid w:val="008C7EC0"/>
    <w:rsid w:val="008D0359"/>
    <w:rsid w:val="008D0469"/>
    <w:rsid w:val="008D0497"/>
    <w:rsid w:val="008D0562"/>
    <w:rsid w:val="008D07B8"/>
    <w:rsid w:val="008D097A"/>
    <w:rsid w:val="008D0A49"/>
    <w:rsid w:val="008D0A50"/>
    <w:rsid w:val="008D0C26"/>
    <w:rsid w:val="008D0C29"/>
    <w:rsid w:val="008D0EDD"/>
    <w:rsid w:val="008D1098"/>
    <w:rsid w:val="008D116A"/>
    <w:rsid w:val="008D1509"/>
    <w:rsid w:val="008D15BD"/>
    <w:rsid w:val="008D15DC"/>
    <w:rsid w:val="008D165F"/>
    <w:rsid w:val="008D19A7"/>
    <w:rsid w:val="008D1C6A"/>
    <w:rsid w:val="008D1C99"/>
    <w:rsid w:val="008D1EFB"/>
    <w:rsid w:val="008D2052"/>
    <w:rsid w:val="008D22DD"/>
    <w:rsid w:val="008D2349"/>
    <w:rsid w:val="008D2408"/>
    <w:rsid w:val="008D2495"/>
    <w:rsid w:val="008D253C"/>
    <w:rsid w:val="008D2610"/>
    <w:rsid w:val="008D26CC"/>
    <w:rsid w:val="008D274F"/>
    <w:rsid w:val="008D2761"/>
    <w:rsid w:val="008D2A15"/>
    <w:rsid w:val="008D30FD"/>
    <w:rsid w:val="008D3196"/>
    <w:rsid w:val="008D3324"/>
    <w:rsid w:val="008D3406"/>
    <w:rsid w:val="008D3726"/>
    <w:rsid w:val="008D3B16"/>
    <w:rsid w:val="008D3B44"/>
    <w:rsid w:val="008D3D69"/>
    <w:rsid w:val="008D4209"/>
    <w:rsid w:val="008D4368"/>
    <w:rsid w:val="008D4886"/>
    <w:rsid w:val="008D4A26"/>
    <w:rsid w:val="008D4D17"/>
    <w:rsid w:val="008D4DB0"/>
    <w:rsid w:val="008D52F8"/>
    <w:rsid w:val="008D53C7"/>
    <w:rsid w:val="008D53EE"/>
    <w:rsid w:val="008D54D3"/>
    <w:rsid w:val="008D54FD"/>
    <w:rsid w:val="008D5511"/>
    <w:rsid w:val="008D5630"/>
    <w:rsid w:val="008D5761"/>
    <w:rsid w:val="008D5930"/>
    <w:rsid w:val="008D5C1D"/>
    <w:rsid w:val="008D5F36"/>
    <w:rsid w:val="008D6084"/>
    <w:rsid w:val="008D6209"/>
    <w:rsid w:val="008D6365"/>
    <w:rsid w:val="008D64C0"/>
    <w:rsid w:val="008D6611"/>
    <w:rsid w:val="008D6740"/>
    <w:rsid w:val="008D6AF6"/>
    <w:rsid w:val="008D6C26"/>
    <w:rsid w:val="008D6D9B"/>
    <w:rsid w:val="008D6E00"/>
    <w:rsid w:val="008D6FFE"/>
    <w:rsid w:val="008D72E6"/>
    <w:rsid w:val="008D72F7"/>
    <w:rsid w:val="008D730F"/>
    <w:rsid w:val="008D7342"/>
    <w:rsid w:val="008D7654"/>
    <w:rsid w:val="008D7768"/>
    <w:rsid w:val="008D7A73"/>
    <w:rsid w:val="008D7C0C"/>
    <w:rsid w:val="008D7C5A"/>
    <w:rsid w:val="008D7E6D"/>
    <w:rsid w:val="008D7F16"/>
    <w:rsid w:val="008E00D0"/>
    <w:rsid w:val="008E0195"/>
    <w:rsid w:val="008E023F"/>
    <w:rsid w:val="008E051A"/>
    <w:rsid w:val="008E08D7"/>
    <w:rsid w:val="008E0D33"/>
    <w:rsid w:val="008E0F2D"/>
    <w:rsid w:val="008E155C"/>
    <w:rsid w:val="008E15BD"/>
    <w:rsid w:val="008E1781"/>
    <w:rsid w:val="008E1927"/>
    <w:rsid w:val="008E1A1F"/>
    <w:rsid w:val="008E1A29"/>
    <w:rsid w:val="008E1A64"/>
    <w:rsid w:val="008E1E73"/>
    <w:rsid w:val="008E1ED6"/>
    <w:rsid w:val="008E1FE4"/>
    <w:rsid w:val="008E21C4"/>
    <w:rsid w:val="008E2221"/>
    <w:rsid w:val="008E24AC"/>
    <w:rsid w:val="008E2797"/>
    <w:rsid w:val="008E2910"/>
    <w:rsid w:val="008E29A7"/>
    <w:rsid w:val="008E2AAE"/>
    <w:rsid w:val="008E2BFF"/>
    <w:rsid w:val="008E2C0F"/>
    <w:rsid w:val="008E2CCE"/>
    <w:rsid w:val="008E31CE"/>
    <w:rsid w:val="008E3389"/>
    <w:rsid w:val="008E34DC"/>
    <w:rsid w:val="008E3558"/>
    <w:rsid w:val="008E35BF"/>
    <w:rsid w:val="008E3730"/>
    <w:rsid w:val="008E3756"/>
    <w:rsid w:val="008E3C03"/>
    <w:rsid w:val="008E404D"/>
    <w:rsid w:val="008E4398"/>
    <w:rsid w:val="008E4469"/>
    <w:rsid w:val="008E45DA"/>
    <w:rsid w:val="008E46FA"/>
    <w:rsid w:val="008E4A72"/>
    <w:rsid w:val="008E4C7D"/>
    <w:rsid w:val="008E5569"/>
    <w:rsid w:val="008E556A"/>
    <w:rsid w:val="008E5592"/>
    <w:rsid w:val="008E55E1"/>
    <w:rsid w:val="008E5BA9"/>
    <w:rsid w:val="008E5D07"/>
    <w:rsid w:val="008E6291"/>
    <w:rsid w:val="008E62A6"/>
    <w:rsid w:val="008E650C"/>
    <w:rsid w:val="008E67AF"/>
    <w:rsid w:val="008E6A3D"/>
    <w:rsid w:val="008E6B33"/>
    <w:rsid w:val="008E6D8A"/>
    <w:rsid w:val="008E6F3B"/>
    <w:rsid w:val="008E77A1"/>
    <w:rsid w:val="008E78E9"/>
    <w:rsid w:val="008E7C9D"/>
    <w:rsid w:val="008E7CCD"/>
    <w:rsid w:val="008E7F09"/>
    <w:rsid w:val="008F0554"/>
    <w:rsid w:val="008F0664"/>
    <w:rsid w:val="008F06A2"/>
    <w:rsid w:val="008F07EF"/>
    <w:rsid w:val="008F08B1"/>
    <w:rsid w:val="008F0A90"/>
    <w:rsid w:val="008F0B33"/>
    <w:rsid w:val="008F0B66"/>
    <w:rsid w:val="008F0CA5"/>
    <w:rsid w:val="008F0CD7"/>
    <w:rsid w:val="008F0D5D"/>
    <w:rsid w:val="008F0DF0"/>
    <w:rsid w:val="008F1018"/>
    <w:rsid w:val="008F10CE"/>
    <w:rsid w:val="008F15EA"/>
    <w:rsid w:val="008F16D5"/>
    <w:rsid w:val="008F1744"/>
    <w:rsid w:val="008F195D"/>
    <w:rsid w:val="008F19CE"/>
    <w:rsid w:val="008F1BFC"/>
    <w:rsid w:val="008F1F42"/>
    <w:rsid w:val="008F203C"/>
    <w:rsid w:val="008F257C"/>
    <w:rsid w:val="008F27C7"/>
    <w:rsid w:val="008F286B"/>
    <w:rsid w:val="008F2E28"/>
    <w:rsid w:val="008F2F0C"/>
    <w:rsid w:val="008F2F79"/>
    <w:rsid w:val="008F3095"/>
    <w:rsid w:val="008F30DC"/>
    <w:rsid w:val="008F3250"/>
    <w:rsid w:val="008F3462"/>
    <w:rsid w:val="008F3AD8"/>
    <w:rsid w:val="008F3B4D"/>
    <w:rsid w:val="008F3D94"/>
    <w:rsid w:val="008F3DCC"/>
    <w:rsid w:val="008F4164"/>
    <w:rsid w:val="008F4425"/>
    <w:rsid w:val="008F4466"/>
    <w:rsid w:val="008F475F"/>
    <w:rsid w:val="008F4787"/>
    <w:rsid w:val="008F4C6F"/>
    <w:rsid w:val="008F4D3D"/>
    <w:rsid w:val="008F4E79"/>
    <w:rsid w:val="008F4E88"/>
    <w:rsid w:val="008F4F44"/>
    <w:rsid w:val="008F50A6"/>
    <w:rsid w:val="008F50F7"/>
    <w:rsid w:val="008F51FC"/>
    <w:rsid w:val="008F5280"/>
    <w:rsid w:val="008F53CD"/>
    <w:rsid w:val="008F559C"/>
    <w:rsid w:val="008F571A"/>
    <w:rsid w:val="008F5A1D"/>
    <w:rsid w:val="008F5AE0"/>
    <w:rsid w:val="008F5CA9"/>
    <w:rsid w:val="008F5FC9"/>
    <w:rsid w:val="008F6268"/>
    <w:rsid w:val="008F64A9"/>
    <w:rsid w:val="008F677C"/>
    <w:rsid w:val="008F68C6"/>
    <w:rsid w:val="008F6979"/>
    <w:rsid w:val="008F6E57"/>
    <w:rsid w:val="008F6F3F"/>
    <w:rsid w:val="008F70C5"/>
    <w:rsid w:val="008F71DC"/>
    <w:rsid w:val="008F7250"/>
    <w:rsid w:val="008F7297"/>
    <w:rsid w:val="008F759F"/>
    <w:rsid w:val="008F79CD"/>
    <w:rsid w:val="008F7B5F"/>
    <w:rsid w:val="008F7F71"/>
    <w:rsid w:val="008F7FC5"/>
    <w:rsid w:val="008F7FF9"/>
    <w:rsid w:val="009001F7"/>
    <w:rsid w:val="0090044F"/>
    <w:rsid w:val="00900459"/>
    <w:rsid w:val="00900602"/>
    <w:rsid w:val="00900D1F"/>
    <w:rsid w:val="00900FCA"/>
    <w:rsid w:val="00900FD4"/>
    <w:rsid w:val="00901144"/>
    <w:rsid w:val="00901348"/>
    <w:rsid w:val="0090177D"/>
    <w:rsid w:val="00901883"/>
    <w:rsid w:val="00901A42"/>
    <w:rsid w:val="00901CD1"/>
    <w:rsid w:val="00901D90"/>
    <w:rsid w:val="00902201"/>
    <w:rsid w:val="0090226C"/>
    <w:rsid w:val="0090233E"/>
    <w:rsid w:val="0090264A"/>
    <w:rsid w:val="009026C9"/>
    <w:rsid w:val="00902B17"/>
    <w:rsid w:val="00902B7A"/>
    <w:rsid w:val="00902DB3"/>
    <w:rsid w:val="00902F8F"/>
    <w:rsid w:val="00903153"/>
    <w:rsid w:val="009031E8"/>
    <w:rsid w:val="009033B3"/>
    <w:rsid w:val="00903574"/>
    <w:rsid w:val="00903B1A"/>
    <w:rsid w:val="009040AA"/>
    <w:rsid w:val="00904199"/>
    <w:rsid w:val="009041BE"/>
    <w:rsid w:val="00904263"/>
    <w:rsid w:val="00904750"/>
    <w:rsid w:val="009049DD"/>
    <w:rsid w:val="00904A72"/>
    <w:rsid w:val="00904F14"/>
    <w:rsid w:val="00905031"/>
    <w:rsid w:val="009051F0"/>
    <w:rsid w:val="009052AE"/>
    <w:rsid w:val="009052C0"/>
    <w:rsid w:val="00905337"/>
    <w:rsid w:val="0090567B"/>
    <w:rsid w:val="009056FB"/>
    <w:rsid w:val="00905730"/>
    <w:rsid w:val="00905BEE"/>
    <w:rsid w:val="00905C09"/>
    <w:rsid w:val="00905FBE"/>
    <w:rsid w:val="00906152"/>
    <w:rsid w:val="009061C4"/>
    <w:rsid w:val="0090692F"/>
    <w:rsid w:val="0090699E"/>
    <w:rsid w:val="00906B2F"/>
    <w:rsid w:val="00906C3D"/>
    <w:rsid w:val="009071CC"/>
    <w:rsid w:val="009071D9"/>
    <w:rsid w:val="009072A3"/>
    <w:rsid w:val="0090738A"/>
    <w:rsid w:val="00907749"/>
    <w:rsid w:val="00907972"/>
    <w:rsid w:val="00907A18"/>
    <w:rsid w:val="00907A52"/>
    <w:rsid w:val="00907AD1"/>
    <w:rsid w:val="00907F7F"/>
    <w:rsid w:val="00907FF9"/>
    <w:rsid w:val="0091004E"/>
    <w:rsid w:val="0091039D"/>
    <w:rsid w:val="00910716"/>
    <w:rsid w:val="00910751"/>
    <w:rsid w:val="00910990"/>
    <w:rsid w:val="0091100A"/>
    <w:rsid w:val="00911045"/>
    <w:rsid w:val="0091157C"/>
    <w:rsid w:val="009116AD"/>
    <w:rsid w:val="009116DB"/>
    <w:rsid w:val="0091198C"/>
    <w:rsid w:val="009119A2"/>
    <w:rsid w:val="00911A16"/>
    <w:rsid w:val="00911B2D"/>
    <w:rsid w:val="00911D99"/>
    <w:rsid w:val="00911F70"/>
    <w:rsid w:val="00912153"/>
    <w:rsid w:val="0091220E"/>
    <w:rsid w:val="0091236D"/>
    <w:rsid w:val="00912881"/>
    <w:rsid w:val="0091297B"/>
    <w:rsid w:val="00912AD2"/>
    <w:rsid w:val="00912B89"/>
    <w:rsid w:val="00912BA9"/>
    <w:rsid w:val="00912C45"/>
    <w:rsid w:val="00912D89"/>
    <w:rsid w:val="00912FE0"/>
    <w:rsid w:val="009131EE"/>
    <w:rsid w:val="009133EF"/>
    <w:rsid w:val="009134B6"/>
    <w:rsid w:val="00913592"/>
    <w:rsid w:val="00913982"/>
    <w:rsid w:val="00913AD8"/>
    <w:rsid w:val="00914198"/>
    <w:rsid w:val="00914318"/>
    <w:rsid w:val="00914AD3"/>
    <w:rsid w:val="00914B96"/>
    <w:rsid w:val="00914D12"/>
    <w:rsid w:val="009152CB"/>
    <w:rsid w:val="00915594"/>
    <w:rsid w:val="00915695"/>
    <w:rsid w:val="0091580F"/>
    <w:rsid w:val="00915864"/>
    <w:rsid w:val="009158CA"/>
    <w:rsid w:val="009158DF"/>
    <w:rsid w:val="00915D82"/>
    <w:rsid w:val="00915F6A"/>
    <w:rsid w:val="009161DD"/>
    <w:rsid w:val="00916382"/>
    <w:rsid w:val="009163DD"/>
    <w:rsid w:val="00916834"/>
    <w:rsid w:val="00916905"/>
    <w:rsid w:val="00916BCF"/>
    <w:rsid w:val="0091707E"/>
    <w:rsid w:val="009170C5"/>
    <w:rsid w:val="009170CA"/>
    <w:rsid w:val="009170D3"/>
    <w:rsid w:val="00917241"/>
    <w:rsid w:val="0091727B"/>
    <w:rsid w:val="009172E1"/>
    <w:rsid w:val="0091745D"/>
    <w:rsid w:val="00917814"/>
    <w:rsid w:val="00917832"/>
    <w:rsid w:val="00917B5E"/>
    <w:rsid w:val="00917E54"/>
    <w:rsid w:val="00920113"/>
    <w:rsid w:val="009202D6"/>
    <w:rsid w:val="009202FF"/>
    <w:rsid w:val="0092032E"/>
    <w:rsid w:val="00920611"/>
    <w:rsid w:val="00920716"/>
    <w:rsid w:val="00920721"/>
    <w:rsid w:val="00920A6C"/>
    <w:rsid w:val="00920AE4"/>
    <w:rsid w:val="00920C20"/>
    <w:rsid w:val="00920DCF"/>
    <w:rsid w:val="00920F57"/>
    <w:rsid w:val="009211F9"/>
    <w:rsid w:val="00921411"/>
    <w:rsid w:val="00921449"/>
    <w:rsid w:val="009218CF"/>
    <w:rsid w:val="0092194E"/>
    <w:rsid w:val="0092195B"/>
    <w:rsid w:val="00921A70"/>
    <w:rsid w:val="00921B1C"/>
    <w:rsid w:val="00921E43"/>
    <w:rsid w:val="00921F13"/>
    <w:rsid w:val="00921FE7"/>
    <w:rsid w:val="0092224E"/>
    <w:rsid w:val="00922379"/>
    <w:rsid w:val="0092239F"/>
    <w:rsid w:val="00922550"/>
    <w:rsid w:val="00922660"/>
    <w:rsid w:val="00922670"/>
    <w:rsid w:val="0092275D"/>
    <w:rsid w:val="00922B08"/>
    <w:rsid w:val="00922C1B"/>
    <w:rsid w:val="0092329E"/>
    <w:rsid w:val="00923623"/>
    <w:rsid w:val="00923921"/>
    <w:rsid w:val="00923981"/>
    <w:rsid w:val="00923ABA"/>
    <w:rsid w:val="00923C96"/>
    <w:rsid w:val="009241D3"/>
    <w:rsid w:val="009241E5"/>
    <w:rsid w:val="00924531"/>
    <w:rsid w:val="00924578"/>
    <w:rsid w:val="009247D8"/>
    <w:rsid w:val="009247E9"/>
    <w:rsid w:val="00924BB6"/>
    <w:rsid w:val="00924D0B"/>
    <w:rsid w:val="00924D79"/>
    <w:rsid w:val="00924DD2"/>
    <w:rsid w:val="00924DFE"/>
    <w:rsid w:val="0092503C"/>
    <w:rsid w:val="0092519C"/>
    <w:rsid w:val="009251DB"/>
    <w:rsid w:val="00925247"/>
    <w:rsid w:val="00925269"/>
    <w:rsid w:val="009255EB"/>
    <w:rsid w:val="00925652"/>
    <w:rsid w:val="00925A4B"/>
    <w:rsid w:val="00925BF1"/>
    <w:rsid w:val="00925D17"/>
    <w:rsid w:val="00925E59"/>
    <w:rsid w:val="00925EA0"/>
    <w:rsid w:val="009260F5"/>
    <w:rsid w:val="00926150"/>
    <w:rsid w:val="00926221"/>
    <w:rsid w:val="0092631D"/>
    <w:rsid w:val="00926352"/>
    <w:rsid w:val="00926B1B"/>
    <w:rsid w:val="00927169"/>
    <w:rsid w:val="00927369"/>
    <w:rsid w:val="00927A36"/>
    <w:rsid w:val="00927A7F"/>
    <w:rsid w:val="00927BEE"/>
    <w:rsid w:val="00927C36"/>
    <w:rsid w:val="00927F70"/>
    <w:rsid w:val="00930034"/>
    <w:rsid w:val="00930297"/>
    <w:rsid w:val="00930413"/>
    <w:rsid w:val="0093043A"/>
    <w:rsid w:val="009304ED"/>
    <w:rsid w:val="0093064D"/>
    <w:rsid w:val="009307B8"/>
    <w:rsid w:val="00930866"/>
    <w:rsid w:val="00930979"/>
    <w:rsid w:val="00930A88"/>
    <w:rsid w:val="00930CD3"/>
    <w:rsid w:val="00930EE0"/>
    <w:rsid w:val="0093105B"/>
    <w:rsid w:val="009313E6"/>
    <w:rsid w:val="009315F6"/>
    <w:rsid w:val="00931761"/>
    <w:rsid w:val="0093183F"/>
    <w:rsid w:val="00931850"/>
    <w:rsid w:val="00931B75"/>
    <w:rsid w:val="00931BEE"/>
    <w:rsid w:val="00931CDE"/>
    <w:rsid w:val="00931F55"/>
    <w:rsid w:val="0093220A"/>
    <w:rsid w:val="00932326"/>
    <w:rsid w:val="0093234A"/>
    <w:rsid w:val="0093241A"/>
    <w:rsid w:val="00932595"/>
    <w:rsid w:val="009329EE"/>
    <w:rsid w:val="00932B0C"/>
    <w:rsid w:val="00932DED"/>
    <w:rsid w:val="009330C6"/>
    <w:rsid w:val="00933121"/>
    <w:rsid w:val="009331EA"/>
    <w:rsid w:val="00933240"/>
    <w:rsid w:val="009332A2"/>
    <w:rsid w:val="009336CF"/>
    <w:rsid w:val="00933732"/>
    <w:rsid w:val="009337C6"/>
    <w:rsid w:val="0093388B"/>
    <w:rsid w:val="00933983"/>
    <w:rsid w:val="00933BEE"/>
    <w:rsid w:val="00933BFA"/>
    <w:rsid w:val="00933C55"/>
    <w:rsid w:val="0093410C"/>
    <w:rsid w:val="00934640"/>
    <w:rsid w:val="009347B4"/>
    <w:rsid w:val="00934A91"/>
    <w:rsid w:val="00934E7D"/>
    <w:rsid w:val="00934EB8"/>
    <w:rsid w:val="0093510D"/>
    <w:rsid w:val="009354FA"/>
    <w:rsid w:val="0093576F"/>
    <w:rsid w:val="00935830"/>
    <w:rsid w:val="00935913"/>
    <w:rsid w:val="00935951"/>
    <w:rsid w:val="00935A91"/>
    <w:rsid w:val="00935C84"/>
    <w:rsid w:val="00935F6F"/>
    <w:rsid w:val="00936145"/>
    <w:rsid w:val="00936303"/>
    <w:rsid w:val="009363B5"/>
    <w:rsid w:val="00936592"/>
    <w:rsid w:val="0093664F"/>
    <w:rsid w:val="0093676B"/>
    <w:rsid w:val="009368A6"/>
    <w:rsid w:val="00936A6C"/>
    <w:rsid w:val="00936BF1"/>
    <w:rsid w:val="00936F3C"/>
    <w:rsid w:val="009370BE"/>
    <w:rsid w:val="009372FC"/>
    <w:rsid w:val="0093733C"/>
    <w:rsid w:val="0093741E"/>
    <w:rsid w:val="009376D1"/>
    <w:rsid w:val="00937847"/>
    <w:rsid w:val="00937A84"/>
    <w:rsid w:val="00937B95"/>
    <w:rsid w:val="00937DDB"/>
    <w:rsid w:val="0094004F"/>
    <w:rsid w:val="009401D3"/>
    <w:rsid w:val="009402A5"/>
    <w:rsid w:val="009404AB"/>
    <w:rsid w:val="00940702"/>
    <w:rsid w:val="0094075D"/>
    <w:rsid w:val="009407C5"/>
    <w:rsid w:val="009408AF"/>
    <w:rsid w:val="00940A91"/>
    <w:rsid w:val="00940AF7"/>
    <w:rsid w:val="00940E07"/>
    <w:rsid w:val="00940F6A"/>
    <w:rsid w:val="0094116A"/>
    <w:rsid w:val="0094155E"/>
    <w:rsid w:val="00941605"/>
    <w:rsid w:val="00941714"/>
    <w:rsid w:val="00941868"/>
    <w:rsid w:val="009419D6"/>
    <w:rsid w:val="00941B9F"/>
    <w:rsid w:val="00941BB1"/>
    <w:rsid w:val="00941BCE"/>
    <w:rsid w:val="00942003"/>
    <w:rsid w:val="00942043"/>
    <w:rsid w:val="0094228A"/>
    <w:rsid w:val="0094266F"/>
    <w:rsid w:val="0094287B"/>
    <w:rsid w:val="00942999"/>
    <w:rsid w:val="00942C15"/>
    <w:rsid w:val="00942C52"/>
    <w:rsid w:val="00942F07"/>
    <w:rsid w:val="00942FBA"/>
    <w:rsid w:val="009430A5"/>
    <w:rsid w:val="00943105"/>
    <w:rsid w:val="00943178"/>
    <w:rsid w:val="0094350B"/>
    <w:rsid w:val="00943904"/>
    <w:rsid w:val="00943988"/>
    <w:rsid w:val="00943AD4"/>
    <w:rsid w:val="00943C1C"/>
    <w:rsid w:val="00943DA9"/>
    <w:rsid w:val="00943EDA"/>
    <w:rsid w:val="00944072"/>
    <w:rsid w:val="00944135"/>
    <w:rsid w:val="009445E0"/>
    <w:rsid w:val="00944AA0"/>
    <w:rsid w:val="00944B6B"/>
    <w:rsid w:val="00944C78"/>
    <w:rsid w:val="00944CF9"/>
    <w:rsid w:val="00944F33"/>
    <w:rsid w:val="00944FA0"/>
    <w:rsid w:val="00945004"/>
    <w:rsid w:val="00945075"/>
    <w:rsid w:val="0094513E"/>
    <w:rsid w:val="009452D2"/>
    <w:rsid w:val="0094554A"/>
    <w:rsid w:val="0094554E"/>
    <w:rsid w:val="00945867"/>
    <w:rsid w:val="00945D30"/>
    <w:rsid w:val="00945E56"/>
    <w:rsid w:val="00945F79"/>
    <w:rsid w:val="00945FD1"/>
    <w:rsid w:val="00946182"/>
    <w:rsid w:val="00946608"/>
    <w:rsid w:val="0094690E"/>
    <w:rsid w:val="00946C2A"/>
    <w:rsid w:val="0094707D"/>
    <w:rsid w:val="009472D7"/>
    <w:rsid w:val="0094752A"/>
    <w:rsid w:val="00947962"/>
    <w:rsid w:val="00947B3D"/>
    <w:rsid w:val="0095055C"/>
    <w:rsid w:val="009506F2"/>
    <w:rsid w:val="00950766"/>
    <w:rsid w:val="00950923"/>
    <w:rsid w:val="00950C68"/>
    <w:rsid w:val="00950CFB"/>
    <w:rsid w:val="009510E7"/>
    <w:rsid w:val="0095111D"/>
    <w:rsid w:val="0095142B"/>
    <w:rsid w:val="00951434"/>
    <w:rsid w:val="00951494"/>
    <w:rsid w:val="00951679"/>
    <w:rsid w:val="00951765"/>
    <w:rsid w:val="00951782"/>
    <w:rsid w:val="00951793"/>
    <w:rsid w:val="009517F4"/>
    <w:rsid w:val="00951AA3"/>
    <w:rsid w:val="00951CCF"/>
    <w:rsid w:val="00951CE6"/>
    <w:rsid w:val="00951D98"/>
    <w:rsid w:val="009520B5"/>
    <w:rsid w:val="009522DF"/>
    <w:rsid w:val="009523EA"/>
    <w:rsid w:val="0095266F"/>
    <w:rsid w:val="0095290F"/>
    <w:rsid w:val="00952A36"/>
    <w:rsid w:val="00952D9E"/>
    <w:rsid w:val="0095317F"/>
    <w:rsid w:val="009535FF"/>
    <w:rsid w:val="00953625"/>
    <w:rsid w:val="009536CB"/>
    <w:rsid w:val="00953B71"/>
    <w:rsid w:val="00953C10"/>
    <w:rsid w:val="00953E66"/>
    <w:rsid w:val="00953E72"/>
    <w:rsid w:val="00953F59"/>
    <w:rsid w:val="00954751"/>
    <w:rsid w:val="009548E5"/>
    <w:rsid w:val="00954A1C"/>
    <w:rsid w:val="00954A30"/>
    <w:rsid w:val="00954A3C"/>
    <w:rsid w:val="00954AD6"/>
    <w:rsid w:val="00954CD6"/>
    <w:rsid w:val="00954D1C"/>
    <w:rsid w:val="00954E7C"/>
    <w:rsid w:val="00954E80"/>
    <w:rsid w:val="00954E9E"/>
    <w:rsid w:val="00954ED4"/>
    <w:rsid w:val="00954EE6"/>
    <w:rsid w:val="0095547D"/>
    <w:rsid w:val="009557CE"/>
    <w:rsid w:val="0095591B"/>
    <w:rsid w:val="009559E0"/>
    <w:rsid w:val="00955B2B"/>
    <w:rsid w:val="00955B68"/>
    <w:rsid w:val="00955DFD"/>
    <w:rsid w:val="00955ED8"/>
    <w:rsid w:val="00956385"/>
    <w:rsid w:val="00956453"/>
    <w:rsid w:val="0095655D"/>
    <w:rsid w:val="009565B0"/>
    <w:rsid w:val="009569B9"/>
    <w:rsid w:val="00956AE0"/>
    <w:rsid w:val="00956B50"/>
    <w:rsid w:val="00956D8F"/>
    <w:rsid w:val="009570BA"/>
    <w:rsid w:val="009570F3"/>
    <w:rsid w:val="00957483"/>
    <w:rsid w:val="009574C0"/>
    <w:rsid w:val="0095767B"/>
    <w:rsid w:val="00957B5F"/>
    <w:rsid w:val="00957C63"/>
    <w:rsid w:val="00957C98"/>
    <w:rsid w:val="00957D10"/>
    <w:rsid w:val="00957D9B"/>
    <w:rsid w:val="00957E7F"/>
    <w:rsid w:val="0096015E"/>
    <w:rsid w:val="009602AB"/>
    <w:rsid w:val="00960449"/>
    <w:rsid w:val="009607FD"/>
    <w:rsid w:val="0096083C"/>
    <w:rsid w:val="00960900"/>
    <w:rsid w:val="00960947"/>
    <w:rsid w:val="009609F0"/>
    <w:rsid w:val="00960E04"/>
    <w:rsid w:val="00961169"/>
    <w:rsid w:val="00961250"/>
    <w:rsid w:val="009616C2"/>
    <w:rsid w:val="00961754"/>
    <w:rsid w:val="009617A1"/>
    <w:rsid w:val="0096197A"/>
    <w:rsid w:val="00961A1A"/>
    <w:rsid w:val="00961A4C"/>
    <w:rsid w:val="00961F8C"/>
    <w:rsid w:val="009620B0"/>
    <w:rsid w:val="009621A5"/>
    <w:rsid w:val="009621B5"/>
    <w:rsid w:val="009623CA"/>
    <w:rsid w:val="0096245D"/>
    <w:rsid w:val="0096252D"/>
    <w:rsid w:val="00962771"/>
    <w:rsid w:val="0096287B"/>
    <w:rsid w:val="009628F7"/>
    <w:rsid w:val="00962CAB"/>
    <w:rsid w:val="00962E05"/>
    <w:rsid w:val="00962E9E"/>
    <w:rsid w:val="00963082"/>
    <w:rsid w:val="0096357B"/>
    <w:rsid w:val="009637FD"/>
    <w:rsid w:val="00963D3B"/>
    <w:rsid w:val="00963DD1"/>
    <w:rsid w:val="009640B5"/>
    <w:rsid w:val="0096411E"/>
    <w:rsid w:val="0096416C"/>
    <w:rsid w:val="00964521"/>
    <w:rsid w:val="009645B9"/>
    <w:rsid w:val="009645C9"/>
    <w:rsid w:val="00964971"/>
    <w:rsid w:val="00964A1F"/>
    <w:rsid w:val="00964B22"/>
    <w:rsid w:val="00964CB4"/>
    <w:rsid w:val="00964D56"/>
    <w:rsid w:val="00964EC4"/>
    <w:rsid w:val="009650FB"/>
    <w:rsid w:val="009651DC"/>
    <w:rsid w:val="0096535C"/>
    <w:rsid w:val="009656AB"/>
    <w:rsid w:val="00965706"/>
    <w:rsid w:val="009657A3"/>
    <w:rsid w:val="009658AB"/>
    <w:rsid w:val="00965BD5"/>
    <w:rsid w:val="00965C39"/>
    <w:rsid w:val="00965CE0"/>
    <w:rsid w:val="00965E31"/>
    <w:rsid w:val="00966014"/>
    <w:rsid w:val="009660D2"/>
    <w:rsid w:val="009661BD"/>
    <w:rsid w:val="00966299"/>
    <w:rsid w:val="00966A30"/>
    <w:rsid w:val="00966A50"/>
    <w:rsid w:val="00966BE3"/>
    <w:rsid w:val="00966CA6"/>
    <w:rsid w:val="00966E70"/>
    <w:rsid w:val="00966ED7"/>
    <w:rsid w:val="00967058"/>
    <w:rsid w:val="009671DE"/>
    <w:rsid w:val="009675C3"/>
    <w:rsid w:val="00967917"/>
    <w:rsid w:val="00967ADB"/>
    <w:rsid w:val="00967CBE"/>
    <w:rsid w:val="00967D66"/>
    <w:rsid w:val="0097010A"/>
    <w:rsid w:val="009705B1"/>
    <w:rsid w:val="009706AD"/>
    <w:rsid w:val="009706D4"/>
    <w:rsid w:val="00970752"/>
    <w:rsid w:val="009707F4"/>
    <w:rsid w:val="00970B6A"/>
    <w:rsid w:val="00970B93"/>
    <w:rsid w:val="00970CC4"/>
    <w:rsid w:val="00970D7B"/>
    <w:rsid w:val="00970F66"/>
    <w:rsid w:val="00971063"/>
    <w:rsid w:val="009711E5"/>
    <w:rsid w:val="0097152D"/>
    <w:rsid w:val="00971882"/>
    <w:rsid w:val="0097199E"/>
    <w:rsid w:val="0097206B"/>
    <w:rsid w:val="0097232D"/>
    <w:rsid w:val="009723A1"/>
    <w:rsid w:val="00972465"/>
    <w:rsid w:val="009726EB"/>
    <w:rsid w:val="0097275D"/>
    <w:rsid w:val="00972956"/>
    <w:rsid w:val="00972A70"/>
    <w:rsid w:val="00972AA0"/>
    <w:rsid w:val="00972B1E"/>
    <w:rsid w:val="00972B93"/>
    <w:rsid w:val="00972C5B"/>
    <w:rsid w:val="00972F31"/>
    <w:rsid w:val="00972F49"/>
    <w:rsid w:val="00973098"/>
    <w:rsid w:val="0097320D"/>
    <w:rsid w:val="00973358"/>
    <w:rsid w:val="009734D2"/>
    <w:rsid w:val="00973578"/>
    <w:rsid w:val="00973700"/>
    <w:rsid w:val="00973960"/>
    <w:rsid w:val="00973C50"/>
    <w:rsid w:val="00973DBB"/>
    <w:rsid w:val="00973E9E"/>
    <w:rsid w:val="0097497F"/>
    <w:rsid w:val="00974A7F"/>
    <w:rsid w:val="00974F28"/>
    <w:rsid w:val="00974FF0"/>
    <w:rsid w:val="009750AA"/>
    <w:rsid w:val="009751FF"/>
    <w:rsid w:val="0097539B"/>
    <w:rsid w:val="009755EF"/>
    <w:rsid w:val="00975615"/>
    <w:rsid w:val="00975650"/>
    <w:rsid w:val="009759FC"/>
    <w:rsid w:val="00975C91"/>
    <w:rsid w:val="00975CD2"/>
    <w:rsid w:val="00975D72"/>
    <w:rsid w:val="009765A9"/>
    <w:rsid w:val="00976B89"/>
    <w:rsid w:val="00976DA3"/>
    <w:rsid w:val="00976DAF"/>
    <w:rsid w:val="00976DBD"/>
    <w:rsid w:val="00976EF0"/>
    <w:rsid w:val="00976FB1"/>
    <w:rsid w:val="00977318"/>
    <w:rsid w:val="0097735F"/>
    <w:rsid w:val="00977397"/>
    <w:rsid w:val="0097745A"/>
    <w:rsid w:val="0097747B"/>
    <w:rsid w:val="0097757C"/>
    <w:rsid w:val="00977684"/>
    <w:rsid w:val="00977864"/>
    <w:rsid w:val="00977894"/>
    <w:rsid w:val="00977A92"/>
    <w:rsid w:val="00977FB6"/>
    <w:rsid w:val="0098053B"/>
    <w:rsid w:val="009807C6"/>
    <w:rsid w:val="0098098A"/>
    <w:rsid w:val="009809A1"/>
    <w:rsid w:val="00980AC8"/>
    <w:rsid w:val="00980ACA"/>
    <w:rsid w:val="00980F14"/>
    <w:rsid w:val="0098125C"/>
    <w:rsid w:val="00981405"/>
    <w:rsid w:val="0098146B"/>
    <w:rsid w:val="00981782"/>
    <w:rsid w:val="009817EE"/>
    <w:rsid w:val="00981877"/>
    <w:rsid w:val="00981D18"/>
    <w:rsid w:val="0098234E"/>
    <w:rsid w:val="009824F2"/>
    <w:rsid w:val="00982518"/>
    <w:rsid w:val="00982725"/>
    <w:rsid w:val="009827EE"/>
    <w:rsid w:val="009828A4"/>
    <w:rsid w:val="009828BD"/>
    <w:rsid w:val="009828E2"/>
    <w:rsid w:val="009829FD"/>
    <w:rsid w:val="00982A6F"/>
    <w:rsid w:val="00982C4C"/>
    <w:rsid w:val="00982E13"/>
    <w:rsid w:val="00982F54"/>
    <w:rsid w:val="00982F90"/>
    <w:rsid w:val="00982FAF"/>
    <w:rsid w:val="00983214"/>
    <w:rsid w:val="009837A9"/>
    <w:rsid w:val="00983909"/>
    <w:rsid w:val="00983984"/>
    <w:rsid w:val="00983A65"/>
    <w:rsid w:val="00983BA8"/>
    <w:rsid w:val="00983BEE"/>
    <w:rsid w:val="00983C3B"/>
    <w:rsid w:val="00983CB5"/>
    <w:rsid w:val="00983E86"/>
    <w:rsid w:val="00983F4F"/>
    <w:rsid w:val="00984295"/>
    <w:rsid w:val="00984497"/>
    <w:rsid w:val="00984ACD"/>
    <w:rsid w:val="00984B30"/>
    <w:rsid w:val="00984B44"/>
    <w:rsid w:val="00984BDA"/>
    <w:rsid w:val="00984DC5"/>
    <w:rsid w:val="00984DFF"/>
    <w:rsid w:val="00984F46"/>
    <w:rsid w:val="009854F0"/>
    <w:rsid w:val="0098555E"/>
    <w:rsid w:val="009856E1"/>
    <w:rsid w:val="009857FB"/>
    <w:rsid w:val="00985ABF"/>
    <w:rsid w:val="00985BF8"/>
    <w:rsid w:val="00985D63"/>
    <w:rsid w:val="00985FA2"/>
    <w:rsid w:val="0098615E"/>
    <w:rsid w:val="00986423"/>
    <w:rsid w:val="00986472"/>
    <w:rsid w:val="00986675"/>
    <w:rsid w:val="009866B2"/>
    <w:rsid w:val="0098674E"/>
    <w:rsid w:val="00986D0E"/>
    <w:rsid w:val="00986E15"/>
    <w:rsid w:val="00986E79"/>
    <w:rsid w:val="009871C5"/>
    <w:rsid w:val="00987366"/>
    <w:rsid w:val="0098742C"/>
    <w:rsid w:val="00987582"/>
    <w:rsid w:val="0098765F"/>
    <w:rsid w:val="00987688"/>
    <w:rsid w:val="00987A47"/>
    <w:rsid w:val="00987DFA"/>
    <w:rsid w:val="00987F14"/>
    <w:rsid w:val="00990082"/>
    <w:rsid w:val="009900E6"/>
    <w:rsid w:val="009903DD"/>
    <w:rsid w:val="00990519"/>
    <w:rsid w:val="00990534"/>
    <w:rsid w:val="00990B6D"/>
    <w:rsid w:val="00990DDE"/>
    <w:rsid w:val="00991066"/>
    <w:rsid w:val="00991123"/>
    <w:rsid w:val="0099117B"/>
    <w:rsid w:val="009911E2"/>
    <w:rsid w:val="0099130D"/>
    <w:rsid w:val="00991550"/>
    <w:rsid w:val="0099181B"/>
    <w:rsid w:val="00992416"/>
    <w:rsid w:val="00992571"/>
    <w:rsid w:val="009926E1"/>
    <w:rsid w:val="00992E58"/>
    <w:rsid w:val="00993756"/>
    <w:rsid w:val="00993983"/>
    <w:rsid w:val="009939CF"/>
    <w:rsid w:val="00993AB9"/>
    <w:rsid w:val="00993ACA"/>
    <w:rsid w:val="00993DAE"/>
    <w:rsid w:val="00993EBF"/>
    <w:rsid w:val="009942BA"/>
    <w:rsid w:val="0099462D"/>
    <w:rsid w:val="00994681"/>
    <w:rsid w:val="00994BD5"/>
    <w:rsid w:val="00994E2C"/>
    <w:rsid w:val="00994EAF"/>
    <w:rsid w:val="0099509F"/>
    <w:rsid w:val="00995139"/>
    <w:rsid w:val="009951D3"/>
    <w:rsid w:val="009953FE"/>
    <w:rsid w:val="00995478"/>
    <w:rsid w:val="009955E3"/>
    <w:rsid w:val="00995979"/>
    <w:rsid w:val="009959E3"/>
    <w:rsid w:val="00995D8F"/>
    <w:rsid w:val="00995E69"/>
    <w:rsid w:val="00995E76"/>
    <w:rsid w:val="0099603B"/>
    <w:rsid w:val="009961C1"/>
    <w:rsid w:val="0099633F"/>
    <w:rsid w:val="00996446"/>
    <w:rsid w:val="00996447"/>
    <w:rsid w:val="009967AD"/>
    <w:rsid w:val="00996D83"/>
    <w:rsid w:val="00996ED1"/>
    <w:rsid w:val="00996FB0"/>
    <w:rsid w:val="0099701C"/>
    <w:rsid w:val="00997040"/>
    <w:rsid w:val="0099709D"/>
    <w:rsid w:val="0099721E"/>
    <w:rsid w:val="00997271"/>
    <w:rsid w:val="00997370"/>
    <w:rsid w:val="00997390"/>
    <w:rsid w:val="00997413"/>
    <w:rsid w:val="00997461"/>
    <w:rsid w:val="009974B8"/>
    <w:rsid w:val="00997A4A"/>
    <w:rsid w:val="00997D4D"/>
    <w:rsid w:val="00997DBC"/>
    <w:rsid w:val="009A0267"/>
    <w:rsid w:val="009A0324"/>
    <w:rsid w:val="009A036D"/>
    <w:rsid w:val="009A0383"/>
    <w:rsid w:val="009A03F7"/>
    <w:rsid w:val="009A043F"/>
    <w:rsid w:val="009A05FA"/>
    <w:rsid w:val="009A0891"/>
    <w:rsid w:val="009A0B18"/>
    <w:rsid w:val="009A0B30"/>
    <w:rsid w:val="009A0B77"/>
    <w:rsid w:val="009A0B8C"/>
    <w:rsid w:val="009A0C09"/>
    <w:rsid w:val="009A0CC9"/>
    <w:rsid w:val="009A0FBA"/>
    <w:rsid w:val="009A11CB"/>
    <w:rsid w:val="009A1267"/>
    <w:rsid w:val="009A1781"/>
    <w:rsid w:val="009A1DFB"/>
    <w:rsid w:val="009A1E37"/>
    <w:rsid w:val="009A2018"/>
    <w:rsid w:val="009A2131"/>
    <w:rsid w:val="009A2189"/>
    <w:rsid w:val="009A228A"/>
    <w:rsid w:val="009A2305"/>
    <w:rsid w:val="009A253C"/>
    <w:rsid w:val="009A2627"/>
    <w:rsid w:val="009A2872"/>
    <w:rsid w:val="009A28F9"/>
    <w:rsid w:val="009A29E3"/>
    <w:rsid w:val="009A2A38"/>
    <w:rsid w:val="009A2BCC"/>
    <w:rsid w:val="009A2CA2"/>
    <w:rsid w:val="009A2CFD"/>
    <w:rsid w:val="009A2E7A"/>
    <w:rsid w:val="009A2F7F"/>
    <w:rsid w:val="009A328D"/>
    <w:rsid w:val="009A347B"/>
    <w:rsid w:val="009A3589"/>
    <w:rsid w:val="009A35DE"/>
    <w:rsid w:val="009A371D"/>
    <w:rsid w:val="009A39A6"/>
    <w:rsid w:val="009A39B3"/>
    <w:rsid w:val="009A3A46"/>
    <w:rsid w:val="009A3CE5"/>
    <w:rsid w:val="009A3F11"/>
    <w:rsid w:val="009A3FEC"/>
    <w:rsid w:val="009A49CC"/>
    <w:rsid w:val="009A49D6"/>
    <w:rsid w:val="009A4AAE"/>
    <w:rsid w:val="009A4BAF"/>
    <w:rsid w:val="009A4EAA"/>
    <w:rsid w:val="009A5178"/>
    <w:rsid w:val="009A5451"/>
    <w:rsid w:val="009A59BE"/>
    <w:rsid w:val="009A59F4"/>
    <w:rsid w:val="009A5B0D"/>
    <w:rsid w:val="009A5D79"/>
    <w:rsid w:val="009A5E90"/>
    <w:rsid w:val="009A608A"/>
    <w:rsid w:val="009A6206"/>
    <w:rsid w:val="009A628A"/>
    <w:rsid w:val="009A62E0"/>
    <w:rsid w:val="009A6354"/>
    <w:rsid w:val="009A64BF"/>
    <w:rsid w:val="009A6652"/>
    <w:rsid w:val="009A667B"/>
    <w:rsid w:val="009A69D0"/>
    <w:rsid w:val="009A6BD5"/>
    <w:rsid w:val="009A6C8A"/>
    <w:rsid w:val="009A6DE2"/>
    <w:rsid w:val="009A6E4C"/>
    <w:rsid w:val="009A6E72"/>
    <w:rsid w:val="009A6F1D"/>
    <w:rsid w:val="009A7120"/>
    <w:rsid w:val="009A7331"/>
    <w:rsid w:val="009A74AD"/>
    <w:rsid w:val="009A74C3"/>
    <w:rsid w:val="009A7576"/>
    <w:rsid w:val="009A7728"/>
    <w:rsid w:val="009A78F3"/>
    <w:rsid w:val="009A7A2A"/>
    <w:rsid w:val="009A7A6F"/>
    <w:rsid w:val="009A7D1C"/>
    <w:rsid w:val="009A7FFD"/>
    <w:rsid w:val="009B0580"/>
    <w:rsid w:val="009B0701"/>
    <w:rsid w:val="009B0714"/>
    <w:rsid w:val="009B073F"/>
    <w:rsid w:val="009B0ED2"/>
    <w:rsid w:val="009B0F6A"/>
    <w:rsid w:val="009B102E"/>
    <w:rsid w:val="009B129D"/>
    <w:rsid w:val="009B12B6"/>
    <w:rsid w:val="009B1335"/>
    <w:rsid w:val="009B1497"/>
    <w:rsid w:val="009B14D7"/>
    <w:rsid w:val="009B1665"/>
    <w:rsid w:val="009B18A0"/>
    <w:rsid w:val="009B1DEC"/>
    <w:rsid w:val="009B1E11"/>
    <w:rsid w:val="009B241F"/>
    <w:rsid w:val="009B248F"/>
    <w:rsid w:val="009B27B5"/>
    <w:rsid w:val="009B2924"/>
    <w:rsid w:val="009B2B43"/>
    <w:rsid w:val="009B2C92"/>
    <w:rsid w:val="009B2F72"/>
    <w:rsid w:val="009B2F9F"/>
    <w:rsid w:val="009B31C4"/>
    <w:rsid w:val="009B31D6"/>
    <w:rsid w:val="009B3219"/>
    <w:rsid w:val="009B33DD"/>
    <w:rsid w:val="009B34CB"/>
    <w:rsid w:val="009B35EE"/>
    <w:rsid w:val="009B385E"/>
    <w:rsid w:val="009B3AE9"/>
    <w:rsid w:val="009B4456"/>
    <w:rsid w:val="009B4481"/>
    <w:rsid w:val="009B4523"/>
    <w:rsid w:val="009B4747"/>
    <w:rsid w:val="009B48BB"/>
    <w:rsid w:val="009B4A0A"/>
    <w:rsid w:val="009B4B73"/>
    <w:rsid w:val="009B4C82"/>
    <w:rsid w:val="009B4E07"/>
    <w:rsid w:val="009B4E81"/>
    <w:rsid w:val="009B4FE1"/>
    <w:rsid w:val="009B5111"/>
    <w:rsid w:val="009B528B"/>
    <w:rsid w:val="009B5307"/>
    <w:rsid w:val="009B545F"/>
    <w:rsid w:val="009B5511"/>
    <w:rsid w:val="009B559A"/>
    <w:rsid w:val="009B5C61"/>
    <w:rsid w:val="009B5C7C"/>
    <w:rsid w:val="009B5CA5"/>
    <w:rsid w:val="009B5EB0"/>
    <w:rsid w:val="009B5F86"/>
    <w:rsid w:val="009B615B"/>
    <w:rsid w:val="009B649A"/>
    <w:rsid w:val="009B68A3"/>
    <w:rsid w:val="009B699C"/>
    <w:rsid w:val="009B69D6"/>
    <w:rsid w:val="009B6AAC"/>
    <w:rsid w:val="009B6B6D"/>
    <w:rsid w:val="009B6F45"/>
    <w:rsid w:val="009B6F5B"/>
    <w:rsid w:val="009B700A"/>
    <w:rsid w:val="009B702A"/>
    <w:rsid w:val="009B70DC"/>
    <w:rsid w:val="009B72E8"/>
    <w:rsid w:val="009B7527"/>
    <w:rsid w:val="009B75BD"/>
    <w:rsid w:val="009B7BB9"/>
    <w:rsid w:val="009B7CE0"/>
    <w:rsid w:val="009B7DC2"/>
    <w:rsid w:val="009B7E73"/>
    <w:rsid w:val="009C0066"/>
    <w:rsid w:val="009C01F0"/>
    <w:rsid w:val="009C0292"/>
    <w:rsid w:val="009C0303"/>
    <w:rsid w:val="009C0693"/>
    <w:rsid w:val="009C07C6"/>
    <w:rsid w:val="009C0856"/>
    <w:rsid w:val="009C0954"/>
    <w:rsid w:val="009C09B2"/>
    <w:rsid w:val="009C0E41"/>
    <w:rsid w:val="009C0F7C"/>
    <w:rsid w:val="009C1113"/>
    <w:rsid w:val="009C169C"/>
    <w:rsid w:val="009C18BB"/>
    <w:rsid w:val="009C1904"/>
    <w:rsid w:val="009C1981"/>
    <w:rsid w:val="009C1AD8"/>
    <w:rsid w:val="009C1C30"/>
    <w:rsid w:val="009C1CE0"/>
    <w:rsid w:val="009C1DA9"/>
    <w:rsid w:val="009C1E7C"/>
    <w:rsid w:val="009C1FBF"/>
    <w:rsid w:val="009C1FD9"/>
    <w:rsid w:val="009C20B6"/>
    <w:rsid w:val="009C20F9"/>
    <w:rsid w:val="009C21E0"/>
    <w:rsid w:val="009C255E"/>
    <w:rsid w:val="009C256D"/>
    <w:rsid w:val="009C2782"/>
    <w:rsid w:val="009C2AAB"/>
    <w:rsid w:val="009C2DC2"/>
    <w:rsid w:val="009C3555"/>
    <w:rsid w:val="009C3562"/>
    <w:rsid w:val="009C379A"/>
    <w:rsid w:val="009C37C7"/>
    <w:rsid w:val="009C38A5"/>
    <w:rsid w:val="009C3936"/>
    <w:rsid w:val="009C3AE4"/>
    <w:rsid w:val="009C3BB4"/>
    <w:rsid w:val="009C3DD7"/>
    <w:rsid w:val="009C3F5A"/>
    <w:rsid w:val="009C40D1"/>
    <w:rsid w:val="009C4298"/>
    <w:rsid w:val="009C473C"/>
    <w:rsid w:val="009C4811"/>
    <w:rsid w:val="009C48AD"/>
    <w:rsid w:val="009C4A5F"/>
    <w:rsid w:val="009C4AF1"/>
    <w:rsid w:val="009C4D48"/>
    <w:rsid w:val="009C4F42"/>
    <w:rsid w:val="009C502F"/>
    <w:rsid w:val="009C516C"/>
    <w:rsid w:val="009C51DE"/>
    <w:rsid w:val="009C5224"/>
    <w:rsid w:val="009C5392"/>
    <w:rsid w:val="009C540E"/>
    <w:rsid w:val="009C5419"/>
    <w:rsid w:val="009C54A2"/>
    <w:rsid w:val="009C59C6"/>
    <w:rsid w:val="009C59EE"/>
    <w:rsid w:val="009C5AC2"/>
    <w:rsid w:val="009C5B8B"/>
    <w:rsid w:val="009C5BEB"/>
    <w:rsid w:val="009C5E27"/>
    <w:rsid w:val="009C64A5"/>
    <w:rsid w:val="009C64FA"/>
    <w:rsid w:val="009C690A"/>
    <w:rsid w:val="009C6A00"/>
    <w:rsid w:val="009C6C1D"/>
    <w:rsid w:val="009C6EDB"/>
    <w:rsid w:val="009C72A9"/>
    <w:rsid w:val="009C75D2"/>
    <w:rsid w:val="009C76E4"/>
    <w:rsid w:val="009C79A8"/>
    <w:rsid w:val="009C7BA4"/>
    <w:rsid w:val="009C7CE6"/>
    <w:rsid w:val="009D0105"/>
    <w:rsid w:val="009D030A"/>
    <w:rsid w:val="009D046D"/>
    <w:rsid w:val="009D0555"/>
    <w:rsid w:val="009D0818"/>
    <w:rsid w:val="009D0AFD"/>
    <w:rsid w:val="009D0C6B"/>
    <w:rsid w:val="009D0E38"/>
    <w:rsid w:val="009D0E99"/>
    <w:rsid w:val="009D0F26"/>
    <w:rsid w:val="009D0F7A"/>
    <w:rsid w:val="009D1640"/>
    <w:rsid w:val="009D16A8"/>
    <w:rsid w:val="009D170A"/>
    <w:rsid w:val="009D170D"/>
    <w:rsid w:val="009D1746"/>
    <w:rsid w:val="009D190F"/>
    <w:rsid w:val="009D1A2B"/>
    <w:rsid w:val="009D1CEC"/>
    <w:rsid w:val="009D1D50"/>
    <w:rsid w:val="009D1EAD"/>
    <w:rsid w:val="009D1F53"/>
    <w:rsid w:val="009D244A"/>
    <w:rsid w:val="009D2566"/>
    <w:rsid w:val="009D25AF"/>
    <w:rsid w:val="009D25B6"/>
    <w:rsid w:val="009D2720"/>
    <w:rsid w:val="009D2769"/>
    <w:rsid w:val="009D27D6"/>
    <w:rsid w:val="009D2860"/>
    <w:rsid w:val="009D2A0A"/>
    <w:rsid w:val="009D2A17"/>
    <w:rsid w:val="009D2AC7"/>
    <w:rsid w:val="009D2B32"/>
    <w:rsid w:val="009D3078"/>
    <w:rsid w:val="009D31AE"/>
    <w:rsid w:val="009D31D6"/>
    <w:rsid w:val="009D33EA"/>
    <w:rsid w:val="009D3554"/>
    <w:rsid w:val="009D358B"/>
    <w:rsid w:val="009D3697"/>
    <w:rsid w:val="009D37A8"/>
    <w:rsid w:val="009D38F1"/>
    <w:rsid w:val="009D3ABD"/>
    <w:rsid w:val="009D3C19"/>
    <w:rsid w:val="009D3DDA"/>
    <w:rsid w:val="009D40E5"/>
    <w:rsid w:val="009D4157"/>
    <w:rsid w:val="009D434D"/>
    <w:rsid w:val="009D4394"/>
    <w:rsid w:val="009D453A"/>
    <w:rsid w:val="009D45AE"/>
    <w:rsid w:val="009D49A1"/>
    <w:rsid w:val="009D4EBA"/>
    <w:rsid w:val="009D50B3"/>
    <w:rsid w:val="009D516B"/>
    <w:rsid w:val="009D519D"/>
    <w:rsid w:val="009D53C5"/>
    <w:rsid w:val="009D5478"/>
    <w:rsid w:val="009D58D3"/>
    <w:rsid w:val="009D5AA8"/>
    <w:rsid w:val="009D5D04"/>
    <w:rsid w:val="009D5E4B"/>
    <w:rsid w:val="009D6133"/>
    <w:rsid w:val="009D62B4"/>
    <w:rsid w:val="009D6656"/>
    <w:rsid w:val="009D678A"/>
    <w:rsid w:val="009D691C"/>
    <w:rsid w:val="009D6B60"/>
    <w:rsid w:val="009D6F6C"/>
    <w:rsid w:val="009D7339"/>
    <w:rsid w:val="009D756C"/>
    <w:rsid w:val="009D7BDA"/>
    <w:rsid w:val="009D7C0D"/>
    <w:rsid w:val="009D7D08"/>
    <w:rsid w:val="009D7D2A"/>
    <w:rsid w:val="009D7D54"/>
    <w:rsid w:val="009E05E2"/>
    <w:rsid w:val="009E05F0"/>
    <w:rsid w:val="009E0728"/>
    <w:rsid w:val="009E07F2"/>
    <w:rsid w:val="009E0B37"/>
    <w:rsid w:val="009E0B53"/>
    <w:rsid w:val="009E0BF0"/>
    <w:rsid w:val="009E0C93"/>
    <w:rsid w:val="009E0F8F"/>
    <w:rsid w:val="009E1066"/>
    <w:rsid w:val="009E13E5"/>
    <w:rsid w:val="009E14AD"/>
    <w:rsid w:val="009E17E9"/>
    <w:rsid w:val="009E1853"/>
    <w:rsid w:val="009E187A"/>
    <w:rsid w:val="009E1B82"/>
    <w:rsid w:val="009E1CCF"/>
    <w:rsid w:val="009E1EAC"/>
    <w:rsid w:val="009E1FE1"/>
    <w:rsid w:val="009E206C"/>
    <w:rsid w:val="009E2108"/>
    <w:rsid w:val="009E227C"/>
    <w:rsid w:val="009E2334"/>
    <w:rsid w:val="009E2604"/>
    <w:rsid w:val="009E2B1E"/>
    <w:rsid w:val="009E2E04"/>
    <w:rsid w:val="009E2F3B"/>
    <w:rsid w:val="009E3169"/>
    <w:rsid w:val="009E31FC"/>
    <w:rsid w:val="009E3419"/>
    <w:rsid w:val="009E34F4"/>
    <w:rsid w:val="009E3528"/>
    <w:rsid w:val="009E38E1"/>
    <w:rsid w:val="009E3937"/>
    <w:rsid w:val="009E3B07"/>
    <w:rsid w:val="009E3BBC"/>
    <w:rsid w:val="009E3BE0"/>
    <w:rsid w:val="009E3C3B"/>
    <w:rsid w:val="009E3DBA"/>
    <w:rsid w:val="009E42D3"/>
    <w:rsid w:val="009E437E"/>
    <w:rsid w:val="009E4599"/>
    <w:rsid w:val="009E466D"/>
    <w:rsid w:val="009E4848"/>
    <w:rsid w:val="009E4D3F"/>
    <w:rsid w:val="009E4F96"/>
    <w:rsid w:val="009E520E"/>
    <w:rsid w:val="009E54A0"/>
    <w:rsid w:val="009E5513"/>
    <w:rsid w:val="009E569F"/>
    <w:rsid w:val="009E582F"/>
    <w:rsid w:val="009E5A1A"/>
    <w:rsid w:val="009E5D41"/>
    <w:rsid w:val="009E601A"/>
    <w:rsid w:val="009E60F5"/>
    <w:rsid w:val="009E61A7"/>
    <w:rsid w:val="009E621E"/>
    <w:rsid w:val="009E6606"/>
    <w:rsid w:val="009E6808"/>
    <w:rsid w:val="009E681A"/>
    <w:rsid w:val="009E6DAF"/>
    <w:rsid w:val="009E6F7C"/>
    <w:rsid w:val="009E7150"/>
    <w:rsid w:val="009E72D7"/>
    <w:rsid w:val="009E765B"/>
    <w:rsid w:val="009E765C"/>
    <w:rsid w:val="009E76AC"/>
    <w:rsid w:val="009E775C"/>
    <w:rsid w:val="009E776B"/>
    <w:rsid w:val="009E77D2"/>
    <w:rsid w:val="009E78AE"/>
    <w:rsid w:val="009E7FAD"/>
    <w:rsid w:val="009F0205"/>
    <w:rsid w:val="009F08E5"/>
    <w:rsid w:val="009F0F0F"/>
    <w:rsid w:val="009F0F39"/>
    <w:rsid w:val="009F108E"/>
    <w:rsid w:val="009F1136"/>
    <w:rsid w:val="009F12E1"/>
    <w:rsid w:val="009F1401"/>
    <w:rsid w:val="009F1416"/>
    <w:rsid w:val="009F15FE"/>
    <w:rsid w:val="009F1606"/>
    <w:rsid w:val="009F1897"/>
    <w:rsid w:val="009F1986"/>
    <w:rsid w:val="009F1E32"/>
    <w:rsid w:val="009F20AA"/>
    <w:rsid w:val="009F22B3"/>
    <w:rsid w:val="009F24FC"/>
    <w:rsid w:val="009F264D"/>
    <w:rsid w:val="009F26D5"/>
    <w:rsid w:val="009F26F4"/>
    <w:rsid w:val="009F28A4"/>
    <w:rsid w:val="009F28C7"/>
    <w:rsid w:val="009F2912"/>
    <w:rsid w:val="009F2B89"/>
    <w:rsid w:val="009F2E4C"/>
    <w:rsid w:val="009F2FDD"/>
    <w:rsid w:val="009F30F1"/>
    <w:rsid w:val="009F31CC"/>
    <w:rsid w:val="009F3362"/>
    <w:rsid w:val="009F3538"/>
    <w:rsid w:val="009F3846"/>
    <w:rsid w:val="009F3871"/>
    <w:rsid w:val="009F3BED"/>
    <w:rsid w:val="009F3C50"/>
    <w:rsid w:val="009F3EBC"/>
    <w:rsid w:val="009F3EF5"/>
    <w:rsid w:val="009F4038"/>
    <w:rsid w:val="009F40DE"/>
    <w:rsid w:val="009F4174"/>
    <w:rsid w:val="009F4633"/>
    <w:rsid w:val="009F472B"/>
    <w:rsid w:val="009F4751"/>
    <w:rsid w:val="009F4BD1"/>
    <w:rsid w:val="009F4EA8"/>
    <w:rsid w:val="009F5009"/>
    <w:rsid w:val="009F55AF"/>
    <w:rsid w:val="009F5635"/>
    <w:rsid w:val="009F593F"/>
    <w:rsid w:val="009F5AB3"/>
    <w:rsid w:val="009F5AD9"/>
    <w:rsid w:val="009F5CF0"/>
    <w:rsid w:val="009F5E97"/>
    <w:rsid w:val="009F61A9"/>
    <w:rsid w:val="009F63B4"/>
    <w:rsid w:val="009F63F9"/>
    <w:rsid w:val="009F65EB"/>
    <w:rsid w:val="009F68BB"/>
    <w:rsid w:val="009F6D1E"/>
    <w:rsid w:val="009F6EAD"/>
    <w:rsid w:val="009F6F55"/>
    <w:rsid w:val="009F71DE"/>
    <w:rsid w:val="009F7316"/>
    <w:rsid w:val="009F7423"/>
    <w:rsid w:val="009F77A4"/>
    <w:rsid w:val="009F7AD5"/>
    <w:rsid w:val="009F7AE8"/>
    <w:rsid w:val="009F7B97"/>
    <w:rsid w:val="009F7D34"/>
    <w:rsid w:val="00A000A4"/>
    <w:rsid w:val="00A002D1"/>
    <w:rsid w:val="00A002FC"/>
    <w:rsid w:val="00A00401"/>
    <w:rsid w:val="00A00531"/>
    <w:rsid w:val="00A00857"/>
    <w:rsid w:val="00A008B9"/>
    <w:rsid w:val="00A00DBF"/>
    <w:rsid w:val="00A012BA"/>
    <w:rsid w:val="00A013DD"/>
    <w:rsid w:val="00A014C6"/>
    <w:rsid w:val="00A01706"/>
    <w:rsid w:val="00A01916"/>
    <w:rsid w:val="00A01C91"/>
    <w:rsid w:val="00A02134"/>
    <w:rsid w:val="00A025B3"/>
    <w:rsid w:val="00A0276E"/>
    <w:rsid w:val="00A02793"/>
    <w:rsid w:val="00A028C3"/>
    <w:rsid w:val="00A02AC2"/>
    <w:rsid w:val="00A02D9A"/>
    <w:rsid w:val="00A02FA2"/>
    <w:rsid w:val="00A0310E"/>
    <w:rsid w:val="00A03226"/>
    <w:rsid w:val="00A03337"/>
    <w:rsid w:val="00A03BE7"/>
    <w:rsid w:val="00A03C4D"/>
    <w:rsid w:val="00A03C50"/>
    <w:rsid w:val="00A03EA3"/>
    <w:rsid w:val="00A04054"/>
    <w:rsid w:val="00A040A0"/>
    <w:rsid w:val="00A0424C"/>
    <w:rsid w:val="00A042E6"/>
    <w:rsid w:val="00A0496F"/>
    <w:rsid w:val="00A049CA"/>
    <w:rsid w:val="00A04A55"/>
    <w:rsid w:val="00A04D6E"/>
    <w:rsid w:val="00A04F91"/>
    <w:rsid w:val="00A05156"/>
    <w:rsid w:val="00A05269"/>
    <w:rsid w:val="00A053CC"/>
    <w:rsid w:val="00A0540D"/>
    <w:rsid w:val="00A055B2"/>
    <w:rsid w:val="00A05A87"/>
    <w:rsid w:val="00A05AB3"/>
    <w:rsid w:val="00A05BB0"/>
    <w:rsid w:val="00A05C0E"/>
    <w:rsid w:val="00A05F27"/>
    <w:rsid w:val="00A05F57"/>
    <w:rsid w:val="00A06049"/>
    <w:rsid w:val="00A06207"/>
    <w:rsid w:val="00A06A21"/>
    <w:rsid w:val="00A06AB1"/>
    <w:rsid w:val="00A06B30"/>
    <w:rsid w:val="00A06C16"/>
    <w:rsid w:val="00A06C55"/>
    <w:rsid w:val="00A06E37"/>
    <w:rsid w:val="00A07034"/>
    <w:rsid w:val="00A07130"/>
    <w:rsid w:val="00A07207"/>
    <w:rsid w:val="00A07328"/>
    <w:rsid w:val="00A074DA"/>
    <w:rsid w:val="00A075A8"/>
    <w:rsid w:val="00A07671"/>
    <w:rsid w:val="00A07B2F"/>
    <w:rsid w:val="00A07F3D"/>
    <w:rsid w:val="00A07F76"/>
    <w:rsid w:val="00A10084"/>
    <w:rsid w:val="00A10209"/>
    <w:rsid w:val="00A10656"/>
    <w:rsid w:val="00A10897"/>
    <w:rsid w:val="00A10C8A"/>
    <w:rsid w:val="00A10F6B"/>
    <w:rsid w:val="00A11483"/>
    <w:rsid w:val="00A1172F"/>
    <w:rsid w:val="00A118FF"/>
    <w:rsid w:val="00A119AA"/>
    <w:rsid w:val="00A11C70"/>
    <w:rsid w:val="00A11F54"/>
    <w:rsid w:val="00A11F87"/>
    <w:rsid w:val="00A123F2"/>
    <w:rsid w:val="00A124A0"/>
    <w:rsid w:val="00A12557"/>
    <w:rsid w:val="00A127E3"/>
    <w:rsid w:val="00A1280B"/>
    <w:rsid w:val="00A128AF"/>
    <w:rsid w:val="00A1292D"/>
    <w:rsid w:val="00A12996"/>
    <w:rsid w:val="00A12A98"/>
    <w:rsid w:val="00A12B90"/>
    <w:rsid w:val="00A12F99"/>
    <w:rsid w:val="00A13024"/>
    <w:rsid w:val="00A13050"/>
    <w:rsid w:val="00A133F8"/>
    <w:rsid w:val="00A134F4"/>
    <w:rsid w:val="00A13568"/>
    <w:rsid w:val="00A13973"/>
    <w:rsid w:val="00A139AC"/>
    <w:rsid w:val="00A13B4A"/>
    <w:rsid w:val="00A13CDF"/>
    <w:rsid w:val="00A13CE0"/>
    <w:rsid w:val="00A1401F"/>
    <w:rsid w:val="00A140B8"/>
    <w:rsid w:val="00A1416B"/>
    <w:rsid w:val="00A1431F"/>
    <w:rsid w:val="00A14323"/>
    <w:rsid w:val="00A144C9"/>
    <w:rsid w:val="00A14601"/>
    <w:rsid w:val="00A149B9"/>
    <w:rsid w:val="00A14B4E"/>
    <w:rsid w:val="00A14C73"/>
    <w:rsid w:val="00A15099"/>
    <w:rsid w:val="00A150CB"/>
    <w:rsid w:val="00A15178"/>
    <w:rsid w:val="00A152A7"/>
    <w:rsid w:val="00A15676"/>
    <w:rsid w:val="00A156BC"/>
    <w:rsid w:val="00A156D7"/>
    <w:rsid w:val="00A159CE"/>
    <w:rsid w:val="00A15B94"/>
    <w:rsid w:val="00A15ED6"/>
    <w:rsid w:val="00A16110"/>
    <w:rsid w:val="00A166E8"/>
    <w:rsid w:val="00A16714"/>
    <w:rsid w:val="00A167D0"/>
    <w:rsid w:val="00A169C6"/>
    <w:rsid w:val="00A16AB7"/>
    <w:rsid w:val="00A16B92"/>
    <w:rsid w:val="00A16C9E"/>
    <w:rsid w:val="00A16E0E"/>
    <w:rsid w:val="00A1737C"/>
    <w:rsid w:val="00A173DA"/>
    <w:rsid w:val="00A1747D"/>
    <w:rsid w:val="00A1749D"/>
    <w:rsid w:val="00A175FD"/>
    <w:rsid w:val="00A17693"/>
    <w:rsid w:val="00A176D2"/>
    <w:rsid w:val="00A178A9"/>
    <w:rsid w:val="00A17A46"/>
    <w:rsid w:val="00A17A88"/>
    <w:rsid w:val="00A17AB7"/>
    <w:rsid w:val="00A17CDF"/>
    <w:rsid w:val="00A17DD5"/>
    <w:rsid w:val="00A17E73"/>
    <w:rsid w:val="00A17F10"/>
    <w:rsid w:val="00A208AA"/>
    <w:rsid w:val="00A20BEB"/>
    <w:rsid w:val="00A20FFB"/>
    <w:rsid w:val="00A2103D"/>
    <w:rsid w:val="00A210FD"/>
    <w:rsid w:val="00A2128E"/>
    <w:rsid w:val="00A21346"/>
    <w:rsid w:val="00A21550"/>
    <w:rsid w:val="00A21553"/>
    <w:rsid w:val="00A21579"/>
    <w:rsid w:val="00A2167F"/>
    <w:rsid w:val="00A2176F"/>
    <w:rsid w:val="00A217D4"/>
    <w:rsid w:val="00A219F9"/>
    <w:rsid w:val="00A219FC"/>
    <w:rsid w:val="00A21D84"/>
    <w:rsid w:val="00A21F9F"/>
    <w:rsid w:val="00A2209F"/>
    <w:rsid w:val="00A22631"/>
    <w:rsid w:val="00A229D0"/>
    <w:rsid w:val="00A22B57"/>
    <w:rsid w:val="00A22CE1"/>
    <w:rsid w:val="00A22E22"/>
    <w:rsid w:val="00A232F4"/>
    <w:rsid w:val="00A23383"/>
    <w:rsid w:val="00A2342A"/>
    <w:rsid w:val="00A235E8"/>
    <w:rsid w:val="00A23726"/>
    <w:rsid w:val="00A2376F"/>
    <w:rsid w:val="00A238C6"/>
    <w:rsid w:val="00A24204"/>
    <w:rsid w:val="00A2431B"/>
    <w:rsid w:val="00A246E5"/>
    <w:rsid w:val="00A2472D"/>
    <w:rsid w:val="00A247FD"/>
    <w:rsid w:val="00A24871"/>
    <w:rsid w:val="00A2489C"/>
    <w:rsid w:val="00A24940"/>
    <w:rsid w:val="00A24A1B"/>
    <w:rsid w:val="00A24AD4"/>
    <w:rsid w:val="00A24DD7"/>
    <w:rsid w:val="00A24E69"/>
    <w:rsid w:val="00A24EBC"/>
    <w:rsid w:val="00A24F5C"/>
    <w:rsid w:val="00A2512F"/>
    <w:rsid w:val="00A2520C"/>
    <w:rsid w:val="00A253D5"/>
    <w:rsid w:val="00A2540E"/>
    <w:rsid w:val="00A25844"/>
    <w:rsid w:val="00A2592D"/>
    <w:rsid w:val="00A25A01"/>
    <w:rsid w:val="00A25A3C"/>
    <w:rsid w:val="00A25B4B"/>
    <w:rsid w:val="00A25DAB"/>
    <w:rsid w:val="00A25E6A"/>
    <w:rsid w:val="00A25E7E"/>
    <w:rsid w:val="00A25F8E"/>
    <w:rsid w:val="00A25FF6"/>
    <w:rsid w:val="00A260D7"/>
    <w:rsid w:val="00A26164"/>
    <w:rsid w:val="00A262BB"/>
    <w:rsid w:val="00A26603"/>
    <w:rsid w:val="00A2668C"/>
    <w:rsid w:val="00A267CE"/>
    <w:rsid w:val="00A2692B"/>
    <w:rsid w:val="00A269D4"/>
    <w:rsid w:val="00A26A48"/>
    <w:rsid w:val="00A26ADA"/>
    <w:rsid w:val="00A26AF5"/>
    <w:rsid w:val="00A26BCA"/>
    <w:rsid w:val="00A26CAF"/>
    <w:rsid w:val="00A26E4A"/>
    <w:rsid w:val="00A2719B"/>
    <w:rsid w:val="00A273B8"/>
    <w:rsid w:val="00A273D5"/>
    <w:rsid w:val="00A275DF"/>
    <w:rsid w:val="00A276E6"/>
    <w:rsid w:val="00A2781C"/>
    <w:rsid w:val="00A278A4"/>
    <w:rsid w:val="00A27A41"/>
    <w:rsid w:val="00A27C61"/>
    <w:rsid w:val="00A3009A"/>
    <w:rsid w:val="00A302AC"/>
    <w:rsid w:val="00A302EC"/>
    <w:rsid w:val="00A306C1"/>
    <w:rsid w:val="00A3084E"/>
    <w:rsid w:val="00A30995"/>
    <w:rsid w:val="00A309FE"/>
    <w:rsid w:val="00A30A19"/>
    <w:rsid w:val="00A30ABB"/>
    <w:rsid w:val="00A30B1C"/>
    <w:rsid w:val="00A30EC9"/>
    <w:rsid w:val="00A30F30"/>
    <w:rsid w:val="00A3118A"/>
    <w:rsid w:val="00A311E7"/>
    <w:rsid w:val="00A312C8"/>
    <w:rsid w:val="00A3137B"/>
    <w:rsid w:val="00A31534"/>
    <w:rsid w:val="00A31BA7"/>
    <w:rsid w:val="00A31FF7"/>
    <w:rsid w:val="00A32357"/>
    <w:rsid w:val="00A32376"/>
    <w:rsid w:val="00A32493"/>
    <w:rsid w:val="00A324D5"/>
    <w:rsid w:val="00A3254C"/>
    <w:rsid w:val="00A325C7"/>
    <w:rsid w:val="00A3277A"/>
    <w:rsid w:val="00A327C1"/>
    <w:rsid w:val="00A3281F"/>
    <w:rsid w:val="00A32CAB"/>
    <w:rsid w:val="00A3325C"/>
    <w:rsid w:val="00A33521"/>
    <w:rsid w:val="00A33527"/>
    <w:rsid w:val="00A33736"/>
    <w:rsid w:val="00A337AD"/>
    <w:rsid w:val="00A337B1"/>
    <w:rsid w:val="00A33AF9"/>
    <w:rsid w:val="00A33B2D"/>
    <w:rsid w:val="00A33B47"/>
    <w:rsid w:val="00A33BC4"/>
    <w:rsid w:val="00A33F26"/>
    <w:rsid w:val="00A34102"/>
    <w:rsid w:val="00A3438C"/>
    <w:rsid w:val="00A347D2"/>
    <w:rsid w:val="00A34864"/>
    <w:rsid w:val="00A348A6"/>
    <w:rsid w:val="00A348B1"/>
    <w:rsid w:val="00A348E4"/>
    <w:rsid w:val="00A34BD0"/>
    <w:rsid w:val="00A35038"/>
    <w:rsid w:val="00A3505B"/>
    <w:rsid w:val="00A350FD"/>
    <w:rsid w:val="00A351B8"/>
    <w:rsid w:val="00A35437"/>
    <w:rsid w:val="00A35471"/>
    <w:rsid w:val="00A35499"/>
    <w:rsid w:val="00A357B2"/>
    <w:rsid w:val="00A357C3"/>
    <w:rsid w:val="00A359E3"/>
    <w:rsid w:val="00A35B40"/>
    <w:rsid w:val="00A35B83"/>
    <w:rsid w:val="00A35CF8"/>
    <w:rsid w:val="00A35E11"/>
    <w:rsid w:val="00A35EDB"/>
    <w:rsid w:val="00A3628D"/>
    <w:rsid w:val="00A36B36"/>
    <w:rsid w:val="00A36C4E"/>
    <w:rsid w:val="00A36EC4"/>
    <w:rsid w:val="00A36FD3"/>
    <w:rsid w:val="00A371A6"/>
    <w:rsid w:val="00A37347"/>
    <w:rsid w:val="00A373E0"/>
    <w:rsid w:val="00A3780F"/>
    <w:rsid w:val="00A37EED"/>
    <w:rsid w:val="00A400D6"/>
    <w:rsid w:val="00A401EE"/>
    <w:rsid w:val="00A40257"/>
    <w:rsid w:val="00A4067F"/>
    <w:rsid w:val="00A4074C"/>
    <w:rsid w:val="00A4082F"/>
    <w:rsid w:val="00A408CF"/>
    <w:rsid w:val="00A40952"/>
    <w:rsid w:val="00A4098A"/>
    <w:rsid w:val="00A40ADC"/>
    <w:rsid w:val="00A40BE2"/>
    <w:rsid w:val="00A40CF6"/>
    <w:rsid w:val="00A40E37"/>
    <w:rsid w:val="00A41352"/>
    <w:rsid w:val="00A417EB"/>
    <w:rsid w:val="00A41907"/>
    <w:rsid w:val="00A41996"/>
    <w:rsid w:val="00A41AE6"/>
    <w:rsid w:val="00A41C3C"/>
    <w:rsid w:val="00A420AF"/>
    <w:rsid w:val="00A4245E"/>
    <w:rsid w:val="00A42747"/>
    <w:rsid w:val="00A42754"/>
    <w:rsid w:val="00A42B8E"/>
    <w:rsid w:val="00A42DF0"/>
    <w:rsid w:val="00A42E31"/>
    <w:rsid w:val="00A43557"/>
    <w:rsid w:val="00A4361D"/>
    <w:rsid w:val="00A4369C"/>
    <w:rsid w:val="00A436C4"/>
    <w:rsid w:val="00A4399E"/>
    <w:rsid w:val="00A43A78"/>
    <w:rsid w:val="00A43AC9"/>
    <w:rsid w:val="00A43D92"/>
    <w:rsid w:val="00A44091"/>
    <w:rsid w:val="00A44135"/>
    <w:rsid w:val="00A4426F"/>
    <w:rsid w:val="00A443D9"/>
    <w:rsid w:val="00A4454A"/>
    <w:rsid w:val="00A4457B"/>
    <w:rsid w:val="00A446A7"/>
    <w:rsid w:val="00A44A99"/>
    <w:rsid w:val="00A44B1D"/>
    <w:rsid w:val="00A44E9B"/>
    <w:rsid w:val="00A44EAC"/>
    <w:rsid w:val="00A45093"/>
    <w:rsid w:val="00A45099"/>
    <w:rsid w:val="00A450B4"/>
    <w:rsid w:val="00A45641"/>
    <w:rsid w:val="00A45772"/>
    <w:rsid w:val="00A457F3"/>
    <w:rsid w:val="00A45858"/>
    <w:rsid w:val="00A45978"/>
    <w:rsid w:val="00A45B32"/>
    <w:rsid w:val="00A45D29"/>
    <w:rsid w:val="00A45EA1"/>
    <w:rsid w:val="00A45ED8"/>
    <w:rsid w:val="00A45FF5"/>
    <w:rsid w:val="00A46325"/>
    <w:rsid w:val="00A46421"/>
    <w:rsid w:val="00A46648"/>
    <w:rsid w:val="00A4669A"/>
    <w:rsid w:val="00A4677B"/>
    <w:rsid w:val="00A4684E"/>
    <w:rsid w:val="00A46A15"/>
    <w:rsid w:val="00A46D28"/>
    <w:rsid w:val="00A46D59"/>
    <w:rsid w:val="00A46F01"/>
    <w:rsid w:val="00A47283"/>
    <w:rsid w:val="00A472EE"/>
    <w:rsid w:val="00A476D6"/>
    <w:rsid w:val="00A4778B"/>
    <w:rsid w:val="00A477B0"/>
    <w:rsid w:val="00A47827"/>
    <w:rsid w:val="00A4785C"/>
    <w:rsid w:val="00A479BA"/>
    <w:rsid w:val="00A47DD7"/>
    <w:rsid w:val="00A5011A"/>
    <w:rsid w:val="00A50159"/>
    <w:rsid w:val="00A503C6"/>
    <w:rsid w:val="00A504F2"/>
    <w:rsid w:val="00A505EE"/>
    <w:rsid w:val="00A50737"/>
    <w:rsid w:val="00A508B5"/>
    <w:rsid w:val="00A50BC8"/>
    <w:rsid w:val="00A50BCF"/>
    <w:rsid w:val="00A50E5F"/>
    <w:rsid w:val="00A51310"/>
    <w:rsid w:val="00A51361"/>
    <w:rsid w:val="00A5150F"/>
    <w:rsid w:val="00A51551"/>
    <w:rsid w:val="00A51832"/>
    <w:rsid w:val="00A51872"/>
    <w:rsid w:val="00A51A9F"/>
    <w:rsid w:val="00A52088"/>
    <w:rsid w:val="00A52111"/>
    <w:rsid w:val="00A52470"/>
    <w:rsid w:val="00A5290F"/>
    <w:rsid w:val="00A52A06"/>
    <w:rsid w:val="00A52B78"/>
    <w:rsid w:val="00A52C18"/>
    <w:rsid w:val="00A52E20"/>
    <w:rsid w:val="00A52E22"/>
    <w:rsid w:val="00A52E7D"/>
    <w:rsid w:val="00A52FA5"/>
    <w:rsid w:val="00A53095"/>
    <w:rsid w:val="00A530A5"/>
    <w:rsid w:val="00A5321D"/>
    <w:rsid w:val="00A53311"/>
    <w:rsid w:val="00A5398D"/>
    <w:rsid w:val="00A53CEB"/>
    <w:rsid w:val="00A53D38"/>
    <w:rsid w:val="00A53E52"/>
    <w:rsid w:val="00A53EAB"/>
    <w:rsid w:val="00A541E1"/>
    <w:rsid w:val="00A5422E"/>
    <w:rsid w:val="00A54248"/>
    <w:rsid w:val="00A54264"/>
    <w:rsid w:val="00A54763"/>
    <w:rsid w:val="00A54895"/>
    <w:rsid w:val="00A54972"/>
    <w:rsid w:val="00A549FB"/>
    <w:rsid w:val="00A54C4A"/>
    <w:rsid w:val="00A54E61"/>
    <w:rsid w:val="00A54E96"/>
    <w:rsid w:val="00A55099"/>
    <w:rsid w:val="00A551BD"/>
    <w:rsid w:val="00A553C8"/>
    <w:rsid w:val="00A5544B"/>
    <w:rsid w:val="00A5581C"/>
    <w:rsid w:val="00A55F09"/>
    <w:rsid w:val="00A56273"/>
    <w:rsid w:val="00A562C4"/>
    <w:rsid w:val="00A56A60"/>
    <w:rsid w:val="00A56B1E"/>
    <w:rsid w:val="00A56E14"/>
    <w:rsid w:val="00A56E27"/>
    <w:rsid w:val="00A56E85"/>
    <w:rsid w:val="00A57420"/>
    <w:rsid w:val="00A577F3"/>
    <w:rsid w:val="00A57929"/>
    <w:rsid w:val="00A57B08"/>
    <w:rsid w:val="00A57BF7"/>
    <w:rsid w:val="00A57CC3"/>
    <w:rsid w:val="00A57D44"/>
    <w:rsid w:val="00A57E54"/>
    <w:rsid w:val="00A57FE3"/>
    <w:rsid w:val="00A600A3"/>
    <w:rsid w:val="00A60160"/>
    <w:rsid w:val="00A6046E"/>
    <w:rsid w:val="00A60494"/>
    <w:rsid w:val="00A60829"/>
    <w:rsid w:val="00A60ADB"/>
    <w:rsid w:val="00A60BC6"/>
    <w:rsid w:val="00A60CB7"/>
    <w:rsid w:val="00A60F3C"/>
    <w:rsid w:val="00A61297"/>
    <w:rsid w:val="00A612BE"/>
    <w:rsid w:val="00A613D9"/>
    <w:rsid w:val="00A61413"/>
    <w:rsid w:val="00A61530"/>
    <w:rsid w:val="00A61580"/>
    <w:rsid w:val="00A615FE"/>
    <w:rsid w:val="00A61787"/>
    <w:rsid w:val="00A61B2C"/>
    <w:rsid w:val="00A61B81"/>
    <w:rsid w:val="00A61DB0"/>
    <w:rsid w:val="00A61DDD"/>
    <w:rsid w:val="00A62213"/>
    <w:rsid w:val="00A624EB"/>
    <w:rsid w:val="00A625E1"/>
    <w:rsid w:val="00A62663"/>
    <w:rsid w:val="00A62811"/>
    <w:rsid w:val="00A62870"/>
    <w:rsid w:val="00A631C8"/>
    <w:rsid w:val="00A63542"/>
    <w:rsid w:val="00A63581"/>
    <w:rsid w:val="00A63C27"/>
    <w:rsid w:val="00A63E5F"/>
    <w:rsid w:val="00A63E8C"/>
    <w:rsid w:val="00A63EEE"/>
    <w:rsid w:val="00A64190"/>
    <w:rsid w:val="00A64373"/>
    <w:rsid w:val="00A64417"/>
    <w:rsid w:val="00A64C8E"/>
    <w:rsid w:val="00A64C9F"/>
    <w:rsid w:val="00A64CAC"/>
    <w:rsid w:val="00A651EE"/>
    <w:rsid w:val="00A653F3"/>
    <w:rsid w:val="00A656E2"/>
    <w:rsid w:val="00A65B23"/>
    <w:rsid w:val="00A660D2"/>
    <w:rsid w:val="00A66434"/>
    <w:rsid w:val="00A665C7"/>
    <w:rsid w:val="00A66934"/>
    <w:rsid w:val="00A669B7"/>
    <w:rsid w:val="00A66C34"/>
    <w:rsid w:val="00A66C93"/>
    <w:rsid w:val="00A66DC2"/>
    <w:rsid w:val="00A66DEE"/>
    <w:rsid w:val="00A66EEC"/>
    <w:rsid w:val="00A66F00"/>
    <w:rsid w:val="00A6733F"/>
    <w:rsid w:val="00A674E2"/>
    <w:rsid w:val="00A674EF"/>
    <w:rsid w:val="00A675DF"/>
    <w:rsid w:val="00A67702"/>
    <w:rsid w:val="00A67A21"/>
    <w:rsid w:val="00A67AA0"/>
    <w:rsid w:val="00A67E0C"/>
    <w:rsid w:val="00A67E3F"/>
    <w:rsid w:val="00A67F41"/>
    <w:rsid w:val="00A70509"/>
    <w:rsid w:val="00A70E9C"/>
    <w:rsid w:val="00A70ECB"/>
    <w:rsid w:val="00A70F74"/>
    <w:rsid w:val="00A71105"/>
    <w:rsid w:val="00A712F7"/>
    <w:rsid w:val="00A71395"/>
    <w:rsid w:val="00A71437"/>
    <w:rsid w:val="00A7159D"/>
    <w:rsid w:val="00A71CA8"/>
    <w:rsid w:val="00A72140"/>
    <w:rsid w:val="00A722F2"/>
    <w:rsid w:val="00A7235A"/>
    <w:rsid w:val="00A72531"/>
    <w:rsid w:val="00A72555"/>
    <w:rsid w:val="00A72C19"/>
    <w:rsid w:val="00A7303D"/>
    <w:rsid w:val="00A7305E"/>
    <w:rsid w:val="00A73214"/>
    <w:rsid w:val="00A73291"/>
    <w:rsid w:val="00A7334C"/>
    <w:rsid w:val="00A73467"/>
    <w:rsid w:val="00A734ED"/>
    <w:rsid w:val="00A735AF"/>
    <w:rsid w:val="00A73633"/>
    <w:rsid w:val="00A73809"/>
    <w:rsid w:val="00A7382A"/>
    <w:rsid w:val="00A73A43"/>
    <w:rsid w:val="00A73B47"/>
    <w:rsid w:val="00A73CFF"/>
    <w:rsid w:val="00A73D08"/>
    <w:rsid w:val="00A73D17"/>
    <w:rsid w:val="00A73D3B"/>
    <w:rsid w:val="00A73E27"/>
    <w:rsid w:val="00A7415E"/>
    <w:rsid w:val="00A74494"/>
    <w:rsid w:val="00A74537"/>
    <w:rsid w:val="00A7456F"/>
    <w:rsid w:val="00A74862"/>
    <w:rsid w:val="00A7498D"/>
    <w:rsid w:val="00A74BCF"/>
    <w:rsid w:val="00A74E5A"/>
    <w:rsid w:val="00A74E66"/>
    <w:rsid w:val="00A75159"/>
    <w:rsid w:val="00A75345"/>
    <w:rsid w:val="00A7545C"/>
    <w:rsid w:val="00A754ED"/>
    <w:rsid w:val="00A7568D"/>
    <w:rsid w:val="00A756AD"/>
    <w:rsid w:val="00A75746"/>
    <w:rsid w:val="00A75809"/>
    <w:rsid w:val="00A75906"/>
    <w:rsid w:val="00A75A4F"/>
    <w:rsid w:val="00A75BCE"/>
    <w:rsid w:val="00A75C7D"/>
    <w:rsid w:val="00A75CA7"/>
    <w:rsid w:val="00A75D3B"/>
    <w:rsid w:val="00A75E86"/>
    <w:rsid w:val="00A760A5"/>
    <w:rsid w:val="00A762B2"/>
    <w:rsid w:val="00A7645D"/>
    <w:rsid w:val="00A7655A"/>
    <w:rsid w:val="00A76EC8"/>
    <w:rsid w:val="00A7710D"/>
    <w:rsid w:val="00A7716B"/>
    <w:rsid w:val="00A773C9"/>
    <w:rsid w:val="00A77466"/>
    <w:rsid w:val="00A774B8"/>
    <w:rsid w:val="00A775A3"/>
    <w:rsid w:val="00A777D7"/>
    <w:rsid w:val="00A77BA9"/>
    <w:rsid w:val="00A77C0D"/>
    <w:rsid w:val="00A77DC4"/>
    <w:rsid w:val="00A77E4B"/>
    <w:rsid w:val="00A77FED"/>
    <w:rsid w:val="00A801A2"/>
    <w:rsid w:val="00A80444"/>
    <w:rsid w:val="00A8050C"/>
    <w:rsid w:val="00A8051F"/>
    <w:rsid w:val="00A8062C"/>
    <w:rsid w:val="00A807B1"/>
    <w:rsid w:val="00A80817"/>
    <w:rsid w:val="00A809BE"/>
    <w:rsid w:val="00A80B1C"/>
    <w:rsid w:val="00A80C14"/>
    <w:rsid w:val="00A80E34"/>
    <w:rsid w:val="00A81492"/>
    <w:rsid w:val="00A814B4"/>
    <w:rsid w:val="00A8157A"/>
    <w:rsid w:val="00A818C4"/>
    <w:rsid w:val="00A81BF1"/>
    <w:rsid w:val="00A8212D"/>
    <w:rsid w:val="00A8228D"/>
    <w:rsid w:val="00A822B0"/>
    <w:rsid w:val="00A822B2"/>
    <w:rsid w:val="00A8240B"/>
    <w:rsid w:val="00A82600"/>
    <w:rsid w:val="00A8262B"/>
    <w:rsid w:val="00A82659"/>
    <w:rsid w:val="00A82751"/>
    <w:rsid w:val="00A82DCB"/>
    <w:rsid w:val="00A82E32"/>
    <w:rsid w:val="00A82E84"/>
    <w:rsid w:val="00A8301F"/>
    <w:rsid w:val="00A83100"/>
    <w:rsid w:val="00A8344D"/>
    <w:rsid w:val="00A83517"/>
    <w:rsid w:val="00A835F7"/>
    <w:rsid w:val="00A8379A"/>
    <w:rsid w:val="00A8384B"/>
    <w:rsid w:val="00A83A9B"/>
    <w:rsid w:val="00A83AC8"/>
    <w:rsid w:val="00A83C58"/>
    <w:rsid w:val="00A83C9F"/>
    <w:rsid w:val="00A83EB2"/>
    <w:rsid w:val="00A84011"/>
    <w:rsid w:val="00A842B9"/>
    <w:rsid w:val="00A84866"/>
    <w:rsid w:val="00A84997"/>
    <w:rsid w:val="00A84AB7"/>
    <w:rsid w:val="00A84C19"/>
    <w:rsid w:val="00A84C1D"/>
    <w:rsid w:val="00A84FBB"/>
    <w:rsid w:val="00A84FF6"/>
    <w:rsid w:val="00A85143"/>
    <w:rsid w:val="00A85439"/>
    <w:rsid w:val="00A857B1"/>
    <w:rsid w:val="00A85A13"/>
    <w:rsid w:val="00A85D80"/>
    <w:rsid w:val="00A85F86"/>
    <w:rsid w:val="00A85FB2"/>
    <w:rsid w:val="00A86220"/>
    <w:rsid w:val="00A86289"/>
    <w:rsid w:val="00A865C2"/>
    <w:rsid w:val="00A865FE"/>
    <w:rsid w:val="00A8674C"/>
    <w:rsid w:val="00A86B00"/>
    <w:rsid w:val="00A86F44"/>
    <w:rsid w:val="00A86FA1"/>
    <w:rsid w:val="00A87080"/>
    <w:rsid w:val="00A870EC"/>
    <w:rsid w:val="00A872AF"/>
    <w:rsid w:val="00A8747A"/>
    <w:rsid w:val="00A8758A"/>
    <w:rsid w:val="00A876D0"/>
    <w:rsid w:val="00A877C0"/>
    <w:rsid w:val="00A87949"/>
    <w:rsid w:val="00A879EB"/>
    <w:rsid w:val="00A87A72"/>
    <w:rsid w:val="00A87B67"/>
    <w:rsid w:val="00A87ECB"/>
    <w:rsid w:val="00A9000D"/>
    <w:rsid w:val="00A90052"/>
    <w:rsid w:val="00A901DF"/>
    <w:rsid w:val="00A902AE"/>
    <w:rsid w:val="00A902F3"/>
    <w:rsid w:val="00A903C9"/>
    <w:rsid w:val="00A903D2"/>
    <w:rsid w:val="00A90647"/>
    <w:rsid w:val="00A9073A"/>
    <w:rsid w:val="00A90772"/>
    <w:rsid w:val="00A907F7"/>
    <w:rsid w:val="00A909B6"/>
    <w:rsid w:val="00A90AF6"/>
    <w:rsid w:val="00A90B0B"/>
    <w:rsid w:val="00A90B68"/>
    <w:rsid w:val="00A90D4E"/>
    <w:rsid w:val="00A90F91"/>
    <w:rsid w:val="00A910DA"/>
    <w:rsid w:val="00A91384"/>
    <w:rsid w:val="00A915DE"/>
    <w:rsid w:val="00A916A9"/>
    <w:rsid w:val="00A9178B"/>
    <w:rsid w:val="00A91857"/>
    <w:rsid w:val="00A91872"/>
    <w:rsid w:val="00A919D6"/>
    <w:rsid w:val="00A91CFE"/>
    <w:rsid w:val="00A91DA2"/>
    <w:rsid w:val="00A91EE1"/>
    <w:rsid w:val="00A92200"/>
    <w:rsid w:val="00A92310"/>
    <w:rsid w:val="00A9263B"/>
    <w:rsid w:val="00A92C9A"/>
    <w:rsid w:val="00A92E0A"/>
    <w:rsid w:val="00A932F3"/>
    <w:rsid w:val="00A93487"/>
    <w:rsid w:val="00A938C0"/>
    <w:rsid w:val="00A93932"/>
    <w:rsid w:val="00A93BBB"/>
    <w:rsid w:val="00A93E28"/>
    <w:rsid w:val="00A93E74"/>
    <w:rsid w:val="00A93EDA"/>
    <w:rsid w:val="00A93F4B"/>
    <w:rsid w:val="00A93F71"/>
    <w:rsid w:val="00A93FC2"/>
    <w:rsid w:val="00A942BA"/>
    <w:rsid w:val="00A94755"/>
    <w:rsid w:val="00A949D2"/>
    <w:rsid w:val="00A94FCB"/>
    <w:rsid w:val="00A954B6"/>
    <w:rsid w:val="00A9559C"/>
    <w:rsid w:val="00A955CE"/>
    <w:rsid w:val="00A956C1"/>
    <w:rsid w:val="00A957C4"/>
    <w:rsid w:val="00A95AD3"/>
    <w:rsid w:val="00A95B1D"/>
    <w:rsid w:val="00A95DD5"/>
    <w:rsid w:val="00A95FA5"/>
    <w:rsid w:val="00A95FCF"/>
    <w:rsid w:val="00A961F8"/>
    <w:rsid w:val="00A964D5"/>
    <w:rsid w:val="00A9652C"/>
    <w:rsid w:val="00A96569"/>
    <w:rsid w:val="00A96A4E"/>
    <w:rsid w:val="00A96EAF"/>
    <w:rsid w:val="00A96FA3"/>
    <w:rsid w:val="00A96FF0"/>
    <w:rsid w:val="00A97157"/>
    <w:rsid w:val="00A9724E"/>
    <w:rsid w:val="00A97593"/>
    <w:rsid w:val="00A977A0"/>
    <w:rsid w:val="00A977ED"/>
    <w:rsid w:val="00A9795B"/>
    <w:rsid w:val="00A97982"/>
    <w:rsid w:val="00A97A5D"/>
    <w:rsid w:val="00A97A7D"/>
    <w:rsid w:val="00A97C1A"/>
    <w:rsid w:val="00A97C74"/>
    <w:rsid w:val="00A97CA5"/>
    <w:rsid w:val="00A97D4C"/>
    <w:rsid w:val="00A97F58"/>
    <w:rsid w:val="00AA0177"/>
    <w:rsid w:val="00AA02EC"/>
    <w:rsid w:val="00AA04C5"/>
    <w:rsid w:val="00AA06C5"/>
    <w:rsid w:val="00AA094A"/>
    <w:rsid w:val="00AA0A59"/>
    <w:rsid w:val="00AA0B93"/>
    <w:rsid w:val="00AA0ECC"/>
    <w:rsid w:val="00AA1092"/>
    <w:rsid w:val="00AA12CB"/>
    <w:rsid w:val="00AA1538"/>
    <w:rsid w:val="00AA1768"/>
    <w:rsid w:val="00AA17E6"/>
    <w:rsid w:val="00AA1AA6"/>
    <w:rsid w:val="00AA1AAC"/>
    <w:rsid w:val="00AA1C25"/>
    <w:rsid w:val="00AA1D78"/>
    <w:rsid w:val="00AA1E7C"/>
    <w:rsid w:val="00AA1F09"/>
    <w:rsid w:val="00AA1FAE"/>
    <w:rsid w:val="00AA21C0"/>
    <w:rsid w:val="00AA23E2"/>
    <w:rsid w:val="00AA24BA"/>
    <w:rsid w:val="00AA255B"/>
    <w:rsid w:val="00AA2634"/>
    <w:rsid w:val="00AA2B8F"/>
    <w:rsid w:val="00AA2C74"/>
    <w:rsid w:val="00AA2D08"/>
    <w:rsid w:val="00AA2D58"/>
    <w:rsid w:val="00AA31F8"/>
    <w:rsid w:val="00AA34CE"/>
    <w:rsid w:val="00AA34E3"/>
    <w:rsid w:val="00AA35AE"/>
    <w:rsid w:val="00AA3625"/>
    <w:rsid w:val="00AA36D6"/>
    <w:rsid w:val="00AA3722"/>
    <w:rsid w:val="00AA3C21"/>
    <w:rsid w:val="00AA3CC5"/>
    <w:rsid w:val="00AA3DD9"/>
    <w:rsid w:val="00AA4173"/>
    <w:rsid w:val="00AA4186"/>
    <w:rsid w:val="00AA4306"/>
    <w:rsid w:val="00AA432B"/>
    <w:rsid w:val="00AA43E8"/>
    <w:rsid w:val="00AA44B1"/>
    <w:rsid w:val="00AA455B"/>
    <w:rsid w:val="00AA47FE"/>
    <w:rsid w:val="00AA4A49"/>
    <w:rsid w:val="00AA4BE4"/>
    <w:rsid w:val="00AA4C49"/>
    <w:rsid w:val="00AA5233"/>
    <w:rsid w:val="00AA5728"/>
    <w:rsid w:val="00AA5817"/>
    <w:rsid w:val="00AA58B9"/>
    <w:rsid w:val="00AA5B30"/>
    <w:rsid w:val="00AA5D4F"/>
    <w:rsid w:val="00AA6003"/>
    <w:rsid w:val="00AA62A4"/>
    <w:rsid w:val="00AA6324"/>
    <w:rsid w:val="00AA63C9"/>
    <w:rsid w:val="00AA6469"/>
    <w:rsid w:val="00AA65CC"/>
    <w:rsid w:val="00AA68B3"/>
    <w:rsid w:val="00AA6991"/>
    <w:rsid w:val="00AA69B5"/>
    <w:rsid w:val="00AA6C49"/>
    <w:rsid w:val="00AA6C65"/>
    <w:rsid w:val="00AA6C6B"/>
    <w:rsid w:val="00AA6D6B"/>
    <w:rsid w:val="00AA741E"/>
    <w:rsid w:val="00AA7A8E"/>
    <w:rsid w:val="00AA7C65"/>
    <w:rsid w:val="00AA7D10"/>
    <w:rsid w:val="00AA7D32"/>
    <w:rsid w:val="00AA7E41"/>
    <w:rsid w:val="00AB0211"/>
    <w:rsid w:val="00AB0254"/>
    <w:rsid w:val="00AB029E"/>
    <w:rsid w:val="00AB03F1"/>
    <w:rsid w:val="00AB0689"/>
    <w:rsid w:val="00AB06CE"/>
    <w:rsid w:val="00AB0A7D"/>
    <w:rsid w:val="00AB0AFB"/>
    <w:rsid w:val="00AB0B0B"/>
    <w:rsid w:val="00AB0BC1"/>
    <w:rsid w:val="00AB0F7F"/>
    <w:rsid w:val="00AB118F"/>
    <w:rsid w:val="00AB12CD"/>
    <w:rsid w:val="00AB14B9"/>
    <w:rsid w:val="00AB1A06"/>
    <w:rsid w:val="00AB1C9D"/>
    <w:rsid w:val="00AB1CE3"/>
    <w:rsid w:val="00AB1F68"/>
    <w:rsid w:val="00AB1FFA"/>
    <w:rsid w:val="00AB225D"/>
    <w:rsid w:val="00AB244C"/>
    <w:rsid w:val="00AB2526"/>
    <w:rsid w:val="00AB2532"/>
    <w:rsid w:val="00AB25A9"/>
    <w:rsid w:val="00AB271B"/>
    <w:rsid w:val="00AB275F"/>
    <w:rsid w:val="00AB27EA"/>
    <w:rsid w:val="00AB2CBD"/>
    <w:rsid w:val="00AB2E7C"/>
    <w:rsid w:val="00AB2EB2"/>
    <w:rsid w:val="00AB325D"/>
    <w:rsid w:val="00AB3568"/>
    <w:rsid w:val="00AB35BC"/>
    <w:rsid w:val="00AB3682"/>
    <w:rsid w:val="00AB3846"/>
    <w:rsid w:val="00AB3877"/>
    <w:rsid w:val="00AB38DB"/>
    <w:rsid w:val="00AB3B28"/>
    <w:rsid w:val="00AB3B88"/>
    <w:rsid w:val="00AB3BD5"/>
    <w:rsid w:val="00AB3C26"/>
    <w:rsid w:val="00AB3E7E"/>
    <w:rsid w:val="00AB4154"/>
    <w:rsid w:val="00AB4171"/>
    <w:rsid w:val="00AB4709"/>
    <w:rsid w:val="00AB48D3"/>
    <w:rsid w:val="00AB4979"/>
    <w:rsid w:val="00AB497C"/>
    <w:rsid w:val="00AB4A04"/>
    <w:rsid w:val="00AB4A5C"/>
    <w:rsid w:val="00AB4AA2"/>
    <w:rsid w:val="00AB4BFA"/>
    <w:rsid w:val="00AB4F51"/>
    <w:rsid w:val="00AB52DB"/>
    <w:rsid w:val="00AB5365"/>
    <w:rsid w:val="00AB541C"/>
    <w:rsid w:val="00AB5795"/>
    <w:rsid w:val="00AB581E"/>
    <w:rsid w:val="00AB58D5"/>
    <w:rsid w:val="00AB5A61"/>
    <w:rsid w:val="00AB5AAB"/>
    <w:rsid w:val="00AB5BCE"/>
    <w:rsid w:val="00AB5BFC"/>
    <w:rsid w:val="00AB5C7E"/>
    <w:rsid w:val="00AB62DB"/>
    <w:rsid w:val="00AB63F3"/>
    <w:rsid w:val="00AB644B"/>
    <w:rsid w:val="00AB6513"/>
    <w:rsid w:val="00AB65FA"/>
    <w:rsid w:val="00AB6775"/>
    <w:rsid w:val="00AB6922"/>
    <w:rsid w:val="00AB6CD9"/>
    <w:rsid w:val="00AB7352"/>
    <w:rsid w:val="00AB756B"/>
    <w:rsid w:val="00AB75FC"/>
    <w:rsid w:val="00AB77C4"/>
    <w:rsid w:val="00AB780B"/>
    <w:rsid w:val="00AB7814"/>
    <w:rsid w:val="00AB7880"/>
    <w:rsid w:val="00AB7EAC"/>
    <w:rsid w:val="00AB7F96"/>
    <w:rsid w:val="00AC0148"/>
    <w:rsid w:val="00AC01E3"/>
    <w:rsid w:val="00AC0287"/>
    <w:rsid w:val="00AC0740"/>
    <w:rsid w:val="00AC0906"/>
    <w:rsid w:val="00AC0A16"/>
    <w:rsid w:val="00AC0A6F"/>
    <w:rsid w:val="00AC0B68"/>
    <w:rsid w:val="00AC0C02"/>
    <w:rsid w:val="00AC0DD6"/>
    <w:rsid w:val="00AC0EB6"/>
    <w:rsid w:val="00AC0F4B"/>
    <w:rsid w:val="00AC1128"/>
    <w:rsid w:val="00AC1254"/>
    <w:rsid w:val="00AC138D"/>
    <w:rsid w:val="00AC1564"/>
    <w:rsid w:val="00AC16ED"/>
    <w:rsid w:val="00AC16FF"/>
    <w:rsid w:val="00AC178E"/>
    <w:rsid w:val="00AC17A3"/>
    <w:rsid w:val="00AC19F7"/>
    <w:rsid w:val="00AC1FFA"/>
    <w:rsid w:val="00AC2172"/>
    <w:rsid w:val="00AC22F9"/>
    <w:rsid w:val="00AC2751"/>
    <w:rsid w:val="00AC27F6"/>
    <w:rsid w:val="00AC28FE"/>
    <w:rsid w:val="00AC297B"/>
    <w:rsid w:val="00AC2A31"/>
    <w:rsid w:val="00AC30BF"/>
    <w:rsid w:val="00AC37AC"/>
    <w:rsid w:val="00AC3862"/>
    <w:rsid w:val="00AC3A12"/>
    <w:rsid w:val="00AC409C"/>
    <w:rsid w:val="00AC4123"/>
    <w:rsid w:val="00AC451A"/>
    <w:rsid w:val="00AC4550"/>
    <w:rsid w:val="00AC46DC"/>
    <w:rsid w:val="00AC478F"/>
    <w:rsid w:val="00AC4A34"/>
    <w:rsid w:val="00AC4B60"/>
    <w:rsid w:val="00AC4C2C"/>
    <w:rsid w:val="00AC4DE1"/>
    <w:rsid w:val="00AC4ECE"/>
    <w:rsid w:val="00AC4EDC"/>
    <w:rsid w:val="00AC52A0"/>
    <w:rsid w:val="00AC537D"/>
    <w:rsid w:val="00AC552C"/>
    <w:rsid w:val="00AC57F8"/>
    <w:rsid w:val="00AC5B6A"/>
    <w:rsid w:val="00AC5DD5"/>
    <w:rsid w:val="00AC652C"/>
    <w:rsid w:val="00AC6554"/>
    <w:rsid w:val="00AC677E"/>
    <w:rsid w:val="00AC68D7"/>
    <w:rsid w:val="00AC6955"/>
    <w:rsid w:val="00AC696D"/>
    <w:rsid w:val="00AC6B78"/>
    <w:rsid w:val="00AC6D0B"/>
    <w:rsid w:val="00AC6D19"/>
    <w:rsid w:val="00AC6F00"/>
    <w:rsid w:val="00AC70C0"/>
    <w:rsid w:val="00AC743D"/>
    <w:rsid w:val="00AC7964"/>
    <w:rsid w:val="00AC7C50"/>
    <w:rsid w:val="00AD023A"/>
    <w:rsid w:val="00AD026D"/>
    <w:rsid w:val="00AD02B7"/>
    <w:rsid w:val="00AD0379"/>
    <w:rsid w:val="00AD03D6"/>
    <w:rsid w:val="00AD0421"/>
    <w:rsid w:val="00AD0428"/>
    <w:rsid w:val="00AD04F5"/>
    <w:rsid w:val="00AD0593"/>
    <w:rsid w:val="00AD05B0"/>
    <w:rsid w:val="00AD068E"/>
    <w:rsid w:val="00AD0773"/>
    <w:rsid w:val="00AD0AE0"/>
    <w:rsid w:val="00AD0AE4"/>
    <w:rsid w:val="00AD0B66"/>
    <w:rsid w:val="00AD0C32"/>
    <w:rsid w:val="00AD0CCB"/>
    <w:rsid w:val="00AD102C"/>
    <w:rsid w:val="00AD135F"/>
    <w:rsid w:val="00AD1613"/>
    <w:rsid w:val="00AD173B"/>
    <w:rsid w:val="00AD1831"/>
    <w:rsid w:val="00AD1844"/>
    <w:rsid w:val="00AD1853"/>
    <w:rsid w:val="00AD18EE"/>
    <w:rsid w:val="00AD192F"/>
    <w:rsid w:val="00AD1A24"/>
    <w:rsid w:val="00AD1A46"/>
    <w:rsid w:val="00AD1AFE"/>
    <w:rsid w:val="00AD1CB8"/>
    <w:rsid w:val="00AD1D8C"/>
    <w:rsid w:val="00AD1E12"/>
    <w:rsid w:val="00AD26F1"/>
    <w:rsid w:val="00AD2747"/>
    <w:rsid w:val="00AD2BC6"/>
    <w:rsid w:val="00AD2C5E"/>
    <w:rsid w:val="00AD2DE6"/>
    <w:rsid w:val="00AD3037"/>
    <w:rsid w:val="00AD310D"/>
    <w:rsid w:val="00AD3296"/>
    <w:rsid w:val="00AD33BC"/>
    <w:rsid w:val="00AD3461"/>
    <w:rsid w:val="00AD360B"/>
    <w:rsid w:val="00AD391C"/>
    <w:rsid w:val="00AD3F30"/>
    <w:rsid w:val="00AD4376"/>
    <w:rsid w:val="00AD45CF"/>
    <w:rsid w:val="00AD490D"/>
    <w:rsid w:val="00AD49A9"/>
    <w:rsid w:val="00AD49FA"/>
    <w:rsid w:val="00AD4A23"/>
    <w:rsid w:val="00AD4A41"/>
    <w:rsid w:val="00AD4B6F"/>
    <w:rsid w:val="00AD4C26"/>
    <w:rsid w:val="00AD4C6D"/>
    <w:rsid w:val="00AD52BD"/>
    <w:rsid w:val="00AD5509"/>
    <w:rsid w:val="00AD5AD8"/>
    <w:rsid w:val="00AD5B16"/>
    <w:rsid w:val="00AD5B86"/>
    <w:rsid w:val="00AD5DB5"/>
    <w:rsid w:val="00AD5DB6"/>
    <w:rsid w:val="00AD5EDB"/>
    <w:rsid w:val="00AD5F4C"/>
    <w:rsid w:val="00AD6055"/>
    <w:rsid w:val="00AD6095"/>
    <w:rsid w:val="00AD67C2"/>
    <w:rsid w:val="00AD67D6"/>
    <w:rsid w:val="00AD6A08"/>
    <w:rsid w:val="00AD6B3E"/>
    <w:rsid w:val="00AD6CC6"/>
    <w:rsid w:val="00AD6D96"/>
    <w:rsid w:val="00AD6F3A"/>
    <w:rsid w:val="00AD70E2"/>
    <w:rsid w:val="00AD735F"/>
    <w:rsid w:val="00AD7588"/>
    <w:rsid w:val="00AD75D9"/>
    <w:rsid w:val="00AD7813"/>
    <w:rsid w:val="00AD7C28"/>
    <w:rsid w:val="00AD7C88"/>
    <w:rsid w:val="00AD7EAA"/>
    <w:rsid w:val="00AE01F0"/>
    <w:rsid w:val="00AE02FE"/>
    <w:rsid w:val="00AE0427"/>
    <w:rsid w:val="00AE0515"/>
    <w:rsid w:val="00AE0574"/>
    <w:rsid w:val="00AE084F"/>
    <w:rsid w:val="00AE0936"/>
    <w:rsid w:val="00AE0962"/>
    <w:rsid w:val="00AE09BD"/>
    <w:rsid w:val="00AE0A91"/>
    <w:rsid w:val="00AE0B10"/>
    <w:rsid w:val="00AE0B55"/>
    <w:rsid w:val="00AE0BC3"/>
    <w:rsid w:val="00AE0BCC"/>
    <w:rsid w:val="00AE0C90"/>
    <w:rsid w:val="00AE0FCB"/>
    <w:rsid w:val="00AE11C2"/>
    <w:rsid w:val="00AE1421"/>
    <w:rsid w:val="00AE1874"/>
    <w:rsid w:val="00AE1994"/>
    <w:rsid w:val="00AE1B7D"/>
    <w:rsid w:val="00AE1C38"/>
    <w:rsid w:val="00AE1F35"/>
    <w:rsid w:val="00AE20A4"/>
    <w:rsid w:val="00AE2480"/>
    <w:rsid w:val="00AE25A6"/>
    <w:rsid w:val="00AE2860"/>
    <w:rsid w:val="00AE2AB9"/>
    <w:rsid w:val="00AE2C29"/>
    <w:rsid w:val="00AE2DBF"/>
    <w:rsid w:val="00AE2FBA"/>
    <w:rsid w:val="00AE3203"/>
    <w:rsid w:val="00AE3242"/>
    <w:rsid w:val="00AE3294"/>
    <w:rsid w:val="00AE3298"/>
    <w:rsid w:val="00AE32B4"/>
    <w:rsid w:val="00AE33BD"/>
    <w:rsid w:val="00AE3612"/>
    <w:rsid w:val="00AE36B4"/>
    <w:rsid w:val="00AE382A"/>
    <w:rsid w:val="00AE38F7"/>
    <w:rsid w:val="00AE3B01"/>
    <w:rsid w:val="00AE3CF0"/>
    <w:rsid w:val="00AE4042"/>
    <w:rsid w:val="00AE4098"/>
    <w:rsid w:val="00AE4226"/>
    <w:rsid w:val="00AE46B2"/>
    <w:rsid w:val="00AE4C81"/>
    <w:rsid w:val="00AE4CD3"/>
    <w:rsid w:val="00AE4F20"/>
    <w:rsid w:val="00AE4F2B"/>
    <w:rsid w:val="00AE4F61"/>
    <w:rsid w:val="00AE50A6"/>
    <w:rsid w:val="00AE53B1"/>
    <w:rsid w:val="00AE5830"/>
    <w:rsid w:val="00AE5A7C"/>
    <w:rsid w:val="00AE6090"/>
    <w:rsid w:val="00AE6236"/>
    <w:rsid w:val="00AE63A5"/>
    <w:rsid w:val="00AE6583"/>
    <w:rsid w:val="00AE65E1"/>
    <w:rsid w:val="00AE6630"/>
    <w:rsid w:val="00AE6724"/>
    <w:rsid w:val="00AE685B"/>
    <w:rsid w:val="00AE6994"/>
    <w:rsid w:val="00AE6BCD"/>
    <w:rsid w:val="00AE7010"/>
    <w:rsid w:val="00AE710C"/>
    <w:rsid w:val="00AE710F"/>
    <w:rsid w:val="00AE735E"/>
    <w:rsid w:val="00AE7375"/>
    <w:rsid w:val="00AE76F3"/>
    <w:rsid w:val="00AE77D6"/>
    <w:rsid w:val="00AE7AC8"/>
    <w:rsid w:val="00AE7DEA"/>
    <w:rsid w:val="00AF0002"/>
    <w:rsid w:val="00AF03BD"/>
    <w:rsid w:val="00AF0436"/>
    <w:rsid w:val="00AF0481"/>
    <w:rsid w:val="00AF0486"/>
    <w:rsid w:val="00AF0506"/>
    <w:rsid w:val="00AF06AB"/>
    <w:rsid w:val="00AF0AEB"/>
    <w:rsid w:val="00AF0C58"/>
    <w:rsid w:val="00AF0D07"/>
    <w:rsid w:val="00AF1079"/>
    <w:rsid w:val="00AF1218"/>
    <w:rsid w:val="00AF18BF"/>
    <w:rsid w:val="00AF1A1B"/>
    <w:rsid w:val="00AF1B2A"/>
    <w:rsid w:val="00AF1D5E"/>
    <w:rsid w:val="00AF1F13"/>
    <w:rsid w:val="00AF203B"/>
    <w:rsid w:val="00AF2173"/>
    <w:rsid w:val="00AF2484"/>
    <w:rsid w:val="00AF256B"/>
    <w:rsid w:val="00AF266F"/>
    <w:rsid w:val="00AF2703"/>
    <w:rsid w:val="00AF2929"/>
    <w:rsid w:val="00AF2A0E"/>
    <w:rsid w:val="00AF2ACC"/>
    <w:rsid w:val="00AF2BC0"/>
    <w:rsid w:val="00AF2CFC"/>
    <w:rsid w:val="00AF2F4B"/>
    <w:rsid w:val="00AF302E"/>
    <w:rsid w:val="00AF3345"/>
    <w:rsid w:val="00AF3817"/>
    <w:rsid w:val="00AF3C95"/>
    <w:rsid w:val="00AF3CC1"/>
    <w:rsid w:val="00AF3FE0"/>
    <w:rsid w:val="00AF437A"/>
    <w:rsid w:val="00AF45D6"/>
    <w:rsid w:val="00AF49EA"/>
    <w:rsid w:val="00AF4BBA"/>
    <w:rsid w:val="00AF4C25"/>
    <w:rsid w:val="00AF4C37"/>
    <w:rsid w:val="00AF4C5A"/>
    <w:rsid w:val="00AF4F20"/>
    <w:rsid w:val="00AF4F66"/>
    <w:rsid w:val="00AF4F7D"/>
    <w:rsid w:val="00AF5036"/>
    <w:rsid w:val="00AF5174"/>
    <w:rsid w:val="00AF51C0"/>
    <w:rsid w:val="00AF546E"/>
    <w:rsid w:val="00AF55BC"/>
    <w:rsid w:val="00AF5647"/>
    <w:rsid w:val="00AF56A5"/>
    <w:rsid w:val="00AF56B7"/>
    <w:rsid w:val="00AF5993"/>
    <w:rsid w:val="00AF59CE"/>
    <w:rsid w:val="00AF5A49"/>
    <w:rsid w:val="00AF5AFE"/>
    <w:rsid w:val="00AF666D"/>
    <w:rsid w:val="00AF6804"/>
    <w:rsid w:val="00AF6AA5"/>
    <w:rsid w:val="00AF6AB0"/>
    <w:rsid w:val="00AF6B61"/>
    <w:rsid w:val="00AF6BBA"/>
    <w:rsid w:val="00AF6CD3"/>
    <w:rsid w:val="00AF6DE2"/>
    <w:rsid w:val="00AF717C"/>
    <w:rsid w:val="00AF71E9"/>
    <w:rsid w:val="00AF7210"/>
    <w:rsid w:val="00AF72E1"/>
    <w:rsid w:val="00AF7429"/>
    <w:rsid w:val="00AF7582"/>
    <w:rsid w:val="00AF7BD1"/>
    <w:rsid w:val="00B002F5"/>
    <w:rsid w:val="00B00433"/>
    <w:rsid w:val="00B004B7"/>
    <w:rsid w:val="00B0063A"/>
    <w:rsid w:val="00B00AFA"/>
    <w:rsid w:val="00B00C99"/>
    <w:rsid w:val="00B00CC1"/>
    <w:rsid w:val="00B00ED2"/>
    <w:rsid w:val="00B00EE8"/>
    <w:rsid w:val="00B00F85"/>
    <w:rsid w:val="00B01506"/>
    <w:rsid w:val="00B017D8"/>
    <w:rsid w:val="00B01A56"/>
    <w:rsid w:val="00B01B2D"/>
    <w:rsid w:val="00B01C8B"/>
    <w:rsid w:val="00B01E99"/>
    <w:rsid w:val="00B021B5"/>
    <w:rsid w:val="00B02271"/>
    <w:rsid w:val="00B024F1"/>
    <w:rsid w:val="00B025A5"/>
    <w:rsid w:val="00B0260C"/>
    <w:rsid w:val="00B0266C"/>
    <w:rsid w:val="00B0304F"/>
    <w:rsid w:val="00B0383E"/>
    <w:rsid w:val="00B03852"/>
    <w:rsid w:val="00B0397C"/>
    <w:rsid w:val="00B03B76"/>
    <w:rsid w:val="00B03C53"/>
    <w:rsid w:val="00B03D71"/>
    <w:rsid w:val="00B040DE"/>
    <w:rsid w:val="00B042A5"/>
    <w:rsid w:val="00B046D6"/>
    <w:rsid w:val="00B047B5"/>
    <w:rsid w:val="00B04846"/>
    <w:rsid w:val="00B048A7"/>
    <w:rsid w:val="00B04979"/>
    <w:rsid w:val="00B04D04"/>
    <w:rsid w:val="00B04F50"/>
    <w:rsid w:val="00B04FF3"/>
    <w:rsid w:val="00B04FF5"/>
    <w:rsid w:val="00B050BF"/>
    <w:rsid w:val="00B05167"/>
    <w:rsid w:val="00B05430"/>
    <w:rsid w:val="00B05815"/>
    <w:rsid w:val="00B05AD9"/>
    <w:rsid w:val="00B05B1A"/>
    <w:rsid w:val="00B05C65"/>
    <w:rsid w:val="00B05F67"/>
    <w:rsid w:val="00B06117"/>
    <w:rsid w:val="00B0619C"/>
    <w:rsid w:val="00B06278"/>
    <w:rsid w:val="00B063AE"/>
    <w:rsid w:val="00B06615"/>
    <w:rsid w:val="00B06754"/>
    <w:rsid w:val="00B069A8"/>
    <w:rsid w:val="00B06ADB"/>
    <w:rsid w:val="00B06CC6"/>
    <w:rsid w:val="00B06E1B"/>
    <w:rsid w:val="00B070A9"/>
    <w:rsid w:val="00B070B9"/>
    <w:rsid w:val="00B07103"/>
    <w:rsid w:val="00B0735E"/>
    <w:rsid w:val="00B075AD"/>
    <w:rsid w:val="00B0787B"/>
    <w:rsid w:val="00B07891"/>
    <w:rsid w:val="00B0795B"/>
    <w:rsid w:val="00B07980"/>
    <w:rsid w:val="00B07B63"/>
    <w:rsid w:val="00B07C9C"/>
    <w:rsid w:val="00B07CEF"/>
    <w:rsid w:val="00B07D10"/>
    <w:rsid w:val="00B07DA6"/>
    <w:rsid w:val="00B07ED5"/>
    <w:rsid w:val="00B07F6F"/>
    <w:rsid w:val="00B07F7E"/>
    <w:rsid w:val="00B07FF7"/>
    <w:rsid w:val="00B100C8"/>
    <w:rsid w:val="00B103DA"/>
    <w:rsid w:val="00B10795"/>
    <w:rsid w:val="00B10956"/>
    <w:rsid w:val="00B10D86"/>
    <w:rsid w:val="00B10E0B"/>
    <w:rsid w:val="00B114D1"/>
    <w:rsid w:val="00B11642"/>
    <w:rsid w:val="00B11661"/>
    <w:rsid w:val="00B11745"/>
    <w:rsid w:val="00B11876"/>
    <w:rsid w:val="00B118B8"/>
    <w:rsid w:val="00B120C0"/>
    <w:rsid w:val="00B12111"/>
    <w:rsid w:val="00B124BB"/>
    <w:rsid w:val="00B12647"/>
    <w:rsid w:val="00B126B3"/>
    <w:rsid w:val="00B1277E"/>
    <w:rsid w:val="00B1287F"/>
    <w:rsid w:val="00B12922"/>
    <w:rsid w:val="00B12BBF"/>
    <w:rsid w:val="00B12F5A"/>
    <w:rsid w:val="00B13006"/>
    <w:rsid w:val="00B1319A"/>
    <w:rsid w:val="00B133D3"/>
    <w:rsid w:val="00B137A4"/>
    <w:rsid w:val="00B1392B"/>
    <w:rsid w:val="00B13AF4"/>
    <w:rsid w:val="00B13F44"/>
    <w:rsid w:val="00B13F63"/>
    <w:rsid w:val="00B14125"/>
    <w:rsid w:val="00B14196"/>
    <w:rsid w:val="00B142FF"/>
    <w:rsid w:val="00B1456A"/>
    <w:rsid w:val="00B1457A"/>
    <w:rsid w:val="00B14633"/>
    <w:rsid w:val="00B1487F"/>
    <w:rsid w:val="00B14921"/>
    <w:rsid w:val="00B14E80"/>
    <w:rsid w:val="00B14F7D"/>
    <w:rsid w:val="00B1501A"/>
    <w:rsid w:val="00B15149"/>
    <w:rsid w:val="00B15683"/>
    <w:rsid w:val="00B156EF"/>
    <w:rsid w:val="00B158D7"/>
    <w:rsid w:val="00B15A0C"/>
    <w:rsid w:val="00B15B7C"/>
    <w:rsid w:val="00B15C7C"/>
    <w:rsid w:val="00B15D8F"/>
    <w:rsid w:val="00B15EDE"/>
    <w:rsid w:val="00B16056"/>
    <w:rsid w:val="00B160BA"/>
    <w:rsid w:val="00B163DA"/>
    <w:rsid w:val="00B164E3"/>
    <w:rsid w:val="00B1651F"/>
    <w:rsid w:val="00B165DC"/>
    <w:rsid w:val="00B166D4"/>
    <w:rsid w:val="00B16745"/>
    <w:rsid w:val="00B16767"/>
    <w:rsid w:val="00B16900"/>
    <w:rsid w:val="00B16AAF"/>
    <w:rsid w:val="00B16C8B"/>
    <w:rsid w:val="00B17289"/>
    <w:rsid w:val="00B175E1"/>
    <w:rsid w:val="00B175E2"/>
    <w:rsid w:val="00B17922"/>
    <w:rsid w:val="00B179BB"/>
    <w:rsid w:val="00B17C71"/>
    <w:rsid w:val="00B17E74"/>
    <w:rsid w:val="00B17EA7"/>
    <w:rsid w:val="00B17F8A"/>
    <w:rsid w:val="00B20365"/>
    <w:rsid w:val="00B20590"/>
    <w:rsid w:val="00B206CE"/>
    <w:rsid w:val="00B20DA0"/>
    <w:rsid w:val="00B20DB6"/>
    <w:rsid w:val="00B21420"/>
    <w:rsid w:val="00B2149A"/>
    <w:rsid w:val="00B2158E"/>
    <w:rsid w:val="00B216F8"/>
    <w:rsid w:val="00B218A9"/>
    <w:rsid w:val="00B21B2A"/>
    <w:rsid w:val="00B21FAC"/>
    <w:rsid w:val="00B220C3"/>
    <w:rsid w:val="00B221D1"/>
    <w:rsid w:val="00B2226C"/>
    <w:rsid w:val="00B222F9"/>
    <w:rsid w:val="00B2231F"/>
    <w:rsid w:val="00B223DF"/>
    <w:rsid w:val="00B22493"/>
    <w:rsid w:val="00B224A8"/>
    <w:rsid w:val="00B22528"/>
    <w:rsid w:val="00B225DF"/>
    <w:rsid w:val="00B22842"/>
    <w:rsid w:val="00B22966"/>
    <w:rsid w:val="00B229A5"/>
    <w:rsid w:val="00B229BB"/>
    <w:rsid w:val="00B22B81"/>
    <w:rsid w:val="00B22C57"/>
    <w:rsid w:val="00B23142"/>
    <w:rsid w:val="00B23439"/>
    <w:rsid w:val="00B2360C"/>
    <w:rsid w:val="00B23832"/>
    <w:rsid w:val="00B23AE7"/>
    <w:rsid w:val="00B23C5C"/>
    <w:rsid w:val="00B23CC0"/>
    <w:rsid w:val="00B23E31"/>
    <w:rsid w:val="00B23EFF"/>
    <w:rsid w:val="00B243E9"/>
    <w:rsid w:val="00B244B4"/>
    <w:rsid w:val="00B245CF"/>
    <w:rsid w:val="00B24765"/>
    <w:rsid w:val="00B24AF2"/>
    <w:rsid w:val="00B24B42"/>
    <w:rsid w:val="00B24D15"/>
    <w:rsid w:val="00B24E89"/>
    <w:rsid w:val="00B24F44"/>
    <w:rsid w:val="00B24F88"/>
    <w:rsid w:val="00B24FBC"/>
    <w:rsid w:val="00B250BF"/>
    <w:rsid w:val="00B25355"/>
    <w:rsid w:val="00B2562B"/>
    <w:rsid w:val="00B257F0"/>
    <w:rsid w:val="00B25AB2"/>
    <w:rsid w:val="00B25B89"/>
    <w:rsid w:val="00B25C24"/>
    <w:rsid w:val="00B26150"/>
    <w:rsid w:val="00B261B9"/>
    <w:rsid w:val="00B26305"/>
    <w:rsid w:val="00B2664C"/>
    <w:rsid w:val="00B26A62"/>
    <w:rsid w:val="00B26AD4"/>
    <w:rsid w:val="00B26D42"/>
    <w:rsid w:val="00B26E98"/>
    <w:rsid w:val="00B26F77"/>
    <w:rsid w:val="00B27011"/>
    <w:rsid w:val="00B270F6"/>
    <w:rsid w:val="00B274AB"/>
    <w:rsid w:val="00B27582"/>
    <w:rsid w:val="00B2767E"/>
    <w:rsid w:val="00B27922"/>
    <w:rsid w:val="00B27951"/>
    <w:rsid w:val="00B27A17"/>
    <w:rsid w:val="00B27A8F"/>
    <w:rsid w:val="00B27ACE"/>
    <w:rsid w:val="00B27F8A"/>
    <w:rsid w:val="00B3013E"/>
    <w:rsid w:val="00B30238"/>
    <w:rsid w:val="00B3025F"/>
    <w:rsid w:val="00B3044D"/>
    <w:rsid w:val="00B30477"/>
    <w:rsid w:val="00B3050B"/>
    <w:rsid w:val="00B3069B"/>
    <w:rsid w:val="00B307F2"/>
    <w:rsid w:val="00B3082A"/>
    <w:rsid w:val="00B308CC"/>
    <w:rsid w:val="00B30A60"/>
    <w:rsid w:val="00B30B20"/>
    <w:rsid w:val="00B30B94"/>
    <w:rsid w:val="00B30EA5"/>
    <w:rsid w:val="00B311D2"/>
    <w:rsid w:val="00B314D1"/>
    <w:rsid w:val="00B31748"/>
    <w:rsid w:val="00B31827"/>
    <w:rsid w:val="00B318C3"/>
    <w:rsid w:val="00B319DA"/>
    <w:rsid w:val="00B31C36"/>
    <w:rsid w:val="00B31D68"/>
    <w:rsid w:val="00B31EF4"/>
    <w:rsid w:val="00B31F3C"/>
    <w:rsid w:val="00B32344"/>
    <w:rsid w:val="00B32C2F"/>
    <w:rsid w:val="00B32E28"/>
    <w:rsid w:val="00B32E7B"/>
    <w:rsid w:val="00B33139"/>
    <w:rsid w:val="00B336C5"/>
    <w:rsid w:val="00B33741"/>
    <w:rsid w:val="00B339A5"/>
    <w:rsid w:val="00B33B3A"/>
    <w:rsid w:val="00B33D07"/>
    <w:rsid w:val="00B33D84"/>
    <w:rsid w:val="00B33F8E"/>
    <w:rsid w:val="00B34227"/>
    <w:rsid w:val="00B3429A"/>
    <w:rsid w:val="00B344EA"/>
    <w:rsid w:val="00B3450B"/>
    <w:rsid w:val="00B34609"/>
    <w:rsid w:val="00B34DB0"/>
    <w:rsid w:val="00B35349"/>
    <w:rsid w:val="00B353BF"/>
    <w:rsid w:val="00B353EB"/>
    <w:rsid w:val="00B35C30"/>
    <w:rsid w:val="00B35D42"/>
    <w:rsid w:val="00B35EFC"/>
    <w:rsid w:val="00B361D1"/>
    <w:rsid w:val="00B36423"/>
    <w:rsid w:val="00B3655F"/>
    <w:rsid w:val="00B36620"/>
    <w:rsid w:val="00B36BE4"/>
    <w:rsid w:val="00B36D52"/>
    <w:rsid w:val="00B36FC7"/>
    <w:rsid w:val="00B37033"/>
    <w:rsid w:val="00B370F3"/>
    <w:rsid w:val="00B37414"/>
    <w:rsid w:val="00B37B74"/>
    <w:rsid w:val="00B37BA4"/>
    <w:rsid w:val="00B37C97"/>
    <w:rsid w:val="00B37E18"/>
    <w:rsid w:val="00B402EA"/>
    <w:rsid w:val="00B4072C"/>
    <w:rsid w:val="00B4095A"/>
    <w:rsid w:val="00B409FC"/>
    <w:rsid w:val="00B40ACF"/>
    <w:rsid w:val="00B40B65"/>
    <w:rsid w:val="00B40BBE"/>
    <w:rsid w:val="00B40CAF"/>
    <w:rsid w:val="00B40D2F"/>
    <w:rsid w:val="00B40DEC"/>
    <w:rsid w:val="00B41062"/>
    <w:rsid w:val="00B4139F"/>
    <w:rsid w:val="00B4144D"/>
    <w:rsid w:val="00B41A4E"/>
    <w:rsid w:val="00B41AA0"/>
    <w:rsid w:val="00B420C3"/>
    <w:rsid w:val="00B428E8"/>
    <w:rsid w:val="00B429BA"/>
    <w:rsid w:val="00B42ADB"/>
    <w:rsid w:val="00B42C27"/>
    <w:rsid w:val="00B42D85"/>
    <w:rsid w:val="00B42E79"/>
    <w:rsid w:val="00B42F5E"/>
    <w:rsid w:val="00B43292"/>
    <w:rsid w:val="00B433DE"/>
    <w:rsid w:val="00B43546"/>
    <w:rsid w:val="00B4369C"/>
    <w:rsid w:val="00B437BB"/>
    <w:rsid w:val="00B43A0E"/>
    <w:rsid w:val="00B43AF9"/>
    <w:rsid w:val="00B43DF9"/>
    <w:rsid w:val="00B44016"/>
    <w:rsid w:val="00B44024"/>
    <w:rsid w:val="00B44444"/>
    <w:rsid w:val="00B4446F"/>
    <w:rsid w:val="00B446FC"/>
    <w:rsid w:val="00B44829"/>
    <w:rsid w:val="00B44A2B"/>
    <w:rsid w:val="00B44A6A"/>
    <w:rsid w:val="00B4516E"/>
    <w:rsid w:val="00B45389"/>
    <w:rsid w:val="00B453B9"/>
    <w:rsid w:val="00B4552C"/>
    <w:rsid w:val="00B457E2"/>
    <w:rsid w:val="00B458C2"/>
    <w:rsid w:val="00B458E4"/>
    <w:rsid w:val="00B45BCE"/>
    <w:rsid w:val="00B45BF2"/>
    <w:rsid w:val="00B45DA3"/>
    <w:rsid w:val="00B45DF9"/>
    <w:rsid w:val="00B45E4E"/>
    <w:rsid w:val="00B45F85"/>
    <w:rsid w:val="00B461DF"/>
    <w:rsid w:val="00B4634F"/>
    <w:rsid w:val="00B4674D"/>
    <w:rsid w:val="00B468F7"/>
    <w:rsid w:val="00B4690A"/>
    <w:rsid w:val="00B46949"/>
    <w:rsid w:val="00B46A36"/>
    <w:rsid w:val="00B46F59"/>
    <w:rsid w:val="00B4712F"/>
    <w:rsid w:val="00B4717F"/>
    <w:rsid w:val="00B475AB"/>
    <w:rsid w:val="00B4780B"/>
    <w:rsid w:val="00B47AF6"/>
    <w:rsid w:val="00B47CD1"/>
    <w:rsid w:val="00B47D26"/>
    <w:rsid w:val="00B47D33"/>
    <w:rsid w:val="00B47F6B"/>
    <w:rsid w:val="00B50518"/>
    <w:rsid w:val="00B5070F"/>
    <w:rsid w:val="00B50A41"/>
    <w:rsid w:val="00B50A5B"/>
    <w:rsid w:val="00B50E73"/>
    <w:rsid w:val="00B50F32"/>
    <w:rsid w:val="00B5114F"/>
    <w:rsid w:val="00B512C9"/>
    <w:rsid w:val="00B5179D"/>
    <w:rsid w:val="00B51E41"/>
    <w:rsid w:val="00B51FAC"/>
    <w:rsid w:val="00B52051"/>
    <w:rsid w:val="00B5221E"/>
    <w:rsid w:val="00B5248C"/>
    <w:rsid w:val="00B525D2"/>
    <w:rsid w:val="00B526A3"/>
    <w:rsid w:val="00B52780"/>
    <w:rsid w:val="00B52979"/>
    <w:rsid w:val="00B52AA1"/>
    <w:rsid w:val="00B52ACB"/>
    <w:rsid w:val="00B52D4A"/>
    <w:rsid w:val="00B52D73"/>
    <w:rsid w:val="00B52FBC"/>
    <w:rsid w:val="00B53063"/>
    <w:rsid w:val="00B532CA"/>
    <w:rsid w:val="00B53362"/>
    <w:rsid w:val="00B533C7"/>
    <w:rsid w:val="00B5361C"/>
    <w:rsid w:val="00B53682"/>
    <w:rsid w:val="00B5377E"/>
    <w:rsid w:val="00B538B9"/>
    <w:rsid w:val="00B53BC9"/>
    <w:rsid w:val="00B53C9F"/>
    <w:rsid w:val="00B53EE2"/>
    <w:rsid w:val="00B540DC"/>
    <w:rsid w:val="00B541EF"/>
    <w:rsid w:val="00B54457"/>
    <w:rsid w:val="00B54531"/>
    <w:rsid w:val="00B5479E"/>
    <w:rsid w:val="00B547F6"/>
    <w:rsid w:val="00B54A8F"/>
    <w:rsid w:val="00B54E3B"/>
    <w:rsid w:val="00B54F4D"/>
    <w:rsid w:val="00B54FAF"/>
    <w:rsid w:val="00B55189"/>
    <w:rsid w:val="00B5528B"/>
    <w:rsid w:val="00B55347"/>
    <w:rsid w:val="00B55509"/>
    <w:rsid w:val="00B55530"/>
    <w:rsid w:val="00B55952"/>
    <w:rsid w:val="00B55A37"/>
    <w:rsid w:val="00B55BBA"/>
    <w:rsid w:val="00B55E1C"/>
    <w:rsid w:val="00B55ECD"/>
    <w:rsid w:val="00B55ED5"/>
    <w:rsid w:val="00B56050"/>
    <w:rsid w:val="00B560D2"/>
    <w:rsid w:val="00B56271"/>
    <w:rsid w:val="00B56676"/>
    <w:rsid w:val="00B56CB8"/>
    <w:rsid w:val="00B56D3B"/>
    <w:rsid w:val="00B56E85"/>
    <w:rsid w:val="00B56FB8"/>
    <w:rsid w:val="00B5740B"/>
    <w:rsid w:val="00B575ED"/>
    <w:rsid w:val="00B57768"/>
    <w:rsid w:val="00B57901"/>
    <w:rsid w:val="00B57B00"/>
    <w:rsid w:val="00B57BDF"/>
    <w:rsid w:val="00B57E69"/>
    <w:rsid w:val="00B601AA"/>
    <w:rsid w:val="00B60615"/>
    <w:rsid w:val="00B6068B"/>
    <w:rsid w:val="00B609C0"/>
    <w:rsid w:val="00B60C53"/>
    <w:rsid w:val="00B60DC1"/>
    <w:rsid w:val="00B60F13"/>
    <w:rsid w:val="00B60F9D"/>
    <w:rsid w:val="00B61113"/>
    <w:rsid w:val="00B612EE"/>
    <w:rsid w:val="00B615CC"/>
    <w:rsid w:val="00B6162A"/>
    <w:rsid w:val="00B61A0E"/>
    <w:rsid w:val="00B61B16"/>
    <w:rsid w:val="00B61F24"/>
    <w:rsid w:val="00B61F39"/>
    <w:rsid w:val="00B62003"/>
    <w:rsid w:val="00B62110"/>
    <w:rsid w:val="00B62299"/>
    <w:rsid w:val="00B622C4"/>
    <w:rsid w:val="00B62425"/>
    <w:rsid w:val="00B62431"/>
    <w:rsid w:val="00B62463"/>
    <w:rsid w:val="00B62933"/>
    <w:rsid w:val="00B62BAF"/>
    <w:rsid w:val="00B62FB9"/>
    <w:rsid w:val="00B6325A"/>
    <w:rsid w:val="00B63381"/>
    <w:rsid w:val="00B6358B"/>
    <w:rsid w:val="00B6359C"/>
    <w:rsid w:val="00B63AD9"/>
    <w:rsid w:val="00B63B96"/>
    <w:rsid w:val="00B63E4C"/>
    <w:rsid w:val="00B63EBE"/>
    <w:rsid w:val="00B63F44"/>
    <w:rsid w:val="00B6404F"/>
    <w:rsid w:val="00B6407C"/>
    <w:rsid w:val="00B6432B"/>
    <w:rsid w:val="00B6437B"/>
    <w:rsid w:val="00B643A3"/>
    <w:rsid w:val="00B645AC"/>
    <w:rsid w:val="00B64AFE"/>
    <w:rsid w:val="00B64CD9"/>
    <w:rsid w:val="00B650E7"/>
    <w:rsid w:val="00B65160"/>
    <w:rsid w:val="00B652E0"/>
    <w:rsid w:val="00B653E2"/>
    <w:rsid w:val="00B6549C"/>
    <w:rsid w:val="00B6553F"/>
    <w:rsid w:val="00B6561B"/>
    <w:rsid w:val="00B6566B"/>
    <w:rsid w:val="00B656D1"/>
    <w:rsid w:val="00B65A09"/>
    <w:rsid w:val="00B65AF8"/>
    <w:rsid w:val="00B65B63"/>
    <w:rsid w:val="00B65C8D"/>
    <w:rsid w:val="00B65DA8"/>
    <w:rsid w:val="00B65DD1"/>
    <w:rsid w:val="00B65EFE"/>
    <w:rsid w:val="00B6628A"/>
    <w:rsid w:val="00B6629A"/>
    <w:rsid w:val="00B66364"/>
    <w:rsid w:val="00B66470"/>
    <w:rsid w:val="00B66512"/>
    <w:rsid w:val="00B66A9B"/>
    <w:rsid w:val="00B66B90"/>
    <w:rsid w:val="00B66D0F"/>
    <w:rsid w:val="00B66D3B"/>
    <w:rsid w:val="00B67057"/>
    <w:rsid w:val="00B670BF"/>
    <w:rsid w:val="00B670E1"/>
    <w:rsid w:val="00B6742E"/>
    <w:rsid w:val="00B674B6"/>
    <w:rsid w:val="00B67A58"/>
    <w:rsid w:val="00B67D40"/>
    <w:rsid w:val="00B7023B"/>
    <w:rsid w:val="00B70255"/>
    <w:rsid w:val="00B702FF"/>
    <w:rsid w:val="00B70401"/>
    <w:rsid w:val="00B70436"/>
    <w:rsid w:val="00B70562"/>
    <w:rsid w:val="00B7059D"/>
    <w:rsid w:val="00B70928"/>
    <w:rsid w:val="00B70D3B"/>
    <w:rsid w:val="00B70F55"/>
    <w:rsid w:val="00B71320"/>
    <w:rsid w:val="00B71443"/>
    <w:rsid w:val="00B71683"/>
    <w:rsid w:val="00B71750"/>
    <w:rsid w:val="00B71826"/>
    <w:rsid w:val="00B7189F"/>
    <w:rsid w:val="00B71A99"/>
    <w:rsid w:val="00B71B3E"/>
    <w:rsid w:val="00B71BB3"/>
    <w:rsid w:val="00B7208F"/>
    <w:rsid w:val="00B7210F"/>
    <w:rsid w:val="00B726B8"/>
    <w:rsid w:val="00B72791"/>
    <w:rsid w:val="00B73397"/>
    <w:rsid w:val="00B733BD"/>
    <w:rsid w:val="00B733F7"/>
    <w:rsid w:val="00B73681"/>
    <w:rsid w:val="00B736F4"/>
    <w:rsid w:val="00B7377D"/>
    <w:rsid w:val="00B739CC"/>
    <w:rsid w:val="00B73A01"/>
    <w:rsid w:val="00B740EF"/>
    <w:rsid w:val="00B74256"/>
    <w:rsid w:val="00B74460"/>
    <w:rsid w:val="00B747C8"/>
    <w:rsid w:val="00B74861"/>
    <w:rsid w:val="00B74B2A"/>
    <w:rsid w:val="00B74B7C"/>
    <w:rsid w:val="00B74DD3"/>
    <w:rsid w:val="00B75123"/>
    <w:rsid w:val="00B751FF"/>
    <w:rsid w:val="00B7562B"/>
    <w:rsid w:val="00B75673"/>
    <w:rsid w:val="00B75A06"/>
    <w:rsid w:val="00B75B80"/>
    <w:rsid w:val="00B75C14"/>
    <w:rsid w:val="00B75C1B"/>
    <w:rsid w:val="00B75D1F"/>
    <w:rsid w:val="00B75F1C"/>
    <w:rsid w:val="00B76499"/>
    <w:rsid w:val="00B7649C"/>
    <w:rsid w:val="00B765CC"/>
    <w:rsid w:val="00B766F4"/>
    <w:rsid w:val="00B76729"/>
    <w:rsid w:val="00B76A62"/>
    <w:rsid w:val="00B76CAD"/>
    <w:rsid w:val="00B76EA2"/>
    <w:rsid w:val="00B76FAE"/>
    <w:rsid w:val="00B7712E"/>
    <w:rsid w:val="00B7732A"/>
    <w:rsid w:val="00B774D4"/>
    <w:rsid w:val="00B77603"/>
    <w:rsid w:val="00B777F0"/>
    <w:rsid w:val="00B779CF"/>
    <w:rsid w:val="00B77AAB"/>
    <w:rsid w:val="00B77C75"/>
    <w:rsid w:val="00B77E68"/>
    <w:rsid w:val="00B77F09"/>
    <w:rsid w:val="00B80002"/>
    <w:rsid w:val="00B8027E"/>
    <w:rsid w:val="00B80282"/>
    <w:rsid w:val="00B80545"/>
    <w:rsid w:val="00B8075A"/>
    <w:rsid w:val="00B807EA"/>
    <w:rsid w:val="00B8097E"/>
    <w:rsid w:val="00B80B28"/>
    <w:rsid w:val="00B80BE4"/>
    <w:rsid w:val="00B80CD3"/>
    <w:rsid w:val="00B8137A"/>
    <w:rsid w:val="00B8144F"/>
    <w:rsid w:val="00B81752"/>
    <w:rsid w:val="00B819E4"/>
    <w:rsid w:val="00B81AA9"/>
    <w:rsid w:val="00B81E40"/>
    <w:rsid w:val="00B81EC8"/>
    <w:rsid w:val="00B82061"/>
    <w:rsid w:val="00B821D9"/>
    <w:rsid w:val="00B8248A"/>
    <w:rsid w:val="00B82664"/>
    <w:rsid w:val="00B82A0A"/>
    <w:rsid w:val="00B82ACE"/>
    <w:rsid w:val="00B82AD1"/>
    <w:rsid w:val="00B82EA0"/>
    <w:rsid w:val="00B82FCE"/>
    <w:rsid w:val="00B83024"/>
    <w:rsid w:val="00B833EC"/>
    <w:rsid w:val="00B836F9"/>
    <w:rsid w:val="00B83743"/>
    <w:rsid w:val="00B8374F"/>
    <w:rsid w:val="00B837DD"/>
    <w:rsid w:val="00B839A0"/>
    <w:rsid w:val="00B83BCF"/>
    <w:rsid w:val="00B83C72"/>
    <w:rsid w:val="00B83E0A"/>
    <w:rsid w:val="00B840C4"/>
    <w:rsid w:val="00B84196"/>
    <w:rsid w:val="00B841A5"/>
    <w:rsid w:val="00B842CB"/>
    <w:rsid w:val="00B846FE"/>
    <w:rsid w:val="00B847EA"/>
    <w:rsid w:val="00B84996"/>
    <w:rsid w:val="00B84A11"/>
    <w:rsid w:val="00B84C80"/>
    <w:rsid w:val="00B84CE1"/>
    <w:rsid w:val="00B84D9E"/>
    <w:rsid w:val="00B8504C"/>
    <w:rsid w:val="00B85076"/>
    <w:rsid w:val="00B8531E"/>
    <w:rsid w:val="00B8533C"/>
    <w:rsid w:val="00B8549B"/>
    <w:rsid w:val="00B85B9F"/>
    <w:rsid w:val="00B85C9E"/>
    <w:rsid w:val="00B86257"/>
    <w:rsid w:val="00B862EF"/>
    <w:rsid w:val="00B8630C"/>
    <w:rsid w:val="00B86500"/>
    <w:rsid w:val="00B867DA"/>
    <w:rsid w:val="00B8691D"/>
    <w:rsid w:val="00B86E62"/>
    <w:rsid w:val="00B870F1"/>
    <w:rsid w:val="00B8713A"/>
    <w:rsid w:val="00B872CF"/>
    <w:rsid w:val="00B8751C"/>
    <w:rsid w:val="00B87644"/>
    <w:rsid w:val="00B876CB"/>
    <w:rsid w:val="00B8775E"/>
    <w:rsid w:val="00B902C1"/>
    <w:rsid w:val="00B90323"/>
    <w:rsid w:val="00B90505"/>
    <w:rsid w:val="00B906B0"/>
    <w:rsid w:val="00B90768"/>
    <w:rsid w:val="00B90784"/>
    <w:rsid w:val="00B90893"/>
    <w:rsid w:val="00B909D7"/>
    <w:rsid w:val="00B90DFE"/>
    <w:rsid w:val="00B9125A"/>
    <w:rsid w:val="00B91459"/>
    <w:rsid w:val="00B91484"/>
    <w:rsid w:val="00B91538"/>
    <w:rsid w:val="00B9168D"/>
    <w:rsid w:val="00B9172A"/>
    <w:rsid w:val="00B91993"/>
    <w:rsid w:val="00B91A74"/>
    <w:rsid w:val="00B91CD3"/>
    <w:rsid w:val="00B91F74"/>
    <w:rsid w:val="00B9240A"/>
    <w:rsid w:val="00B924F8"/>
    <w:rsid w:val="00B925B7"/>
    <w:rsid w:val="00B927B5"/>
    <w:rsid w:val="00B928B2"/>
    <w:rsid w:val="00B92A23"/>
    <w:rsid w:val="00B92A96"/>
    <w:rsid w:val="00B92BF0"/>
    <w:rsid w:val="00B92F7B"/>
    <w:rsid w:val="00B9359C"/>
    <w:rsid w:val="00B93856"/>
    <w:rsid w:val="00B93B79"/>
    <w:rsid w:val="00B93BA1"/>
    <w:rsid w:val="00B93C21"/>
    <w:rsid w:val="00B93FEB"/>
    <w:rsid w:val="00B9412C"/>
    <w:rsid w:val="00B94290"/>
    <w:rsid w:val="00B942BD"/>
    <w:rsid w:val="00B94515"/>
    <w:rsid w:val="00B9479E"/>
    <w:rsid w:val="00B94A0C"/>
    <w:rsid w:val="00B94A33"/>
    <w:rsid w:val="00B94A91"/>
    <w:rsid w:val="00B94F63"/>
    <w:rsid w:val="00B950F1"/>
    <w:rsid w:val="00B95327"/>
    <w:rsid w:val="00B9559B"/>
    <w:rsid w:val="00B957BC"/>
    <w:rsid w:val="00B957FB"/>
    <w:rsid w:val="00B958F5"/>
    <w:rsid w:val="00B95950"/>
    <w:rsid w:val="00B95B7D"/>
    <w:rsid w:val="00B95D29"/>
    <w:rsid w:val="00B95D37"/>
    <w:rsid w:val="00B9611C"/>
    <w:rsid w:val="00B963AE"/>
    <w:rsid w:val="00B964B5"/>
    <w:rsid w:val="00B96688"/>
    <w:rsid w:val="00B966A1"/>
    <w:rsid w:val="00B966E2"/>
    <w:rsid w:val="00B968D3"/>
    <w:rsid w:val="00B96A52"/>
    <w:rsid w:val="00B96A60"/>
    <w:rsid w:val="00B96B14"/>
    <w:rsid w:val="00B96B91"/>
    <w:rsid w:val="00B96C8C"/>
    <w:rsid w:val="00B9705D"/>
    <w:rsid w:val="00B970F0"/>
    <w:rsid w:val="00B971CC"/>
    <w:rsid w:val="00B97493"/>
    <w:rsid w:val="00B975D3"/>
    <w:rsid w:val="00B9762E"/>
    <w:rsid w:val="00B97807"/>
    <w:rsid w:val="00B9797E"/>
    <w:rsid w:val="00B97A26"/>
    <w:rsid w:val="00B97AD9"/>
    <w:rsid w:val="00B97B8F"/>
    <w:rsid w:val="00B97BAB"/>
    <w:rsid w:val="00B97C5F"/>
    <w:rsid w:val="00B97CE0"/>
    <w:rsid w:val="00B97D61"/>
    <w:rsid w:val="00B97F6E"/>
    <w:rsid w:val="00B97FB6"/>
    <w:rsid w:val="00BA0307"/>
    <w:rsid w:val="00BA049F"/>
    <w:rsid w:val="00BA04B9"/>
    <w:rsid w:val="00BA04DC"/>
    <w:rsid w:val="00BA0612"/>
    <w:rsid w:val="00BA0643"/>
    <w:rsid w:val="00BA0760"/>
    <w:rsid w:val="00BA0ADF"/>
    <w:rsid w:val="00BA0E6D"/>
    <w:rsid w:val="00BA1061"/>
    <w:rsid w:val="00BA1134"/>
    <w:rsid w:val="00BA12BF"/>
    <w:rsid w:val="00BA1490"/>
    <w:rsid w:val="00BA14AB"/>
    <w:rsid w:val="00BA156B"/>
    <w:rsid w:val="00BA15C1"/>
    <w:rsid w:val="00BA1605"/>
    <w:rsid w:val="00BA19C1"/>
    <w:rsid w:val="00BA203E"/>
    <w:rsid w:val="00BA22BD"/>
    <w:rsid w:val="00BA2386"/>
    <w:rsid w:val="00BA2424"/>
    <w:rsid w:val="00BA2829"/>
    <w:rsid w:val="00BA2856"/>
    <w:rsid w:val="00BA287A"/>
    <w:rsid w:val="00BA2976"/>
    <w:rsid w:val="00BA2A44"/>
    <w:rsid w:val="00BA2C27"/>
    <w:rsid w:val="00BA2DDF"/>
    <w:rsid w:val="00BA2FD2"/>
    <w:rsid w:val="00BA3337"/>
    <w:rsid w:val="00BA3616"/>
    <w:rsid w:val="00BA3AA5"/>
    <w:rsid w:val="00BA3B62"/>
    <w:rsid w:val="00BA3B7E"/>
    <w:rsid w:val="00BA3D09"/>
    <w:rsid w:val="00BA3E8D"/>
    <w:rsid w:val="00BA3F11"/>
    <w:rsid w:val="00BA4051"/>
    <w:rsid w:val="00BA4065"/>
    <w:rsid w:val="00BA419D"/>
    <w:rsid w:val="00BA4241"/>
    <w:rsid w:val="00BA4391"/>
    <w:rsid w:val="00BA43C5"/>
    <w:rsid w:val="00BA48F4"/>
    <w:rsid w:val="00BA4E19"/>
    <w:rsid w:val="00BA4EBC"/>
    <w:rsid w:val="00BA4FB0"/>
    <w:rsid w:val="00BA4FE2"/>
    <w:rsid w:val="00BA5168"/>
    <w:rsid w:val="00BA51E6"/>
    <w:rsid w:val="00BA54D2"/>
    <w:rsid w:val="00BA581B"/>
    <w:rsid w:val="00BA58A1"/>
    <w:rsid w:val="00BA5BA7"/>
    <w:rsid w:val="00BA5CE9"/>
    <w:rsid w:val="00BA5D66"/>
    <w:rsid w:val="00BA6352"/>
    <w:rsid w:val="00BA6405"/>
    <w:rsid w:val="00BA655E"/>
    <w:rsid w:val="00BA665D"/>
    <w:rsid w:val="00BA6705"/>
    <w:rsid w:val="00BA6B12"/>
    <w:rsid w:val="00BA6EB2"/>
    <w:rsid w:val="00BA6F69"/>
    <w:rsid w:val="00BA7097"/>
    <w:rsid w:val="00BA7201"/>
    <w:rsid w:val="00BA7252"/>
    <w:rsid w:val="00BA725B"/>
    <w:rsid w:val="00BA72E6"/>
    <w:rsid w:val="00BA72F7"/>
    <w:rsid w:val="00BA7327"/>
    <w:rsid w:val="00BA7507"/>
    <w:rsid w:val="00BA753B"/>
    <w:rsid w:val="00BA786E"/>
    <w:rsid w:val="00BA78C8"/>
    <w:rsid w:val="00BA7A8E"/>
    <w:rsid w:val="00BA7B4C"/>
    <w:rsid w:val="00BA7C66"/>
    <w:rsid w:val="00BB03B6"/>
    <w:rsid w:val="00BB0602"/>
    <w:rsid w:val="00BB06D7"/>
    <w:rsid w:val="00BB0850"/>
    <w:rsid w:val="00BB09F9"/>
    <w:rsid w:val="00BB122A"/>
    <w:rsid w:val="00BB1304"/>
    <w:rsid w:val="00BB1424"/>
    <w:rsid w:val="00BB15B8"/>
    <w:rsid w:val="00BB194A"/>
    <w:rsid w:val="00BB1B50"/>
    <w:rsid w:val="00BB1C51"/>
    <w:rsid w:val="00BB1C6C"/>
    <w:rsid w:val="00BB1CF5"/>
    <w:rsid w:val="00BB1F2A"/>
    <w:rsid w:val="00BB1F66"/>
    <w:rsid w:val="00BB1F75"/>
    <w:rsid w:val="00BB2168"/>
    <w:rsid w:val="00BB225C"/>
    <w:rsid w:val="00BB2277"/>
    <w:rsid w:val="00BB22BA"/>
    <w:rsid w:val="00BB2486"/>
    <w:rsid w:val="00BB26B4"/>
    <w:rsid w:val="00BB26C7"/>
    <w:rsid w:val="00BB2767"/>
    <w:rsid w:val="00BB2992"/>
    <w:rsid w:val="00BB2A28"/>
    <w:rsid w:val="00BB2B41"/>
    <w:rsid w:val="00BB2BE4"/>
    <w:rsid w:val="00BB2D57"/>
    <w:rsid w:val="00BB2DA5"/>
    <w:rsid w:val="00BB2DAC"/>
    <w:rsid w:val="00BB2DB2"/>
    <w:rsid w:val="00BB2DED"/>
    <w:rsid w:val="00BB2E49"/>
    <w:rsid w:val="00BB318E"/>
    <w:rsid w:val="00BB3386"/>
    <w:rsid w:val="00BB35F3"/>
    <w:rsid w:val="00BB3612"/>
    <w:rsid w:val="00BB369F"/>
    <w:rsid w:val="00BB3726"/>
    <w:rsid w:val="00BB3C7B"/>
    <w:rsid w:val="00BB41A5"/>
    <w:rsid w:val="00BB4304"/>
    <w:rsid w:val="00BB4405"/>
    <w:rsid w:val="00BB450E"/>
    <w:rsid w:val="00BB47D1"/>
    <w:rsid w:val="00BB4B4F"/>
    <w:rsid w:val="00BB4C8D"/>
    <w:rsid w:val="00BB5022"/>
    <w:rsid w:val="00BB5195"/>
    <w:rsid w:val="00BB51D8"/>
    <w:rsid w:val="00BB53F9"/>
    <w:rsid w:val="00BB553D"/>
    <w:rsid w:val="00BB58B3"/>
    <w:rsid w:val="00BB5913"/>
    <w:rsid w:val="00BB5AB4"/>
    <w:rsid w:val="00BB5B40"/>
    <w:rsid w:val="00BB5B68"/>
    <w:rsid w:val="00BB5B8A"/>
    <w:rsid w:val="00BB5BD1"/>
    <w:rsid w:val="00BB5DE9"/>
    <w:rsid w:val="00BB6023"/>
    <w:rsid w:val="00BB61E8"/>
    <w:rsid w:val="00BB64AF"/>
    <w:rsid w:val="00BB6971"/>
    <w:rsid w:val="00BB6A80"/>
    <w:rsid w:val="00BB6A94"/>
    <w:rsid w:val="00BB6BBF"/>
    <w:rsid w:val="00BB6DCE"/>
    <w:rsid w:val="00BB6F08"/>
    <w:rsid w:val="00BB6FFB"/>
    <w:rsid w:val="00BB7121"/>
    <w:rsid w:val="00BB766C"/>
    <w:rsid w:val="00BB7752"/>
    <w:rsid w:val="00BB7755"/>
    <w:rsid w:val="00BB7C39"/>
    <w:rsid w:val="00BB7DE4"/>
    <w:rsid w:val="00BB7EEF"/>
    <w:rsid w:val="00BC0176"/>
    <w:rsid w:val="00BC0244"/>
    <w:rsid w:val="00BC029C"/>
    <w:rsid w:val="00BC0489"/>
    <w:rsid w:val="00BC0602"/>
    <w:rsid w:val="00BC0689"/>
    <w:rsid w:val="00BC0A0C"/>
    <w:rsid w:val="00BC0DC9"/>
    <w:rsid w:val="00BC0FB0"/>
    <w:rsid w:val="00BC10C8"/>
    <w:rsid w:val="00BC14DC"/>
    <w:rsid w:val="00BC15FC"/>
    <w:rsid w:val="00BC1BF9"/>
    <w:rsid w:val="00BC1ED8"/>
    <w:rsid w:val="00BC1F14"/>
    <w:rsid w:val="00BC2049"/>
    <w:rsid w:val="00BC2134"/>
    <w:rsid w:val="00BC22EF"/>
    <w:rsid w:val="00BC258C"/>
    <w:rsid w:val="00BC298A"/>
    <w:rsid w:val="00BC29A9"/>
    <w:rsid w:val="00BC2C8D"/>
    <w:rsid w:val="00BC2DFA"/>
    <w:rsid w:val="00BC31E7"/>
    <w:rsid w:val="00BC35A9"/>
    <w:rsid w:val="00BC3C04"/>
    <w:rsid w:val="00BC3C25"/>
    <w:rsid w:val="00BC3F46"/>
    <w:rsid w:val="00BC4020"/>
    <w:rsid w:val="00BC4502"/>
    <w:rsid w:val="00BC46A2"/>
    <w:rsid w:val="00BC49CD"/>
    <w:rsid w:val="00BC4C98"/>
    <w:rsid w:val="00BC4D63"/>
    <w:rsid w:val="00BC4FC9"/>
    <w:rsid w:val="00BC5478"/>
    <w:rsid w:val="00BC54EF"/>
    <w:rsid w:val="00BC5557"/>
    <w:rsid w:val="00BC559A"/>
    <w:rsid w:val="00BC55C8"/>
    <w:rsid w:val="00BC5756"/>
    <w:rsid w:val="00BC5780"/>
    <w:rsid w:val="00BC58A2"/>
    <w:rsid w:val="00BC5D9E"/>
    <w:rsid w:val="00BC5DFA"/>
    <w:rsid w:val="00BC5E39"/>
    <w:rsid w:val="00BC5EC4"/>
    <w:rsid w:val="00BC62FE"/>
    <w:rsid w:val="00BC645A"/>
    <w:rsid w:val="00BC67A1"/>
    <w:rsid w:val="00BC68E7"/>
    <w:rsid w:val="00BC6962"/>
    <w:rsid w:val="00BC6A53"/>
    <w:rsid w:val="00BC6BB7"/>
    <w:rsid w:val="00BC6BE9"/>
    <w:rsid w:val="00BC6D72"/>
    <w:rsid w:val="00BC7173"/>
    <w:rsid w:val="00BC71BC"/>
    <w:rsid w:val="00BC7202"/>
    <w:rsid w:val="00BC7888"/>
    <w:rsid w:val="00BC79F4"/>
    <w:rsid w:val="00BC7BD7"/>
    <w:rsid w:val="00BC7C79"/>
    <w:rsid w:val="00BC7C7B"/>
    <w:rsid w:val="00BC7D5E"/>
    <w:rsid w:val="00BC7E9C"/>
    <w:rsid w:val="00BD027C"/>
    <w:rsid w:val="00BD02C5"/>
    <w:rsid w:val="00BD0314"/>
    <w:rsid w:val="00BD0318"/>
    <w:rsid w:val="00BD052E"/>
    <w:rsid w:val="00BD0578"/>
    <w:rsid w:val="00BD087D"/>
    <w:rsid w:val="00BD096A"/>
    <w:rsid w:val="00BD0B33"/>
    <w:rsid w:val="00BD0B35"/>
    <w:rsid w:val="00BD0BDB"/>
    <w:rsid w:val="00BD0CDC"/>
    <w:rsid w:val="00BD0D53"/>
    <w:rsid w:val="00BD131D"/>
    <w:rsid w:val="00BD13F1"/>
    <w:rsid w:val="00BD150E"/>
    <w:rsid w:val="00BD154F"/>
    <w:rsid w:val="00BD16A2"/>
    <w:rsid w:val="00BD1870"/>
    <w:rsid w:val="00BD1917"/>
    <w:rsid w:val="00BD19B4"/>
    <w:rsid w:val="00BD1ADF"/>
    <w:rsid w:val="00BD1B1A"/>
    <w:rsid w:val="00BD1BA5"/>
    <w:rsid w:val="00BD1ED5"/>
    <w:rsid w:val="00BD1F97"/>
    <w:rsid w:val="00BD1FEA"/>
    <w:rsid w:val="00BD2031"/>
    <w:rsid w:val="00BD2087"/>
    <w:rsid w:val="00BD225E"/>
    <w:rsid w:val="00BD22E1"/>
    <w:rsid w:val="00BD239D"/>
    <w:rsid w:val="00BD23E9"/>
    <w:rsid w:val="00BD2A26"/>
    <w:rsid w:val="00BD2AE9"/>
    <w:rsid w:val="00BD2AF3"/>
    <w:rsid w:val="00BD3203"/>
    <w:rsid w:val="00BD34BB"/>
    <w:rsid w:val="00BD356A"/>
    <w:rsid w:val="00BD36AC"/>
    <w:rsid w:val="00BD41B8"/>
    <w:rsid w:val="00BD41E1"/>
    <w:rsid w:val="00BD4229"/>
    <w:rsid w:val="00BD435B"/>
    <w:rsid w:val="00BD476F"/>
    <w:rsid w:val="00BD477E"/>
    <w:rsid w:val="00BD47C9"/>
    <w:rsid w:val="00BD4838"/>
    <w:rsid w:val="00BD484E"/>
    <w:rsid w:val="00BD4B6A"/>
    <w:rsid w:val="00BD4BC3"/>
    <w:rsid w:val="00BD4C55"/>
    <w:rsid w:val="00BD4CC0"/>
    <w:rsid w:val="00BD4D6C"/>
    <w:rsid w:val="00BD4D72"/>
    <w:rsid w:val="00BD4D9C"/>
    <w:rsid w:val="00BD4E0E"/>
    <w:rsid w:val="00BD4E43"/>
    <w:rsid w:val="00BD4F6D"/>
    <w:rsid w:val="00BD4FE9"/>
    <w:rsid w:val="00BD503E"/>
    <w:rsid w:val="00BD504C"/>
    <w:rsid w:val="00BD5111"/>
    <w:rsid w:val="00BD568B"/>
    <w:rsid w:val="00BD5747"/>
    <w:rsid w:val="00BD581D"/>
    <w:rsid w:val="00BD5855"/>
    <w:rsid w:val="00BD59B9"/>
    <w:rsid w:val="00BD59EE"/>
    <w:rsid w:val="00BD5AD4"/>
    <w:rsid w:val="00BD5B23"/>
    <w:rsid w:val="00BD5E7E"/>
    <w:rsid w:val="00BD5F8E"/>
    <w:rsid w:val="00BD5FCA"/>
    <w:rsid w:val="00BD6264"/>
    <w:rsid w:val="00BD64F1"/>
    <w:rsid w:val="00BD653D"/>
    <w:rsid w:val="00BD65D4"/>
    <w:rsid w:val="00BD66EA"/>
    <w:rsid w:val="00BD6855"/>
    <w:rsid w:val="00BD6AF7"/>
    <w:rsid w:val="00BD6CA4"/>
    <w:rsid w:val="00BD6D85"/>
    <w:rsid w:val="00BD6DEA"/>
    <w:rsid w:val="00BD6E63"/>
    <w:rsid w:val="00BD6F9F"/>
    <w:rsid w:val="00BD71E5"/>
    <w:rsid w:val="00BD7526"/>
    <w:rsid w:val="00BD7778"/>
    <w:rsid w:val="00BD7912"/>
    <w:rsid w:val="00BD7C73"/>
    <w:rsid w:val="00BE004C"/>
    <w:rsid w:val="00BE01AD"/>
    <w:rsid w:val="00BE0448"/>
    <w:rsid w:val="00BE04A5"/>
    <w:rsid w:val="00BE04DF"/>
    <w:rsid w:val="00BE058D"/>
    <w:rsid w:val="00BE0937"/>
    <w:rsid w:val="00BE0A86"/>
    <w:rsid w:val="00BE0BE3"/>
    <w:rsid w:val="00BE0BEA"/>
    <w:rsid w:val="00BE0DCA"/>
    <w:rsid w:val="00BE10B7"/>
    <w:rsid w:val="00BE125A"/>
    <w:rsid w:val="00BE183D"/>
    <w:rsid w:val="00BE1950"/>
    <w:rsid w:val="00BE1A72"/>
    <w:rsid w:val="00BE1B4C"/>
    <w:rsid w:val="00BE1D36"/>
    <w:rsid w:val="00BE21B0"/>
    <w:rsid w:val="00BE2571"/>
    <w:rsid w:val="00BE2600"/>
    <w:rsid w:val="00BE2751"/>
    <w:rsid w:val="00BE2793"/>
    <w:rsid w:val="00BE27D3"/>
    <w:rsid w:val="00BE28E7"/>
    <w:rsid w:val="00BE2AEA"/>
    <w:rsid w:val="00BE2DCF"/>
    <w:rsid w:val="00BE2E5C"/>
    <w:rsid w:val="00BE3329"/>
    <w:rsid w:val="00BE36CC"/>
    <w:rsid w:val="00BE3813"/>
    <w:rsid w:val="00BE393E"/>
    <w:rsid w:val="00BE3B4C"/>
    <w:rsid w:val="00BE3C93"/>
    <w:rsid w:val="00BE3CD3"/>
    <w:rsid w:val="00BE4090"/>
    <w:rsid w:val="00BE40A6"/>
    <w:rsid w:val="00BE417D"/>
    <w:rsid w:val="00BE426A"/>
    <w:rsid w:val="00BE4301"/>
    <w:rsid w:val="00BE452A"/>
    <w:rsid w:val="00BE4544"/>
    <w:rsid w:val="00BE459E"/>
    <w:rsid w:val="00BE4922"/>
    <w:rsid w:val="00BE4DAB"/>
    <w:rsid w:val="00BE4E65"/>
    <w:rsid w:val="00BE520A"/>
    <w:rsid w:val="00BE5406"/>
    <w:rsid w:val="00BE5BF2"/>
    <w:rsid w:val="00BE5C6C"/>
    <w:rsid w:val="00BE6140"/>
    <w:rsid w:val="00BE64AA"/>
    <w:rsid w:val="00BE6534"/>
    <w:rsid w:val="00BE6555"/>
    <w:rsid w:val="00BE6717"/>
    <w:rsid w:val="00BE6801"/>
    <w:rsid w:val="00BE69BB"/>
    <w:rsid w:val="00BE69EA"/>
    <w:rsid w:val="00BE6D9E"/>
    <w:rsid w:val="00BE6DFC"/>
    <w:rsid w:val="00BE7094"/>
    <w:rsid w:val="00BE7160"/>
    <w:rsid w:val="00BE7307"/>
    <w:rsid w:val="00BE7455"/>
    <w:rsid w:val="00BE780B"/>
    <w:rsid w:val="00BE7D51"/>
    <w:rsid w:val="00BF0010"/>
    <w:rsid w:val="00BF01F9"/>
    <w:rsid w:val="00BF021E"/>
    <w:rsid w:val="00BF0255"/>
    <w:rsid w:val="00BF0478"/>
    <w:rsid w:val="00BF0A04"/>
    <w:rsid w:val="00BF0A20"/>
    <w:rsid w:val="00BF0C82"/>
    <w:rsid w:val="00BF0D9D"/>
    <w:rsid w:val="00BF1017"/>
    <w:rsid w:val="00BF11B2"/>
    <w:rsid w:val="00BF152B"/>
    <w:rsid w:val="00BF154A"/>
    <w:rsid w:val="00BF159B"/>
    <w:rsid w:val="00BF162E"/>
    <w:rsid w:val="00BF18AA"/>
    <w:rsid w:val="00BF191E"/>
    <w:rsid w:val="00BF1A11"/>
    <w:rsid w:val="00BF1E7D"/>
    <w:rsid w:val="00BF1F2E"/>
    <w:rsid w:val="00BF1F66"/>
    <w:rsid w:val="00BF203C"/>
    <w:rsid w:val="00BF22B6"/>
    <w:rsid w:val="00BF23DD"/>
    <w:rsid w:val="00BF264D"/>
    <w:rsid w:val="00BF2837"/>
    <w:rsid w:val="00BF28C3"/>
    <w:rsid w:val="00BF2A4D"/>
    <w:rsid w:val="00BF2B62"/>
    <w:rsid w:val="00BF2BAA"/>
    <w:rsid w:val="00BF2BED"/>
    <w:rsid w:val="00BF2C0F"/>
    <w:rsid w:val="00BF2CCE"/>
    <w:rsid w:val="00BF2E18"/>
    <w:rsid w:val="00BF2EDD"/>
    <w:rsid w:val="00BF2F5D"/>
    <w:rsid w:val="00BF2FBB"/>
    <w:rsid w:val="00BF33F5"/>
    <w:rsid w:val="00BF341E"/>
    <w:rsid w:val="00BF3435"/>
    <w:rsid w:val="00BF35B1"/>
    <w:rsid w:val="00BF36D8"/>
    <w:rsid w:val="00BF3903"/>
    <w:rsid w:val="00BF3A0B"/>
    <w:rsid w:val="00BF3BC0"/>
    <w:rsid w:val="00BF3C04"/>
    <w:rsid w:val="00BF3CAF"/>
    <w:rsid w:val="00BF3D0F"/>
    <w:rsid w:val="00BF3E1E"/>
    <w:rsid w:val="00BF3F6C"/>
    <w:rsid w:val="00BF4038"/>
    <w:rsid w:val="00BF40B4"/>
    <w:rsid w:val="00BF41E5"/>
    <w:rsid w:val="00BF44D4"/>
    <w:rsid w:val="00BF4A91"/>
    <w:rsid w:val="00BF4ADF"/>
    <w:rsid w:val="00BF4D79"/>
    <w:rsid w:val="00BF4D9D"/>
    <w:rsid w:val="00BF4DA4"/>
    <w:rsid w:val="00BF50AD"/>
    <w:rsid w:val="00BF52EF"/>
    <w:rsid w:val="00BF5778"/>
    <w:rsid w:val="00BF57DE"/>
    <w:rsid w:val="00BF590A"/>
    <w:rsid w:val="00BF5990"/>
    <w:rsid w:val="00BF5AC8"/>
    <w:rsid w:val="00BF5D12"/>
    <w:rsid w:val="00BF5D87"/>
    <w:rsid w:val="00BF5DA2"/>
    <w:rsid w:val="00BF5E1E"/>
    <w:rsid w:val="00BF5ECF"/>
    <w:rsid w:val="00BF6378"/>
    <w:rsid w:val="00BF64BD"/>
    <w:rsid w:val="00BF65CD"/>
    <w:rsid w:val="00BF66FD"/>
    <w:rsid w:val="00BF6903"/>
    <w:rsid w:val="00BF69C5"/>
    <w:rsid w:val="00BF6AB2"/>
    <w:rsid w:val="00BF6B5C"/>
    <w:rsid w:val="00BF6D40"/>
    <w:rsid w:val="00BF716C"/>
    <w:rsid w:val="00BF7281"/>
    <w:rsid w:val="00BF730C"/>
    <w:rsid w:val="00BF759E"/>
    <w:rsid w:val="00BF7686"/>
    <w:rsid w:val="00BF7694"/>
    <w:rsid w:val="00BF7A0E"/>
    <w:rsid w:val="00BF7AEB"/>
    <w:rsid w:val="00BF7E66"/>
    <w:rsid w:val="00BF7E75"/>
    <w:rsid w:val="00BF7F62"/>
    <w:rsid w:val="00C004BF"/>
    <w:rsid w:val="00C0063B"/>
    <w:rsid w:val="00C00678"/>
    <w:rsid w:val="00C00A4F"/>
    <w:rsid w:val="00C01033"/>
    <w:rsid w:val="00C012F5"/>
    <w:rsid w:val="00C01421"/>
    <w:rsid w:val="00C014C4"/>
    <w:rsid w:val="00C016A7"/>
    <w:rsid w:val="00C01826"/>
    <w:rsid w:val="00C01980"/>
    <w:rsid w:val="00C01BCD"/>
    <w:rsid w:val="00C01C28"/>
    <w:rsid w:val="00C01FA9"/>
    <w:rsid w:val="00C02057"/>
    <w:rsid w:val="00C02115"/>
    <w:rsid w:val="00C021A2"/>
    <w:rsid w:val="00C0287D"/>
    <w:rsid w:val="00C02AFA"/>
    <w:rsid w:val="00C033CD"/>
    <w:rsid w:val="00C03A9E"/>
    <w:rsid w:val="00C03D86"/>
    <w:rsid w:val="00C03DBB"/>
    <w:rsid w:val="00C03DE1"/>
    <w:rsid w:val="00C03E26"/>
    <w:rsid w:val="00C03E57"/>
    <w:rsid w:val="00C03FCA"/>
    <w:rsid w:val="00C04246"/>
    <w:rsid w:val="00C04383"/>
    <w:rsid w:val="00C0476D"/>
    <w:rsid w:val="00C047B0"/>
    <w:rsid w:val="00C0483E"/>
    <w:rsid w:val="00C04A66"/>
    <w:rsid w:val="00C04C50"/>
    <w:rsid w:val="00C04C7F"/>
    <w:rsid w:val="00C04DEA"/>
    <w:rsid w:val="00C04E19"/>
    <w:rsid w:val="00C04EEC"/>
    <w:rsid w:val="00C04F0D"/>
    <w:rsid w:val="00C05271"/>
    <w:rsid w:val="00C056FF"/>
    <w:rsid w:val="00C0597C"/>
    <w:rsid w:val="00C05B57"/>
    <w:rsid w:val="00C05B94"/>
    <w:rsid w:val="00C05C59"/>
    <w:rsid w:val="00C05C67"/>
    <w:rsid w:val="00C05E58"/>
    <w:rsid w:val="00C05FA8"/>
    <w:rsid w:val="00C06076"/>
    <w:rsid w:val="00C06105"/>
    <w:rsid w:val="00C0649A"/>
    <w:rsid w:val="00C0656F"/>
    <w:rsid w:val="00C065C5"/>
    <w:rsid w:val="00C06852"/>
    <w:rsid w:val="00C06879"/>
    <w:rsid w:val="00C069C1"/>
    <w:rsid w:val="00C06ABC"/>
    <w:rsid w:val="00C06B28"/>
    <w:rsid w:val="00C06BC8"/>
    <w:rsid w:val="00C06C85"/>
    <w:rsid w:val="00C06E0A"/>
    <w:rsid w:val="00C06EA3"/>
    <w:rsid w:val="00C06FE9"/>
    <w:rsid w:val="00C070BF"/>
    <w:rsid w:val="00C07364"/>
    <w:rsid w:val="00C07483"/>
    <w:rsid w:val="00C0797E"/>
    <w:rsid w:val="00C07BA7"/>
    <w:rsid w:val="00C07CFC"/>
    <w:rsid w:val="00C07EB0"/>
    <w:rsid w:val="00C07EFB"/>
    <w:rsid w:val="00C07F68"/>
    <w:rsid w:val="00C1005D"/>
    <w:rsid w:val="00C101EC"/>
    <w:rsid w:val="00C10338"/>
    <w:rsid w:val="00C10568"/>
    <w:rsid w:val="00C1090A"/>
    <w:rsid w:val="00C109A6"/>
    <w:rsid w:val="00C109B1"/>
    <w:rsid w:val="00C10CA2"/>
    <w:rsid w:val="00C10DBA"/>
    <w:rsid w:val="00C10F95"/>
    <w:rsid w:val="00C11023"/>
    <w:rsid w:val="00C11036"/>
    <w:rsid w:val="00C110BE"/>
    <w:rsid w:val="00C111ED"/>
    <w:rsid w:val="00C11262"/>
    <w:rsid w:val="00C115C5"/>
    <w:rsid w:val="00C117CE"/>
    <w:rsid w:val="00C11813"/>
    <w:rsid w:val="00C11844"/>
    <w:rsid w:val="00C11ABE"/>
    <w:rsid w:val="00C11EE1"/>
    <w:rsid w:val="00C11FA4"/>
    <w:rsid w:val="00C120FC"/>
    <w:rsid w:val="00C123BB"/>
    <w:rsid w:val="00C12492"/>
    <w:rsid w:val="00C12725"/>
    <w:rsid w:val="00C12728"/>
    <w:rsid w:val="00C1290F"/>
    <w:rsid w:val="00C12C84"/>
    <w:rsid w:val="00C12D8B"/>
    <w:rsid w:val="00C12DE9"/>
    <w:rsid w:val="00C1322C"/>
    <w:rsid w:val="00C132C8"/>
    <w:rsid w:val="00C1346B"/>
    <w:rsid w:val="00C134BA"/>
    <w:rsid w:val="00C13679"/>
    <w:rsid w:val="00C137A7"/>
    <w:rsid w:val="00C138B2"/>
    <w:rsid w:val="00C1391F"/>
    <w:rsid w:val="00C13C37"/>
    <w:rsid w:val="00C13F21"/>
    <w:rsid w:val="00C13F44"/>
    <w:rsid w:val="00C140F7"/>
    <w:rsid w:val="00C14248"/>
    <w:rsid w:val="00C14361"/>
    <w:rsid w:val="00C144BD"/>
    <w:rsid w:val="00C14669"/>
    <w:rsid w:val="00C146B2"/>
    <w:rsid w:val="00C14997"/>
    <w:rsid w:val="00C14BCC"/>
    <w:rsid w:val="00C14DD9"/>
    <w:rsid w:val="00C150B2"/>
    <w:rsid w:val="00C150EB"/>
    <w:rsid w:val="00C15267"/>
    <w:rsid w:val="00C152DF"/>
    <w:rsid w:val="00C154B9"/>
    <w:rsid w:val="00C159F3"/>
    <w:rsid w:val="00C15A13"/>
    <w:rsid w:val="00C15CBB"/>
    <w:rsid w:val="00C15D24"/>
    <w:rsid w:val="00C15D91"/>
    <w:rsid w:val="00C15DF5"/>
    <w:rsid w:val="00C1619A"/>
    <w:rsid w:val="00C162AA"/>
    <w:rsid w:val="00C162BC"/>
    <w:rsid w:val="00C16533"/>
    <w:rsid w:val="00C165B7"/>
    <w:rsid w:val="00C1677A"/>
    <w:rsid w:val="00C167F8"/>
    <w:rsid w:val="00C16C5B"/>
    <w:rsid w:val="00C16CAA"/>
    <w:rsid w:val="00C16E12"/>
    <w:rsid w:val="00C16FD3"/>
    <w:rsid w:val="00C170C0"/>
    <w:rsid w:val="00C170F6"/>
    <w:rsid w:val="00C175FC"/>
    <w:rsid w:val="00C179FC"/>
    <w:rsid w:val="00C17B32"/>
    <w:rsid w:val="00C17BE6"/>
    <w:rsid w:val="00C17E34"/>
    <w:rsid w:val="00C20550"/>
    <w:rsid w:val="00C206A4"/>
    <w:rsid w:val="00C20756"/>
    <w:rsid w:val="00C2080E"/>
    <w:rsid w:val="00C20842"/>
    <w:rsid w:val="00C20A13"/>
    <w:rsid w:val="00C20C40"/>
    <w:rsid w:val="00C20E10"/>
    <w:rsid w:val="00C20EE4"/>
    <w:rsid w:val="00C2103F"/>
    <w:rsid w:val="00C210A6"/>
    <w:rsid w:val="00C21329"/>
    <w:rsid w:val="00C21379"/>
    <w:rsid w:val="00C21416"/>
    <w:rsid w:val="00C21545"/>
    <w:rsid w:val="00C2159A"/>
    <w:rsid w:val="00C216F3"/>
    <w:rsid w:val="00C21870"/>
    <w:rsid w:val="00C21915"/>
    <w:rsid w:val="00C21950"/>
    <w:rsid w:val="00C219F9"/>
    <w:rsid w:val="00C21D41"/>
    <w:rsid w:val="00C21D84"/>
    <w:rsid w:val="00C21D9C"/>
    <w:rsid w:val="00C2217E"/>
    <w:rsid w:val="00C221A0"/>
    <w:rsid w:val="00C221D5"/>
    <w:rsid w:val="00C22490"/>
    <w:rsid w:val="00C224CC"/>
    <w:rsid w:val="00C226E8"/>
    <w:rsid w:val="00C227AE"/>
    <w:rsid w:val="00C227E4"/>
    <w:rsid w:val="00C2286D"/>
    <w:rsid w:val="00C229E8"/>
    <w:rsid w:val="00C22AAB"/>
    <w:rsid w:val="00C22AC9"/>
    <w:rsid w:val="00C22DC9"/>
    <w:rsid w:val="00C22DFA"/>
    <w:rsid w:val="00C22E58"/>
    <w:rsid w:val="00C22FEC"/>
    <w:rsid w:val="00C23380"/>
    <w:rsid w:val="00C23820"/>
    <w:rsid w:val="00C23892"/>
    <w:rsid w:val="00C23BBB"/>
    <w:rsid w:val="00C23CBD"/>
    <w:rsid w:val="00C23D84"/>
    <w:rsid w:val="00C24005"/>
    <w:rsid w:val="00C24054"/>
    <w:rsid w:val="00C2413D"/>
    <w:rsid w:val="00C2419D"/>
    <w:rsid w:val="00C241FF"/>
    <w:rsid w:val="00C24219"/>
    <w:rsid w:val="00C244C0"/>
    <w:rsid w:val="00C24563"/>
    <w:rsid w:val="00C2477D"/>
    <w:rsid w:val="00C24B52"/>
    <w:rsid w:val="00C24C92"/>
    <w:rsid w:val="00C24D10"/>
    <w:rsid w:val="00C24E74"/>
    <w:rsid w:val="00C24ED2"/>
    <w:rsid w:val="00C2505C"/>
    <w:rsid w:val="00C251A5"/>
    <w:rsid w:val="00C251D9"/>
    <w:rsid w:val="00C251E1"/>
    <w:rsid w:val="00C25432"/>
    <w:rsid w:val="00C25749"/>
    <w:rsid w:val="00C25915"/>
    <w:rsid w:val="00C25A5A"/>
    <w:rsid w:val="00C25B9A"/>
    <w:rsid w:val="00C25C9E"/>
    <w:rsid w:val="00C25D22"/>
    <w:rsid w:val="00C25EC8"/>
    <w:rsid w:val="00C25FC0"/>
    <w:rsid w:val="00C2656D"/>
    <w:rsid w:val="00C26577"/>
    <w:rsid w:val="00C2665F"/>
    <w:rsid w:val="00C26888"/>
    <w:rsid w:val="00C268C5"/>
    <w:rsid w:val="00C26C8E"/>
    <w:rsid w:val="00C26D39"/>
    <w:rsid w:val="00C270CC"/>
    <w:rsid w:val="00C2728B"/>
    <w:rsid w:val="00C2729A"/>
    <w:rsid w:val="00C272C4"/>
    <w:rsid w:val="00C27473"/>
    <w:rsid w:val="00C27603"/>
    <w:rsid w:val="00C27844"/>
    <w:rsid w:val="00C27EBF"/>
    <w:rsid w:val="00C30165"/>
    <w:rsid w:val="00C304A7"/>
    <w:rsid w:val="00C3050D"/>
    <w:rsid w:val="00C307C6"/>
    <w:rsid w:val="00C30987"/>
    <w:rsid w:val="00C30AFA"/>
    <w:rsid w:val="00C30B58"/>
    <w:rsid w:val="00C30D8E"/>
    <w:rsid w:val="00C30DE9"/>
    <w:rsid w:val="00C30DEB"/>
    <w:rsid w:val="00C30E89"/>
    <w:rsid w:val="00C31358"/>
    <w:rsid w:val="00C31439"/>
    <w:rsid w:val="00C314C5"/>
    <w:rsid w:val="00C3156F"/>
    <w:rsid w:val="00C31C12"/>
    <w:rsid w:val="00C31E5A"/>
    <w:rsid w:val="00C31E6E"/>
    <w:rsid w:val="00C323CD"/>
    <w:rsid w:val="00C324FF"/>
    <w:rsid w:val="00C32690"/>
    <w:rsid w:val="00C32704"/>
    <w:rsid w:val="00C3270A"/>
    <w:rsid w:val="00C32969"/>
    <w:rsid w:val="00C32A12"/>
    <w:rsid w:val="00C32AC6"/>
    <w:rsid w:val="00C32AC8"/>
    <w:rsid w:val="00C32AF1"/>
    <w:rsid w:val="00C32CB9"/>
    <w:rsid w:val="00C32DED"/>
    <w:rsid w:val="00C3322C"/>
    <w:rsid w:val="00C3344C"/>
    <w:rsid w:val="00C337E2"/>
    <w:rsid w:val="00C3385E"/>
    <w:rsid w:val="00C33BDF"/>
    <w:rsid w:val="00C342DC"/>
    <w:rsid w:val="00C3434C"/>
    <w:rsid w:val="00C34648"/>
    <w:rsid w:val="00C34A5D"/>
    <w:rsid w:val="00C34C89"/>
    <w:rsid w:val="00C34D97"/>
    <w:rsid w:val="00C34EAD"/>
    <w:rsid w:val="00C35014"/>
    <w:rsid w:val="00C35036"/>
    <w:rsid w:val="00C3507E"/>
    <w:rsid w:val="00C35370"/>
    <w:rsid w:val="00C3596B"/>
    <w:rsid w:val="00C359A8"/>
    <w:rsid w:val="00C359E1"/>
    <w:rsid w:val="00C35AC0"/>
    <w:rsid w:val="00C35B20"/>
    <w:rsid w:val="00C35BCB"/>
    <w:rsid w:val="00C35DA1"/>
    <w:rsid w:val="00C35FAE"/>
    <w:rsid w:val="00C36066"/>
    <w:rsid w:val="00C362EF"/>
    <w:rsid w:val="00C36465"/>
    <w:rsid w:val="00C36605"/>
    <w:rsid w:val="00C367E0"/>
    <w:rsid w:val="00C3682B"/>
    <w:rsid w:val="00C36B01"/>
    <w:rsid w:val="00C36BCF"/>
    <w:rsid w:val="00C36C82"/>
    <w:rsid w:val="00C36D7B"/>
    <w:rsid w:val="00C37403"/>
    <w:rsid w:val="00C375B5"/>
    <w:rsid w:val="00C3768C"/>
    <w:rsid w:val="00C377DA"/>
    <w:rsid w:val="00C37A18"/>
    <w:rsid w:val="00C37B95"/>
    <w:rsid w:val="00C37BB6"/>
    <w:rsid w:val="00C37D0B"/>
    <w:rsid w:val="00C37DBE"/>
    <w:rsid w:val="00C37FA3"/>
    <w:rsid w:val="00C400BE"/>
    <w:rsid w:val="00C401B4"/>
    <w:rsid w:val="00C4027A"/>
    <w:rsid w:val="00C4051C"/>
    <w:rsid w:val="00C407D0"/>
    <w:rsid w:val="00C4097C"/>
    <w:rsid w:val="00C40B5F"/>
    <w:rsid w:val="00C40BD7"/>
    <w:rsid w:val="00C40C32"/>
    <w:rsid w:val="00C40D7A"/>
    <w:rsid w:val="00C40EFB"/>
    <w:rsid w:val="00C40F70"/>
    <w:rsid w:val="00C40FD6"/>
    <w:rsid w:val="00C41864"/>
    <w:rsid w:val="00C41CD3"/>
    <w:rsid w:val="00C41D36"/>
    <w:rsid w:val="00C4228E"/>
    <w:rsid w:val="00C4238C"/>
    <w:rsid w:val="00C428C2"/>
    <w:rsid w:val="00C4292B"/>
    <w:rsid w:val="00C429CD"/>
    <w:rsid w:val="00C42A2A"/>
    <w:rsid w:val="00C42B7C"/>
    <w:rsid w:val="00C42B8C"/>
    <w:rsid w:val="00C42C03"/>
    <w:rsid w:val="00C42CAF"/>
    <w:rsid w:val="00C42CCE"/>
    <w:rsid w:val="00C42D07"/>
    <w:rsid w:val="00C43396"/>
    <w:rsid w:val="00C434B3"/>
    <w:rsid w:val="00C4350F"/>
    <w:rsid w:val="00C4364B"/>
    <w:rsid w:val="00C437E7"/>
    <w:rsid w:val="00C43C5C"/>
    <w:rsid w:val="00C43E12"/>
    <w:rsid w:val="00C43E17"/>
    <w:rsid w:val="00C4427A"/>
    <w:rsid w:val="00C443E0"/>
    <w:rsid w:val="00C443F2"/>
    <w:rsid w:val="00C448BB"/>
    <w:rsid w:val="00C449CF"/>
    <w:rsid w:val="00C44D14"/>
    <w:rsid w:val="00C44DC0"/>
    <w:rsid w:val="00C44E9F"/>
    <w:rsid w:val="00C450A2"/>
    <w:rsid w:val="00C4516D"/>
    <w:rsid w:val="00C45595"/>
    <w:rsid w:val="00C455E7"/>
    <w:rsid w:val="00C4577D"/>
    <w:rsid w:val="00C45B7C"/>
    <w:rsid w:val="00C45CFC"/>
    <w:rsid w:val="00C45E95"/>
    <w:rsid w:val="00C45EDF"/>
    <w:rsid w:val="00C45F5B"/>
    <w:rsid w:val="00C460CA"/>
    <w:rsid w:val="00C4618E"/>
    <w:rsid w:val="00C46273"/>
    <w:rsid w:val="00C46590"/>
    <w:rsid w:val="00C46BCC"/>
    <w:rsid w:val="00C46DE1"/>
    <w:rsid w:val="00C46EF8"/>
    <w:rsid w:val="00C46F79"/>
    <w:rsid w:val="00C46FC9"/>
    <w:rsid w:val="00C47367"/>
    <w:rsid w:val="00C4738C"/>
    <w:rsid w:val="00C474A3"/>
    <w:rsid w:val="00C47910"/>
    <w:rsid w:val="00C4796B"/>
    <w:rsid w:val="00C47BCF"/>
    <w:rsid w:val="00C47DB9"/>
    <w:rsid w:val="00C500ED"/>
    <w:rsid w:val="00C50131"/>
    <w:rsid w:val="00C5024C"/>
    <w:rsid w:val="00C503AF"/>
    <w:rsid w:val="00C507B9"/>
    <w:rsid w:val="00C507BA"/>
    <w:rsid w:val="00C508AD"/>
    <w:rsid w:val="00C509E0"/>
    <w:rsid w:val="00C50AA1"/>
    <w:rsid w:val="00C51011"/>
    <w:rsid w:val="00C51174"/>
    <w:rsid w:val="00C512CB"/>
    <w:rsid w:val="00C5157D"/>
    <w:rsid w:val="00C515D3"/>
    <w:rsid w:val="00C51796"/>
    <w:rsid w:val="00C51892"/>
    <w:rsid w:val="00C51B84"/>
    <w:rsid w:val="00C52067"/>
    <w:rsid w:val="00C52076"/>
    <w:rsid w:val="00C52634"/>
    <w:rsid w:val="00C52911"/>
    <w:rsid w:val="00C52A5C"/>
    <w:rsid w:val="00C52B31"/>
    <w:rsid w:val="00C52BD3"/>
    <w:rsid w:val="00C5304D"/>
    <w:rsid w:val="00C530EE"/>
    <w:rsid w:val="00C532A1"/>
    <w:rsid w:val="00C534E3"/>
    <w:rsid w:val="00C537ED"/>
    <w:rsid w:val="00C53947"/>
    <w:rsid w:val="00C53AA8"/>
    <w:rsid w:val="00C53C28"/>
    <w:rsid w:val="00C53D79"/>
    <w:rsid w:val="00C53F43"/>
    <w:rsid w:val="00C5431F"/>
    <w:rsid w:val="00C54437"/>
    <w:rsid w:val="00C544E4"/>
    <w:rsid w:val="00C5456C"/>
    <w:rsid w:val="00C54770"/>
    <w:rsid w:val="00C54994"/>
    <w:rsid w:val="00C54B19"/>
    <w:rsid w:val="00C54B79"/>
    <w:rsid w:val="00C54BE4"/>
    <w:rsid w:val="00C54D58"/>
    <w:rsid w:val="00C54DE2"/>
    <w:rsid w:val="00C54F58"/>
    <w:rsid w:val="00C5507F"/>
    <w:rsid w:val="00C552A4"/>
    <w:rsid w:val="00C552A9"/>
    <w:rsid w:val="00C55411"/>
    <w:rsid w:val="00C55417"/>
    <w:rsid w:val="00C5546B"/>
    <w:rsid w:val="00C556D9"/>
    <w:rsid w:val="00C557BB"/>
    <w:rsid w:val="00C557C0"/>
    <w:rsid w:val="00C55CAB"/>
    <w:rsid w:val="00C55F17"/>
    <w:rsid w:val="00C56020"/>
    <w:rsid w:val="00C5614C"/>
    <w:rsid w:val="00C56330"/>
    <w:rsid w:val="00C563AE"/>
    <w:rsid w:val="00C5648B"/>
    <w:rsid w:val="00C565FD"/>
    <w:rsid w:val="00C56C3E"/>
    <w:rsid w:val="00C56EB0"/>
    <w:rsid w:val="00C56F73"/>
    <w:rsid w:val="00C575A2"/>
    <w:rsid w:val="00C575DC"/>
    <w:rsid w:val="00C5769A"/>
    <w:rsid w:val="00C576C6"/>
    <w:rsid w:val="00C579C8"/>
    <w:rsid w:val="00C579DE"/>
    <w:rsid w:val="00C57C36"/>
    <w:rsid w:val="00C57CE1"/>
    <w:rsid w:val="00C57F87"/>
    <w:rsid w:val="00C6005D"/>
    <w:rsid w:val="00C6039F"/>
    <w:rsid w:val="00C60451"/>
    <w:rsid w:val="00C60670"/>
    <w:rsid w:val="00C60737"/>
    <w:rsid w:val="00C60883"/>
    <w:rsid w:val="00C609C4"/>
    <w:rsid w:val="00C60B64"/>
    <w:rsid w:val="00C60C48"/>
    <w:rsid w:val="00C60E3C"/>
    <w:rsid w:val="00C60ECA"/>
    <w:rsid w:val="00C60FB1"/>
    <w:rsid w:val="00C61257"/>
    <w:rsid w:val="00C61306"/>
    <w:rsid w:val="00C6136E"/>
    <w:rsid w:val="00C613AB"/>
    <w:rsid w:val="00C614A1"/>
    <w:rsid w:val="00C616E0"/>
    <w:rsid w:val="00C617D8"/>
    <w:rsid w:val="00C618FB"/>
    <w:rsid w:val="00C61968"/>
    <w:rsid w:val="00C61983"/>
    <w:rsid w:val="00C61B60"/>
    <w:rsid w:val="00C61C88"/>
    <w:rsid w:val="00C61DD5"/>
    <w:rsid w:val="00C6255F"/>
    <w:rsid w:val="00C62A7D"/>
    <w:rsid w:val="00C62B16"/>
    <w:rsid w:val="00C62D28"/>
    <w:rsid w:val="00C62F22"/>
    <w:rsid w:val="00C63349"/>
    <w:rsid w:val="00C6343D"/>
    <w:rsid w:val="00C63472"/>
    <w:rsid w:val="00C635E0"/>
    <w:rsid w:val="00C6361D"/>
    <w:rsid w:val="00C63642"/>
    <w:rsid w:val="00C63817"/>
    <w:rsid w:val="00C63B82"/>
    <w:rsid w:val="00C63B87"/>
    <w:rsid w:val="00C63BB3"/>
    <w:rsid w:val="00C63C0B"/>
    <w:rsid w:val="00C6410F"/>
    <w:rsid w:val="00C6414E"/>
    <w:rsid w:val="00C64177"/>
    <w:rsid w:val="00C642B6"/>
    <w:rsid w:val="00C64725"/>
    <w:rsid w:val="00C64746"/>
    <w:rsid w:val="00C6474A"/>
    <w:rsid w:val="00C6479D"/>
    <w:rsid w:val="00C649E0"/>
    <w:rsid w:val="00C64EA9"/>
    <w:rsid w:val="00C64FEA"/>
    <w:rsid w:val="00C6503C"/>
    <w:rsid w:val="00C65140"/>
    <w:rsid w:val="00C652F1"/>
    <w:rsid w:val="00C65D22"/>
    <w:rsid w:val="00C65E23"/>
    <w:rsid w:val="00C65E42"/>
    <w:rsid w:val="00C65F25"/>
    <w:rsid w:val="00C66414"/>
    <w:rsid w:val="00C6660A"/>
    <w:rsid w:val="00C6660B"/>
    <w:rsid w:val="00C666DD"/>
    <w:rsid w:val="00C66792"/>
    <w:rsid w:val="00C66CF0"/>
    <w:rsid w:val="00C67029"/>
    <w:rsid w:val="00C6714B"/>
    <w:rsid w:val="00C672EC"/>
    <w:rsid w:val="00C67525"/>
    <w:rsid w:val="00C6755F"/>
    <w:rsid w:val="00C6757A"/>
    <w:rsid w:val="00C676C4"/>
    <w:rsid w:val="00C67733"/>
    <w:rsid w:val="00C678DC"/>
    <w:rsid w:val="00C67C2A"/>
    <w:rsid w:val="00C67C61"/>
    <w:rsid w:val="00C67CE7"/>
    <w:rsid w:val="00C67D6A"/>
    <w:rsid w:val="00C67DAB"/>
    <w:rsid w:val="00C67DC7"/>
    <w:rsid w:val="00C7004E"/>
    <w:rsid w:val="00C7014F"/>
    <w:rsid w:val="00C701F5"/>
    <w:rsid w:val="00C70382"/>
    <w:rsid w:val="00C70506"/>
    <w:rsid w:val="00C705E4"/>
    <w:rsid w:val="00C70645"/>
    <w:rsid w:val="00C70786"/>
    <w:rsid w:val="00C7081B"/>
    <w:rsid w:val="00C708EF"/>
    <w:rsid w:val="00C70A9A"/>
    <w:rsid w:val="00C70C1C"/>
    <w:rsid w:val="00C70DBA"/>
    <w:rsid w:val="00C70DE5"/>
    <w:rsid w:val="00C70FF3"/>
    <w:rsid w:val="00C71294"/>
    <w:rsid w:val="00C712A8"/>
    <w:rsid w:val="00C71379"/>
    <w:rsid w:val="00C715E0"/>
    <w:rsid w:val="00C71738"/>
    <w:rsid w:val="00C71F4C"/>
    <w:rsid w:val="00C71F60"/>
    <w:rsid w:val="00C71FC2"/>
    <w:rsid w:val="00C721F7"/>
    <w:rsid w:val="00C722A3"/>
    <w:rsid w:val="00C72389"/>
    <w:rsid w:val="00C72867"/>
    <w:rsid w:val="00C72BB4"/>
    <w:rsid w:val="00C72D39"/>
    <w:rsid w:val="00C72E24"/>
    <w:rsid w:val="00C72E75"/>
    <w:rsid w:val="00C73156"/>
    <w:rsid w:val="00C733AC"/>
    <w:rsid w:val="00C734A5"/>
    <w:rsid w:val="00C7376F"/>
    <w:rsid w:val="00C73974"/>
    <w:rsid w:val="00C73B96"/>
    <w:rsid w:val="00C73BC6"/>
    <w:rsid w:val="00C73C80"/>
    <w:rsid w:val="00C73CAF"/>
    <w:rsid w:val="00C73DC6"/>
    <w:rsid w:val="00C73FD8"/>
    <w:rsid w:val="00C745B1"/>
    <w:rsid w:val="00C74643"/>
    <w:rsid w:val="00C749E0"/>
    <w:rsid w:val="00C74A5B"/>
    <w:rsid w:val="00C74C48"/>
    <w:rsid w:val="00C74D6F"/>
    <w:rsid w:val="00C74F1F"/>
    <w:rsid w:val="00C74F65"/>
    <w:rsid w:val="00C75030"/>
    <w:rsid w:val="00C75166"/>
    <w:rsid w:val="00C756C4"/>
    <w:rsid w:val="00C75A98"/>
    <w:rsid w:val="00C75B01"/>
    <w:rsid w:val="00C75BE6"/>
    <w:rsid w:val="00C75BFB"/>
    <w:rsid w:val="00C75C59"/>
    <w:rsid w:val="00C75E0F"/>
    <w:rsid w:val="00C76228"/>
    <w:rsid w:val="00C762BE"/>
    <w:rsid w:val="00C763B6"/>
    <w:rsid w:val="00C763D1"/>
    <w:rsid w:val="00C7658F"/>
    <w:rsid w:val="00C765D7"/>
    <w:rsid w:val="00C765E6"/>
    <w:rsid w:val="00C766E2"/>
    <w:rsid w:val="00C7689A"/>
    <w:rsid w:val="00C76A63"/>
    <w:rsid w:val="00C76C6A"/>
    <w:rsid w:val="00C777CA"/>
    <w:rsid w:val="00C778AF"/>
    <w:rsid w:val="00C77B9A"/>
    <w:rsid w:val="00C77CDF"/>
    <w:rsid w:val="00C77D76"/>
    <w:rsid w:val="00C803AD"/>
    <w:rsid w:val="00C803B7"/>
    <w:rsid w:val="00C808DF"/>
    <w:rsid w:val="00C8097C"/>
    <w:rsid w:val="00C80C33"/>
    <w:rsid w:val="00C80E90"/>
    <w:rsid w:val="00C80F2F"/>
    <w:rsid w:val="00C80F94"/>
    <w:rsid w:val="00C812E9"/>
    <w:rsid w:val="00C8139C"/>
    <w:rsid w:val="00C813C6"/>
    <w:rsid w:val="00C81543"/>
    <w:rsid w:val="00C81C85"/>
    <w:rsid w:val="00C82C39"/>
    <w:rsid w:val="00C82CB6"/>
    <w:rsid w:val="00C8378D"/>
    <w:rsid w:val="00C838BF"/>
    <w:rsid w:val="00C83B22"/>
    <w:rsid w:val="00C83BE1"/>
    <w:rsid w:val="00C83BF2"/>
    <w:rsid w:val="00C84218"/>
    <w:rsid w:val="00C845B7"/>
    <w:rsid w:val="00C845FC"/>
    <w:rsid w:val="00C84A9A"/>
    <w:rsid w:val="00C84DAC"/>
    <w:rsid w:val="00C854BA"/>
    <w:rsid w:val="00C855A0"/>
    <w:rsid w:val="00C85675"/>
    <w:rsid w:val="00C85718"/>
    <w:rsid w:val="00C85825"/>
    <w:rsid w:val="00C858A1"/>
    <w:rsid w:val="00C858EE"/>
    <w:rsid w:val="00C85CB4"/>
    <w:rsid w:val="00C85D89"/>
    <w:rsid w:val="00C8600E"/>
    <w:rsid w:val="00C8623D"/>
    <w:rsid w:val="00C8627E"/>
    <w:rsid w:val="00C863C8"/>
    <w:rsid w:val="00C86505"/>
    <w:rsid w:val="00C86904"/>
    <w:rsid w:val="00C86A9F"/>
    <w:rsid w:val="00C86E47"/>
    <w:rsid w:val="00C86E4F"/>
    <w:rsid w:val="00C86F1C"/>
    <w:rsid w:val="00C86F92"/>
    <w:rsid w:val="00C8717F"/>
    <w:rsid w:val="00C8742E"/>
    <w:rsid w:val="00C87484"/>
    <w:rsid w:val="00C874D1"/>
    <w:rsid w:val="00C874FF"/>
    <w:rsid w:val="00C876B5"/>
    <w:rsid w:val="00C87812"/>
    <w:rsid w:val="00C8785B"/>
    <w:rsid w:val="00C87909"/>
    <w:rsid w:val="00C87958"/>
    <w:rsid w:val="00C87BF8"/>
    <w:rsid w:val="00C9002A"/>
    <w:rsid w:val="00C902AA"/>
    <w:rsid w:val="00C904DF"/>
    <w:rsid w:val="00C904E4"/>
    <w:rsid w:val="00C904E8"/>
    <w:rsid w:val="00C9058E"/>
    <w:rsid w:val="00C909AB"/>
    <w:rsid w:val="00C909FD"/>
    <w:rsid w:val="00C90DE8"/>
    <w:rsid w:val="00C91022"/>
    <w:rsid w:val="00C91056"/>
    <w:rsid w:val="00C912D9"/>
    <w:rsid w:val="00C91540"/>
    <w:rsid w:val="00C9158B"/>
    <w:rsid w:val="00C91703"/>
    <w:rsid w:val="00C9173A"/>
    <w:rsid w:val="00C91800"/>
    <w:rsid w:val="00C91B1E"/>
    <w:rsid w:val="00C91B73"/>
    <w:rsid w:val="00C91BD0"/>
    <w:rsid w:val="00C91C4E"/>
    <w:rsid w:val="00C91CF5"/>
    <w:rsid w:val="00C91D5D"/>
    <w:rsid w:val="00C91DDB"/>
    <w:rsid w:val="00C920F6"/>
    <w:rsid w:val="00C923FF"/>
    <w:rsid w:val="00C92C19"/>
    <w:rsid w:val="00C92C6E"/>
    <w:rsid w:val="00C92DB6"/>
    <w:rsid w:val="00C93167"/>
    <w:rsid w:val="00C933C4"/>
    <w:rsid w:val="00C9345A"/>
    <w:rsid w:val="00C935B8"/>
    <w:rsid w:val="00C9366F"/>
    <w:rsid w:val="00C93677"/>
    <w:rsid w:val="00C9375B"/>
    <w:rsid w:val="00C93849"/>
    <w:rsid w:val="00C938FB"/>
    <w:rsid w:val="00C93AA0"/>
    <w:rsid w:val="00C94090"/>
    <w:rsid w:val="00C941DC"/>
    <w:rsid w:val="00C94437"/>
    <w:rsid w:val="00C9455E"/>
    <w:rsid w:val="00C9498E"/>
    <w:rsid w:val="00C949F5"/>
    <w:rsid w:val="00C94E67"/>
    <w:rsid w:val="00C94FBE"/>
    <w:rsid w:val="00C95433"/>
    <w:rsid w:val="00C95453"/>
    <w:rsid w:val="00C95481"/>
    <w:rsid w:val="00C955D1"/>
    <w:rsid w:val="00C95AB8"/>
    <w:rsid w:val="00C95B1E"/>
    <w:rsid w:val="00C95BC0"/>
    <w:rsid w:val="00C95C33"/>
    <w:rsid w:val="00C95E12"/>
    <w:rsid w:val="00C95F0C"/>
    <w:rsid w:val="00C9618F"/>
    <w:rsid w:val="00C96274"/>
    <w:rsid w:val="00C9630D"/>
    <w:rsid w:val="00C9658B"/>
    <w:rsid w:val="00C96891"/>
    <w:rsid w:val="00C968D8"/>
    <w:rsid w:val="00C96993"/>
    <w:rsid w:val="00C96A64"/>
    <w:rsid w:val="00C96CA6"/>
    <w:rsid w:val="00C96D6C"/>
    <w:rsid w:val="00C96ED9"/>
    <w:rsid w:val="00C96EE5"/>
    <w:rsid w:val="00C96FDC"/>
    <w:rsid w:val="00C97186"/>
    <w:rsid w:val="00C9743D"/>
    <w:rsid w:val="00C97540"/>
    <w:rsid w:val="00C97546"/>
    <w:rsid w:val="00C97601"/>
    <w:rsid w:val="00C97657"/>
    <w:rsid w:val="00C977F9"/>
    <w:rsid w:val="00C97C91"/>
    <w:rsid w:val="00C97C97"/>
    <w:rsid w:val="00C97FD2"/>
    <w:rsid w:val="00CA0800"/>
    <w:rsid w:val="00CA0850"/>
    <w:rsid w:val="00CA0B8B"/>
    <w:rsid w:val="00CA1166"/>
    <w:rsid w:val="00CA1334"/>
    <w:rsid w:val="00CA1389"/>
    <w:rsid w:val="00CA1566"/>
    <w:rsid w:val="00CA1644"/>
    <w:rsid w:val="00CA16A6"/>
    <w:rsid w:val="00CA1759"/>
    <w:rsid w:val="00CA1842"/>
    <w:rsid w:val="00CA18A7"/>
    <w:rsid w:val="00CA1A2F"/>
    <w:rsid w:val="00CA1C75"/>
    <w:rsid w:val="00CA1D01"/>
    <w:rsid w:val="00CA1DB7"/>
    <w:rsid w:val="00CA1F0E"/>
    <w:rsid w:val="00CA2038"/>
    <w:rsid w:val="00CA20D6"/>
    <w:rsid w:val="00CA2236"/>
    <w:rsid w:val="00CA25E4"/>
    <w:rsid w:val="00CA270F"/>
    <w:rsid w:val="00CA2A18"/>
    <w:rsid w:val="00CA2A66"/>
    <w:rsid w:val="00CA2AD6"/>
    <w:rsid w:val="00CA2B18"/>
    <w:rsid w:val="00CA2BBB"/>
    <w:rsid w:val="00CA2D63"/>
    <w:rsid w:val="00CA2F0F"/>
    <w:rsid w:val="00CA2FBC"/>
    <w:rsid w:val="00CA3229"/>
    <w:rsid w:val="00CA34F9"/>
    <w:rsid w:val="00CA3870"/>
    <w:rsid w:val="00CA3EBD"/>
    <w:rsid w:val="00CA4332"/>
    <w:rsid w:val="00CA4362"/>
    <w:rsid w:val="00CA4545"/>
    <w:rsid w:val="00CA4884"/>
    <w:rsid w:val="00CA4920"/>
    <w:rsid w:val="00CA4BC7"/>
    <w:rsid w:val="00CA4D1C"/>
    <w:rsid w:val="00CA5229"/>
    <w:rsid w:val="00CA572E"/>
    <w:rsid w:val="00CA58B4"/>
    <w:rsid w:val="00CA59B8"/>
    <w:rsid w:val="00CA5D67"/>
    <w:rsid w:val="00CA61B3"/>
    <w:rsid w:val="00CA6220"/>
    <w:rsid w:val="00CA6274"/>
    <w:rsid w:val="00CA6488"/>
    <w:rsid w:val="00CA6653"/>
    <w:rsid w:val="00CA6BAB"/>
    <w:rsid w:val="00CA6EE9"/>
    <w:rsid w:val="00CA7224"/>
    <w:rsid w:val="00CA7622"/>
    <w:rsid w:val="00CA77E7"/>
    <w:rsid w:val="00CA7955"/>
    <w:rsid w:val="00CA7A18"/>
    <w:rsid w:val="00CA7FAE"/>
    <w:rsid w:val="00CA7FBB"/>
    <w:rsid w:val="00CB03B5"/>
    <w:rsid w:val="00CB0480"/>
    <w:rsid w:val="00CB0597"/>
    <w:rsid w:val="00CB0687"/>
    <w:rsid w:val="00CB08DC"/>
    <w:rsid w:val="00CB0974"/>
    <w:rsid w:val="00CB0A89"/>
    <w:rsid w:val="00CB0B3C"/>
    <w:rsid w:val="00CB0D68"/>
    <w:rsid w:val="00CB0FE0"/>
    <w:rsid w:val="00CB120E"/>
    <w:rsid w:val="00CB1249"/>
    <w:rsid w:val="00CB1302"/>
    <w:rsid w:val="00CB15B4"/>
    <w:rsid w:val="00CB1691"/>
    <w:rsid w:val="00CB1C0C"/>
    <w:rsid w:val="00CB1C2D"/>
    <w:rsid w:val="00CB1C33"/>
    <w:rsid w:val="00CB1CA5"/>
    <w:rsid w:val="00CB1CC6"/>
    <w:rsid w:val="00CB1D03"/>
    <w:rsid w:val="00CB1FB7"/>
    <w:rsid w:val="00CB1FCE"/>
    <w:rsid w:val="00CB20C9"/>
    <w:rsid w:val="00CB23BB"/>
    <w:rsid w:val="00CB2421"/>
    <w:rsid w:val="00CB243E"/>
    <w:rsid w:val="00CB2443"/>
    <w:rsid w:val="00CB2579"/>
    <w:rsid w:val="00CB2D0D"/>
    <w:rsid w:val="00CB2E3F"/>
    <w:rsid w:val="00CB2EAF"/>
    <w:rsid w:val="00CB2F9E"/>
    <w:rsid w:val="00CB3199"/>
    <w:rsid w:val="00CB33B9"/>
    <w:rsid w:val="00CB3447"/>
    <w:rsid w:val="00CB3537"/>
    <w:rsid w:val="00CB3704"/>
    <w:rsid w:val="00CB395E"/>
    <w:rsid w:val="00CB3A8F"/>
    <w:rsid w:val="00CB3EDB"/>
    <w:rsid w:val="00CB3F2F"/>
    <w:rsid w:val="00CB4093"/>
    <w:rsid w:val="00CB4229"/>
    <w:rsid w:val="00CB42AF"/>
    <w:rsid w:val="00CB4372"/>
    <w:rsid w:val="00CB43FE"/>
    <w:rsid w:val="00CB4513"/>
    <w:rsid w:val="00CB45F8"/>
    <w:rsid w:val="00CB46F8"/>
    <w:rsid w:val="00CB479C"/>
    <w:rsid w:val="00CB47A5"/>
    <w:rsid w:val="00CB48B4"/>
    <w:rsid w:val="00CB492D"/>
    <w:rsid w:val="00CB4A05"/>
    <w:rsid w:val="00CB4EBE"/>
    <w:rsid w:val="00CB5131"/>
    <w:rsid w:val="00CB5179"/>
    <w:rsid w:val="00CB51B3"/>
    <w:rsid w:val="00CB5203"/>
    <w:rsid w:val="00CB568D"/>
    <w:rsid w:val="00CB5968"/>
    <w:rsid w:val="00CB5D0F"/>
    <w:rsid w:val="00CB5DA4"/>
    <w:rsid w:val="00CB5E33"/>
    <w:rsid w:val="00CB5FEA"/>
    <w:rsid w:val="00CB6037"/>
    <w:rsid w:val="00CB678F"/>
    <w:rsid w:val="00CB6827"/>
    <w:rsid w:val="00CB6AFC"/>
    <w:rsid w:val="00CB6BAA"/>
    <w:rsid w:val="00CB6BC8"/>
    <w:rsid w:val="00CB7151"/>
    <w:rsid w:val="00CB74AD"/>
    <w:rsid w:val="00CB74C3"/>
    <w:rsid w:val="00CB7524"/>
    <w:rsid w:val="00CB7602"/>
    <w:rsid w:val="00CB76EC"/>
    <w:rsid w:val="00CB778B"/>
    <w:rsid w:val="00CB77DC"/>
    <w:rsid w:val="00CB788A"/>
    <w:rsid w:val="00CB7C23"/>
    <w:rsid w:val="00CB7CD2"/>
    <w:rsid w:val="00CB7E0C"/>
    <w:rsid w:val="00CB7E6A"/>
    <w:rsid w:val="00CB7ECA"/>
    <w:rsid w:val="00CB7F5E"/>
    <w:rsid w:val="00CB7F6E"/>
    <w:rsid w:val="00CC0119"/>
    <w:rsid w:val="00CC015C"/>
    <w:rsid w:val="00CC0231"/>
    <w:rsid w:val="00CC03D8"/>
    <w:rsid w:val="00CC05E2"/>
    <w:rsid w:val="00CC091C"/>
    <w:rsid w:val="00CC0B00"/>
    <w:rsid w:val="00CC0D9E"/>
    <w:rsid w:val="00CC0E5F"/>
    <w:rsid w:val="00CC10BA"/>
    <w:rsid w:val="00CC10D4"/>
    <w:rsid w:val="00CC11E1"/>
    <w:rsid w:val="00CC1266"/>
    <w:rsid w:val="00CC1291"/>
    <w:rsid w:val="00CC145D"/>
    <w:rsid w:val="00CC14C9"/>
    <w:rsid w:val="00CC14DC"/>
    <w:rsid w:val="00CC15AF"/>
    <w:rsid w:val="00CC18B0"/>
    <w:rsid w:val="00CC18C6"/>
    <w:rsid w:val="00CC1AFD"/>
    <w:rsid w:val="00CC1B13"/>
    <w:rsid w:val="00CC1D78"/>
    <w:rsid w:val="00CC2086"/>
    <w:rsid w:val="00CC29B3"/>
    <w:rsid w:val="00CC2BDE"/>
    <w:rsid w:val="00CC2C52"/>
    <w:rsid w:val="00CC2D7F"/>
    <w:rsid w:val="00CC2D8F"/>
    <w:rsid w:val="00CC2E13"/>
    <w:rsid w:val="00CC2E16"/>
    <w:rsid w:val="00CC2F9B"/>
    <w:rsid w:val="00CC30C1"/>
    <w:rsid w:val="00CC31EC"/>
    <w:rsid w:val="00CC38BA"/>
    <w:rsid w:val="00CC398E"/>
    <w:rsid w:val="00CC3A35"/>
    <w:rsid w:val="00CC3BAC"/>
    <w:rsid w:val="00CC3CFB"/>
    <w:rsid w:val="00CC3D95"/>
    <w:rsid w:val="00CC4145"/>
    <w:rsid w:val="00CC4203"/>
    <w:rsid w:val="00CC4224"/>
    <w:rsid w:val="00CC43B2"/>
    <w:rsid w:val="00CC4681"/>
    <w:rsid w:val="00CC4791"/>
    <w:rsid w:val="00CC4D9D"/>
    <w:rsid w:val="00CC4EA8"/>
    <w:rsid w:val="00CC4F39"/>
    <w:rsid w:val="00CC54F6"/>
    <w:rsid w:val="00CC5758"/>
    <w:rsid w:val="00CC5A45"/>
    <w:rsid w:val="00CC5BE8"/>
    <w:rsid w:val="00CC5C3F"/>
    <w:rsid w:val="00CC5FC9"/>
    <w:rsid w:val="00CC61A6"/>
    <w:rsid w:val="00CC6391"/>
    <w:rsid w:val="00CC65DB"/>
    <w:rsid w:val="00CC672D"/>
    <w:rsid w:val="00CC673D"/>
    <w:rsid w:val="00CC67D4"/>
    <w:rsid w:val="00CC68C1"/>
    <w:rsid w:val="00CC6933"/>
    <w:rsid w:val="00CC6E31"/>
    <w:rsid w:val="00CC6E76"/>
    <w:rsid w:val="00CC6F79"/>
    <w:rsid w:val="00CC7085"/>
    <w:rsid w:val="00CC731B"/>
    <w:rsid w:val="00CC73C7"/>
    <w:rsid w:val="00CC7500"/>
    <w:rsid w:val="00CC7676"/>
    <w:rsid w:val="00CC7832"/>
    <w:rsid w:val="00CC7A41"/>
    <w:rsid w:val="00CC7B0F"/>
    <w:rsid w:val="00CC7B75"/>
    <w:rsid w:val="00CC7BC7"/>
    <w:rsid w:val="00CC7DEA"/>
    <w:rsid w:val="00CC7E21"/>
    <w:rsid w:val="00CC7F45"/>
    <w:rsid w:val="00CC7FD3"/>
    <w:rsid w:val="00CC7FEC"/>
    <w:rsid w:val="00CD02E6"/>
    <w:rsid w:val="00CD042C"/>
    <w:rsid w:val="00CD0F34"/>
    <w:rsid w:val="00CD102F"/>
    <w:rsid w:val="00CD1112"/>
    <w:rsid w:val="00CD14ED"/>
    <w:rsid w:val="00CD17F9"/>
    <w:rsid w:val="00CD1A91"/>
    <w:rsid w:val="00CD1B27"/>
    <w:rsid w:val="00CD1B72"/>
    <w:rsid w:val="00CD1B90"/>
    <w:rsid w:val="00CD1BC4"/>
    <w:rsid w:val="00CD1F05"/>
    <w:rsid w:val="00CD1F29"/>
    <w:rsid w:val="00CD21A7"/>
    <w:rsid w:val="00CD251C"/>
    <w:rsid w:val="00CD2779"/>
    <w:rsid w:val="00CD279E"/>
    <w:rsid w:val="00CD27A0"/>
    <w:rsid w:val="00CD2A57"/>
    <w:rsid w:val="00CD2D2F"/>
    <w:rsid w:val="00CD2E4B"/>
    <w:rsid w:val="00CD2FBF"/>
    <w:rsid w:val="00CD3424"/>
    <w:rsid w:val="00CD3515"/>
    <w:rsid w:val="00CD3944"/>
    <w:rsid w:val="00CD3AB1"/>
    <w:rsid w:val="00CD3B6E"/>
    <w:rsid w:val="00CD3CB6"/>
    <w:rsid w:val="00CD3CE5"/>
    <w:rsid w:val="00CD3CEB"/>
    <w:rsid w:val="00CD3D25"/>
    <w:rsid w:val="00CD3D42"/>
    <w:rsid w:val="00CD4006"/>
    <w:rsid w:val="00CD420A"/>
    <w:rsid w:val="00CD42BB"/>
    <w:rsid w:val="00CD42D7"/>
    <w:rsid w:val="00CD4322"/>
    <w:rsid w:val="00CD461A"/>
    <w:rsid w:val="00CD47DF"/>
    <w:rsid w:val="00CD490E"/>
    <w:rsid w:val="00CD4964"/>
    <w:rsid w:val="00CD49C7"/>
    <w:rsid w:val="00CD4D6B"/>
    <w:rsid w:val="00CD4F32"/>
    <w:rsid w:val="00CD50F8"/>
    <w:rsid w:val="00CD5136"/>
    <w:rsid w:val="00CD5265"/>
    <w:rsid w:val="00CD5284"/>
    <w:rsid w:val="00CD5946"/>
    <w:rsid w:val="00CD5BB4"/>
    <w:rsid w:val="00CD5BD2"/>
    <w:rsid w:val="00CD600B"/>
    <w:rsid w:val="00CD6279"/>
    <w:rsid w:val="00CD63DA"/>
    <w:rsid w:val="00CD6555"/>
    <w:rsid w:val="00CD657C"/>
    <w:rsid w:val="00CD6649"/>
    <w:rsid w:val="00CD666C"/>
    <w:rsid w:val="00CD6816"/>
    <w:rsid w:val="00CD6A39"/>
    <w:rsid w:val="00CD6B96"/>
    <w:rsid w:val="00CD6C46"/>
    <w:rsid w:val="00CD6CA0"/>
    <w:rsid w:val="00CD702E"/>
    <w:rsid w:val="00CD7156"/>
    <w:rsid w:val="00CD71C6"/>
    <w:rsid w:val="00CD72A9"/>
    <w:rsid w:val="00CD7347"/>
    <w:rsid w:val="00CD792F"/>
    <w:rsid w:val="00CD794D"/>
    <w:rsid w:val="00CD79AA"/>
    <w:rsid w:val="00CD79EB"/>
    <w:rsid w:val="00CE007D"/>
    <w:rsid w:val="00CE014D"/>
    <w:rsid w:val="00CE035E"/>
    <w:rsid w:val="00CE0C01"/>
    <w:rsid w:val="00CE0C36"/>
    <w:rsid w:val="00CE0F1A"/>
    <w:rsid w:val="00CE0F8C"/>
    <w:rsid w:val="00CE1328"/>
    <w:rsid w:val="00CE134C"/>
    <w:rsid w:val="00CE16C8"/>
    <w:rsid w:val="00CE1821"/>
    <w:rsid w:val="00CE1BBC"/>
    <w:rsid w:val="00CE1CBE"/>
    <w:rsid w:val="00CE1D3C"/>
    <w:rsid w:val="00CE1F5A"/>
    <w:rsid w:val="00CE209D"/>
    <w:rsid w:val="00CE2107"/>
    <w:rsid w:val="00CE272F"/>
    <w:rsid w:val="00CE277A"/>
    <w:rsid w:val="00CE2C35"/>
    <w:rsid w:val="00CE2D6F"/>
    <w:rsid w:val="00CE2D7F"/>
    <w:rsid w:val="00CE3079"/>
    <w:rsid w:val="00CE3220"/>
    <w:rsid w:val="00CE32A7"/>
    <w:rsid w:val="00CE3400"/>
    <w:rsid w:val="00CE36C0"/>
    <w:rsid w:val="00CE370E"/>
    <w:rsid w:val="00CE38F8"/>
    <w:rsid w:val="00CE3A21"/>
    <w:rsid w:val="00CE3AB0"/>
    <w:rsid w:val="00CE3C63"/>
    <w:rsid w:val="00CE3D33"/>
    <w:rsid w:val="00CE3D94"/>
    <w:rsid w:val="00CE401D"/>
    <w:rsid w:val="00CE40E3"/>
    <w:rsid w:val="00CE412B"/>
    <w:rsid w:val="00CE4158"/>
    <w:rsid w:val="00CE4184"/>
    <w:rsid w:val="00CE44DC"/>
    <w:rsid w:val="00CE453E"/>
    <w:rsid w:val="00CE455C"/>
    <w:rsid w:val="00CE4886"/>
    <w:rsid w:val="00CE4A76"/>
    <w:rsid w:val="00CE4A97"/>
    <w:rsid w:val="00CE5018"/>
    <w:rsid w:val="00CE5F7A"/>
    <w:rsid w:val="00CE5FC9"/>
    <w:rsid w:val="00CE5FCB"/>
    <w:rsid w:val="00CE61A8"/>
    <w:rsid w:val="00CE6318"/>
    <w:rsid w:val="00CE6596"/>
    <w:rsid w:val="00CE6614"/>
    <w:rsid w:val="00CE66A2"/>
    <w:rsid w:val="00CE6966"/>
    <w:rsid w:val="00CE69B3"/>
    <w:rsid w:val="00CE6E54"/>
    <w:rsid w:val="00CE6E60"/>
    <w:rsid w:val="00CE6F2A"/>
    <w:rsid w:val="00CE713D"/>
    <w:rsid w:val="00CE781B"/>
    <w:rsid w:val="00CE7853"/>
    <w:rsid w:val="00CE7A81"/>
    <w:rsid w:val="00CE7BD0"/>
    <w:rsid w:val="00CE7E48"/>
    <w:rsid w:val="00CE7EDB"/>
    <w:rsid w:val="00CF0115"/>
    <w:rsid w:val="00CF0247"/>
    <w:rsid w:val="00CF036F"/>
    <w:rsid w:val="00CF0422"/>
    <w:rsid w:val="00CF049D"/>
    <w:rsid w:val="00CF0559"/>
    <w:rsid w:val="00CF063E"/>
    <w:rsid w:val="00CF065E"/>
    <w:rsid w:val="00CF10CC"/>
    <w:rsid w:val="00CF1117"/>
    <w:rsid w:val="00CF11CA"/>
    <w:rsid w:val="00CF11E0"/>
    <w:rsid w:val="00CF12E0"/>
    <w:rsid w:val="00CF150D"/>
    <w:rsid w:val="00CF1560"/>
    <w:rsid w:val="00CF16BD"/>
    <w:rsid w:val="00CF1A4D"/>
    <w:rsid w:val="00CF1B7F"/>
    <w:rsid w:val="00CF1C45"/>
    <w:rsid w:val="00CF1CF5"/>
    <w:rsid w:val="00CF1DFB"/>
    <w:rsid w:val="00CF1F26"/>
    <w:rsid w:val="00CF1F40"/>
    <w:rsid w:val="00CF1FAD"/>
    <w:rsid w:val="00CF1FD4"/>
    <w:rsid w:val="00CF20BD"/>
    <w:rsid w:val="00CF2285"/>
    <w:rsid w:val="00CF249D"/>
    <w:rsid w:val="00CF26A1"/>
    <w:rsid w:val="00CF2886"/>
    <w:rsid w:val="00CF2ABF"/>
    <w:rsid w:val="00CF2E60"/>
    <w:rsid w:val="00CF2EBB"/>
    <w:rsid w:val="00CF2F30"/>
    <w:rsid w:val="00CF332A"/>
    <w:rsid w:val="00CF3444"/>
    <w:rsid w:val="00CF3659"/>
    <w:rsid w:val="00CF3A77"/>
    <w:rsid w:val="00CF3C5E"/>
    <w:rsid w:val="00CF3F21"/>
    <w:rsid w:val="00CF3F6E"/>
    <w:rsid w:val="00CF4081"/>
    <w:rsid w:val="00CF423D"/>
    <w:rsid w:val="00CF4261"/>
    <w:rsid w:val="00CF4A1A"/>
    <w:rsid w:val="00CF4B97"/>
    <w:rsid w:val="00CF4C20"/>
    <w:rsid w:val="00CF4E49"/>
    <w:rsid w:val="00CF4F48"/>
    <w:rsid w:val="00CF4FB0"/>
    <w:rsid w:val="00CF5159"/>
    <w:rsid w:val="00CF52E6"/>
    <w:rsid w:val="00CF540A"/>
    <w:rsid w:val="00CF54EA"/>
    <w:rsid w:val="00CF55B3"/>
    <w:rsid w:val="00CF57B2"/>
    <w:rsid w:val="00CF5995"/>
    <w:rsid w:val="00CF5C7A"/>
    <w:rsid w:val="00CF603F"/>
    <w:rsid w:val="00CF61B9"/>
    <w:rsid w:val="00CF6393"/>
    <w:rsid w:val="00CF654D"/>
    <w:rsid w:val="00CF67DF"/>
    <w:rsid w:val="00CF6846"/>
    <w:rsid w:val="00CF6886"/>
    <w:rsid w:val="00CF68B1"/>
    <w:rsid w:val="00CF6922"/>
    <w:rsid w:val="00CF6A83"/>
    <w:rsid w:val="00CF6C84"/>
    <w:rsid w:val="00CF6CDA"/>
    <w:rsid w:val="00CF6D76"/>
    <w:rsid w:val="00CF7364"/>
    <w:rsid w:val="00CF73A4"/>
    <w:rsid w:val="00CF7747"/>
    <w:rsid w:val="00CF78C0"/>
    <w:rsid w:val="00CF7A36"/>
    <w:rsid w:val="00CF7E14"/>
    <w:rsid w:val="00CF7EBD"/>
    <w:rsid w:val="00D00689"/>
    <w:rsid w:val="00D006FE"/>
    <w:rsid w:val="00D008FE"/>
    <w:rsid w:val="00D00A75"/>
    <w:rsid w:val="00D00C11"/>
    <w:rsid w:val="00D00C59"/>
    <w:rsid w:val="00D00CEC"/>
    <w:rsid w:val="00D0103D"/>
    <w:rsid w:val="00D01327"/>
    <w:rsid w:val="00D0138C"/>
    <w:rsid w:val="00D013E3"/>
    <w:rsid w:val="00D01545"/>
    <w:rsid w:val="00D017F6"/>
    <w:rsid w:val="00D01806"/>
    <w:rsid w:val="00D0185F"/>
    <w:rsid w:val="00D018E0"/>
    <w:rsid w:val="00D018FD"/>
    <w:rsid w:val="00D01B35"/>
    <w:rsid w:val="00D01B4F"/>
    <w:rsid w:val="00D01B74"/>
    <w:rsid w:val="00D02183"/>
    <w:rsid w:val="00D02195"/>
    <w:rsid w:val="00D02328"/>
    <w:rsid w:val="00D02410"/>
    <w:rsid w:val="00D02572"/>
    <w:rsid w:val="00D026E7"/>
    <w:rsid w:val="00D0273A"/>
    <w:rsid w:val="00D02776"/>
    <w:rsid w:val="00D0293F"/>
    <w:rsid w:val="00D029ED"/>
    <w:rsid w:val="00D02A71"/>
    <w:rsid w:val="00D02D8F"/>
    <w:rsid w:val="00D02DFD"/>
    <w:rsid w:val="00D02F06"/>
    <w:rsid w:val="00D030D5"/>
    <w:rsid w:val="00D03162"/>
    <w:rsid w:val="00D03222"/>
    <w:rsid w:val="00D033CA"/>
    <w:rsid w:val="00D03479"/>
    <w:rsid w:val="00D03664"/>
    <w:rsid w:val="00D036E9"/>
    <w:rsid w:val="00D039FC"/>
    <w:rsid w:val="00D03D23"/>
    <w:rsid w:val="00D04354"/>
    <w:rsid w:val="00D04426"/>
    <w:rsid w:val="00D0452E"/>
    <w:rsid w:val="00D04619"/>
    <w:rsid w:val="00D04957"/>
    <w:rsid w:val="00D04EDB"/>
    <w:rsid w:val="00D050DB"/>
    <w:rsid w:val="00D0525C"/>
    <w:rsid w:val="00D052A1"/>
    <w:rsid w:val="00D053CA"/>
    <w:rsid w:val="00D05416"/>
    <w:rsid w:val="00D05502"/>
    <w:rsid w:val="00D056C0"/>
    <w:rsid w:val="00D05892"/>
    <w:rsid w:val="00D058A3"/>
    <w:rsid w:val="00D0598D"/>
    <w:rsid w:val="00D05AF3"/>
    <w:rsid w:val="00D05B32"/>
    <w:rsid w:val="00D05C75"/>
    <w:rsid w:val="00D05DE2"/>
    <w:rsid w:val="00D05F26"/>
    <w:rsid w:val="00D05F9C"/>
    <w:rsid w:val="00D06041"/>
    <w:rsid w:val="00D06063"/>
    <w:rsid w:val="00D06067"/>
    <w:rsid w:val="00D06084"/>
    <w:rsid w:val="00D06131"/>
    <w:rsid w:val="00D064EF"/>
    <w:rsid w:val="00D06C94"/>
    <w:rsid w:val="00D07346"/>
    <w:rsid w:val="00D07793"/>
    <w:rsid w:val="00D07815"/>
    <w:rsid w:val="00D078B3"/>
    <w:rsid w:val="00D079ED"/>
    <w:rsid w:val="00D07DA0"/>
    <w:rsid w:val="00D07F22"/>
    <w:rsid w:val="00D101A8"/>
    <w:rsid w:val="00D10310"/>
    <w:rsid w:val="00D10397"/>
    <w:rsid w:val="00D10855"/>
    <w:rsid w:val="00D10A3A"/>
    <w:rsid w:val="00D10AF7"/>
    <w:rsid w:val="00D10BA1"/>
    <w:rsid w:val="00D10CAE"/>
    <w:rsid w:val="00D10D58"/>
    <w:rsid w:val="00D1112F"/>
    <w:rsid w:val="00D111D7"/>
    <w:rsid w:val="00D11409"/>
    <w:rsid w:val="00D11414"/>
    <w:rsid w:val="00D1164A"/>
    <w:rsid w:val="00D11669"/>
    <w:rsid w:val="00D117A7"/>
    <w:rsid w:val="00D1184C"/>
    <w:rsid w:val="00D11856"/>
    <w:rsid w:val="00D1185A"/>
    <w:rsid w:val="00D11867"/>
    <w:rsid w:val="00D118C5"/>
    <w:rsid w:val="00D11A2C"/>
    <w:rsid w:val="00D11A3E"/>
    <w:rsid w:val="00D11B5D"/>
    <w:rsid w:val="00D11BDF"/>
    <w:rsid w:val="00D11DC4"/>
    <w:rsid w:val="00D121FE"/>
    <w:rsid w:val="00D124E5"/>
    <w:rsid w:val="00D12ACC"/>
    <w:rsid w:val="00D12B1E"/>
    <w:rsid w:val="00D12BC8"/>
    <w:rsid w:val="00D13044"/>
    <w:rsid w:val="00D13052"/>
    <w:rsid w:val="00D13131"/>
    <w:rsid w:val="00D13362"/>
    <w:rsid w:val="00D13526"/>
    <w:rsid w:val="00D13655"/>
    <w:rsid w:val="00D13749"/>
    <w:rsid w:val="00D13C79"/>
    <w:rsid w:val="00D13D57"/>
    <w:rsid w:val="00D13D8D"/>
    <w:rsid w:val="00D14121"/>
    <w:rsid w:val="00D1432A"/>
    <w:rsid w:val="00D14D48"/>
    <w:rsid w:val="00D14D87"/>
    <w:rsid w:val="00D14E24"/>
    <w:rsid w:val="00D14EE7"/>
    <w:rsid w:val="00D14F29"/>
    <w:rsid w:val="00D14F40"/>
    <w:rsid w:val="00D15058"/>
    <w:rsid w:val="00D15206"/>
    <w:rsid w:val="00D15210"/>
    <w:rsid w:val="00D15362"/>
    <w:rsid w:val="00D15439"/>
    <w:rsid w:val="00D154DB"/>
    <w:rsid w:val="00D15639"/>
    <w:rsid w:val="00D157E8"/>
    <w:rsid w:val="00D15AE6"/>
    <w:rsid w:val="00D15DAB"/>
    <w:rsid w:val="00D15E9F"/>
    <w:rsid w:val="00D15F1F"/>
    <w:rsid w:val="00D16081"/>
    <w:rsid w:val="00D1620B"/>
    <w:rsid w:val="00D16623"/>
    <w:rsid w:val="00D16797"/>
    <w:rsid w:val="00D168D5"/>
    <w:rsid w:val="00D16A40"/>
    <w:rsid w:val="00D16C13"/>
    <w:rsid w:val="00D16DC4"/>
    <w:rsid w:val="00D16DEC"/>
    <w:rsid w:val="00D16E03"/>
    <w:rsid w:val="00D1715D"/>
    <w:rsid w:val="00D17271"/>
    <w:rsid w:val="00D175A9"/>
    <w:rsid w:val="00D17673"/>
    <w:rsid w:val="00D1778F"/>
    <w:rsid w:val="00D17F00"/>
    <w:rsid w:val="00D17F9A"/>
    <w:rsid w:val="00D2011A"/>
    <w:rsid w:val="00D20633"/>
    <w:rsid w:val="00D2073F"/>
    <w:rsid w:val="00D207F1"/>
    <w:rsid w:val="00D208DD"/>
    <w:rsid w:val="00D20910"/>
    <w:rsid w:val="00D20A8A"/>
    <w:rsid w:val="00D20BB8"/>
    <w:rsid w:val="00D20FEB"/>
    <w:rsid w:val="00D21086"/>
    <w:rsid w:val="00D214E7"/>
    <w:rsid w:val="00D215FB"/>
    <w:rsid w:val="00D21802"/>
    <w:rsid w:val="00D21CA0"/>
    <w:rsid w:val="00D21CD3"/>
    <w:rsid w:val="00D21E8A"/>
    <w:rsid w:val="00D22467"/>
    <w:rsid w:val="00D225CD"/>
    <w:rsid w:val="00D2267C"/>
    <w:rsid w:val="00D2288B"/>
    <w:rsid w:val="00D22895"/>
    <w:rsid w:val="00D22C8B"/>
    <w:rsid w:val="00D22E21"/>
    <w:rsid w:val="00D23005"/>
    <w:rsid w:val="00D2309F"/>
    <w:rsid w:val="00D23132"/>
    <w:rsid w:val="00D231F0"/>
    <w:rsid w:val="00D23255"/>
    <w:rsid w:val="00D2333E"/>
    <w:rsid w:val="00D2345E"/>
    <w:rsid w:val="00D235A2"/>
    <w:rsid w:val="00D235CF"/>
    <w:rsid w:val="00D235EE"/>
    <w:rsid w:val="00D23801"/>
    <w:rsid w:val="00D23829"/>
    <w:rsid w:val="00D23931"/>
    <w:rsid w:val="00D239AB"/>
    <w:rsid w:val="00D23D0E"/>
    <w:rsid w:val="00D23DB6"/>
    <w:rsid w:val="00D23ED7"/>
    <w:rsid w:val="00D240CE"/>
    <w:rsid w:val="00D241DE"/>
    <w:rsid w:val="00D2439B"/>
    <w:rsid w:val="00D248CE"/>
    <w:rsid w:val="00D249C2"/>
    <w:rsid w:val="00D24D6D"/>
    <w:rsid w:val="00D24D9F"/>
    <w:rsid w:val="00D24DA3"/>
    <w:rsid w:val="00D24DDB"/>
    <w:rsid w:val="00D24FCA"/>
    <w:rsid w:val="00D25088"/>
    <w:rsid w:val="00D25175"/>
    <w:rsid w:val="00D255E1"/>
    <w:rsid w:val="00D25604"/>
    <w:rsid w:val="00D25B8C"/>
    <w:rsid w:val="00D25BA5"/>
    <w:rsid w:val="00D25EB6"/>
    <w:rsid w:val="00D261A5"/>
    <w:rsid w:val="00D263BB"/>
    <w:rsid w:val="00D2642A"/>
    <w:rsid w:val="00D264D0"/>
    <w:rsid w:val="00D26691"/>
    <w:rsid w:val="00D26FC2"/>
    <w:rsid w:val="00D270B3"/>
    <w:rsid w:val="00D270F4"/>
    <w:rsid w:val="00D27135"/>
    <w:rsid w:val="00D271DB"/>
    <w:rsid w:val="00D2725B"/>
    <w:rsid w:val="00D27510"/>
    <w:rsid w:val="00D27B53"/>
    <w:rsid w:val="00D300D5"/>
    <w:rsid w:val="00D30C40"/>
    <w:rsid w:val="00D30DFC"/>
    <w:rsid w:val="00D31168"/>
    <w:rsid w:val="00D31384"/>
    <w:rsid w:val="00D31669"/>
    <w:rsid w:val="00D317E3"/>
    <w:rsid w:val="00D31D2C"/>
    <w:rsid w:val="00D31E0F"/>
    <w:rsid w:val="00D321B9"/>
    <w:rsid w:val="00D321D5"/>
    <w:rsid w:val="00D3240F"/>
    <w:rsid w:val="00D3264A"/>
    <w:rsid w:val="00D32A0B"/>
    <w:rsid w:val="00D32A6E"/>
    <w:rsid w:val="00D32B29"/>
    <w:rsid w:val="00D32E8E"/>
    <w:rsid w:val="00D33354"/>
    <w:rsid w:val="00D3347A"/>
    <w:rsid w:val="00D33742"/>
    <w:rsid w:val="00D33CA9"/>
    <w:rsid w:val="00D33F14"/>
    <w:rsid w:val="00D33F41"/>
    <w:rsid w:val="00D33F65"/>
    <w:rsid w:val="00D34079"/>
    <w:rsid w:val="00D340A1"/>
    <w:rsid w:val="00D3416E"/>
    <w:rsid w:val="00D342E2"/>
    <w:rsid w:val="00D343F9"/>
    <w:rsid w:val="00D343FC"/>
    <w:rsid w:val="00D3444E"/>
    <w:rsid w:val="00D34502"/>
    <w:rsid w:val="00D345E8"/>
    <w:rsid w:val="00D34734"/>
    <w:rsid w:val="00D34820"/>
    <w:rsid w:val="00D34D56"/>
    <w:rsid w:val="00D34DBF"/>
    <w:rsid w:val="00D34FC1"/>
    <w:rsid w:val="00D35015"/>
    <w:rsid w:val="00D350A7"/>
    <w:rsid w:val="00D353C1"/>
    <w:rsid w:val="00D353F2"/>
    <w:rsid w:val="00D3542A"/>
    <w:rsid w:val="00D35491"/>
    <w:rsid w:val="00D3549B"/>
    <w:rsid w:val="00D35677"/>
    <w:rsid w:val="00D35A63"/>
    <w:rsid w:val="00D35F5A"/>
    <w:rsid w:val="00D3614C"/>
    <w:rsid w:val="00D3659C"/>
    <w:rsid w:val="00D365BE"/>
    <w:rsid w:val="00D36734"/>
    <w:rsid w:val="00D367CA"/>
    <w:rsid w:val="00D367F8"/>
    <w:rsid w:val="00D3697A"/>
    <w:rsid w:val="00D36E22"/>
    <w:rsid w:val="00D370B2"/>
    <w:rsid w:val="00D370E5"/>
    <w:rsid w:val="00D37164"/>
    <w:rsid w:val="00D37190"/>
    <w:rsid w:val="00D37261"/>
    <w:rsid w:val="00D37659"/>
    <w:rsid w:val="00D3774E"/>
    <w:rsid w:val="00D37995"/>
    <w:rsid w:val="00D37B76"/>
    <w:rsid w:val="00D37D9C"/>
    <w:rsid w:val="00D401EC"/>
    <w:rsid w:val="00D4023C"/>
    <w:rsid w:val="00D40456"/>
    <w:rsid w:val="00D4046B"/>
    <w:rsid w:val="00D404F9"/>
    <w:rsid w:val="00D4059A"/>
    <w:rsid w:val="00D40641"/>
    <w:rsid w:val="00D40674"/>
    <w:rsid w:val="00D40722"/>
    <w:rsid w:val="00D40820"/>
    <w:rsid w:val="00D409D5"/>
    <w:rsid w:val="00D40A88"/>
    <w:rsid w:val="00D40CF0"/>
    <w:rsid w:val="00D40DB3"/>
    <w:rsid w:val="00D40DF5"/>
    <w:rsid w:val="00D412ED"/>
    <w:rsid w:val="00D41403"/>
    <w:rsid w:val="00D41483"/>
    <w:rsid w:val="00D41678"/>
    <w:rsid w:val="00D41823"/>
    <w:rsid w:val="00D41C30"/>
    <w:rsid w:val="00D41DC9"/>
    <w:rsid w:val="00D41FB8"/>
    <w:rsid w:val="00D42003"/>
    <w:rsid w:val="00D42320"/>
    <w:rsid w:val="00D423F1"/>
    <w:rsid w:val="00D4258F"/>
    <w:rsid w:val="00D427F1"/>
    <w:rsid w:val="00D42966"/>
    <w:rsid w:val="00D42AF2"/>
    <w:rsid w:val="00D42C3D"/>
    <w:rsid w:val="00D42DE9"/>
    <w:rsid w:val="00D42E52"/>
    <w:rsid w:val="00D43307"/>
    <w:rsid w:val="00D43620"/>
    <w:rsid w:val="00D439EF"/>
    <w:rsid w:val="00D43A23"/>
    <w:rsid w:val="00D43AC8"/>
    <w:rsid w:val="00D43C10"/>
    <w:rsid w:val="00D43D05"/>
    <w:rsid w:val="00D44148"/>
    <w:rsid w:val="00D441E5"/>
    <w:rsid w:val="00D4421D"/>
    <w:rsid w:val="00D44334"/>
    <w:rsid w:val="00D4447C"/>
    <w:rsid w:val="00D44859"/>
    <w:rsid w:val="00D4486E"/>
    <w:rsid w:val="00D44BF3"/>
    <w:rsid w:val="00D44C3F"/>
    <w:rsid w:val="00D44C91"/>
    <w:rsid w:val="00D44D8C"/>
    <w:rsid w:val="00D45644"/>
    <w:rsid w:val="00D456E2"/>
    <w:rsid w:val="00D457A4"/>
    <w:rsid w:val="00D457F8"/>
    <w:rsid w:val="00D45A41"/>
    <w:rsid w:val="00D45ADC"/>
    <w:rsid w:val="00D45ADF"/>
    <w:rsid w:val="00D45FA4"/>
    <w:rsid w:val="00D45FBF"/>
    <w:rsid w:val="00D460A5"/>
    <w:rsid w:val="00D460F1"/>
    <w:rsid w:val="00D46251"/>
    <w:rsid w:val="00D46290"/>
    <w:rsid w:val="00D4646A"/>
    <w:rsid w:val="00D468E0"/>
    <w:rsid w:val="00D468F2"/>
    <w:rsid w:val="00D46C62"/>
    <w:rsid w:val="00D472AF"/>
    <w:rsid w:val="00D473D8"/>
    <w:rsid w:val="00D4761C"/>
    <w:rsid w:val="00D47C8E"/>
    <w:rsid w:val="00D47FF7"/>
    <w:rsid w:val="00D500BD"/>
    <w:rsid w:val="00D501B9"/>
    <w:rsid w:val="00D501E2"/>
    <w:rsid w:val="00D503C0"/>
    <w:rsid w:val="00D50892"/>
    <w:rsid w:val="00D50917"/>
    <w:rsid w:val="00D50CAD"/>
    <w:rsid w:val="00D50D5C"/>
    <w:rsid w:val="00D50F4A"/>
    <w:rsid w:val="00D51001"/>
    <w:rsid w:val="00D5127F"/>
    <w:rsid w:val="00D51289"/>
    <w:rsid w:val="00D513BA"/>
    <w:rsid w:val="00D51603"/>
    <w:rsid w:val="00D51943"/>
    <w:rsid w:val="00D519BB"/>
    <w:rsid w:val="00D51B1E"/>
    <w:rsid w:val="00D51C3E"/>
    <w:rsid w:val="00D51DD0"/>
    <w:rsid w:val="00D520C9"/>
    <w:rsid w:val="00D5273C"/>
    <w:rsid w:val="00D52742"/>
    <w:rsid w:val="00D52897"/>
    <w:rsid w:val="00D5289C"/>
    <w:rsid w:val="00D529E4"/>
    <w:rsid w:val="00D52FE7"/>
    <w:rsid w:val="00D5310B"/>
    <w:rsid w:val="00D532EB"/>
    <w:rsid w:val="00D53424"/>
    <w:rsid w:val="00D53466"/>
    <w:rsid w:val="00D53636"/>
    <w:rsid w:val="00D536EF"/>
    <w:rsid w:val="00D538D4"/>
    <w:rsid w:val="00D538D8"/>
    <w:rsid w:val="00D53A4F"/>
    <w:rsid w:val="00D53D52"/>
    <w:rsid w:val="00D53ED1"/>
    <w:rsid w:val="00D53F53"/>
    <w:rsid w:val="00D53FD7"/>
    <w:rsid w:val="00D54745"/>
    <w:rsid w:val="00D54765"/>
    <w:rsid w:val="00D547DB"/>
    <w:rsid w:val="00D54DBF"/>
    <w:rsid w:val="00D54F69"/>
    <w:rsid w:val="00D5556B"/>
    <w:rsid w:val="00D55628"/>
    <w:rsid w:val="00D55663"/>
    <w:rsid w:val="00D55906"/>
    <w:rsid w:val="00D5594A"/>
    <w:rsid w:val="00D55984"/>
    <w:rsid w:val="00D5599C"/>
    <w:rsid w:val="00D55FD1"/>
    <w:rsid w:val="00D5668E"/>
    <w:rsid w:val="00D56796"/>
    <w:rsid w:val="00D56808"/>
    <w:rsid w:val="00D56812"/>
    <w:rsid w:val="00D56F60"/>
    <w:rsid w:val="00D570B3"/>
    <w:rsid w:val="00D57193"/>
    <w:rsid w:val="00D573B4"/>
    <w:rsid w:val="00D5745E"/>
    <w:rsid w:val="00D57B31"/>
    <w:rsid w:val="00D60069"/>
    <w:rsid w:val="00D6008E"/>
    <w:rsid w:val="00D60160"/>
    <w:rsid w:val="00D60209"/>
    <w:rsid w:val="00D6028D"/>
    <w:rsid w:val="00D60622"/>
    <w:rsid w:val="00D60692"/>
    <w:rsid w:val="00D6071B"/>
    <w:rsid w:val="00D607FB"/>
    <w:rsid w:val="00D60DF5"/>
    <w:rsid w:val="00D60E28"/>
    <w:rsid w:val="00D60FA5"/>
    <w:rsid w:val="00D60FB6"/>
    <w:rsid w:val="00D610F3"/>
    <w:rsid w:val="00D6110B"/>
    <w:rsid w:val="00D61148"/>
    <w:rsid w:val="00D6142D"/>
    <w:rsid w:val="00D6166A"/>
    <w:rsid w:val="00D6183E"/>
    <w:rsid w:val="00D619CF"/>
    <w:rsid w:val="00D61A44"/>
    <w:rsid w:val="00D61ABC"/>
    <w:rsid w:val="00D61BDD"/>
    <w:rsid w:val="00D61CA4"/>
    <w:rsid w:val="00D622E3"/>
    <w:rsid w:val="00D623C0"/>
    <w:rsid w:val="00D62448"/>
    <w:rsid w:val="00D6249A"/>
    <w:rsid w:val="00D625E3"/>
    <w:rsid w:val="00D626FA"/>
    <w:rsid w:val="00D62708"/>
    <w:rsid w:val="00D62C04"/>
    <w:rsid w:val="00D6301D"/>
    <w:rsid w:val="00D630F3"/>
    <w:rsid w:val="00D63295"/>
    <w:rsid w:val="00D632E4"/>
    <w:rsid w:val="00D633A8"/>
    <w:rsid w:val="00D633EA"/>
    <w:rsid w:val="00D63416"/>
    <w:rsid w:val="00D63796"/>
    <w:rsid w:val="00D63914"/>
    <w:rsid w:val="00D639B5"/>
    <w:rsid w:val="00D63A6C"/>
    <w:rsid w:val="00D63B3B"/>
    <w:rsid w:val="00D63C0B"/>
    <w:rsid w:val="00D63D48"/>
    <w:rsid w:val="00D63EF9"/>
    <w:rsid w:val="00D63F84"/>
    <w:rsid w:val="00D6436D"/>
    <w:rsid w:val="00D6449A"/>
    <w:rsid w:val="00D647A4"/>
    <w:rsid w:val="00D64C8D"/>
    <w:rsid w:val="00D64CF1"/>
    <w:rsid w:val="00D64FD1"/>
    <w:rsid w:val="00D64FEB"/>
    <w:rsid w:val="00D65004"/>
    <w:rsid w:val="00D65096"/>
    <w:rsid w:val="00D651F0"/>
    <w:rsid w:val="00D65210"/>
    <w:rsid w:val="00D6546E"/>
    <w:rsid w:val="00D6569D"/>
    <w:rsid w:val="00D6586A"/>
    <w:rsid w:val="00D65968"/>
    <w:rsid w:val="00D65B43"/>
    <w:rsid w:val="00D65C3D"/>
    <w:rsid w:val="00D65C51"/>
    <w:rsid w:val="00D65CAE"/>
    <w:rsid w:val="00D65CF1"/>
    <w:rsid w:val="00D660B5"/>
    <w:rsid w:val="00D66196"/>
    <w:rsid w:val="00D661F1"/>
    <w:rsid w:val="00D6669F"/>
    <w:rsid w:val="00D66B22"/>
    <w:rsid w:val="00D66BCB"/>
    <w:rsid w:val="00D6736F"/>
    <w:rsid w:val="00D67569"/>
    <w:rsid w:val="00D67575"/>
    <w:rsid w:val="00D678C3"/>
    <w:rsid w:val="00D67AAD"/>
    <w:rsid w:val="00D67BAA"/>
    <w:rsid w:val="00D67D32"/>
    <w:rsid w:val="00D67EC9"/>
    <w:rsid w:val="00D7007C"/>
    <w:rsid w:val="00D704D1"/>
    <w:rsid w:val="00D70537"/>
    <w:rsid w:val="00D7066E"/>
    <w:rsid w:val="00D70792"/>
    <w:rsid w:val="00D70AA3"/>
    <w:rsid w:val="00D70C58"/>
    <w:rsid w:val="00D70FD8"/>
    <w:rsid w:val="00D710A9"/>
    <w:rsid w:val="00D71380"/>
    <w:rsid w:val="00D71424"/>
    <w:rsid w:val="00D7153E"/>
    <w:rsid w:val="00D71811"/>
    <w:rsid w:val="00D71AAE"/>
    <w:rsid w:val="00D71CCF"/>
    <w:rsid w:val="00D71D36"/>
    <w:rsid w:val="00D71EFB"/>
    <w:rsid w:val="00D71F73"/>
    <w:rsid w:val="00D724C9"/>
    <w:rsid w:val="00D72A3E"/>
    <w:rsid w:val="00D72BC8"/>
    <w:rsid w:val="00D72D57"/>
    <w:rsid w:val="00D72FA9"/>
    <w:rsid w:val="00D73097"/>
    <w:rsid w:val="00D7317B"/>
    <w:rsid w:val="00D73429"/>
    <w:rsid w:val="00D734E2"/>
    <w:rsid w:val="00D7356A"/>
    <w:rsid w:val="00D73A22"/>
    <w:rsid w:val="00D73A5A"/>
    <w:rsid w:val="00D73AE8"/>
    <w:rsid w:val="00D73B6C"/>
    <w:rsid w:val="00D73B6F"/>
    <w:rsid w:val="00D73BE0"/>
    <w:rsid w:val="00D73C18"/>
    <w:rsid w:val="00D73C62"/>
    <w:rsid w:val="00D73E8B"/>
    <w:rsid w:val="00D73E90"/>
    <w:rsid w:val="00D7457C"/>
    <w:rsid w:val="00D7471E"/>
    <w:rsid w:val="00D747A7"/>
    <w:rsid w:val="00D74A0B"/>
    <w:rsid w:val="00D74A3E"/>
    <w:rsid w:val="00D74BEB"/>
    <w:rsid w:val="00D7576C"/>
    <w:rsid w:val="00D757D0"/>
    <w:rsid w:val="00D7587C"/>
    <w:rsid w:val="00D7591E"/>
    <w:rsid w:val="00D759DC"/>
    <w:rsid w:val="00D75D9D"/>
    <w:rsid w:val="00D75E63"/>
    <w:rsid w:val="00D75FF5"/>
    <w:rsid w:val="00D76569"/>
    <w:rsid w:val="00D765B1"/>
    <w:rsid w:val="00D76A7C"/>
    <w:rsid w:val="00D76BDE"/>
    <w:rsid w:val="00D76CA7"/>
    <w:rsid w:val="00D76EAE"/>
    <w:rsid w:val="00D76EF0"/>
    <w:rsid w:val="00D773E6"/>
    <w:rsid w:val="00D773FC"/>
    <w:rsid w:val="00D778B2"/>
    <w:rsid w:val="00D779B5"/>
    <w:rsid w:val="00D779E9"/>
    <w:rsid w:val="00D77C22"/>
    <w:rsid w:val="00D77C87"/>
    <w:rsid w:val="00D77DA6"/>
    <w:rsid w:val="00D77EB9"/>
    <w:rsid w:val="00D801DE"/>
    <w:rsid w:val="00D80240"/>
    <w:rsid w:val="00D80481"/>
    <w:rsid w:val="00D80648"/>
    <w:rsid w:val="00D809C1"/>
    <w:rsid w:val="00D80B5C"/>
    <w:rsid w:val="00D80D2C"/>
    <w:rsid w:val="00D80D5F"/>
    <w:rsid w:val="00D80DD3"/>
    <w:rsid w:val="00D8134D"/>
    <w:rsid w:val="00D81358"/>
    <w:rsid w:val="00D81894"/>
    <w:rsid w:val="00D818A3"/>
    <w:rsid w:val="00D81F7F"/>
    <w:rsid w:val="00D820E6"/>
    <w:rsid w:val="00D82181"/>
    <w:rsid w:val="00D824A4"/>
    <w:rsid w:val="00D824B7"/>
    <w:rsid w:val="00D824DF"/>
    <w:rsid w:val="00D825B0"/>
    <w:rsid w:val="00D82715"/>
    <w:rsid w:val="00D829D5"/>
    <w:rsid w:val="00D82A76"/>
    <w:rsid w:val="00D82C6F"/>
    <w:rsid w:val="00D82D1F"/>
    <w:rsid w:val="00D82FDF"/>
    <w:rsid w:val="00D830D5"/>
    <w:rsid w:val="00D83191"/>
    <w:rsid w:val="00D831F1"/>
    <w:rsid w:val="00D8336B"/>
    <w:rsid w:val="00D8348C"/>
    <w:rsid w:val="00D835C6"/>
    <w:rsid w:val="00D835CD"/>
    <w:rsid w:val="00D83715"/>
    <w:rsid w:val="00D83869"/>
    <w:rsid w:val="00D838F2"/>
    <w:rsid w:val="00D83BA5"/>
    <w:rsid w:val="00D83BD4"/>
    <w:rsid w:val="00D83BFB"/>
    <w:rsid w:val="00D841D6"/>
    <w:rsid w:val="00D84206"/>
    <w:rsid w:val="00D84331"/>
    <w:rsid w:val="00D8449C"/>
    <w:rsid w:val="00D844AD"/>
    <w:rsid w:val="00D8493E"/>
    <w:rsid w:val="00D84951"/>
    <w:rsid w:val="00D84DD7"/>
    <w:rsid w:val="00D84FBA"/>
    <w:rsid w:val="00D85113"/>
    <w:rsid w:val="00D854F7"/>
    <w:rsid w:val="00D85655"/>
    <w:rsid w:val="00D85801"/>
    <w:rsid w:val="00D858CB"/>
    <w:rsid w:val="00D85C72"/>
    <w:rsid w:val="00D85E62"/>
    <w:rsid w:val="00D85E7B"/>
    <w:rsid w:val="00D86022"/>
    <w:rsid w:val="00D8613A"/>
    <w:rsid w:val="00D86207"/>
    <w:rsid w:val="00D862B0"/>
    <w:rsid w:val="00D864B0"/>
    <w:rsid w:val="00D864F7"/>
    <w:rsid w:val="00D865AB"/>
    <w:rsid w:val="00D86AB8"/>
    <w:rsid w:val="00D86B2E"/>
    <w:rsid w:val="00D86BBA"/>
    <w:rsid w:val="00D86D49"/>
    <w:rsid w:val="00D86DB1"/>
    <w:rsid w:val="00D872C1"/>
    <w:rsid w:val="00D874AE"/>
    <w:rsid w:val="00D87745"/>
    <w:rsid w:val="00D87830"/>
    <w:rsid w:val="00D87866"/>
    <w:rsid w:val="00D879F4"/>
    <w:rsid w:val="00D87A96"/>
    <w:rsid w:val="00D87BDE"/>
    <w:rsid w:val="00D87E3C"/>
    <w:rsid w:val="00D9006A"/>
    <w:rsid w:val="00D901A5"/>
    <w:rsid w:val="00D901FC"/>
    <w:rsid w:val="00D901FD"/>
    <w:rsid w:val="00D902A0"/>
    <w:rsid w:val="00D902DD"/>
    <w:rsid w:val="00D9044A"/>
    <w:rsid w:val="00D9048B"/>
    <w:rsid w:val="00D904EC"/>
    <w:rsid w:val="00D904F8"/>
    <w:rsid w:val="00D907D7"/>
    <w:rsid w:val="00D90807"/>
    <w:rsid w:val="00D90A24"/>
    <w:rsid w:val="00D90AE3"/>
    <w:rsid w:val="00D90BFB"/>
    <w:rsid w:val="00D90C96"/>
    <w:rsid w:val="00D90EAE"/>
    <w:rsid w:val="00D910FE"/>
    <w:rsid w:val="00D911CB"/>
    <w:rsid w:val="00D9150D"/>
    <w:rsid w:val="00D91962"/>
    <w:rsid w:val="00D91AE6"/>
    <w:rsid w:val="00D91CEB"/>
    <w:rsid w:val="00D91F7E"/>
    <w:rsid w:val="00D9209C"/>
    <w:rsid w:val="00D920A3"/>
    <w:rsid w:val="00D920D6"/>
    <w:rsid w:val="00D921BE"/>
    <w:rsid w:val="00D92719"/>
    <w:rsid w:val="00D927F7"/>
    <w:rsid w:val="00D9288F"/>
    <w:rsid w:val="00D92B1C"/>
    <w:rsid w:val="00D92D37"/>
    <w:rsid w:val="00D92E7F"/>
    <w:rsid w:val="00D9307D"/>
    <w:rsid w:val="00D931C3"/>
    <w:rsid w:val="00D932AD"/>
    <w:rsid w:val="00D933F2"/>
    <w:rsid w:val="00D93488"/>
    <w:rsid w:val="00D93B85"/>
    <w:rsid w:val="00D93CC6"/>
    <w:rsid w:val="00D93DED"/>
    <w:rsid w:val="00D93E1C"/>
    <w:rsid w:val="00D93E7F"/>
    <w:rsid w:val="00D943AD"/>
    <w:rsid w:val="00D94563"/>
    <w:rsid w:val="00D94577"/>
    <w:rsid w:val="00D94897"/>
    <w:rsid w:val="00D9495C"/>
    <w:rsid w:val="00D94F7E"/>
    <w:rsid w:val="00D9517F"/>
    <w:rsid w:val="00D95684"/>
    <w:rsid w:val="00D95A46"/>
    <w:rsid w:val="00D95B90"/>
    <w:rsid w:val="00D96283"/>
    <w:rsid w:val="00D962EC"/>
    <w:rsid w:val="00D9636C"/>
    <w:rsid w:val="00D96877"/>
    <w:rsid w:val="00D968D8"/>
    <w:rsid w:val="00D972DF"/>
    <w:rsid w:val="00D9736D"/>
    <w:rsid w:val="00D9746A"/>
    <w:rsid w:val="00D97773"/>
    <w:rsid w:val="00D9793D"/>
    <w:rsid w:val="00D979E0"/>
    <w:rsid w:val="00D97B01"/>
    <w:rsid w:val="00D97C41"/>
    <w:rsid w:val="00DA0378"/>
    <w:rsid w:val="00DA0619"/>
    <w:rsid w:val="00DA0680"/>
    <w:rsid w:val="00DA0784"/>
    <w:rsid w:val="00DA07B0"/>
    <w:rsid w:val="00DA08BB"/>
    <w:rsid w:val="00DA09FE"/>
    <w:rsid w:val="00DA0D82"/>
    <w:rsid w:val="00DA0D94"/>
    <w:rsid w:val="00DA0F6A"/>
    <w:rsid w:val="00DA11D2"/>
    <w:rsid w:val="00DA1397"/>
    <w:rsid w:val="00DA1491"/>
    <w:rsid w:val="00DA1542"/>
    <w:rsid w:val="00DA172A"/>
    <w:rsid w:val="00DA1753"/>
    <w:rsid w:val="00DA17B4"/>
    <w:rsid w:val="00DA1890"/>
    <w:rsid w:val="00DA1B24"/>
    <w:rsid w:val="00DA1C6C"/>
    <w:rsid w:val="00DA1F6B"/>
    <w:rsid w:val="00DA1F8E"/>
    <w:rsid w:val="00DA23C1"/>
    <w:rsid w:val="00DA24AF"/>
    <w:rsid w:val="00DA2779"/>
    <w:rsid w:val="00DA27B1"/>
    <w:rsid w:val="00DA2863"/>
    <w:rsid w:val="00DA29C1"/>
    <w:rsid w:val="00DA2A2F"/>
    <w:rsid w:val="00DA2BA1"/>
    <w:rsid w:val="00DA2D38"/>
    <w:rsid w:val="00DA300A"/>
    <w:rsid w:val="00DA3043"/>
    <w:rsid w:val="00DA3060"/>
    <w:rsid w:val="00DA3226"/>
    <w:rsid w:val="00DA3619"/>
    <w:rsid w:val="00DA3960"/>
    <w:rsid w:val="00DA39CB"/>
    <w:rsid w:val="00DA3A5D"/>
    <w:rsid w:val="00DA3D8B"/>
    <w:rsid w:val="00DA3EA3"/>
    <w:rsid w:val="00DA3EB9"/>
    <w:rsid w:val="00DA3F5B"/>
    <w:rsid w:val="00DA41DF"/>
    <w:rsid w:val="00DA427E"/>
    <w:rsid w:val="00DA42A8"/>
    <w:rsid w:val="00DA42EA"/>
    <w:rsid w:val="00DA450A"/>
    <w:rsid w:val="00DA46C7"/>
    <w:rsid w:val="00DA48A3"/>
    <w:rsid w:val="00DA4933"/>
    <w:rsid w:val="00DA49C5"/>
    <w:rsid w:val="00DA4A20"/>
    <w:rsid w:val="00DA4A7B"/>
    <w:rsid w:val="00DA4CC4"/>
    <w:rsid w:val="00DA4F0F"/>
    <w:rsid w:val="00DA5416"/>
    <w:rsid w:val="00DA5679"/>
    <w:rsid w:val="00DA5902"/>
    <w:rsid w:val="00DA5AE3"/>
    <w:rsid w:val="00DA5B4F"/>
    <w:rsid w:val="00DA60DD"/>
    <w:rsid w:val="00DA6248"/>
    <w:rsid w:val="00DA641B"/>
    <w:rsid w:val="00DA6459"/>
    <w:rsid w:val="00DA64FC"/>
    <w:rsid w:val="00DA658B"/>
    <w:rsid w:val="00DA6812"/>
    <w:rsid w:val="00DA68FC"/>
    <w:rsid w:val="00DA6961"/>
    <w:rsid w:val="00DA6A1D"/>
    <w:rsid w:val="00DA6AC8"/>
    <w:rsid w:val="00DA6C90"/>
    <w:rsid w:val="00DA6D38"/>
    <w:rsid w:val="00DA6F2A"/>
    <w:rsid w:val="00DA70A2"/>
    <w:rsid w:val="00DA737C"/>
    <w:rsid w:val="00DA75D8"/>
    <w:rsid w:val="00DA7660"/>
    <w:rsid w:val="00DA77E5"/>
    <w:rsid w:val="00DA7A4B"/>
    <w:rsid w:val="00DA7ACC"/>
    <w:rsid w:val="00DA7CF8"/>
    <w:rsid w:val="00DB01B2"/>
    <w:rsid w:val="00DB020F"/>
    <w:rsid w:val="00DB04ED"/>
    <w:rsid w:val="00DB06CE"/>
    <w:rsid w:val="00DB07B0"/>
    <w:rsid w:val="00DB0944"/>
    <w:rsid w:val="00DB0A90"/>
    <w:rsid w:val="00DB0B05"/>
    <w:rsid w:val="00DB0C23"/>
    <w:rsid w:val="00DB0F93"/>
    <w:rsid w:val="00DB1162"/>
    <w:rsid w:val="00DB14F8"/>
    <w:rsid w:val="00DB15C0"/>
    <w:rsid w:val="00DB1698"/>
    <w:rsid w:val="00DB16BD"/>
    <w:rsid w:val="00DB17D1"/>
    <w:rsid w:val="00DB17F5"/>
    <w:rsid w:val="00DB19B1"/>
    <w:rsid w:val="00DB230F"/>
    <w:rsid w:val="00DB2768"/>
    <w:rsid w:val="00DB278D"/>
    <w:rsid w:val="00DB28FD"/>
    <w:rsid w:val="00DB2919"/>
    <w:rsid w:val="00DB2A8D"/>
    <w:rsid w:val="00DB2AD1"/>
    <w:rsid w:val="00DB2B0E"/>
    <w:rsid w:val="00DB2EC2"/>
    <w:rsid w:val="00DB2F5C"/>
    <w:rsid w:val="00DB3013"/>
    <w:rsid w:val="00DB3644"/>
    <w:rsid w:val="00DB38A0"/>
    <w:rsid w:val="00DB3C59"/>
    <w:rsid w:val="00DB3CBC"/>
    <w:rsid w:val="00DB3EC8"/>
    <w:rsid w:val="00DB405F"/>
    <w:rsid w:val="00DB4162"/>
    <w:rsid w:val="00DB45B0"/>
    <w:rsid w:val="00DB4710"/>
    <w:rsid w:val="00DB4814"/>
    <w:rsid w:val="00DB48A2"/>
    <w:rsid w:val="00DB48F8"/>
    <w:rsid w:val="00DB49B6"/>
    <w:rsid w:val="00DB49DE"/>
    <w:rsid w:val="00DB4BC6"/>
    <w:rsid w:val="00DB4BD2"/>
    <w:rsid w:val="00DB4E36"/>
    <w:rsid w:val="00DB4EA5"/>
    <w:rsid w:val="00DB547B"/>
    <w:rsid w:val="00DB571D"/>
    <w:rsid w:val="00DB59FD"/>
    <w:rsid w:val="00DB5A9B"/>
    <w:rsid w:val="00DB5C10"/>
    <w:rsid w:val="00DB5E98"/>
    <w:rsid w:val="00DB5F70"/>
    <w:rsid w:val="00DB5FC9"/>
    <w:rsid w:val="00DB60EF"/>
    <w:rsid w:val="00DB62AD"/>
    <w:rsid w:val="00DB6631"/>
    <w:rsid w:val="00DB671E"/>
    <w:rsid w:val="00DB67A2"/>
    <w:rsid w:val="00DB686A"/>
    <w:rsid w:val="00DB690A"/>
    <w:rsid w:val="00DB69E7"/>
    <w:rsid w:val="00DB6CDD"/>
    <w:rsid w:val="00DB6E34"/>
    <w:rsid w:val="00DB7073"/>
    <w:rsid w:val="00DB7276"/>
    <w:rsid w:val="00DB768E"/>
    <w:rsid w:val="00DB77ED"/>
    <w:rsid w:val="00DB79A3"/>
    <w:rsid w:val="00DB79E5"/>
    <w:rsid w:val="00DB7B56"/>
    <w:rsid w:val="00DB7B81"/>
    <w:rsid w:val="00DB7BC4"/>
    <w:rsid w:val="00DB7E3E"/>
    <w:rsid w:val="00DB7E6B"/>
    <w:rsid w:val="00DB7FF4"/>
    <w:rsid w:val="00DC02B2"/>
    <w:rsid w:val="00DC03B7"/>
    <w:rsid w:val="00DC03F4"/>
    <w:rsid w:val="00DC04E1"/>
    <w:rsid w:val="00DC07AE"/>
    <w:rsid w:val="00DC124B"/>
    <w:rsid w:val="00DC12E8"/>
    <w:rsid w:val="00DC1564"/>
    <w:rsid w:val="00DC15EB"/>
    <w:rsid w:val="00DC1826"/>
    <w:rsid w:val="00DC1A8B"/>
    <w:rsid w:val="00DC1D59"/>
    <w:rsid w:val="00DC1F53"/>
    <w:rsid w:val="00DC1FB2"/>
    <w:rsid w:val="00DC206C"/>
    <w:rsid w:val="00DC21A6"/>
    <w:rsid w:val="00DC228D"/>
    <w:rsid w:val="00DC2482"/>
    <w:rsid w:val="00DC299E"/>
    <w:rsid w:val="00DC2C20"/>
    <w:rsid w:val="00DC2D5C"/>
    <w:rsid w:val="00DC2E9D"/>
    <w:rsid w:val="00DC2EC4"/>
    <w:rsid w:val="00DC2F5F"/>
    <w:rsid w:val="00DC2F74"/>
    <w:rsid w:val="00DC3078"/>
    <w:rsid w:val="00DC3086"/>
    <w:rsid w:val="00DC33D4"/>
    <w:rsid w:val="00DC34EA"/>
    <w:rsid w:val="00DC3540"/>
    <w:rsid w:val="00DC37BD"/>
    <w:rsid w:val="00DC3889"/>
    <w:rsid w:val="00DC3AE1"/>
    <w:rsid w:val="00DC3AEA"/>
    <w:rsid w:val="00DC3C32"/>
    <w:rsid w:val="00DC3C6F"/>
    <w:rsid w:val="00DC3C99"/>
    <w:rsid w:val="00DC4118"/>
    <w:rsid w:val="00DC42AF"/>
    <w:rsid w:val="00DC4361"/>
    <w:rsid w:val="00DC455B"/>
    <w:rsid w:val="00DC4653"/>
    <w:rsid w:val="00DC4745"/>
    <w:rsid w:val="00DC4AFB"/>
    <w:rsid w:val="00DC4B81"/>
    <w:rsid w:val="00DC4B93"/>
    <w:rsid w:val="00DC4D5A"/>
    <w:rsid w:val="00DC4E8D"/>
    <w:rsid w:val="00DC4FC4"/>
    <w:rsid w:val="00DC5042"/>
    <w:rsid w:val="00DC50C6"/>
    <w:rsid w:val="00DC512A"/>
    <w:rsid w:val="00DC5539"/>
    <w:rsid w:val="00DC5F11"/>
    <w:rsid w:val="00DC5FAE"/>
    <w:rsid w:val="00DC6040"/>
    <w:rsid w:val="00DC60F7"/>
    <w:rsid w:val="00DC6296"/>
    <w:rsid w:val="00DC62BC"/>
    <w:rsid w:val="00DC634E"/>
    <w:rsid w:val="00DC679E"/>
    <w:rsid w:val="00DC6841"/>
    <w:rsid w:val="00DC6901"/>
    <w:rsid w:val="00DC6A43"/>
    <w:rsid w:val="00DC6AC9"/>
    <w:rsid w:val="00DC6BD0"/>
    <w:rsid w:val="00DC6C10"/>
    <w:rsid w:val="00DC6F67"/>
    <w:rsid w:val="00DC708D"/>
    <w:rsid w:val="00DC71F7"/>
    <w:rsid w:val="00DC7231"/>
    <w:rsid w:val="00DC7281"/>
    <w:rsid w:val="00DC72DB"/>
    <w:rsid w:val="00DC7311"/>
    <w:rsid w:val="00DC787B"/>
    <w:rsid w:val="00DC78B2"/>
    <w:rsid w:val="00DC78FF"/>
    <w:rsid w:val="00DC7AB1"/>
    <w:rsid w:val="00DC7C1C"/>
    <w:rsid w:val="00DD09DC"/>
    <w:rsid w:val="00DD0B01"/>
    <w:rsid w:val="00DD0C34"/>
    <w:rsid w:val="00DD0E8C"/>
    <w:rsid w:val="00DD0FD7"/>
    <w:rsid w:val="00DD1252"/>
    <w:rsid w:val="00DD12E2"/>
    <w:rsid w:val="00DD13BF"/>
    <w:rsid w:val="00DD1537"/>
    <w:rsid w:val="00DD16E7"/>
    <w:rsid w:val="00DD177B"/>
    <w:rsid w:val="00DD19D1"/>
    <w:rsid w:val="00DD1A54"/>
    <w:rsid w:val="00DD1A66"/>
    <w:rsid w:val="00DD1BE5"/>
    <w:rsid w:val="00DD1CBF"/>
    <w:rsid w:val="00DD1E84"/>
    <w:rsid w:val="00DD2268"/>
    <w:rsid w:val="00DD2514"/>
    <w:rsid w:val="00DD259D"/>
    <w:rsid w:val="00DD2618"/>
    <w:rsid w:val="00DD261B"/>
    <w:rsid w:val="00DD28F7"/>
    <w:rsid w:val="00DD2B0E"/>
    <w:rsid w:val="00DD2D23"/>
    <w:rsid w:val="00DD2D60"/>
    <w:rsid w:val="00DD2DFA"/>
    <w:rsid w:val="00DD3022"/>
    <w:rsid w:val="00DD319B"/>
    <w:rsid w:val="00DD3361"/>
    <w:rsid w:val="00DD37D5"/>
    <w:rsid w:val="00DD38FB"/>
    <w:rsid w:val="00DD397F"/>
    <w:rsid w:val="00DD3CEC"/>
    <w:rsid w:val="00DD3D5C"/>
    <w:rsid w:val="00DD3E83"/>
    <w:rsid w:val="00DD3EB6"/>
    <w:rsid w:val="00DD4200"/>
    <w:rsid w:val="00DD4452"/>
    <w:rsid w:val="00DD45E5"/>
    <w:rsid w:val="00DD46DD"/>
    <w:rsid w:val="00DD47D8"/>
    <w:rsid w:val="00DD482D"/>
    <w:rsid w:val="00DD4A01"/>
    <w:rsid w:val="00DD4A1D"/>
    <w:rsid w:val="00DD4C49"/>
    <w:rsid w:val="00DD4CA9"/>
    <w:rsid w:val="00DD5395"/>
    <w:rsid w:val="00DD5464"/>
    <w:rsid w:val="00DD5474"/>
    <w:rsid w:val="00DD54CC"/>
    <w:rsid w:val="00DD54FD"/>
    <w:rsid w:val="00DD5682"/>
    <w:rsid w:val="00DD5875"/>
    <w:rsid w:val="00DD5A6E"/>
    <w:rsid w:val="00DD5C06"/>
    <w:rsid w:val="00DD5C90"/>
    <w:rsid w:val="00DD5D1D"/>
    <w:rsid w:val="00DD5DB4"/>
    <w:rsid w:val="00DD5DD0"/>
    <w:rsid w:val="00DD62CF"/>
    <w:rsid w:val="00DD63FD"/>
    <w:rsid w:val="00DD6ACB"/>
    <w:rsid w:val="00DD6BB8"/>
    <w:rsid w:val="00DD6CFF"/>
    <w:rsid w:val="00DD6E3B"/>
    <w:rsid w:val="00DD70A7"/>
    <w:rsid w:val="00DD7238"/>
    <w:rsid w:val="00DD7346"/>
    <w:rsid w:val="00DD735B"/>
    <w:rsid w:val="00DD7467"/>
    <w:rsid w:val="00DD75DF"/>
    <w:rsid w:val="00DD7709"/>
    <w:rsid w:val="00DD7833"/>
    <w:rsid w:val="00DD7C87"/>
    <w:rsid w:val="00DD7D84"/>
    <w:rsid w:val="00DD7F24"/>
    <w:rsid w:val="00DD7F7A"/>
    <w:rsid w:val="00DE02C0"/>
    <w:rsid w:val="00DE02F7"/>
    <w:rsid w:val="00DE030F"/>
    <w:rsid w:val="00DE03C3"/>
    <w:rsid w:val="00DE07DE"/>
    <w:rsid w:val="00DE095C"/>
    <w:rsid w:val="00DE0987"/>
    <w:rsid w:val="00DE09EA"/>
    <w:rsid w:val="00DE0AFA"/>
    <w:rsid w:val="00DE0CEC"/>
    <w:rsid w:val="00DE0D0C"/>
    <w:rsid w:val="00DE0E1F"/>
    <w:rsid w:val="00DE14DB"/>
    <w:rsid w:val="00DE1BB0"/>
    <w:rsid w:val="00DE1D06"/>
    <w:rsid w:val="00DE1FC3"/>
    <w:rsid w:val="00DE20CE"/>
    <w:rsid w:val="00DE20FC"/>
    <w:rsid w:val="00DE246B"/>
    <w:rsid w:val="00DE27B9"/>
    <w:rsid w:val="00DE27E1"/>
    <w:rsid w:val="00DE291C"/>
    <w:rsid w:val="00DE2F80"/>
    <w:rsid w:val="00DE31B5"/>
    <w:rsid w:val="00DE3281"/>
    <w:rsid w:val="00DE32BD"/>
    <w:rsid w:val="00DE3397"/>
    <w:rsid w:val="00DE34BC"/>
    <w:rsid w:val="00DE3A62"/>
    <w:rsid w:val="00DE4506"/>
    <w:rsid w:val="00DE4A25"/>
    <w:rsid w:val="00DE4B3B"/>
    <w:rsid w:val="00DE4BAD"/>
    <w:rsid w:val="00DE4C6A"/>
    <w:rsid w:val="00DE4F04"/>
    <w:rsid w:val="00DE4F0A"/>
    <w:rsid w:val="00DE522B"/>
    <w:rsid w:val="00DE560B"/>
    <w:rsid w:val="00DE5BCD"/>
    <w:rsid w:val="00DE5C5D"/>
    <w:rsid w:val="00DE5E91"/>
    <w:rsid w:val="00DE5ECF"/>
    <w:rsid w:val="00DE5F95"/>
    <w:rsid w:val="00DE6123"/>
    <w:rsid w:val="00DE66B8"/>
    <w:rsid w:val="00DE66E3"/>
    <w:rsid w:val="00DE6764"/>
    <w:rsid w:val="00DE6936"/>
    <w:rsid w:val="00DE6954"/>
    <w:rsid w:val="00DE6AB8"/>
    <w:rsid w:val="00DE6B92"/>
    <w:rsid w:val="00DE6C73"/>
    <w:rsid w:val="00DE6EC0"/>
    <w:rsid w:val="00DE70B0"/>
    <w:rsid w:val="00DE710A"/>
    <w:rsid w:val="00DE7130"/>
    <w:rsid w:val="00DE7307"/>
    <w:rsid w:val="00DE79CA"/>
    <w:rsid w:val="00DE7A20"/>
    <w:rsid w:val="00DE7DE2"/>
    <w:rsid w:val="00DE7F6D"/>
    <w:rsid w:val="00DF04F9"/>
    <w:rsid w:val="00DF0984"/>
    <w:rsid w:val="00DF0B12"/>
    <w:rsid w:val="00DF0C0A"/>
    <w:rsid w:val="00DF0E9B"/>
    <w:rsid w:val="00DF11CA"/>
    <w:rsid w:val="00DF124B"/>
    <w:rsid w:val="00DF12A7"/>
    <w:rsid w:val="00DF165A"/>
    <w:rsid w:val="00DF1784"/>
    <w:rsid w:val="00DF1853"/>
    <w:rsid w:val="00DF19FE"/>
    <w:rsid w:val="00DF1A10"/>
    <w:rsid w:val="00DF1DB9"/>
    <w:rsid w:val="00DF2089"/>
    <w:rsid w:val="00DF2132"/>
    <w:rsid w:val="00DF2161"/>
    <w:rsid w:val="00DF21D2"/>
    <w:rsid w:val="00DF2488"/>
    <w:rsid w:val="00DF254F"/>
    <w:rsid w:val="00DF2619"/>
    <w:rsid w:val="00DF26F1"/>
    <w:rsid w:val="00DF27D5"/>
    <w:rsid w:val="00DF2866"/>
    <w:rsid w:val="00DF2D87"/>
    <w:rsid w:val="00DF2EF3"/>
    <w:rsid w:val="00DF2FBB"/>
    <w:rsid w:val="00DF32C0"/>
    <w:rsid w:val="00DF330A"/>
    <w:rsid w:val="00DF3363"/>
    <w:rsid w:val="00DF343F"/>
    <w:rsid w:val="00DF34A9"/>
    <w:rsid w:val="00DF3662"/>
    <w:rsid w:val="00DF38F9"/>
    <w:rsid w:val="00DF3925"/>
    <w:rsid w:val="00DF3A04"/>
    <w:rsid w:val="00DF3A9E"/>
    <w:rsid w:val="00DF4036"/>
    <w:rsid w:val="00DF40B7"/>
    <w:rsid w:val="00DF413F"/>
    <w:rsid w:val="00DF41F4"/>
    <w:rsid w:val="00DF439C"/>
    <w:rsid w:val="00DF4437"/>
    <w:rsid w:val="00DF4469"/>
    <w:rsid w:val="00DF4475"/>
    <w:rsid w:val="00DF44B4"/>
    <w:rsid w:val="00DF4642"/>
    <w:rsid w:val="00DF4993"/>
    <w:rsid w:val="00DF4A31"/>
    <w:rsid w:val="00DF4B20"/>
    <w:rsid w:val="00DF4E04"/>
    <w:rsid w:val="00DF4E4F"/>
    <w:rsid w:val="00DF4E6A"/>
    <w:rsid w:val="00DF50BD"/>
    <w:rsid w:val="00DF50E5"/>
    <w:rsid w:val="00DF52EB"/>
    <w:rsid w:val="00DF5489"/>
    <w:rsid w:val="00DF54C2"/>
    <w:rsid w:val="00DF5538"/>
    <w:rsid w:val="00DF5598"/>
    <w:rsid w:val="00DF57CB"/>
    <w:rsid w:val="00DF58D4"/>
    <w:rsid w:val="00DF5A05"/>
    <w:rsid w:val="00DF5A40"/>
    <w:rsid w:val="00DF5D74"/>
    <w:rsid w:val="00DF5DCE"/>
    <w:rsid w:val="00DF5F85"/>
    <w:rsid w:val="00DF5FCB"/>
    <w:rsid w:val="00DF6065"/>
    <w:rsid w:val="00DF6199"/>
    <w:rsid w:val="00DF62F7"/>
    <w:rsid w:val="00DF6664"/>
    <w:rsid w:val="00DF670D"/>
    <w:rsid w:val="00DF67BA"/>
    <w:rsid w:val="00DF68B6"/>
    <w:rsid w:val="00DF68C0"/>
    <w:rsid w:val="00DF6A90"/>
    <w:rsid w:val="00DF6DF3"/>
    <w:rsid w:val="00DF6E17"/>
    <w:rsid w:val="00DF71BC"/>
    <w:rsid w:val="00DF7229"/>
    <w:rsid w:val="00DF7366"/>
    <w:rsid w:val="00DF736C"/>
    <w:rsid w:val="00DF7419"/>
    <w:rsid w:val="00DF761D"/>
    <w:rsid w:val="00DF7628"/>
    <w:rsid w:val="00DF7ABC"/>
    <w:rsid w:val="00DF7AC8"/>
    <w:rsid w:val="00DF7BDF"/>
    <w:rsid w:val="00DF7C38"/>
    <w:rsid w:val="00DF7CB7"/>
    <w:rsid w:val="00E005AB"/>
    <w:rsid w:val="00E00695"/>
    <w:rsid w:val="00E00725"/>
    <w:rsid w:val="00E008B2"/>
    <w:rsid w:val="00E00910"/>
    <w:rsid w:val="00E00B08"/>
    <w:rsid w:val="00E00D33"/>
    <w:rsid w:val="00E00DCA"/>
    <w:rsid w:val="00E011D4"/>
    <w:rsid w:val="00E01267"/>
    <w:rsid w:val="00E01339"/>
    <w:rsid w:val="00E01A56"/>
    <w:rsid w:val="00E0219E"/>
    <w:rsid w:val="00E0247D"/>
    <w:rsid w:val="00E0273F"/>
    <w:rsid w:val="00E02965"/>
    <w:rsid w:val="00E02ADD"/>
    <w:rsid w:val="00E02D7C"/>
    <w:rsid w:val="00E03055"/>
    <w:rsid w:val="00E03063"/>
    <w:rsid w:val="00E03385"/>
    <w:rsid w:val="00E03589"/>
    <w:rsid w:val="00E03599"/>
    <w:rsid w:val="00E03B69"/>
    <w:rsid w:val="00E03C84"/>
    <w:rsid w:val="00E03CD9"/>
    <w:rsid w:val="00E040FC"/>
    <w:rsid w:val="00E0432E"/>
    <w:rsid w:val="00E0438E"/>
    <w:rsid w:val="00E04631"/>
    <w:rsid w:val="00E04FDF"/>
    <w:rsid w:val="00E05442"/>
    <w:rsid w:val="00E05499"/>
    <w:rsid w:val="00E05618"/>
    <w:rsid w:val="00E05786"/>
    <w:rsid w:val="00E05EB7"/>
    <w:rsid w:val="00E05FF4"/>
    <w:rsid w:val="00E06055"/>
    <w:rsid w:val="00E0650D"/>
    <w:rsid w:val="00E066AE"/>
    <w:rsid w:val="00E06B90"/>
    <w:rsid w:val="00E06C46"/>
    <w:rsid w:val="00E06E11"/>
    <w:rsid w:val="00E06F73"/>
    <w:rsid w:val="00E0705B"/>
    <w:rsid w:val="00E0707C"/>
    <w:rsid w:val="00E070E2"/>
    <w:rsid w:val="00E071B7"/>
    <w:rsid w:val="00E07449"/>
    <w:rsid w:val="00E07512"/>
    <w:rsid w:val="00E07711"/>
    <w:rsid w:val="00E07792"/>
    <w:rsid w:val="00E07811"/>
    <w:rsid w:val="00E0783E"/>
    <w:rsid w:val="00E07877"/>
    <w:rsid w:val="00E07915"/>
    <w:rsid w:val="00E07982"/>
    <w:rsid w:val="00E07E86"/>
    <w:rsid w:val="00E102CA"/>
    <w:rsid w:val="00E105A0"/>
    <w:rsid w:val="00E10607"/>
    <w:rsid w:val="00E108E3"/>
    <w:rsid w:val="00E10ABB"/>
    <w:rsid w:val="00E10B17"/>
    <w:rsid w:val="00E10B2C"/>
    <w:rsid w:val="00E10C48"/>
    <w:rsid w:val="00E10F3E"/>
    <w:rsid w:val="00E1127C"/>
    <w:rsid w:val="00E1129B"/>
    <w:rsid w:val="00E11351"/>
    <w:rsid w:val="00E11623"/>
    <w:rsid w:val="00E116B3"/>
    <w:rsid w:val="00E1184A"/>
    <w:rsid w:val="00E11997"/>
    <w:rsid w:val="00E11BCD"/>
    <w:rsid w:val="00E11E19"/>
    <w:rsid w:val="00E11F35"/>
    <w:rsid w:val="00E12115"/>
    <w:rsid w:val="00E122D6"/>
    <w:rsid w:val="00E12340"/>
    <w:rsid w:val="00E1245F"/>
    <w:rsid w:val="00E12477"/>
    <w:rsid w:val="00E12575"/>
    <w:rsid w:val="00E1279C"/>
    <w:rsid w:val="00E128F6"/>
    <w:rsid w:val="00E12949"/>
    <w:rsid w:val="00E12B7F"/>
    <w:rsid w:val="00E12E8A"/>
    <w:rsid w:val="00E12EBC"/>
    <w:rsid w:val="00E12FB2"/>
    <w:rsid w:val="00E132A2"/>
    <w:rsid w:val="00E132EC"/>
    <w:rsid w:val="00E133EE"/>
    <w:rsid w:val="00E135E3"/>
    <w:rsid w:val="00E1362E"/>
    <w:rsid w:val="00E1396E"/>
    <w:rsid w:val="00E13A34"/>
    <w:rsid w:val="00E13F77"/>
    <w:rsid w:val="00E140DB"/>
    <w:rsid w:val="00E14348"/>
    <w:rsid w:val="00E14410"/>
    <w:rsid w:val="00E14546"/>
    <w:rsid w:val="00E14B76"/>
    <w:rsid w:val="00E14D5F"/>
    <w:rsid w:val="00E14EC3"/>
    <w:rsid w:val="00E15191"/>
    <w:rsid w:val="00E152DF"/>
    <w:rsid w:val="00E1547E"/>
    <w:rsid w:val="00E1549F"/>
    <w:rsid w:val="00E15852"/>
    <w:rsid w:val="00E1588F"/>
    <w:rsid w:val="00E15996"/>
    <w:rsid w:val="00E15A85"/>
    <w:rsid w:val="00E15B44"/>
    <w:rsid w:val="00E15B7C"/>
    <w:rsid w:val="00E15CE9"/>
    <w:rsid w:val="00E15D02"/>
    <w:rsid w:val="00E15D3C"/>
    <w:rsid w:val="00E15E42"/>
    <w:rsid w:val="00E16110"/>
    <w:rsid w:val="00E16144"/>
    <w:rsid w:val="00E1624D"/>
    <w:rsid w:val="00E162F9"/>
    <w:rsid w:val="00E165E9"/>
    <w:rsid w:val="00E1669E"/>
    <w:rsid w:val="00E16709"/>
    <w:rsid w:val="00E16906"/>
    <w:rsid w:val="00E16B94"/>
    <w:rsid w:val="00E16D5B"/>
    <w:rsid w:val="00E16F00"/>
    <w:rsid w:val="00E16FAE"/>
    <w:rsid w:val="00E175F1"/>
    <w:rsid w:val="00E1798C"/>
    <w:rsid w:val="00E17A06"/>
    <w:rsid w:val="00E17C6D"/>
    <w:rsid w:val="00E17F95"/>
    <w:rsid w:val="00E2015A"/>
    <w:rsid w:val="00E202B5"/>
    <w:rsid w:val="00E202D0"/>
    <w:rsid w:val="00E2047C"/>
    <w:rsid w:val="00E204C3"/>
    <w:rsid w:val="00E20541"/>
    <w:rsid w:val="00E20641"/>
    <w:rsid w:val="00E20680"/>
    <w:rsid w:val="00E2072D"/>
    <w:rsid w:val="00E20C81"/>
    <w:rsid w:val="00E2100E"/>
    <w:rsid w:val="00E21571"/>
    <w:rsid w:val="00E21688"/>
    <w:rsid w:val="00E2180D"/>
    <w:rsid w:val="00E21954"/>
    <w:rsid w:val="00E22111"/>
    <w:rsid w:val="00E2223E"/>
    <w:rsid w:val="00E222FC"/>
    <w:rsid w:val="00E223D9"/>
    <w:rsid w:val="00E22A65"/>
    <w:rsid w:val="00E22CB9"/>
    <w:rsid w:val="00E22DB6"/>
    <w:rsid w:val="00E22F11"/>
    <w:rsid w:val="00E22F13"/>
    <w:rsid w:val="00E233D1"/>
    <w:rsid w:val="00E235FD"/>
    <w:rsid w:val="00E23703"/>
    <w:rsid w:val="00E23746"/>
    <w:rsid w:val="00E23BEA"/>
    <w:rsid w:val="00E23D28"/>
    <w:rsid w:val="00E23E29"/>
    <w:rsid w:val="00E23EB9"/>
    <w:rsid w:val="00E23F34"/>
    <w:rsid w:val="00E2401F"/>
    <w:rsid w:val="00E240F8"/>
    <w:rsid w:val="00E24147"/>
    <w:rsid w:val="00E24154"/>
    <w:rsid w:val="00E24212"/>
    <w:rsid w:val="00E242C1"/>
    <w:rsid w:val="00E24327"/>
    <w:rsid w:val="00E2479A"/>
    <w:rsid w:val="00E247B4"/>
    <w:rsid w:val="00E2492F"/>
    <w:rsid w:val="00E24CB8"/>
    <w:rsid w:val="00E24DE8"/>
    <w:rsid w:val="00E24EB3"/>
    <w:rsid w:val="00E24F33"/>
    <w:rsid w:val="00E251A2"/>
    <w:rsid w:val="00E25286"/>
    <w:rsid w:val="00E254E5"/>
    <w:rsid w:val="00E254F5"/>
    <w:rsid w:val="00E257E8"/>
    <w:rsid w:val="00E25816"/>
    <w:rsid w:val="00E25896"/>
    <w:rsid w:val="00E25980"/>
    <w:rsid w:val="00E25A9D"/>
    <w:rsid w:val="00E25B36"/>
    <w:rsid w:val="00E25BCE"/>
    <w:rsid w:val="00E260A7"/>
    <w:rsid w:val="00E261C4"/>
    <w:rsid w:val="00E2624A"/>
    <w:rsid w:val="00E269D3"/>
    <w:rsid w:val="00E26A34"/>
    <w:rsid w:val="00E26C02"/>
    <w:rsid w:val="00E26E66"/>
    <w:rsid w:val="00E26FA8"/>
    <w:rsid w:val="00E272DD"/>
    <w:rsid w:val="00E274B4"/>
    <w:rsid w:val="00E274C7"/>
    <w:rsid w:val="00E27A00"/>
    <w:rsid w:val="00E27A19"/>
    <w:rsid w:val="00E27AF3"/>
    <w:rsid w:val="00E27C74"/>
    <w:rsid w:val="00E27CF0"/>
    <w:rsid w:val="00E27F2C"/>
    <w:rsid w:val="00E301D1"/>
    <w:rsid w:val="00E3038E"/>
    <w:rsid w:val="00E30716"/>
    <w:rsid w:val="00E30AA1"/>
    <w:rsid w:val="00E30B07"/>
    <w:rsid w:val="00E30C23"/>
    <w:rsid w:val="00E30EAD"/>
    <w:rsid w:val="00E30EE0"/>
    <w:rsid w:val="00E30F5C"/>
    <w:rsid w:val="00E30F60"/>
    <w:rsid w:val="00E30F72"/>
    <w:rsid w:val="00E31165"/>
    <w:rsid w:val="00E311DC"/>
    <w:rsid w:val="00E3124E"/>
    <w:rsid w:val="00E31309"/>
    <w:rsid w:val="00E31338"/>
    <w:rsid w:val="00E31949"/>
    <w:rsid w:val="00E31AA6"/>
    <w:rsid w:val="00E31B8A"/>
    <w:rsid w:val="00E31E38"/>
    <w:rsid w:val="00E3206C"/>
    <w:rsid w:val="00E3215F"/>
    <w:rsid w:val="00E32707"/>
    <w:rsid w:val="00E327CF"/>
    <w:rsid w:val="00E32A05"/>
    <w:rsid w:val="00E32B42"/>
    <w:rsid w:val="00E32BE3"/>
    <w:rsid w:val="00E32C09"/>
    <w:rsid w:val="00E32E70"/>
    <w:rsid w:val="00E33017"/>
    <w:rsid w:val="00E330AD"/>
    <w:rsid w:val="00E3347D"/>
    <w:rsid w:val="00E33495"/>
    <w:rsid w:val="00E3371C"/>
    <w:rsid w:val="00E337F4"/>
    <w:rsid w:val="00E33880"/>
    <w:rsid w:val="00E33F6F"/>
    <w:rsid w:val="00E34147"/>
    <w:rsid w:val="00E341F8"/>
    <w:rsid w:val="00E34202"/>
    <w:rsid w:val="00E343D2"/>
    <w:rsid w:val="00E346F9"/>
    <w:rsid w:val="00E34829"/>
    <w:rsid w:val="00E349FD"/>
    <w:rsid w:val="00E34CB6"/>
    <w:rsid w:val="00E34CB7"/>
    <w:rsid w:val="00E34D35"/>
    <w:rsid w:val="00E34E53"/>
    <w:rsid w:val="00E34EC3"/>
    <w:rsid w:val="00E3515A"/>
    <w:rsid w:val="00E3539C"/>
    <w:rsid w:val="00E354AB"/>
    <w:rsid w:val="00E3585C"/>
    <w:rsid w:val="00E35940"/>
    <w:rsid w:val="00E35A89"/>
    <w:rsid w:val="00E35B0A"/>
    <w:rsid w:val="00E35B8B"/>
    <w:rsid w:val="00E35F9D"/>
    <w:rsid w:val="00E3606E"/>
    <w:rsid w:val="00E3681D"/>
    <w:rsid w:val="00E368B1"/>
    <w:rsid w:val="00E368B6"/>
    <w:rsid w:val="00E36AA4"/>
    <w:rsid w:val="00E36D79"/>
    <w:rsid w:val="00E36E2C"/>
    <w:rsid w:val="00E36ECB"/>
    <w:rsid w:val="00E36FB5"/>
    <w:rsid w:val="00E3707E"/>
    <w:rsid w:val="00E3711C"/>
    <w:rsid w:val="00E37153"/>
    <w:rsid w:val="00E37291"/>
    <w:rsid w:val="00E372D6"/>
    <w:rsid w:val="00E37602"/>
    <w:rsid w:val="00E37610"/>
    <w:rsid w:val="00E3795B"/>
    <w:rsid w:val="00E379E6"/>
    <w:rsid w:val="00E37C0C"/>
    <w:rsid w:val="00E37E3E"/>
    <w:rsid w:val="00E4061B"/>
    <w:rsid w:val="00E40B16"/>
    <w:rsid w:val="00E40BAD"/>
    <w:rsid w:val="00E40C05"/>
    <w:rsid w:val="00E40C6C"/>
    <w:rsid w:val="00E40C81"/>
    <w:rsid w:val="00E40DC3"/>
    <w:rsid w:val="00E40E78"/>
    <w:rsid w:val="00E410D6"/>
    <w:rsid w:val="00E417BC"/>
    <w:rsid w:val="00E41A79"/>
    <w:rsid w:val="00E41DDA"/>
    <w:rsid w:val="00E41EBD"/>
    <w:rsid w:val="00E426DA"/>
    <w:rsid w:val="00E4276B"/>
    <w:rsid w:val="00E4281C"/>
    <w:rsid w:val="00E42976"/>
    <w:rsid w:val="00E42B3B"/>
    <w:rsid w:val="00E42C3F"/>
    <w:rsid w:val="00E42C94"/>
    <w:rsid w:val="00E42D71"/>
    <w:rsid w:val="00E42EE3"/>
    <w:rsid w:val="00E42F6E"/>
    <w:rsid w:val="00E430D6"/>
    <w:rsid w:val="00E43398"/>
    <w:rsid w:val="00E433BE"/>
    <w:rsid w:val="00E43491"/>
    <w:rsid w:val="00E436CF"/>
    <w:rsid w:val="00E43790"/>
    <w:rsid w:val="00E437BC"/>
    <w:rsid w:val="00E43977"/>
    <w:rsid w:val="00E43CD5"/>
    <w:rsid w:val="00E43F21"/>
    <w:rsid w:val="00E43FEE"/>
    <w:rsid w:val="00E4407F"/>
    <w:rsid w:val="00E4414D"/>
    <w:rsid w:val="00E44374"/>
    <w:rsid w:val="00E443CC"/>
    <w:rsid w:val="00E44513"/>
    <w:rsid w:val="00E4455F"/>
    <w:rsid w:val="00E447FF"/>
    <w:rsid w:val="00E44846"/>
    <w:rsid w:val="00E448AD"/>
    <w:rsid w:val="00E44D03"/>
    <w:rsid w:val="00E45033"/>
    <w:rsid w:val="00E450B7"/>
    <w:rsid w:val="00E4522B"/>
    <w:rsid w:val="00E4591C"/>
    <w:rsid w:val="00E45EB8"/>
    <w:rsid w:val="00E4630A"/>
    <w:rsid w:val="00E468EE"/>
    <w:rsid w:val="00E46901"/>
    <w:rsid w:val="00E4691D"/>
    <w:rsid w:val="00E469DD"/>
    <w:rsid w:val="00E46C23"/>
    <w:rsid w:val="00E46E21"/>
    <w:rsid w:val="00E4708D"/>
    <w:rsid w:val="00E47319"/>
    <w:rsid w:val="00E473E7"/>
    <w:rsid w:val="00E474F4"/>
    <w:rsid w:val="00E47504"/>
    <w:rsid w:val="00E47540"/>
    <w:rsid w:val="00E477D6"/>
    <w:rsid w:val="00E47A98"/>
    <w:rsid w:val="00E47A9B"/>
    <w:rsid w:val="00E47B73"/>
    <w:rsid w:val="00E47D1E"/>
    <w:rsid w:val="00E47EB9"/>
    <w:rsid w:val="00E500D3"/>
    <w:rsid w:val="00E50111"/>
    <w:rsid w:val="00E5015C"/>
    <w:rsid w:val="00E50546"/>
    <w:rsid w:val="00E50695"/>
    <w:rsid w:val="00E506E9"/>
    <w:rsid w:val="00E50BD4"/>
    <w:rsid w:val="00E50CB1"/>
    <w:rsid w:val="00E50F48"/>
    <w:rsid w:val="00E50F84"/>
    <w:rsid w:val="00E5128A"/>
    <w:rsid w:val="00E513DD"/>
    <w:rsid w:val="00E5145C"/>
    <w:rsid w:val="00E514AA"/>
    <w:rsid w:val="00E51521"/>
    <w:rsid w:val="00E5157B"/>
    <w:rsid w:val="00E515E2"/>
    <w:rsid w:val="00E5164B"/>
    <w:rsid w:val="00E516F2"/>
    <w:rsid w:val="00E51954"/>
    <w:rsid w:val="00E51A6C"/>
    <w:rsid w:val="00E52159"/>
    <w:rsid w:val="00E52360"/>
    <w:rsid w:val="00E524B1"/>
    <w:rsid w:val="00E52574"/>
    <w:rsid w:val="00E525A0"/>
    <w:rsid w:val="00E527C4"/>
    <w:rsid w:val="00E52857"/>
    <w:rsid w:val="00E528E1"/>
    <w:rsid w:val="00E52BB6"/>
    <w:rsid w:val="00E52F85"/>
    <w:rsid w:val="00E535B5"/>
    <w:rsid w:val="00E53691"/>
    <w:rsid w:val="00E5396F"/>
    <w:rsid w:val="00E539CD"/>
    <w:rsid w:val="00E53B21"/>
    <w:rsid w:val="00E53C6F"/>
    <w:rsid w:val="00E542B6"/>
    <w:rsid w:val="00E54509"/>
    <w:rsid w:val="00E546B0"/>
    <w:rsid w:val="00E546E4"/>
    <w:rsid w:val="00E5493F"/>
    <w:rsid w:val="00E54971"/>
    <w:rsid w:val="00E549B0"/>
    <w:rsid w:val="00E54BEB"/>
    <w:rsid w:val="00E54CA9"/>
    <w:rsid w:val="00E54E0B"/>
    <w:rsid w:val="00E550C7"/>
    <w:rsid w:val="00E55236"/>
    <w:rsid w:val="00E5541F"/>
    <w:rsid w:val="00E55516"/>
    <w:rsid w:val="00E55599"/>
    <w:rsid w:val="00E558F7"/>
    <w:rsid w:val="00E55A1A"/>
    <w:rsid w:val="00E55BE2"/>
    <w:rsid w:val="00E55C64"/>
    <w:rsid w:val="00E55D98"/>
    <w:rsid w:val="00E55E30"/>
    <w:rsid w:val="00E55F0F"/>
    <w:rsid w:val="00E55F48"/>
    <w:rsid w:val="00E55F4D"/>
    <w:rsid w:val="00E5619E"/>
    <w:rsid w:val="00E562E6"/>
    <w:rsid w:val="00E564B8"/>
    <w:rsid w:val="00E564E7"/>
    <w:rsid w:val="00E56534"/>
    <w:rsid w:val="00E56586"/>
    <w:rsid w:val="00E5662B"/>
    <w:rsid w:val="00E5673A"/>
    <w:rsid w:val="00E56842"/>
    <w:rsid w:val="00E5690B"/>
    <w:rsid w:val="00E56A8F"/>
    <w:rsid w:val="00E56E60"/>
    <w:rsid w:val="00E5714C"/>
    <w:rsid w:val="00E5721E"/>
    <w:rsid w:val="00E5734B"/>
    <w:rsid w:val="00E57602"/>
    <w:rsid w:val="00E57739"/>
    <w:rsid w:val="00E57924"/>
    <w:rsid w:val="00E57BBE"/>
    <w:rsid w:val="00E57DCD"/>
    <w:rsid w:val="00E602DC"/>
    <w:rsid w:val="00E603A5"/>
    <w:rsid w:val="00E604C8"/>
    <w:rsid w:val="00E605ED"/>
    <w:rsid w:val="00E60771"/>
    <w:rsid w:val="00E607E8"/>
    <w:rsid w:val="00E6088F"/>
    <w:rsid w:val="00E60BE7"/>
    <w:rsid w:val="00E60DA7"/>
    <w:rsid w:val="00E60DE1"/>
    <w:rsid w:val="00E60DF1"/>
    <w:rsid w:val="00E60DF2"/>
    <w:rsid w:val="00E61262"/>
    <w:rsid w:val="00E6130D"/>
    <w:rsid w:val="00E614CE"/>
    <w:rsid w:val="00E61D97"/>
    <w:rsid w:val="00E61EB4"/>
    <w:rsid w:val="00E62003"/>
    <w:rsid w:val="00E620C5"/>
    <w:rsid w:val="00E62139"/>
    <w:rsid w:val="00E621B5"/>
    <w:rsid w:val="00E622D2"/>
    <w:rsid w:val="00E6239D"/>
    <w:rsid w:val="00E6245F"/>
    <w:rsid w:val="00E626BE"/>
    <w:rsid w:val="00E62825"/>
    <w:rsid w:val="00E62911"/>
    <w:rsid w:val="00E629E5"/>
    <w:rsid w:val="00E62D73"/>
    <w:rsid w:val="00E62E78"/>
    <w:rsid w:val="00E62FBA"/>
    <w:rsid w:val="00E6308E"/>
    <w:rsid w:val="00E6312A"/>
    <w:rsid w:val="00E63255"/>
    <w:rsid w:val="00E63693"/>
    <w:rsid w:val="00E63879"/>
    <w:rsid w:val="00E63A83"/>
    <w:rsid w:val="00E63BDB"/>
    <w:rsid w:val="00E63D76"/>
    <w:rsid w:val="00E63EF1"/>
    <w:rsid w:val="00E63F97"/>
    <w:rsid w:val="00E640E7"/>
    <w:rsid w:val="00E641B3"/>
    <w:rsid w:val="00E6422A"/>
    <w:rsid w:val="00E64420"/>
    <w:rsid w:val="00E644BF"/>
    <w:rsid w:val="00E6468D"/>
    <w:rsid w:val="00E64788"/>
    <w:rsid w:val="00E64AD2"/>
    <w:rsid w:val="00E64AFE"/>
    <w:rsid w:val="00E64B70"/>
    <w:rsid w:val="00E64B78"/>
    <w:rsid w:val="00E64C41"/>
    <w:rsid w:val="00E64E4D"/>
    <w:rsid w:val="00E64EC2"/>
    <w:rsid w:val="00E65046"/>
    <w:rsid w:val="00E65067"/>
    <w:rsid w:val="00E65077"/>
    <w:rsid w:val="00E650FB"/>
    <w:rsid w:val="00E65147"/>
    <w:rsid w:val="00E651C1"/>
    <w:rsid w:val="00E6537D"/>
    <w:rsid w:val="00E653EA"/>
    <w:rsid w:val="00E65443"/>
    <w:rsid w:val="00E65528"/>
    <w:rsid w:val="00E6553D"/>
    <w:rsid w:val="00E65649"/>
    <w:rsid w:val="00E65D25"/>
    <w:rsid w:val="00E65D8D"/>
    <w:rsid w:val="00E65E5B"/>
    <w:rsid w:val="00E65FE0"/>
    <w:rsid w:val="00E66042"/>
    <w:rsid w:val="00E66A4A"/>
    <w:rsid w:val="00E66A7E"/>
    <w:rsid w:val="00E66D0C"/>
    <w:rsid w:val="00E66F17"/>
    <w:rsid w:val="00E672F0"/>
    <w:rsid w:val="00E67381"/>
    <w:rsid w:val="00E6787B"/>
    <w:rsid w:val="00E67900"/>
    <w:rsid w:val="00E67BA4"/>
    <w:rsid w:val="00E67C67"/>
    <w:rsid w:val="00E70516"/>
    <w:rsid w:val="00E70602"/>
    <w:rsid w:val="00E7099A"/>
    <w:rsid w:val="00E70A71"/>
    <w:rsid w:val="00E70D3A"/>
    <w:rsid w:val="00E70F61"/>
    <w:rsid w:val="00E712F5"/>
    <w:rsid w:val="00E715E2"/>
    <w:rsid w:val="00E71971"/>
    <w:rsid w:val="00E71B7B"/>
    <w:rsid w:val="00E71CD6"/>
    <w:rsid w:val="00E71CF9"/>
    <w:rsid w:val="00E71D0B"/>
    <w:rsid w:val="00E71ED9"/>
    <w:rsid w:val="00E72054"/>
    <w:rsid w:val="00E722DA"/>
    <w:rsid w:val="00E722E4"/>
    <w:rsid w:val="00E72332"/>
    <w:rsid w:val="00E723FC"/>
    <w:rsid w:val="00E72422"/>
    <w:rsid w:val="00E7246B"/>
    <w:rsid w:val="00E729BE"/>
    <w:rsid w:val="00E72F69"/>
    <w:rsid w:val="00E72FBA"/>
    <w:rsid w:val="00E73199"/>
    <w:rsid w:val="00E73266"/>
    <w:rsid w:val="00E73301"/>
    <w:rsid w:val="00E7362F"/>
    <w:rsid w:val="00E73630"/>
    <w:rsid w:val="00E73818"/>
    <w:rsid w:val="00E73893"/>
    <w:rsid w:val="00E738B1"/>
    <w:rsid w:val="00E738DC"/>
    <w:rsid w:val="00E739B0"/>
    <w:rsid w:val="00E73DEF"/>
    <w:rsid w:val="00E74013"/>
    <w:rsid w:val="00E74033"/>
    <w:rsid w:val="00E741AB"/>
    <w:rsid w:val="00E743A9"/>
    <w:rsid w:val="00E7449B"/>
    <w:rsid w:val="00E7496E"/>
    <w:rsid w:val="00E74A3E"/>
    <w:rsid w:val="00E74A8E"/>
    <w:rsid w:val="00E74B8F"/>
    <w:rsid w:val="00E74C1E"/>
    <w:rsid w:val="00E74CBF"/>
    <w:rsid w:val="00E74D27"/>
    <w:rsid w:val="00E74FC7"/>
    <w:rsid w:val="00E75474"/>
    <w:rsid w:val="00E758C6"/>
    <w:rsid w:val="00E75B37"/>
    <w:rsid w:val="00E75B5D"/>
    <w:rsid w:val="00E75FD1"/>
    <w:rsid w:val="00E75FFA"/>
    <w:rsid w:val="00E76018"/>
    <w:rsid w:val="00E76196"/>
    <w:rsid w:val="00E76381"/>
    <w:rsid w:val="00E7642C"/>
    <w:rsid w:val="00E764C6"/>
    <w:rsid w:val="00E7651A"/>
    <w:rsid w:val="00E7655F"/>
    <w:rsid w:val="00E765C9"/>
    <w:rsid w:val="00E76612"/>
    <w:rsid w:val="00E76796"/>
    <w:rsid w:val="00E768F3"/>
    <w:rsid w:val="00E76B93"/>
    <w:rsid w:val="00E76C74"/>
    <w:rsid w:val="00E76C98"/>
    <w:rsid w:val="00E76EDF"/>
    <w:rsid w:val="00E76F8C"/>
    <w:rsid w:val="00E776DD"/>
    <w:rsid w:val="00E776E1"/>
    <w:rsid w:val="00E77AAA"/>
    <w:rsid w:val="00E77AFE"/>
    <w:rsid w:val="00E77CAE"/>
    <w:rsid w:val="00E77DDC"/>
    <w:rsid w:val="00E77DDD"/>
    <w:rsid w:val="00E8018B"/>
    <w:rsid w:val="00E803C9"/>
    <w:rsid w:val="00E80430"/>
    <w:rsid w:val="00E804F1"/>
    <w:rsid w:val="00E8055B"/>
    <w:rsid w:val="00E806F6"/>
    <w:rsid w:val="00E807E2"/>
    <w:rsid w:val="00E8085C"/>
    <w:rsid w:val="00E80E07"/>
    <w:rsid w:val="00E80E2A"/>
    <w:rsid w:val="00E81097"/>
    <w:rsid w:val="00E81301"/>
    <w:rsid w:val="00E816AF"/>
    <w:rsid w:val="00E8193E"/>
    <w:rsid w:val="00E81C2B"/>
    <w:rsid w:val="00E81C5F"/>
    <w:rsid w:val="00E81D89"/>
    <w:rsid w:val="00E81E6A"/>
    <w:rsid w:val="00E8224D"/>
    <w:rsid w:val="00E82294"/>
    <w:rsid w:val="00E824B4"/>
    <w:rsid w:val="00E825EC"/>
    <w:rsid w:val="00E8270E"/>
    <w:rsid w:val="00E829ED"/>
    <w:rsid w:val="00E82B4E"/>
    <w:rsid w:val="00E82D86"/>
    <w:rsid w:val="00E82E00"/>
    <w:rsid w:val="00E831FD"/>
    <w:rsid w:val="00E83286"/>
    <w:rsid w:val="00E8372C"/>
    <w:rsid w:val="00E83A82"/>
    <w:rsid w:val="00E83C41"/>
    <w:rsid w:val="00E83CF0"/>
    <w:rsid w:val="00E83EBA"/>
    <w:rsid w:val="00E83EC2"/>
    <w:rsid w:val="00E84126"/>
    <w:rsid w:val="00E84532"/>
    <w:rsid w:val="00E84542"/>
    <w:rsid w:val="00E84621"/>
    <w:rsid w:val="00E846AF"/>
    <w:rsid w:val="00E85166"/>
    <w:rsid w:val="00E852B7"/>
    <w:rsid w:val="00E85301"/>
    <w:rsid w:val="00E85328"/>
    <w:rsid w:val="00E8553A"/>
    <w:rsid w:val="00E856DD"/>
    <w:rsid w:val="00E858F9"/>
    <w:rsid w:val="00E85A14"/>
    <w:rsid w:val="00E85B3D"/>
    <w:rsid w:val="00E85C13"/>
    <w:rsid w:val="00E85D3D"/>
    <w:rsid w:val="00E86032"/>
    <w:rsid w:val="00E8612A"/>
    <w:rsid w:val="00E8629E"/>
    <w:rsid w:val="00E86352"/>
    <w:rsid w:val="00E863BF"/>
    <w:rsid w:val="00E864BC"/>
    <w:rsid w:val="00E86A19"/>
    <w:rsid w:val="00E86D91"/>
    <w:rsid w:val="00E86DD6"/>
    <w:rsid w:val="00E86F02"/>
    <w:rsid w:val="00E87202"/>
    <w:rsid w:val="00E872F2"/>
    <w:rsid w:val="00E8731F"/>
    <w:rsid w:val="00E87347"/>
    <w:rsid w:val="00E87479"/>
    <w:rsid w:val="00E87B3F"/>
    <w:rsid w:val="00E87C6B"/>
    <w:rsid w:val="00E9026D"/>
    <w:rsid w:val="00E9048A"/>
    <w:rsid w:val="00E904D3"/>
    <w:rsid w:val="00E90569"/>
    <w:rsid w:val="00E9072E"/>
    <w:rsid w:val="00E9089B"/>
    <w:rsid w:val="00E908B6"/>
    <w:rsid w:val="00E90CEE"/>
    <w:rsid w:val="00E90E6A"/>
    <w:rsid w:val="00E910D3"/>
    <w:rsid w:val="00E910FD"/>
    <w:rsid w:val="00E91428"/>
    <w:rsid w:val="00E9150C"/>
    <w:rsid w:val="00E915BF"/>
    <w:rsid w:val="00E91680"/>
    <w:rsid w:val="00E9176C"/>
    <w:rsid w:val="00E9188A"/>
    <w:rsid w:val="00E91E8B"/>
    <w:rsid w:val="00E91F1D"/>
    <w:rsid w:val="00E9209A"/>
    <w:rsid w:val="00E92374"/>
    <w:rsid w:val="00E9265D"/>
    <w:rsid w:val="00E92716"/>
    <w:rsid w:val="00E92BD6"/>
    <w:rsid w:val="00E92DEA"/>
    <w:rsid w:val="00E92F96"/>
    <w:rsid w:val="00E93029"/>
    <w:rsid w:val="00E9381A"/>
    <w:rsid w:val="00E93A84"/>
    <w:rsid w:val="00E93C03"/>
    <w:rsid w:val="00E93CEF"/>
    <w:rsid w:val="00E93D98"/>
    <w:rsid w:val="00E9404C"/>
    <w:rsid w:val="00E94061"/>
    <w:rsid w:val="00E94184"/>
    <w:rsid w:val="00E94648"/>
    <w:rsid w:val="00E947E6"/>
    <w:rsid w:val="00E94C49"/>
    <w:rsid w:val="00E95021"/>
    <w:rsid w:val="00E95025"/>
    <w:rsid w:val="00E95227"/>
    <w:rsid w:val="00E954CB"/>
    <w:rsid w:val="00E95576"/>
    <w:rsid w:val="00E9565A"/>
    <w:rsid w:val="00E958A6"/>
    <w:rsid w:val="00E95B31"/>
    <w:rsid w:val="00E95E60"/>
    <w:rsid w:val="00E95ED3"/>
    <w:rsid w:val="00E95F47"/>
    <w:rsid w:val="00E9636B"/>
    <w:rsid w:val="00E96474"/>
    <w:rsid w:val="00E96576"/>
    <w:rsid w:val="00E96994"/>
    <w:rsid w:val="00E96A5C"/>
    <w:rsid w:val="00E96D09"/>
    <w:rsid w:val="00E96DB9"/>
    <w:rsid w:val="00E96FED"/>
    <w:rsid w:val="00E970FB"/>
    <w:rsid w:val="00E97164"/>
    <w:rsid w:val="00E974A3"/>
    <w:rsid w:val="00E975C1"/>
    <w:rsid w:val="00E97776"/>
    <w:rsid w:val="00E979FE"/>
    <w:rsid w:val="00E97AED"/>
    <w:rsid w:val="00E97B2A"/>
    <w:rsid w:val="00E97DE1"/>
    <w:rsid w:val="00E97E45"/>
    <w:rsid w:val="00E97F48"/>
    <w:rsid w:val="00E97F51"/>
    <w:rsid w:val="00EA0781"/>
    <w:rsid w:val="00EA08B3"/>
    <w:rsid w:val="00EA08C0"/>
    <w:rsid w:val="00EA09C8"/>
    <w:rsid w:val="00EA0AC5"/>
    <w:rsid w:val="00EA0ADC"/>
    <w:rsid w:val="00EA0F13"/>
    <w:rsid w:val="00EA114B"/>
    <w:rsid w:val="00EA1178"/>
    <w:rsid w:val="00EA1449"/>
    <w:rsid w:val="00EA1822"/>
    <w:rsid w:val="00EA182F"/>
    <w:rsid w:val="00EA19E3"/>
    <w:rsid w:val="00EA1BEA"/>
    <w:rsid w:val="00EA1D08"/>
    <w:rsid w:val="00EA1D9F"/>
    <w:rsid w:val="00EA1F66"/>
    <w:rsid w:val="00EA221D"/>
    <w:rsid w:val="00EA2415"/>
    <w:rsid w:val="00EA267A"/>
    <w:rsid w:val="00EA28ED"/>
    <w:rsid w:val="00EA29DF"/>
    <w:rsid w:val="00EA29EA"/>
    <w:rsid w:val="00EA2CF5"/>
    <w:rsid w:val="00EA3073"/>
    <w:rsid w:val="00EA3163"/>
    <w:rsid w:val="00EA3433"/>
    <w:rsid w:val="00EA3498"/>
    <w:rsid w:val="00EA3510"/>
    <w:rsid w:val="00EA397A"/>
    <w:rsid w:val="00EA3ABF"/>
    <w:rsid w:val="00EA3AC6"/>
    <w:rsid w:val="00EA3B84"/>
    <w:rsid w:val="00EA3F5A"/>
    <w:rsid w:val="00EA404D"/>
    <w:rsid w:val="00EA4170"/>
    <w:rsid w:val="00EA4448"/>
    <w:rsid w:val="00EA465C"/>
    <w:rsid w:val="00EA4898"/>
    <w:rsid w:val="00EA4C44"/>
    <w:rsid w:val="00EA4D19"/>
    <w:rsid w:val="00EA4F8A"/>
    <w:rsid w:val="00EA52F5"/>
    <w:rsid w:val="00EA55BC"/>
    <w:rsid w:val="00EA57A3"/>
    <w:rsid w:val="00EA5A7F"/>
    <w:rsid w:val="00EA5C9A"/>
    <w:rsid w:val="00EA62A4"/>
    <w:rsid w:val="00EA6312"/>
    <w:rsid w:val="00EA631E"/>
    <w:rsid w:val="00EA6400"/>
    <w:rsid w:val="00EA64A3"/>
    <w:rsid w:val="00EA660E"/>
    <w:rsid w:val="00EA6A79"/>
    <w:rsid w:val="00EA6C70"/>
    <w:rsid w:val="00EA6E06"/>
    <w:rsid w:val="00EA7368"/>
    <w:rsid w:val="00EA7530"/>
    <w:rsid w:val="00EA7531"/>
    <w:rsid w:val="00EA7BF6"/>
    <w:rsid w:val="00EA7C61"/>
    <w:rsid w:val="00EA7D34"/>
    <w:rsid w:val="00EA7EC9"/>
    <w:rsid w:val="00EB0092"/>
    <w:rsid w:val="00EB0110"/>
    <w:rsid w:val="00EB011E"/>
    <w:rsid w:val="00EB016C"/>
    <w:rsid w:val="00EB042B"/>
    <w:rsid w:val="00EB0B35"/>
    <w:rsid w:val="00EB0BCE"/>
    <w:rsid w:val="00EB0EA2"/>
    <w:rsid w:val="00EB0EE9"/>
    <w:rsid w:val="00EB0F31"/>
    <w:rsid w:val="00EB12C4"/>
    <w:rsid w:val="00EB1558"/>
    <w:rsid w:val="00EB1712"/>
    <w:rsid w:val="00EB177E"/>
    <w:rsid w:val="00EB1949"/>
    <w:rsid w:val="00EB1B5D"/>
    <w:rsid w:val="00EB1BCF"/>
    <w:rsid w:val="00EB1E86"/>
    <w:rsid w:val="00EB1F35"/>
    <w:rsid w:val="00EB1FE1"/>
    <w:rsid w:val="00EB204E"/>
    <w:rsid w:val="00EB20A8"/>
    <w:rsid w:val="00EB2307"/>
    <w:rsid w:val="00EB26D5"/>
    <w:rsid w:val="00EB2AB7"/>
    <w:rsid w:val="00EB2CE8"/>
    <w:rsid w:val="00EB3226"/>
    <w:rsid w:val="00EB344E"/>
    <w:rsid w:val="00EB34FE"/>
    <w:rsid w:val="00EB3564"/>
    <w:rsid w:val="00EB38F4"/>
    <w:rsid w:val="00EB3C9C"/>
    <w:rsid w:val="00EB3CE2"/>
    <w:rsid w:val="00EB3DBF"/>
    <w:rsid w:val="00EB3EB1"/>
    <w:rsid w:val="00EB3F8C"/>
    <w:rsid w:val="00EB4036"/>
    <w:rsid w:val="00EB45AD"/>
    <w:rsid w:val="00EB491E"/>
    <w:rsid w:val="00EB4B1A"/>
    <w:rsid w:val="00EB4B72"/>
    <w:rsid w:val="00EB4FE1"/>
    <w:rsid w:val="00EB5286"/>
    <w:rsid w:val="00EB52AF"/>
    <w:rsid w:val="00EB5537"/>
    <w:rsid w:val="00EB55B7"/>
    <w:rsid w:val="00EB5708"/>
    <w:rsid w:val="00EB5940"/>
    <w:rsid w:val="00EB5A10"/>
    <w:rsid w:val="00EB5A6F"/>
    <w:rsid w:val="00EB5EBC"/>
    <w:rsid w:val="00EB5F11"/>
    <w:rsid w:val="00EB61ED"/>
    <w:rsid w:val="00EB65AC"/>
    <w:rsid w:val="00EB6BC8"/>
    <w:rsid w:val="00EB74D6"/>
    <w:rsid w:val="00EB752A"/>
    <w:rsid w:val="00EB7586"/>
    <w:rsid w:val="00EB7608"/>
    <w:rsid w:val="00EB760C"/>
    <w:rsid w:val="00EB78C7"/>
    <w:rsid w:val="00EB78D5"/>
    <w:rsid w:val="00EB7930"/>
    <w:rsid w:val="00EB7978"/>
    <w:rsid w:val="00EB7E3A"/>
    <w:rsid w:val="00EC0400"/>
    <w:rsid w:val="00EC04EB"/>
    <w:rsid w:val="00EC0799"/>
    <w:rsid w:val="00EC07D1"/>
    <w:rsid w:val="00EC08AA"/>
    <w:rsid w:val="00EC08F4"/>
    <w:rsid w:val="00EC09CD"/>
    <w:rsid w:val="00EC0A69"/>
    <w:rsid w:val="00EC0D4A"/>
    <w:rsid w:val="00EC11F1"/>
    <w:rsid w:val="00EC12AF"/>
    <w:rsid w:val="00EC1505"/>
    <w:rsid w:val="00EC161D"/>
    <w:rsid w:val="00EC170D"/>
    <w:rsid w:val="00EC1A00"/>
    <w:rsid w:val="00EC1C96"/>
    <w:rsid w:val="00EC1D43"/>
    <w:rsid w:val="00EC258F"/>
    <w:rsid w:val="00EC29EE"/>
    <w:rsid w:val="00EC2E3A"/>
    <w:rsid w:val="00EC3116"/>
    <w:rsid w:val="00EC3143"/>
    <w:rsid w:val="00EC32E8"/>
    <w:rsid w:val="00EC33BC"/>
    <w:rsid w:val="00EC36FD"/>
    <w:rsid w:val="00EC3971"/>
    <w:rsid w:val="00EC39A2"/>
    <w:rsid w:val="00EC4250"/>
    <w:rsid w:val="00EC43A5"/>
    <w:rsid w:val="00EC446D"/>
    <w:rsid w:val="00EC483B"/>
    <w:rsid w:val="00EC4911"/>
    <w:rsid w:val="00EC4C55"/>
    <w:rsid w:val="00EC4D7B"/>
    <w:rsid w:val="00EC4EEA"/>
    <w:rsid w:val="00EC5053"/>
    <w:rsid w:val="00EC5096"/>
    <w:rsid w:val="00EC50C9"/>
    <w:rsid w:val="00EC51B4"/>
    <w:rsid w:val="00EC5523"/>
    <w:rsid w:val="00EC5581"/>
    <w:rsid w:val="00EC5623"/>
    <w:rsid w:val="00EC563C"/>
    <w:rsid w:val="00EC5695"/>
    <w:rsid w:val="00EC5BFD"/>
    <w:rsid w:val="00EC5C13"/>
    <w:rsid w:val="00EC5C28"/>
    <w:rsid w:val="00EC5EE0"/>
    <w:rsid w:val="00EC61D7"/>
    <w:rsid w:val="00EC621C"/>
    <w:rsid w:val="00EC6270"/>
    <w:rsid w:val="00EC62BB"/>
    <w:rsid w:val="00EC6503"/>
    <w:rsid w:val="00EC650A"/>
    <w:rsid w:val="00EC6615"/>
    <w:rsid w:val="00EC6620"/>
    <w:rsid w:val="00EC686D"/>
    <w:rsid w:val="00EC6AA7"/>
    <w:rsid w:val="00EC6B46"/>
    <w:rsid w:val="00EC6B9F"/>
    <w:rsid w:val="00EC6EF0"/>
    <w:rsid w:val="00EC6F64"/>
    <w:rsid w:val="00EC7133"/>
    <w:rsid w:val="00EC7361"/>
    <w:rsid w:val="00EC74E5"/>
    <w:rsid w:val="00EC74F1"/>
    <w:rsid w:val="00EC77BC"/>
    <w:rsid w:val="00EC77EA"/>
    <w:rsid w:val="00EC7833"/>
    <w:rsid w:val="00EC7A43"/>
    <w:rsid w:val="00EC7AAB"/>
    <w:rsid w:val="00EC7CF1"/>
    <w:rsid w:val="00EC7D6D"/>
    <w:rsid w:val="00ED00CE"/>
    <w:rsid w:val="00ED041D"/>
    <w:rsid w:val="00ED0557"/>
    <w:rsid w:val="00ED05AC"/>
    <w:rsid w:val="00ED05DE"/>
    <w:rsid w:val="00ED0605"/>
    <w:rsid w:val="00ED06BF"/>
    <w:rsid w:val="00ED0735"/>
    <w:rsid w:val="00ED07B5"/>
    <w:rsid w:val="00ED0836"/>
    <w:rsid w:val="00ED08C0"/>
    <w:rsid w:val="00ED08FB"/>
    <w:rsid w:val="00ED09D9"/>
    <w:rsid w:val="00ED0B51"/>
    <w:rsid w:val="00ED0BC1"/>
    <w:rsid w:val="00ED0C6B"/>
    <w:rsid w:val="00ED0EAE"/>
    <w:rsid w:val="00ED0EBD"/>
    <w:rsid w:val="00ED0F86"/>
    <w:rsid w:val="00ED1197"/>
    <w:rsid w:val="00ED12C1"/>
    <w:rsid w:val="00ED1453"/>
    <w:rsid w:val="00ED1650"/>
    <w:rsid w:val="00ED16EC"/>
    <w:rsid w:val="00ED1866"/>
    <w:rsid w:val="00ED1871"/>
    <w:rsid w:val="00ED18AF"/>
    <w:rsid w:val="00ED1999"/>
    <w:rsid w:val="00ED1B5C"/>
    <w:rsid w:val="00ED1CFC"/>
    <w:rsid w:val="00ED1D9B"/>
    <w:rsid w:val="00ED1E9A"/>
    <w:rsid w:val="00ED1FE7"/>
    <w:rsid w:val="00ED20E2"/>
    <w:rsid w:val="00ED23BA"/>
    <w:rsid w:val="00ED2445"/>
    <w:rsid w:val="00ED2657"/>
    <w:rsid w:val="00ED269A"/>
    <w:rsid w:val="00ED2805"/>
    <w:rsid w:val="00ED290C"/>
    <w:rsid w:val="00ED2A41"/>
    <w:rsid w:val="00ED2C51"/>
    <w:rsid w:val="00ED2EB8"/>
    <w:rsid w:val="00ED302B"/>
    <w:rsid w:val="00ED3358"/>
    <w:rsid w:val="00ED33AC"/>
    <w:rsid w:val="00ED33E9"/>
    <w:rsid w:val="00ED34F6"/>
    <w:rsid w:val="00ED35C0"/>
    <w:rsid w:val="00ED3758"/>
    <w:rsid w:val="00ED3911"/>
    <w:rsid w:val="00ED3DA0"/>
    <w:rsid w:val="00ED3FC6"/>
    <w:rsid w:val="00ED42F0"/>
    <w:rsid w:val="00ED43DE"/>
    <w:rsid w:val="00ED4492"/>
    <w:rsid w:val="00ED4503"/>
    <w:rsid w:val="00ED477D"/>
    <w:rsid w:val="00ED47B6"/>
    <w:rsid w:val="00ED48B7"/>
    <w:rsid w:val="00ED4AB3"/>
    <w:rsid w:val="00ED4CDE"/>
    <w:rsid w:val="00ED4E4B"/>
    <w:rsid w:val="00ED4EBA"/>
    <w:rsid w:val="00ED50C8"/>
    <w:rsid w:val="00ED5115"/>
    <w:rsid w:val="00ED5179"/>
    <w:rsid w:val="00ED5444"/>
    <w:rsid w:val="00ED5589"/>
    <w:rsid w:val="00ED5651"/>
    <w:rsid w:val="00ED57CE"/>
    <w:rsid w:val="00ED5887"/>
    <w:rsid w:val="00ED5C19"/>
    <w:rsid w:val="00ED5E4E"/>
    <w:rsid w:val="00ED5E85"/>
    <w:rsid w:val="00ED5F50"/>
    <w:rsid w:val="00ED5F5A"/>
    <w:rsid w:val="00ED5F65"/>
    <w:rsid w:val="00ED6049"/>
    <w:rsid w:val="00ED607E"/>
    <w:rsid w:val="00ED6202"/>
    <w:rsid w:val="00ED635F"/>
    <w:rsid w:val="00ED6372"/>
    <w:rsid w:val="00ED644A"/>
    <w:rsid w:val="00ED6552"/>
    <w:rsid w:val="00ED657F"/>
    <w:rsid w:val="00ED66C1"/>
    <w:rsid w:val="00ED69CF"/>
    <w:rsid w:val="00ED6A0C"/>
    <w:rsid w:val="00ED6A19"/>
    <w:rsid w:val="00ED6B7D"/>
    <w:rsid w:val="00ED6D45"/>
    <w:rsid w:val="00ED6F6C"/>
    <w:rsid w:val="00ED743A"/>
    <w:rsid w:val="00ED744E"/>
    <w:rsid w:val="00ED750B"/>
    <w:rsid w:val="00ED763D"/>
    <w:rsid w:val="00ED7738"/>
    <w:rsid w:val="00ED7830"/>
    <w:rsid w:val="00ED78D8"/>
    <w:rsid w:val="00ED7CF4"/>
    <w:rsid w:val="00ED7D94"/>
    <w:rsid w:val="00ED7E92"/>
    <w:rsid w:val="00ED7F05"/>
    <w:rsid w:val="00ED7FAE"/>
    <w:rsid w:val="00EE0166"/>
    <w:rsid w:val="00EE0304"/>
    <w:rsid w:val="00EE038D"/>
    <w:rsid w:val="00EE056E"/>
    <w:rsid w:val="00EE0729"/>
    <w:rsid w:val="00EE081C"/>
    <w:rsid w:val="00EE0BD3"/>
    <w:rsid w:val="00EE0BDC"/>
    <w:rsid w:val="00EE0CC9"/>
    <w:rsid w:val="00EE0FED"/>
    <w:rsid w:val="00EE1037"/>
    <w:rsid w:val="00EE10E5"/>
    <w:rsid w:val="00EE1603"/>
    <w:rsid w:val="00EE1A55"/>
    <w:rsid w:val="00EE1ABF"/>
    <w:rsid w:val="00EE1B63"/>
    <w:rsid w:val="00EE1E19"/>
    <w:rsid w:val="00EE20CB"/>
    <w:rsid w:val="00EE2153"/>
    <w:rsid w:val="00EE2229"/>
    <w:rsid w:val="00EE262E"/>
    <w:rsid w:val="00EE2D15"/>
    <w:rsid w:val="00EE2E28"/>
    <w:rsid w:val="00EE32D8"/>
    <w:rsid w:val="00EE36B2"/>
    <w:rsid w:val="00EE3842"/>
    <w:rsid w:val="00EE3A69"/>
    <w:rsid w:val="00EE3BF2"/>
    <w:rsid w:val="00EE3D13"/>
    <w:rsid w:val="00EE3D35"/>
    <w:rsid w:val="00EE3D7E"/>
    <w:rsid w:val="00EE3EBB"/>
    <w:rsid w:val="00EE4119"/>
    <w:rsid w:val="00EE4239"/>
    <w:rsid w:val="00EE4997"/>
    <w:rsid w:val="00EE49DB"/>
    <w:rsid w:val="00EE4AFC"/>
    <w:rsid w:val="00EE510B"/>
    <w:rsid w:val="00EE5295"/>
    <w:rsid w:val="00EE536D"/>
    <w:rsid w:val="00EE5390"/>
    <w:rsid w:val="00EE5465"/>
    <w:rsid w:val="00EE5803"/>
    <w:rsid w:val="00EE5937"/>
    <w:rsid w:val="00EE5D3F"/>
    <w:rsid w:val="00EE5FAC"/>
    <w:rsid w:val="00EE61AD"/>
    <w:rsid w:val="00EE6375"/>
    <w:rsid w:val="00EE6428"/>
    <w:rsid w:val="00EE677A"/>
    <w:rsid w:val="00EE6A67"/>
    <w:rsid w:val="00EE6D04"/>
    <w:rsid w:val="00EE6E55"/>
    <w:rsid w:val="00EE6E5F"/>
    <w:rsid w:val="00EE6EF4"/>
    <w:rsid w:val="00EE6FBA"/>
    <w:rsid w:val="00EE700F"/>
    <w:rsid w:val="00EE77E0"/>
    <w:rsid w:val="00EE782E"/>
    <w:rsid w:val="00EE78DF"/>
    <w:rsid w:val="00EE7946"/>
    <w:rsid w:val="00EE7C46"/>
    <w:rsid w:val="00EE7CAB"/>
    <w:rsid w:val="00EE7F0C"/>
    <w:rsid w:val="00EF00BE"/>
    <w:rsid w:val="00EF0146"/>
    <w:rsid w:val="00EF01D9"/>
    <w:rsid w:val="00EF0496"/>
    <w:rsid w:val="00EF0506"/>
    <w:rsid w:val="00EF09EC"/>
    <w:rsid w:val="00EF0B28"/>
    <w:rsid w:val="00EF0B43"/>
    <w:rsid w:val="00EF0C8E"/>
    <w:rsid w:val="00EF0D1B"/>
    <w:rsid w:val="00EF0D5E"/>
    <w:rsid w:val="00EF0E0F"/>
    <w:rsid w:val="00EF0E32"/>
    <w:rsid w:val="00EF0F35"/>
    <w:rsid w:val="00EF110A"/>
    <w:rsid w:val="00EF123C"/>
    <w:rsid w:val="00EF14F8"/>
    <w:rsid w:val="00EF1680"/>
    <w:rsid w:val="00EF16E8"/>
    <w:rsid w:val="00EF1892"/>
    <w:rsid w:val="00EF1ACC"/>
    <w:rsid w:val="00EF1B2A"/>
    <w:rsid w:val="00EF1BF6"/>
    <w:rsid w:val="00EF1F14"/>
    <w:rsid w:val="00EF202A"/>
    <w:rsid w:val="00EF21EE"/>
    <w:rsid w:val="00EF2340"/>
    <w:rsid w:val="00EF2CFF"/>
    <w:rsid w:val="00EF2DB7"/>
    <w:rsid w:val="00EF2E05"/>
    <w:rsid w:val="00EF2E42"/>
    <w:rsid w:val="00EF3458"/>
    <w:rsid w:val="00EF36BD"/>
    <w:rsid w:val="00EF373E"/>
    <w:rsid w:val="00EF3743"/>
    <w:rsid w:val="00EF3924"/>
    <w:rsid w:val="00EF3D3F"/>
    <w:rsid w:val="00EF3F56"/>
    <w:rsid w:val="00EF3FFE"/>
    <w:rsid w:val="00EF41A1"/>
    <w:rsid w:val="00EF430B"/>
    <w:rsid w:val="00EF4561"/>
    <w:rsid w:val="00EF4601"/>
    <w:rsid w:val="00EF460B"/>
    <w:rsid w:val="00EF4849"/>
    <w:rsid w:val="00EF4A34"/>
    <w:rsid w:val="00EF4D09"/>
    <w:rsid w:val="00EF4ECD"/>
    <w:rsid w:val="00EF532D"/>
    <w:rsid w:val="00EF54C7"/>
    <w:rsid w:val="00EF55EC"/>
    <w:rsid w:val="00EF563F"/>
    <w:rsid w:val="00EF570F"/>
    <w:rsid w:val="00EF5823"/>
    <w:rsid w:val="00EF58AD"/>
    <w:rsid w:val="00EF5C32"/>
    <w:rsid w:val="00EF5D27"/>
    <w:rsid w:val="00EF61ED"/>
    <w:rsid w:val="00EF62EC"/>
    <w:rsid w:val="00EF6341"/>
    <w:rsid w:val="00EF64E8"/>
    <w:rsid w:val="00EF6562"/>
    <w:rsid w:val="00EF682B"/>
    <w:rsid w:val="00EF692B"/>
    <w:rsid w:val="00EF6B05"/>
    <w:rsid w:val="00EF6C5A"/>
    <w:rsid w:val="00EF6DB6"/>
    <w:rsid w:val="00EF6E04"/>
    <w:rsid w:val="00EF73CA"/>
    <w:rsid w:val="00EF74D1"/>
    <w:rsid w:val="00EF7626"/>
    <w:rsid w:val="00EF777C"/>
    <w:rsid w:val="00EF79B2"/>
    <w:rsid w:val="00EF79BC"/>
    <w:rsid w:val="00EF7A5F"/>
    <w:rsid w:val="00EF7ACF"/>
    <w:rsid w:val="00F000C0"/>
    <w:rsid w:val="00F0028A"/>
    <w:rsid w:val="00F00320"/>
    <w:rsid w:val="00F00390"/>
    <w:rsid w:val="00F004EB"/>
    <w:rsid w:val="00F00518"/>
    <w:rsid w:val="00F006A8"/>
    <w:rsid w:val="00F006D2"/>
    <w:rsid w:val="00F0072E"/>
    <w:rsid w:val="00F007C0"/>
    <w:rsid w:val="00F009B0"/>
    <w:rsid w:val="00F00D27"/>
    <w:rsid w:val="00F01211"/>
    <w:rsid w:val="00F016CC"/>
    <w:rsid w:val="00F018EC"/>
    <w:rsid w:val="00F01BA9"/>
    <w:rsid w:val="00F01CD3"/>
    <w:rsid w:val="00F01E23"/>
    <w:rsid w:val="00F01E57"/>
    <w:rsid w:val="00F01ECB"/>
    <w:rsid w:val="00F01F96"/>
    <w:rsid w:val="00F0205D"/>
    <w:rsid w:val="00F021BA"/>
    <w:rsid w:val="00F0252A"/>
    <w:rsid w:val="00F02655"/>
    <w:rsid w:val="00F02720"/>
    <w:rsid w:val="00F028E1"/>
    <w:rsid w:val="00F02963"/>
    <w:rsid w:val="00F02A0F"/>
    <w:rsid w:val="00F02C1C"/>
    <w:rsid w:val="00F02C33"/>
    <w:rsid w:val="00F02D86"/>
    <w:rsid w:val="00F02F0E"/>
    <w:rsid w:val="00F0309E"/>
    <w:rsid w:val="00F030C5"/>
    <w:rsid w:val="00F0312E"/>
    <w:rsid w:val="00F03151"/>
    <w:rsid w:val="00F0330D"/>
    <w:rsid w:val="00F0352E"/>
    <w:rsid w:val="00F035BD"/>
    <w:rsid w:val="00F03800"/>
    <w:rsid w:val="00F03856"/>
    <w:rsid w:val="00F038E2"/>
    <w:rsid w:val="00F038F7"/>
    <w:rsid w:val="00F04050"/>
    <w:rsid w:val="00F0412F"/>
    <w:rsid w:val="00F04172"/>
    <w:rsid w:val="00F041AE"/>
    <w:rsid w:val="00F041BD"/>
    <w:rsid w:val="00F0420E"/>
    <w:rsid w:val="00F043D7"/>
    <w:rsid w:val="00F04535"/>
    <w:rsid w:val="00F048BD"/>
    <w:rsid w:val="00F0498E"/>
    <w:rsid w:val="00F04D17"/>
    <w:rsid w:val="00F05594"/>
    <w:rsid w:val="00F056C8"/>
    <w:rsid w:val="00F05A31"/>
    <w:rsid w:val="00F05C40"/>
    <w:rsid w:val="00F05C62"/>
    <w:rsid w:val="00F05C81"/>
    <w:rsid w:val="00F05EE8"/>
    <w:rsid w:val="00F062E9"/>
    <w:rsid w:val="00F06508"/>
    <w:rsid w:val="00F065AE"/>
    <w:rsid w:val="00F0669A"/>
    <w:rsid w:val="00F066B3"/>
    <w:rsid w:val="00F068E6"/>
    <w:rsid w:val="00F06BD7"/>
    <w:rsid w:val="00F06BE8"/>
    <w:rsid w:val="00F06CC1"/>
    <w:rsid w:val="00F06E89"/>
    <w:rsid w:val="00F071F7"/>
    <w:rsid w:val="00F07639"/>
    <w:rsid w:val="00F076EE"/>
    <w:rsid w:val="00F078A2"/>
    <w:rsid w:val="00F078CD"/>
    <w:rsid w:val="00F07A18"/>
    <w:rsid w:val="00F07A4A"/>
    <w:rsid w:val="00F07AD6"/>
    <w:rsid w:val="00F07ADB"/>
    <w:rsid w:val="00F07C27"/>
    <w:rsid w:val="00F07DF6"/>
    <w:rsid w:val="00F10129"/>
    <w:rsid w:val="00F10954"/>
    <w:rsid w:val="00F10C9A"/>
    <w:rsid w:val="00F11097"/>
    <w:rsid w:val="00F110C5"/>
    <w:rsid w:val="00F11189"/>
    <w:rsid w:val="00F11349"/>
    <w:rsid w:val="00F11738"/>
    <w:rsid w:val="00F11892"/>
    <w:rsid w:val="00F11B57"/>
    <w:rsid w:val="00F11CCD"/>
    <w:rsid w:val="00F120A5"/>
    <w:rsid w:val="00F12351"/>
    <w:rsid w:val="00F12357"/>
    <w:rsid w:val="00F124C4"/>
    <w:rsid w:val="00F125CC"/>
    <w:rsid w:val="00F128E3"/>
    <w:rsid w:val="00F12D17"/>
    <w:rsid w:val="00F12D21"/>
    <w:rsid w:val="00F12D41"/>
    <w:rsid w:val="00F12D48"/>
    <w:rsid w:val="00F12FE6"/>
    <w:rsid w:val="00F1306F"/>
    <w:rsid w:val="00F133CC"/>
    <w:rsid w:val="00F13416"/>
    <w:rsid w:val="00F13590"/>
    <w:rsid w:val="00F136B3"/>
    <w:rsid w:val="00F139DE"/>
    <w:rsid w:val="00F13A0A"/>
    <w:rsid w:val="00F13B6C"/>
    <w:rsid w:val="00F13EF6"/>
    <w:rsid w:val="00F13F1F"/>
    <w:rsid w:val="00F14412"/>
    <w:rsid w:val="00F14445"/>
    <w:rsid w:val="00F1473E"/>
    <w:rsid w:val="00F14A68"/>
    <w:rsid w:val="00F14B8B"/>
    <w:rsid w:val="00F14D54"/>
    <w:rsid w:val="00F15553"/>
    <w:rsid w:val="00F15559"/>
    <w:rsid w:val="00F155C7"/>
    <w:rsid w:val="00F1566B"/>
    <w:rsid w:val="00F1568F"/>
    <w:rsid w:val="00F156AE"/>
    <w:rsid w:val="00F159B8"/>
    <w:rsid w:val="00F159BF"/>
    <w:rsid w:val="00F15A17"/>
    <w:rsid w:val="00F15E51"/>
    <w:rsid w:val="00F15F37"/>
    <w:rsid w:val="00F15FFC"/>
    <w:rsid w:val="00F16146"/>
    <w:rsid w:val="00F161FD"/>
    <w:rsid w:val="00F1629A"/>
    <w:rsid w:val="00F1651C"/>
    <w:rsid w:val="00F1668A"/>
    <w:rsid w:val="00F16698"/>
    <w:rsid w:val="00F169C2"/>
    <w:rsid w:val="00F169D7"/>
    <w:rsid w:val="00F16F75"/>
    <w:rsid w:val="00F17032"/>
    <w:rsid w:val="00F17171"/>
    <w:rsid w:val="00F1756F"/>
    <w:rsid w:val="00F178DB"/>
    <w:rsid w:val="00F1795D"/>
    <w:rsid w:val="00F17B21"/>
    <w:rsid w:val="00F204AA"/>
    <w:rsid w:val="00F20554"/>
    <w:rsid w:val="00F206B1"/>
    <w:rsid w:val="00F20DF0"/>
    <w:rsid w:val="00F20FA0"/>
    <w:rsid w:val="00F210A1"/>
    <w:rsid w:val="00F2112B"/>
    <w:rsid w:val="00F21268"/>
    <w:rsid w:val="00F212C1"/>
    <w:rsid w:val="00F21378"/>
    <w:rsid w:val="00F21450"/>
    <w:rsid w:val="00F21543"/>
    <w:rsid w:val="00F21940"/>
    <w:rsid w:val="00F21A36"/>
    <w:rsid w:val="00F21DA3"/>
    <w:rsid w:val="00F21E4C"/>
    <w:rsid w:val="00F21F1B"/>
    <w:rsid w:val="00F2200D"/>
    <w:rsid w:val="00F22208"/>
    <w:rsid w:val="00F2231B"/>
    <w:rsid w:val="00F22610"/>
    <w:rsid w:val="00F2284B"/>
    <w:rsid w:val="00F22851"/>
    <w:rsid w:val="00F22955"/>
    <w:rsid w:val="00F22964"/>
    <w:rsid w:val="00F229EB"/>
    <w:rsid w:val="00F22BC6"/>
    <w:rsid w:val="00F22D34"/>
    <w:rsid w:val="00F2320E"/>
    <w:rsid w:val="00F233FC"/>
    <w:rsid w:val="00F234AA"/>
    <w:rsid w:val="00F235CA"/>
    <w:rsid w:val="00F23E78"/>
    <w:rsid w:val="00F23EA0"/>
    <w:rsid w:val="00F23EF8"/>
    <w:rsid w:val="00F241FB"/>
    <w:rsid w:val="00F24333"/>
    <w:rsid w:val="00F247B0"/>
    <w:rsid w:val="00F247C5"/>
    <w:rsid w:val="00F248B9"/>
    <w:rsid w:val="00F24944"/>
    <w:rsid w:val="00F24A98"/>
    <w:rsid w:val="00F24AE4"/>
    <w:rsid w:val="00F24C06"/>
    <w:rsid w:val="00F24DDE"/>
    <w:rsid w:val="00F24E4A"/>
    <w:rsid w:val="00F25298"/>
    <w:rsid w:val="00F255EA"/>
    <w:rsid w:val="00F25616"/>
    <w:rsid w:val="00F257E2"/>
    <w:rsid w:val="00F25AA1"/>
    <w:rsid w:val="00F25B71"/>
    <w:rsid w:val="00F26473"/>
    <w:rsid w:val="00F26603"/>
    <w:rsid w:val="00F267DB"/>
    <w:rsid w:val="00F269A3"/>
    <w:rsid w:val="00F26E22"/>
    <w:rsid w:val="00F26F54"/>
    <w:rsid w:val="00F271BB"/>
    <w:rsid w:val="00F272C0"/>
    <w:rsid w:val="00F27780"/>
    <w:rsid w:val="00F277A6"/>
    <w:rsid w:val="00F27815"/>
    <w:rsid w:val="00F27A37"/>
    <w:rsid w:val="00F27A3F"/>
    <w:rsid w:val="00F27AB5"/>
    <w:rsid w:val="00F27F5D"/>
    <w:rsid w:val="00F300F8"/>
    <w:rsid w:val="00F301CC"/>
    <w:rsid w:val="00F3021F"/>
    <w:rsid w:val="00F302F3"/>
    <w:rsid w:val="00F303A1"/>
    <w:rsid w:val="00F304DF"/>
    <w:rsid w:val="00F3065C"/>
    <w:rsid w:val="00F30893"/>
    <w:rsid w:val="00F30989"/>
    <w:rsid w:val="00F3098A"/>
    <w:rsid w:val="00F30EBD"/>
    <w:rsid w:val="00F30F65"/>
    <w:rsid w:val="00F310AD"/>
    <w:rsid w:val="00F31114"/>
    <w:rsid w:val="00F312B0"/>
    <w:rsid w:val="00F3145C"/>
    <w:rsid w:val="00F318AA"/>
    <w:rsid w:val="00F319D6"/>
    <w:rsid w:val="00F31A5B"/>
    <w:rsid w:val="00F31B11"/>
    <w:rsid w:val="00F31C27"/>
    <w:rsid w:val="00F31C91"/>
    <w:rsid w:val="00F31D19"/>
    <w:rsid w:val="00F3204F"/>
    <w:rsid w:val="00F32383"/>
    <w:rsid w:val="00F323B3"/>
    <w:rsid w:val="00F323C1"/>
    <w:rsid w:val="00F32499"/>
    <w:rsid w:val="00F326FA"/>
    <w:rsid w:val="00F327AA"/>
    <w:rsid w:val="00F3282C"/>
    <w:rsid w:val="00F32A1E"/>
    <w:rsid w:val="00F32B5F"/>
    <w:rsid w:val="00F32C0C"/>
    <w:rsid w:val="00F32DAE"/>
    <w:rsid w:val="00F32EBC"/>
    <w:rsid w:val="00F3301F"/>
    <w:rsid w:val="00F3304D"/>
    <w:rsid w:val="00F331B8"/>
    <w:rsid w:val="00F331DA"/>
    <w:rsid w:val="00F33227"/>
    <w:rsid w:val="00F3360A"/>
    <w:rsid w:val="00F33888"/>
    <w:rsid w:val="00F33985"/>
    <w:rsid w:val="00F33B58"/>
    <w:rsid w:val="00F33D77"/>
    <w:rsid w:val="00F33DEA"/>
    <w:rsid w:val="00F33E93"/>
    <w:rsid w:val="00F3451E"/>
    <w:rsid w:val="00F3465B"/>
    <w:rsid w:val="00F34A26"/>
    <w:rsid w:val="00F34A54"/>
    <w:rsid w:val="00F34B77"/>
    <w:rsid w:val="00F34EAC"/>
    <w:rsid w:val="00F34EB1"/>
    <w:rsid w:val="00F35129"/>
    <w:rsid w:val="00F3523F"/>
    <w:rsid w:val="00F35294"/>
    <w:rsid w:val="00F354BD"/>
    <w:rsid w:val="00F35840"/>
    <w:rsid w:val="00F3585E"/>
    <w:rsid w:val="00F35BA0"/>
    <w:rsid w:val="00F35C3F"/>
    <w:rsid w:val="00F35D9B"/>
    <w:rsid w:val="00F35EC7"/>
    <w:rsid w:val="00F35FDF"/>
    <w:rsid w:val="00F360D9"/>
    <w:rsid w:val="00F36236"/>
    <w:rsid w:val="00F368AE"/>
    <w:rsid w:val="00F368D7"/>
    <w:rsid w:val="00F369DD"/>
    <w:rsid w:val="00F36C78"/>
    <w:rsid w:val="00F36F30"/>
    <w:rsid w:val="00F36FAB"/>
    <w:rsid w:val="00F375AE"/>
    <w:rsid w:val="00F3777A"/>
    <w:rsid w:val="00F37AE3"/>
    <w:rsid w:val="00F37E7E"/>
    <w:rsid w:val="00F37EEC"/>
    <w:rsid w:val="00F40403"/>
    <w:rsid w:val="00F40488"/>
    <w:rsid w:val="00F40584"/>
    <w:rsid w:val="00F4076F"/>
    <w:rsid w:val="00F4086D"/>
    <w:rsid w:val="00F40922"/>
    <w:rsid w:val="00F40AB4"/>
    <w:rsid w:val="00F40B65"/>
    <w:rsid w:val="00F40C92"/>
    <w:rsid w:val="00F40DA5"/>
    <w:rsid w:val="00F40E83"/>
    <w:rsid w:val="00F41112"/>
    <w:rsid w:val="00F411B4"/>
    <w:rsid w:val="00F41264"/>
    <w:rsid w:val="00F41425"/>
    <w:rsid w:val="00F4145E"/>
    <w:rsid w:val="00F41594"/>
    <w:rsid w:val="00F4185B"/>
    <w:rsid w:val="00F4185C"/>
    <w:rsid w:val="00F418D3"/>
    <w:rsid w:val="00F42107"/>
    <w:rsid w:val="00F4216C"/>
    <w:rsid w:val="00F4218E"/>
    <w:rsid w:val="00F4243B"/>
    <w:rsid w:val="00F4294B"/>
    <w:rsid w:val="00F42A49"/>
    <w:rsid w:val="00F42A7A"/>
    <w:rsid w:val="00F42B51"/>
    <w:rsid w:val="00F42EFD"/>
    <w:rsid w:val="00F43039"/>
    <w:rsid w:val="00F43715"/>
    <w:rsid w:val="00F437E8"/>
    <w:rsid w:val="00F43F66"/>
    <w:rsid w:val="00F4400E"/>
    <w:rsid w:val="00F440C9"/>
    <w:rsid w:val="00F440EE"/>
    <w:rsid w:val="00F440FD"/>
    <w:rsid w:val="00F44129"/>
    <w:rsid w:val="00F44390"/>
    <w:rsid w:val="00F444A1"/>
    <w:rsid w:val="00F4464D"/>
    <w:rsid w:val="00F44818"/>
    <w:rsid w:val="00F44CE3"/>
    <w:rsid w:val="00F44DA7"/>
    <w:rsid w:val="00F45077"/>
    <w:rsid w:val="00F451F3"/>
    <w:rsid w:val="00F4541A"/>
    <w:rsid w:val="00F45795"/>
    <w:rsid w:val="00F45922"/>
    <w:rsid w:val="00F45C9E"/>
    <w:rsid w:val="00F45CA1"/>
    <w:rsid w:val="00F461CB"/>
    <w:rsid w:val="00F46440"/>
    <w:rsid w:val="00F46526"/>
    <w:rsid w:val="00F4663E"/>
    <w:rsid w:val="00F4695D"/>
    <w:rsid w:val="00F46A81"/>
    <w:rsid w:val="00F46A8A"/>
    <w:rsid w:val="00F46B9D"/>
    <w:rsid w:val="00F47012"/>
    <w:rsid w:val="00F47307"/>
    <w:rsid w:val="00F4763B"/>
    <w:rsid w:val="00F47BB9"/>
    <w:rsid w:val="00F47E7E"/>
    <w:rsid w:val="00F50050"/>
    <w:rsid w:val="00F50107"/>
    <w:rsid w:val="00F501F3"/>
    <w:rsid w:val="00F5023D"/>
    <w:rsid w:val="00F50257"/>
    <w:rsid w:val="00F502BE"/>
    <w:rsid w:val="00F50385"/>
    <w:rsid w:val="00F50412"/>
    <w:rsid w:val="00F50693"/>
    <w:rsid w:val="00F50C6C"/>
    <w:rsid w:val="00F50F92"/>
    <w:rsid w:val="00F51056"/>
    <w:rsid w:val="00F510DF"/>
    <w:rsid w:val="00F51381"/>
    <w:rsid w:val="00F5153C"/>
    <w:rsid w:val="00F51676"/>
    <w:rsid w:val="00F5180E"/>
    <w:rsid w:val="00F51CFA"/>
    <w:rsid w:val="00F5202E"/>
    <w:rsid w:val="00F520DE"/>
    <w:rsid w:val="00F5223D"/>
    <w:rsid w:val="00F52634"/>
    <w:rsid w:val="00F526C9"/>
    <w:rsid w:val="00F526D0"/>
    <w:rsid w:val="00F52A74"/>
    <w:rsid w:val="00F52CF8"/>
    <w:rsid w:val="00F52E42"/>
    <w:rsid w:val="00F52FC2"/>
    <w:rsid w:val="00F52FEE"/>
    <w:rsid w:val="00F531E0"/>
    <w:rsid w:val="00F53216"/>
    <w:rsid w:val="00F534CD"/>
    <w:rsid w:val="00F534E4"/>
    <w:rsid w:val="00F536DF"/>
    <w:rsid w:val="00F53818"/>
    <w:rsid w:val="00F538E5"/>
    <w:rsid w:val="00F53C3A"/>
    <w:rsid w:val="00F53D55"/>
    <w:rsid w:val="00F53F43"/>
    <w:rsid w:val="00F54144"/>
    <w:rsid w:val="00F54320"/>
    <w:rsid w:val="00F54416"/>
    <w:rsid w:val="00F5451B"/>
    <w:rsid w:val="00F546D3"/>
    <w:rsid w:val="00F54ACF"/>
    <w:rsid w:val="00F54C4B"/>
    <w:rsid w:val="00F54D7B"/>
    <w:rsid w:val="00F54EF1"/>
    <w:rsid w:val="00F54F6B"/>
    <w:rsid w:val="00F55384"/>
    <w:rsid w:val="00F5592B"/>
    <w:rsid w:val="00F55A13"/>
    <w:rsid w:val="00F55A6E"/>
    <w:rsid w:val="00F55E20"/>
    <w:rsid w:val="00F55FCB"/>
    <w:rsid w:val="00F560C2"/>
    <w:rsid w:val="00F560E8"/>
    <w:rsid w:val="00F560F9"/>
    <w:rsid w:val="00F56360"/>
    <w:rsid w:val="00F564AB"/>
    <w:rsid w:val="00F568C1"/>
    <w:rsid w:val="00F569C8"/>
    <w:rsid w:val="00F56A94"/>
    <w:rsid w:val="00F56B30"/>
    <w:rsid w:val="00F56C33"/>
    <w:rsid w:val="00F56CC5"/>
    <w:rsid w:val="00F56D14"/>
    <w:rsid w:val="00F56D3A"/>
    <w:rsid w:val="00F56DE0"/>
    <w:rsid w:val="00F56E75"/>
    <w:rsid w:val="00F56FD2"/>
    <w:rsid w:val="00F57133"/>
    <w:rsid w:val="00F5713F"/>
    <w:rsid w:val="00F57580"/>
    <w:rsid w:val="00F5764A"/>
    <w:rsid w:val="00F57839"/>
    <w:rsid w:val="00F57931"/>
    <w:rsid w:val="00F579AD"/>
    <w:rsid w:val="00F57A36"/>
    <w:rsid w:val="00F57A3A"/>
    <w:rsid w:val="00F57CED"/>
    <w:rsid w:val="00F60202"/>
    <w:rsid w:val="00F60488"/>
    <w:rsid w:val="00F604C0"/>
    <w:rsid w:val="00F605BC"/>
    <w:rsid w:val="00F605F1"/>
    <w:rsid w:val="00F60818"/>
    <w:rsid w:val="00F6092F"/>
    <w:rsid w:val="00F60AB8"/>
    <w:rsid w:val="00F60BCE"/>
    <w:rsid w:val="00F611A4"/>
    <w:rsid w:val="00F6141B"/>
    <w:rsid w:val="00F6158A"/>
    <w:rsid w:val="00F616FF"/>
    <w:rsid w:val="00F619F6"/>
    <w:rsid w:val="00F61ADE"/>
    <w:rsid w:val="00F61BEA"/>
    <w:rsid w:val="00F61F10"/>
    <w:rsid w:val="00F62154"/>
    <w:rsid w:val="00F626A3"/>
    <w:rsid w:val="00F628AC"/>
    <w:rsid w:val="00F628D4"/>
    <w:rsid w:val="00F62F6E"/>
    <w:rsid w:val="00F62FAC"/>
    <w:rsid w:val="00F6308E"/>
    <w:rsid w:val="00F630AA"/>
    <w:rsid w:val="00F631C6"/>
    <w:rsid w:val="00F635B7"/>
    <w:rsid w:val="00F63ADD"/>
    <w:rsid w:val="00F63E68"/>
    <w:rsid w:val="00F63EC8"/>
    <w:rsid w:val="00F641D7"/>
    <w:rsid w:val="00F6440A"/>
    <w:rsid w:val="00F64705"/>
    <w:rsid w:val="00F64AC8"/>
    <w:rsid w:val="00F64BBE"/>
    <w:rsid w:val="00F64D45"/>
    <w:rsid w:val="00F64D52"/>
    <w:rsid w:val="00F64DB7"/>
    <w:rsid w:val="00F64F51"/>
    <w:rsid w:val="00F6506F"/>
    <w:rsid w:val="00F651DE"/>
    <w:rsid w:val="00F652DA"/>
    <w:rsid w:val="00F65345"/>
    <w:rsid w:val="00F653E8"/>
    <w:rsid w:val="00F654A8"/>
    <w:rsid w:val="00F65525"/>
    <w:rsid w:val="00F655CD"/>
    <w:rsid w:val="00F658E4"/>
    <w:rsid w:val="00F65936"/>
    <w:rsid w:val="00F65B5D"/>
    <w:rsid w:val="00F65B8B"/>
    <w:rsid w:val="00F65C86"/>
    <w:rsid w:val="00F66384"/>
    <w:rsid w:val="00F663C4"/>
    <w:rsid w:val="00F6655B"/>
    <w:rsid w:val="00F6666A"/>
    <w:rsid w:val="00F66772"/>
    <w:rsid w:val="00F667EF"/>
    <w:rsid w:val="00F66A2B"/>
    <w:rsid w:val="00F66E05"/>
    <w:rsid w:val="00F67155"/>
    <w:rsid w:val="00F672D7"/>
    <w:rsid w:val="00F674E3"/>
    <w:rsid w:val="00F67590"/>
    <w:rsid w:val="00F679C7"/>
    <w:rsid w:val="00F67C4A"/>
    <w:rsid w:val="00F67C84"/>
    <w:rsid w:val="00F67CB1"/>
    <w:rsid w:val="00F67DBC"/>
    <w:rsid w:val="00F67DF8"/>
    <w:rsid w:val="00F700B6"/>
    <w:rsid w:val="00F7012D"/>
    <w:rsid w:val="00F703E0"/>
    <w:rsid w:val="00F7061C"/>
    <w:rsid w:val="00F70890"/>
    <w:rsid w:val="00F70E2F"/>
    <w:rsid w:val="00F70ECA"/>
    <w:rsid w:val="00F70F03"/>
    <w:rsid w:val="00F7135E"/>
    <w:rsid w:val="00F716A5"/>
    <w:rsid w:val="00F7174C"/>
    <w:rsid w:val="00F71995"/>
    <w:rsid w:val="00F71C17"/>
    <w:rsid w:val="00F71CF7"/>
    <w:rsid w:val="00F71D3D"/>
    <w:rsid w:val="00F71E1B"/>
    <w:rsid w:val="00F71F20"/>
    <w:rsid w:val="00F7215C"/>
    <w:rsid w:val="00F726EF"/>
    <w:rsid w:val="00F72802"/>
    <w:rsid w:val="00F72873"/>
    <w:rsid w:val="00F72942"/>
    <w:rsid w:val="00F72A89"/>
    <w:rsid w:val="00F72CD7"/>
    <w:rsid w:val="00F72D30"/>
    <w:rsid w:val="00F72DC1"/>
    <w:rsid w:val="00F731FF"/>
    <w:rsid w:val="00F732B5"/>
    <w:rsid w:val="00F732EB"/>
    <w:rsid w:val="00F733F4"/>
    <w:rsid w:val="00F739A0"/>
    <w:rsid w:val="00F73B13"/>
    <w:rsid w:val="00F73C28"/>
    <w:rsid w:val="00F73E79"/>
    <w:rsid w:val="00F73F66"/>
    <w:rsid w:val="00F7456A"/>
    <w:rsid w:val="00F74AB0"/>
    <w:rsid w:val="00F74B84"/>
    <w:rsid w:val="00F74CA7"/>
    <w:rsid w:val="00F74D16"/>
    <w:rsid w:val="00F74E3B"/>
    <w:rsid w:val="00F74F65"/>
    <w:rsid w:val="00F74FDC"/>
    <w:rsid w:val="00F750D7"/>
    <w:rsid w:val="00F751BE"/>
    <w:rsid w:val="00F75210"/>
    <w:rsid w:val="00F75223"/>
    <w:rsid w:val="00F753B7"/>
    <w:rsid w:val="00F755B0"/>
    <w:rsid w:val="00F75940"/>
    <w:rsid w:val="00F759F0"/>
    <w:rsid w:val="00F75A08"/>
    <w:rsid w:val="00F75A66"/>
    <w:rsid w:val="00F75E2C"/>
    <w:rsid w:val="00F760BD"/>
    <w:rsid w:val="00F760EE"/>
    <w:rsid w:val="00F76223"/>
    <w:rsid w:val="00F76697"/>
    <w:rsid w:val="00F76B07"/>
    <w:rsid w:val="00F76C15"/>
    <w:rsid w:val="00F7704B"/>
    <w:rsid w:val="00F77127"/>
    <w:rsid w:val="00F77161"/>
    <w:rsid w:val="00F77488"/>
    <w:rsid w:val="00F77596"/>
    <w:rsid w:val="00F775BF"/>
    <w:rsid w:val="00F7763B"/>
    <w:rsid w:val="00F77896"/>
    <w:rsid w:val="00F77AE0"/>
    <w:rsid w:val="00F77BB3"/>
    <w:rsid w:val="00F77E65"/>
    <w:rsid w:val="00F800B0"/>
    <w:rsid w:val="00F8015A"/>
    <w:rsid w:val="00F80204"/>
    <w:rsid w:val="00F8022E"/>
    <w:rsid w:val="00F80770"/>
    <w:rsid w:val="00F8097E"/>
    <w:rsid w:val="00F80A1A"/>
    <w:rsid w:val="00F80ABC"/>
    <w:rsid w:val="00F80CF3"/>
    <w:rsid w:val="00F81177"/>
    <w:rsid w:val="00F8122D"/>
    <w:rsid w:val="00F8149A"/>
    <w:rsid w:val="00F816B7"/>
    <w:rsid w:val="00F8178C"/>
    <w:rsid w:val="00F817BB"/>
    <w:rsid w:val="00F8195E"/>
    <w:rsid w:val="00F81C1E"/>
    <w:rsid w:val="00F81D98"/>
    <w:rsid w:val="00F81E14"/>
    <w:rsid w:val="00F81F4A"/>
    <w:rsid w:val="00F821C8"/>
    <w:rsid w:val="00F82211"/>
    <w:rsid w:val="00F82256"/>
    <w:rsid w:val="00F8291D"/>
    <w:rsid w:val="00F82A16"/>
    <w:rsid w:val="00F82EF5"/>
    <w:rsid w:val="00F83203"/>
    <w:rsid w:val="00F83272"/>
    <w:rsid w:val="00F832C9"/>
    <w:rsid w:val="00F83660"/>
    <w:rsid w:val="00F836D5"/>
    <w:rsid w:val="00F8384C"/>
    <w:rsid w:val="00F839C7"/>
    <w:rsid w:val="00F83CB3"/>
    <w:rsid w:val="00F83E70"/>
    <w:rsid w:val="00F83E79"/>
    <w:rsid w:val="00F83F26"/>
    <w:rsid w:val="00F83F67"/>
    <w:rsid w:val="00F83FA2"/>
    <w:rsid w:val="00F84328"/>
    <w:rsid w:val="00F84344"/>
    <w:rsid w:val="00F84461"/>
    <w:rsid w:val="00F84721"/>
    <w:rsid w:val="00F84962"/>
    <w:rsid w:val="00F84C2F"/>
    <w:rsid w:val="00F85101"/>
    <w:rsid w:val="00F851C4"/>
    <w:rsid w:val="00F853B6"/>
    <w:rsid w:val="00F85475"/>
    <w:rsid w:val="00F858C2"/>
    <w:rsid w:val="00F858E0"/>
    <w:rsid w:val="00F85BF7"/>
    <w:rsid w:val="00F8605E"/>
    <w:rsid w:val="00F861B3"/>
    <w:rsid w:val="00F864E7"/>
    <w:rsid w:val="00F86632"/>
    <w:rsid w:val="00F8670F"/>
    <w:rsid w:val="00F86963"/>
    <w:rsid w:val="00F869AA"/>
    <w:rsid w:val="00F869FB"/>
    <w:rsid w:val="00F86DC5"/>
    <w:rsid w:val="00F87086"/>
    <w:rsid w:val="00F8768A"/>
    <w:rsid w:val="00F87B14"/>
    <w:rsid w:val="00F87D51"/>
    <w:rsid w:val="00F90134"/>
    <w:rsid w:val="00F9031D"/>
    <w:rsid w:val="00F907C7"/>
    <w:rsid w:val="00F90AF9"/>
    <w:rsid w:val="00F90B5A"/>
    <w:rsid w:val="00F914AE"/>
    <w:rsid w:val="00F9198D"/>
    <w:rsid w:val="00F91ABA"/>
    <w:rsid w:val="00F91B15"/>
    <w:rsid w:val="00F91B7E"/>
    <w:rsid w:val="00F91D57"/>
    <w:rsid w:val="00F91F77"/>
    <w:rsid w:val="00F92016"/>
    <w:rsid w:val="00F921A7"/>
    <w:rsid w:val="00F9236C"/>
    <w:rsid w:val="00F924C4"/>
    <w:rsid w:val="00F9259B"/>
    <w:rsid w:val="00F925B4"/>
    <w:rsid w:val="00F925F6"/>
    <w:rsid w:val="00F92AE5"/>
    <w:rsid w:val="00F930D8"/>
    <w:rsid w:val="00F930EE"/>
    <w:rsid w:val="00F93335"/>
    <w:rsid w:val="00F933A5"/>
    <w:rsid w:val="00F93689"/>
    <w:rsid w:val="00F93AA3"/>
    <w:rsid w:val="00F93E8D"/>
    <w:rsid w:val="00F94191"/>
    <w:rsid w:val="00F9443B"/>
    <w:rsid w:val="00F9496E"/>
    <w:rsid w:val="00F94CA5"/>
    <w:rsid w:val="00F94E07"/>
    <w:rsid w:val="00F952C5"/>
    <w:rsid w:val="00F953FE"/>
    <w:rsid w:val="00F955CA"/>
    <w:rsid w:val="00F957BB"/>
    <w:rsid w:val="00F95C1A"/>
    <w:rsid w:val="00F9653F"/>
    <w:rsid w:val="00F96AB2"/>
    <w:rsid w:val="00F96DDC"/>
    <w:rsid w:val="00F96E5C"/>
    <w:rsid w:val="00F97026"/>
    <w:rsid w:val="00F9707E"/>
    <w:rsid w:val="00F970D9"/>
    <w:rsid w:val="00F974F0"/>
    <w:rsid w:val="00F97540"/>
    <w:rsid w:val="00F9777B"/>
    <w:rsid w:val="00F97786"/>
    <w:rsid w:val="00F979B0"/>
    <w:rsid w:val="00F97E65"/>
    <w:rsid w:val="00F97FB0"/>
    <w:rsid w:val="00FA0076"/>
    <w:rsid w:val="00FA0391"/>
    <w:rsid w:val="00FA095F"/>
    <w:rsid w:val="00FA0BCC"/>
    <w:rsid w:val="00FA0ECA"/>
    <w:rsid w:val="00FA1070"/>
    <w:rsid w:val="00FA107A"/>
    <w:rsid w:val="00FA10D5"/>
    <w:rsid w:val="00FA1176"/>
    <w:rsid w:val="00FA164F"/>
    <w:rsid w:val="00FA165E"/>
    <w:rsid w:val="00FA1ACB"/>
    <w:rsid w:val="00FA1BB5"/>
    <w:rsid w:val="00FA1BC1"/>
    <w:rsid w:val="00FA1CC9"/>
    <w:rsid w:val="00FA1FC8"/>
    <w:rsid w:val="00FA1FDF"/>
    <w:rsid w:val="00FA21F4"/>
    <w:rsid w:val="00FA245C"/>
    <w:rsid w:val="00FA26F2"/>
    <w:rsid w:val="00FA2CFE"/>
    <w:rsid w:val="00FA2F3A"/>
    <w:rsid w:val="00FA304B"/>
    <w:rsid w:val="00FA3179"/>
    <w:rsid w:val="00FA3214"/>
    <w:rsid w:val="00FA32CD"/>
    <w:rsid w:val="00FA3578"/>
    <w:rsid w:val="00FA3777"/>
    <w:rsid w:val="00FA38A7"/>
    <w:rsid w:val="00FA397C"/>
    <w:rsid w:val="00FA3AB1"/>
    <w:rsid w:val="00FA3D5B"/>
    <w:rsid w:val="00FA3D78"/>
    <w:rsid w:val="00FA3EB9"/>
    <w:rsid w:val="00FA4076"/>
    <w:rsid w:val="00FA42B8"/>
    <w:rsid w:val="00FA42EA"/>
    <w:rsid w:val="00FA43BB"/>
    <w:rsid w:val="00FA491B"/>
    <w:rsid w:val="00FA4991"/>
    <w:rsid w:val="00FA49CF"/>
    <w:rsid w:val="00FA4C76"/>
    <w:rsid w:val="00FA4C7D"/>
    <w:rsid w:val="00FA4C94"/>
    <w:rsid w:val="00FA4D73"/>
    <w:rsid w:val="00FA4E8A"/>
    <w:rsid w:val="00FA4E97"/>
    <w:rsid w:val="00FA4ED6"/>
    <w:rsid w:val="00FA4FD7"/>
    <w:rsid w:val="00FA5389"/>
    <w:rsid w:val="00FA549A"/>
    <w:rsid w:val="00FA55F0"/>
    <w:rsid w:val="00FA562A"/>
    <w:rsid w:val="00FA5750"/>
    <w:rsid w:val="00FA5794"/>
    <w:rsid w:val="00FA5874"/>
    <w:rsid w:val="00FA5A01"/>
    <w:rsid w:val="00FA6476"/>
    <w:rsid w:val="00FA6536"/>
    <w:rsid w:val="00FA691C"/>
    <w:rsid w:val="00FA69D4"/>
    <w:rsid w:val="00FA6A95"/>
    <w:rsid w:val="00FA6C31"/>
    <w:rsid w:val="00FA6D46"/>
    <w:rsid w:val="00FA6E13"/>
    <w:rsid w:val="00FA6FF2"/>
    <w:rsid w:val="00FA70CC"/>
    <w:rsid w:val="00FA7225"/>
    <w:rsid w:val="00FA7277"/>
    <w:rsid w:val="00FA7316"/>
    <w:rsid w:val="00FA7339"/>
    <w:rsid w:val="00FA7747"/>
    <w:rsid w:val="00FA7749"/>
    <w:rsid w:val="00FA77D4"/>
    <w:rsid w:val="00FA78B7"/>
    <w:rsid w:val="00FA798A"/>
    <w:rsid w:val="00FA79C3"/>
    <w:rsid w:val="00FA7E20"/>
    <w:rsid w:val="00FA7FB6"/>
    <w:rsid w:val="00FB0012"/>
    <w:rsid w:val="00FB069B"/>
    <w:rsid w:val="00FB087F"/>
    <w:rsid w:val="00FB08C4"/>
    <w:rsid w:val="00FB0CD0"/>
    <w:rsid w:val="00FB0FF2"/>
    <w:rsid w:val="00FB10BB"/>
    <w:rsid w:val="00FB112B"/>
    <w:rsid w:val="00FB12D4"/>
    <w:rsid w:val="00FB14FA"/>
    <w:rsid w:val="00FB1751"/>
    <w:rsid w:val="00FB17AF"/>
    <w:rsid w:val="00FB18B5"/>
    <w:rsid w:val="00FB197F"/>
    <w:rsid w:val="00FB1DFA"/>
    <w:rsid w:val="00FB1E1A"/>
    <w:rsid w:val="00FB1E7C"/>
    <w:rsid w:val="00FB20F7"/>
    <w:rsid w:val="00FB23DD"/>
    <w:rsid w:val="00FB23E3"/>
    <w:rsid w:val="00FB24FA"/>
    <w:rsid w:val="00FB2830"/>
    <w:rsid w:val="00FB2B96"/>
    <w:rsid w:val="00FB2C0C"/>
    <w:rsid w:val="00FB2CFC"/>
    <w:rsid w:val="00FB2DEC"/>
    <w:rsid w:val="00FB2E46"/>
    <w:rsid w:val="00FB2F5B"/>
    <w:rsid w:val="00FB312F"/>
    <w:rsid w:val="00FB33F3"/>
    <w:rsid w:val="00FB3558"/>
    <w:rsid w:val="00FB35C3"/>
    <w:rsid w:val="00FB3B97"/>
    <w:rsid w:val="00FB3D7B"/>
    <w:rsid w:val="00FB3DF7"/>
    <w:rsid w:val="00FB3F6B"/>
    <w:rsid w:val="00FB4061"/>
    <w:rsid w:val="00FB409D"/>
    <w:rsid w:val="00FB416D"/>
    <w:rsid w:val="00FB4272"/>
    <w:rsid w:val="00FB42E6"/>
    <w:rsid w:val="00FB44CA"/>
    <w:rsid w:val="00FB4727"/>
    <w:rsid w:val="00FB4BD9"/>
    <w:rsid w:val="00FB4FA2"/>
    <w:rsid w:val="00FB546C"/>
    <w:rsid w:val="00FB54D3"/>
    <w:rsid w:val="00FB580C"/>
    <w:rsid w:val="00FB584F"/>
    <w:rsid w:val="00FB5A0D"/>
    <w:rsid w:val="00FB5A2B"/>
    <w:rsid w:val="00FB5C76"/>
    <w:rsid w:val="00FB5D61"/>
    <w:rsid w:val="00FB5E21"/>
    <w:rsid w:val="00FB6343"/>
    <w:rsid w:val="00FB6540"/>
    <w:rsid w:val="00FB6A75"/>
    <w:rsid w:val="00FB6BF7"/>
    <w:rsid w:val="00FB6C99"/>
    <w:rsid w:val="00FB6D0F"/>
    <w:rsid w:val="00FB6D84"/>
    <w:rsid w:val="00FB6FC4"/>
    <w:rsid w:val="00FB7025"/>
    <w:rsid w:val="00FB72E2"/>
    <w:rsid w:val="00FB746B"/>
    <w:rsid w:val="00FB7473"/>
    <w:rsid w:val="00FB74A0"/>
    <w:rsid w:val="00FB7565"/>
    <w:rsid w:val="00FB77A1"/>
    <w:rsid w:val="00FB7C55"/>
    <w:rsid w:val="00FB7D96"/>
    <w:rsid w:val="00FC0142"/>
    <w:rsid w:val="00FC0316"/>
    <w:rsid w:val="00FC03A1"/>
    <w:rsid w:val="00FC0623"/>
    <w:rsid w:val="00FC06FB"/>
    <w:rsid w:val="00FC08A3"/>
    <w:rsid w:val="00FC091D"/>
    <w:rsid w:val="00FC0A80"/>
    <w:rsid w:val="00FC0C47"/>
    <w:rsid w:val="00FC0D4C"/>
    <w:rsid w:val="00FC0F4F"/>
    <w:rsid w:val="00FC0FC5"/>
    <w:rsid w:val="00FC0FD3"/>
    <w:rsid w:val="00FC1015"/>
    <w:rsid w:val="00FC13EA"/>
    <w:rsid w:val="00FC1D06"/>
    <w:rsid w:val="00FC1F16"/>
    <w:rsid w:val="00FC1FB3"/>
    <w:rsid w:val="00FC2026"/>
    <w:rsid w:val="00FC2142"/>
    <w:rsid w:val="00FC226C"/>
    <w:rsid w:val="00FC2383"/>
    <w:rsid w:val="00FC26B2"/>
    <w:rsid w:val="00FC27E0"/>
    <w:rsid w:val="00FC2855"/>
    <w:rsid w:val="00FC289D"/>
    <w:rsid w:val="00FC2977"/>
    <w:rsid w:val="00FC317B"/>
    <w:rsid w:val="00FC3335"/>
    <w:rsid w:val="00FC352D"/>
    <w:rsid w:val="00FC3748"/>
    <w:rsid w:val="00FC39CE"/>
    <w:rsid w:val="00FC3A0C"/>
    <w:rsid w:val="00FC3AF0"/>
    <w:rsid w:val="00FC3B80"/>
    <w:rsid w:val="00FC3C61"/>
    <w:rsid w:val="00FC3C67"/>
    <w:rsid w:val="00FC3CCA"/>
    <w:rsid w:val="00FC3F7A"/>
    <w:rsid w:val="00FC4082"/>
    <w:rsid w:val="00FC42C3"/>
    <w:rsid w:val="00FC42FF"/>
    <w:rsid w:val="00FC47DE"/>
    <w:rsid w:val="00FC48B4"/>
    <w:rsid w:val="00FC4A13"/>
    <w:rsid w:val="00FC4A9E"/>
    <w:rsid w:val="00FC4B76"/>
    <w:rsid w:val="00FC4DDB"/>
    <w:rsid w:val="00FC509B"/>
    <w:rsid w:val="00FC513D"/>
    <w:rsid w:val="00FC51A3"/>
    <w:rsid w:val="00FC5353"/>
    <w:rsid w:val="00FC539A"/>
    <w:rsid w:val="00FC5549"/>
    <w:rsid w:val="00FC55A6"/>
    <w:rsid w:val="00FC56CB"/>
    <w:rsid w:val="00FC57F5"/>
    <w:rsid w:val="00FC5DF3"/>
    <w:rsid w:val="00FC5E3C"/>
    <w:rsid w:val="00FC5ED4"/>
    <w:rsid w:val="00FC5F6D"/>
    <w:rsid w:val="00FC60C4"/>
    <w:rsid w:val="00FC6457"/>
    <w:rsid w:val="00FC66C1"/>
    <w:rsid w:val="00FC6703"/>
    <w:rsid w:val="00FC6712"/>
    <w:rsid w:val="00FC6AB3"/>
    <w:rsid w:val="00FC6BA8"/>
    <w:rsid w:val="00FC6ECF"/>
    <w:rsid w:val="00FC70BB"/>
    <w:rsid w:val="00FC7248"/>
    <w:rsid w:val="00FC7915"/>
    <w:rsid w:val="00FC7AC4"/>
    <w:rsid w:val="00FC7C72"/>
    <w:rsid w:val="00FC7D6B"/>
    <w:rsid w:val="00FD003B"/>
    <w:rsid w:val="00FD023E"/>
    <w:rsid w:val="00FD0258"/>
    <w:rsid w:val="00FD03DD"/>
    <w:rsid w:val="00FD051E"/>
    <w:rsid w:val="00FD05F4"/>
    <w:rsid w:val="00FD0BD1"/>
    <w:rsid w:val="00FD0F80"/>
    <w:rsid w:val="00FD1149"/>
    <w:rsid w:val="00FD1163"/>
    <w:rsid w:val="00FD144E"/>
    <w:rsid w:val="00FD1547"/>
    <w:rsid w:val="00FD19A1"/>
    <w:rsid w:val="00FD19C2"/>
    <w:rsid w:val="00FD1E5F"/>
    <w:rsid w:val="00FD2043"/>
    <w:rsid w:val="00FD20F4"/>
    <w:rsid w:val="00FD245D"/>
    <w:rsid w:val="00FD2768"/>
    <w:rsid w:val="00FD2877"/>
    <w:rsid w:val="00FD296C"/>
    <w:rsid w:val="00FD2D4B"/>
    <w:rsid w:val="00FD30FC"/>
    <w:rsid w:val="00FD315A"/>
    <w:rsid w:val="00FD31A5"/>
    <w:rsid w:val="00FD3281"/>
    <w:rsid w:val="00FD3340"/>
    <w:rsid w:val="00FD3406"/>
    <w:rsid w:val="00FD3499"/>
    <w:rsid w:val="00FD353B"/>
    <w:rsid w:val="00FD3609"/>
    <w:rsid w:val="00FD370A"/>
    <w:rsid w:val="00FD376D"/>
    <w:rsid w:val="00FD37A7"/>
    <w:rsid w:val="00FD384B"/>
    <w:rsid w:val="00FD3BEE"/>
    <w:rsid w:val="00FD3D3D"/>
    <w:rsid w:val="00FD3FC5"/>
    <w:rsid w:val="00FD3FD4"/>
    <w:rsid w:val="00FD4208"/>
    <w:rsid w:val="00FD447E"/>
    <w:rsid w:val="00FD46A3"/>
    <w:rsid w:val="00FD4795"/>
    <w:rsid w:val="00FD49B4"/>
    <w:rsid w:val="00FD4A94"/>
    <w:rsid w:val="00FD4B84"/>
    <w:rsid w:val="00FD4E56"/>
    <w:rsid w:val="00FD4E77"/>
    <w:rsid w:val="00FD4F47"/>
    <w:rsid w:val="00FD5136"/>
    <w:rsid w:val="00FD5375"/>
    <w:rsid w:val="00FD57DB"/>
    <w:rsid w:val="00FD5F8B"/>
    <w:rsid w:val="00FD61DE"/>
    <w:rsid w:val="00FD61E3"/>
    <w:rsid w:val="00FD6649"/>
    <w:rsid w:val="00FD6751"/>
    <w:rsid w:val="00FD6A25"/>
    <w:rsid w:val="00FD6D64"/>
    <w:rsid w:val="00FD701C"/>
    <w:rsid w:val="00FD7123"/>
    <w:rsid w:val="00FD742B"/>
    <w:rsid w:val="00FD7447"/>
    <w:rsid w:val="00FD7608"/>
    <w:rsid w:val="00FD765B"/>
    <w:rsid w:val="00FD76B0"/>
    <w:rsid w:val="00FD76D9"/>
    <w:rsid w:val="00FD786C"/>
    <w:rsid w:val="00FD78CB"/>
    <w:rsid w:val="00FD7AF7"/>
    <w:rsid w:val="00FD7BD1"/>
    <w:rsid w:val="00FD7DCF"/>
    <w:rsid w:val="00FD7F1A"/>
    <w:rsid w:val="00FE00DF"/>
    <w:rsid w:val="00FE011D"/>
    <w:rsid w:val="00FE01E9"/>
    <w:rsid w:val="00FE0285"/>
    <w:rsid w:val="00FE063D"/>
    <w:rsid w:val="00FE068D"/>
    <w:rsid w:val="00FE086A"/>
    <w:rsid w:val="00FE0888"/>
    <w:rsid w:val="00FE0AF7"/>
    <w:rsid w:val="00FE123B"/>
    <w:rsid w:val="00FE1448"/>
    <w:rsid w:val="00FE1B15"/>
    <w:rsid w:val="00FE1DB8"/>
    <w:rsid w:val="00FE1F69"/>
    <w:rsid w:val="00FE2029"/>
    <w:rsid w:val="00FE203D"/>
    <w:rsid w:val="00FE22B4"/>
    <w:rsid w:val="00FE22B8"/>
    <w:rsid w:val="00FE245B"/>
    <w:rsid w:val="00FE2765"/>
    <w:rsid w:val="00FE30BE"/>
    <w:rsid w:val="00FE31A3"/>
    <w:rsid w:val="00FE31B9"/>
    <w:rsid w:val="00FE3696"/>
    <w:rsid w:val="00FE36D7"/>
    <w:rsid w:val="00FE3716"/>
    <w:rsid w:val="00FE37FF"/>
    <w:rsid w:val="00FE389E"/>
    <w:rsid w:val="00FE3A6A"/>
    <w:rsid w:val="00FE3E48"/>
    <w:rsid w:val="00FE3F25"/>
    <w:rsid w:val="00FE3F7B"/>
    <w:rsid w:val="00FE449C"/>
    <w:rsid w:val="00FE4679"/>
    <w:rsid w:val="00FE47A5"/>
    <w:rsid w:val="00FE4949"/>
    <w:rsid w:val="00FE4B78"/>
    <w:rsid w:val="00FE4B9D"/>
    <w:rsid w:val="00FE4C39"/>
    <w:rsid w:val="00FE4D65"/>
    <w:rsid w:val="00FE4F12"/>
    <w:rsid w:val="00FE50CA"/>
    <w:rsid w:val="00FE553C"/>
    <w:rsid w:val="00FE55DF"/>
    <w:rsid w:val="00FE5641"/>
    <w:rsid w:val="00FE56DB"/>
    <w:rsid w:val="00FE57EA"/>
    <w:rsid w:val="00FE5A58"/>
    <w:rsid w:val="00FE5CAA"/>
    <w:rsid w:val="00FE5FC9"/>
    <w:rsid w:val="00FE6221"/>
    <w:rsid w:val="00FE663A"/>
    <w:rsid w:val="00FE6915"/>
    <w:rsid w:val="00FE6B6D"/>
    <w:rsid w:val="00FE6E29"/>
    <w:rsid w:val="00FE6EE8"/>
    <w:rsid w:val="00FE6F2E"/>
    <w:rsid w:val="00FE71E9"/>
    <w:rsid w:val="00FE7245"/>
    <w:rsid w:val="00FE72AE"/>
    <w:rsid w:val="00FE740A"/>
    <w:rsid w:val="00FE7BC4"/>
    <w:rsid w:val="00FF0348"/>
    <w:rsid w:val="00FF0427"/>
    <w:rsid w:val="00FF0972"/>
    <w:rsid w:val="00FF0A09"/>
    <w:rsid w:val="00FF0BE3"/>
    <w:rsid w:val="00FF0BF3"/>
    <w:rsid w:val="00FF0D6D"/>
    <w:rsid w:val="00FF11C6"/>
    <w:rsid w:val="00FF1384"/>
    <w:rsid w:val="00FF175A"/>
    <w:rsid w:val="00FF17FA"/>
    <w:rsid w:val="00FF1888"/>
    <w:rsid w:val="00FF1AC0"/>
    <w:rsid w:val="00FF1B34"/>
    <w:rsid w:val="00FF1C37"/>
    <w:rsid w:val="00FF2495"/>
    <w:rsid w:val="00FF25B1"/>
    <w:rsid w:val="00FF2829"/>
    <w:rsid w:val="00FF28CF"/>
    <w:rsid w:val="00FF29A7"/>
    <w:rsid w:val="00FF2AC3"/>
    <w:rsid w:val="00FF2AC4"/>
    <w:rsid w:val="00FF2D97"/>
    <w:rsid w:val="00FF2EC4"/>
    <w:rsid w:val="00FF2F95"/>
    <w:rsid w:val="00FF310C"/>
    <w:rsid w:val="00FF3625"/>
    <w:rsid w:val="00FF36AA"/>
    <w:rsid w:val="00FF3B64"/>
    <w:rsid w:val="00FF3D3D"/>
    <w:rsid w:val="00FF3D9F"/>
    <w:rsid w:val="00FF3F94"/>
    <w:rsid w:val="00FF4055"/>
    <w:rsid w:val="00FF40F0"/>
    <w:rsid w:val="00FF42F3"/>
    <w:rsid w:val="00FF44F4"/>
    <w:rsid w:val="00FF4786"/>
    <w:rsid w:val="00FF489D"/>
    <w:rsid w:val="00FF4978"/>
    <w:rsid w:val="00FF4BA5"/>
    <w:rsid w:val="00FF4D59"/>
    <w:rsid w:val="00FF4E52"/>
    <w:rsid w:val="00FF4F4F"/>
    <w:rsid w:val="00FF5169"/>
    <w:rsid w:val="00FF5328"/>
    <w:rsid w:val="00FF5399"/>
    <w:rsid w:val="00FF54AE"/>
    <w:rsid w:val="00FF54F8"/>
    <w:rsid w:val="00FF572A"/>
    <w:rsid w:val="00FF57E7"/>
    <w:rsid w:val="00FF58A7"/>
    <w:rsid w:val="00FF590A"/>
    <w:rsid w:val="00FF5AEA"/>
    <w:rsid w:val="00FF5E0B"/>
    <w:rsid w:val="00FF5EA1"/>
    <w:rsid w:val="00FF5FE4"/>
    <w:rsid w:val="00FF622D"/>
    <w:rsid w:val="00FF63BD"/>
    <w:rsid w:val="00FF6762"/>
    <w:rsid w:val="00FF692D"/>
    <w:rsid w:val="00FF6A50"/>
    <w:rsid w:val="00FF6B44"/>
    <w:rsid w:val="00FF6C81"/>
    <w:rsid w:val="00FF6D0F"/>
    <w:rsid w:val="00FF6FC5"/>
    <w:rsid w:val="00FF74EF"/>
    <w:rsid w:val="00FF75FD"/>
    <w:rsid w:val="00FF76E8"/>
    <w:rsid w:val="00FF77F8"/>
    <w:rsid w:val="00FF7804"/>
    <w:rsid w:val="00FF786F"/>
    <w:rsid w:val="00FF7DEA"/>
    <w:rsid w:val="00FF7E96"/>
    <w:rsid w:val="0204518B"/>
    <w:rsid w:val="02C33C90"/>
    <w:rsid w:val="03B5391B"/>
    <w:rsid w:val="043230F0"/>
    <w:rsid w:val="058717E1"/>
    <w:rsid w:val="05F243CF"/>
    <w:rsid w:val="060A82CC"/>
    <w:rsid w:val="062F1AB7"/>
    <w:rsid w:val="064E88DF"/>
    <w:rsid w:val="0676E95D"/>
    <w:rsid w:val="0685B124"/>
    <w:rsid w:val="07C40544"/>
    <w:rsid w:val="07ED13E3"/>
    <w:rsid w:val="082E0478"/>
    <w:rsid w:val="0857BB45"/>
    <w:rsid w:val="085CDAB1"/>
    <w:rsid w:val="08A3C495"/>
    <w:rsid w:val="09B43B34"/>
    <w:rsid w:val="09BC0A53"/>
    <w:rsid w:val="09EA6593"/>
    <w:rsid w:val="09EC41FE"/>
    <w:rsid w:val="0A8F5A4A"/>
    <w:rsid w:val="0AFFFB29"/>
    <w:rsid w:val="0B590EC8"/>
    <w:rsid w:val="0B9FA3F5"/>
    <w:rsid w:val="0C7B8B83"/>
    <w:rsid w:val="0C9D4848"/>
    <w:rsid w:val="0CD95579"/>
    <w:rsid w:val="0D27863F"/>
    <w:rsid w:val="0D2EEDCF"/>
    <w:rsid w:val="0D8A8AC0"/>
    <w:rsid w:val="0E134307"/>
    <w:rsid w:val="0ED6FF1B"/>
    <w:rsid w:val="0F71F2C4"/>
    <w:rsid w:val="0FA11CDC"/>
    <w:rsid w:val="0FB816A5"/>
    <w:rsid w:val="0FEFD202"/>
    <w:rsid w:val="0FFC5214"/>
    <w:rsid w:val="10300299"/>
    <w:rsid w:val="10499A35"/>
    <w:rsid w:val="10562C55"/>
    <w:rsid w:val="10F33C35"/>
    <w:rsid w:val="11152503"/>
    <w:rsid w:val="11AF2253"/>
    <w:rsid w:val="1201F222"/>
    <w:rsid w:val="12457C9E"/>
    <w:rsid w:val="12841D93"/>
    <w:rsid w:val="12B176B1"/>
    <w:rsid w:val="1397DE36"/>
    <w:rsid w:val="14CDFCCF"/>
    <w:rsid w:val="1538B8D3"/>
    <w:rsid w:val="156C119B"/>
    <w:rsid w:val="1587E1EC"/>
    <w:rsid w:val="15A33A90"/>
    <w:rsid w:val="16692088"/>
    <w:rsid w:val="176743FD"/>
    <w:rsid w:val="177B2FFE"/>
    <w:rsid w:val="17F0D6E5"/>
    <w:rsid w:val="183ADC1B"/>
    <w:rsid w:val="187267FE"/>
    <w:rsid w:val="18907163"/>
    <w:rsid w:val="1946F81C"/>
    <w:rsid w:val="19905A59"/>
    <w:rsid w:val="19C37461"/>
    <w:rsid w:val="1A0D7575"/>
    <w:rsid w:val="1C9E0095"/>
    <w:rsid w:val="1D80483C"/>
    <w:rsid w:val="1F8CD28B"/>
    <w:rsid w:val="20022BDF"/>
    <w:rsid w:val="20F1CA9E"/>
    <w:rsid w:val="213AC4CF"/>
    <w:rsid w:val="21409C59"/>
    <w:rsid w:val="218F3962"/>
    <w:rsid w:val="21BCB493"/>
    <w:rsid w:val="2268C80C"/>
    <w:rsid w:val="231EE2C1"/>
    <w:rsid w:val="2378E522"/>
    <w:rsid w:val="23D48903"/>
    <w:rsid w:val="243180BF"/>
    <w:rsid w:val="24ADDADC"/>
    <w:rsid w:val="24F83ACA"/>
    <w:rsid w:val="255F0FA8"/>
    <w:rsid w:val="25A27DB2"/>
    <w:rsid w:val="2609825C"/>
    <w:rsid w:val="2614BD7C"/>
    <w:rsid w:val="27211E72"/>
    <w:rsid w:val="27C19F19"/>
    <w:rsid w:val="281EB30E"/>
    <w:rsid w:val="283084AC"/>
    <w:rsid w:val="287A82B7"/>
    <w:rsid w:val="28E6AF1A"/>
    <w:rsid w:val="28EE2765"/>
    <w:rsid w:val="29EA78F3"/>
    <w:rsid w:val="2A4EC831"/>
    <w:rsid w:val="2A89D63A"/>
    <w:rsid w:val="2AB29F2A"/>
    <w:rsid w:val="2B53C6C4"/>
    <w:rsid w:val="2C571BC7"/>
    <w:rsid w:val="2C79C738"/>
    <w:rsid w:val="2D8DA524"/>
    <w:rsid w:val="2DCC1334"/>
    <w:rsid w:val="2E3A3701"/>
    <w:rsid w:val="2ED750A4"/>
    <w:rsid w:val="2EE83106"/>
    <w:rsid w:val="2FB94A19"/>
    <w:rsid w:val="2FE48936"/>
    <w:rsid w:val="30561877"/>
    <w:rsid w:val="30F9F097"/>
    <w:rsid w:val="31D98B54"/>
    <w:rsid w:val="33105700"/>
    <w:rsid w:val="3312A44F"/>
    <w:rsid w:val="33587CDE"/>
    <w:rsid w:val="33D2D400"/>
    <w:rsid w:val="34D24C94"/>
    <w:rsid w:val="35032E08"/>
    <w:rsid w:val="3549B88E"/>
    <w:rsid w:val="356DD7FE"/>
    <w:rsid w:val="3578C927"/>
    <w:rsid w:val="35C8AA02"/>
    <w:rsid w:val="368AA131"/>
    <w:rsid w:val="36DA5755"/>
    <w:rsid w:val="37986CAD"/>
    <w:rsid w:val="37C541C2"/>
    <w:rsid w:val="381D3991"/>
    <w:rsid w:val="38DC9F70"/>
    <w:rsid w:val="394874E9"/>
    <w:rsid w:val="3AB631EF"/>
    <w:rsid w:val="3AF7E0ED"/>
    <w:rsid w:val="3B6C96EA"/>
    <w:rsid w:val="3BDE96EA"/>
    <w:rsid w:val="3BEC911F"/>
    <w:rsid w:val="3D3B64AD"/>
    <w:rsid w:val="3E0B5542"/>
    <w:rsid w:val="3F8C9434"/>
    <w:rsid w:val="4100F9F4"/>
    <w:rsid w:val="41231593"/>
    <w:rsid w:val="425D98BB"/>
    <w:rsid w:val="43A60812"/>
    <w:rsid w:val="44A2262D"/>
    <w:rsid w:val="44AFD974"/>
    <w:rsid w:val="44D8A94B"/>
    <w:rsid w:val="44D8C252"/>
    <w:rsid w:val="4721D079"/>
    <w:rsid w:val="473F41E7"/>
    <w:rsid w:val="4753D6BD"/>
    <w:rsid w:val="475E85CF"/>
    <w:rsid w:val="47A9D5B2"/>
    <w:rsid w:val="47E615CD"/>
    <w:rsid w:val="490FD41B"/>
    <w:rsid w:val="4974E4CF"/>
    <w:rsid w:val="498D29CF"/>
    <w:rsid w:val="49A736D1"/>
    <w:rsid w:val="49A7C037"/>
    <w:rsid w:val="49CD3BF7"/>
    <w:rsid w:val="4B3ACF68"/>
    <w:rsid w:val="4C372F7F"/>
    <w:rsid w:val="4C8C02EE"/>
    <w:rsid w:val="4CC4AD33"/>
    <w:rsid w:val="4D5CA422"/>
    <w:rsid w:val="4D787699"/>
    <w:rsid w:val="4DFF3F98"/>
    <w:rsid w:val="4E3D3140"/>
    <w:rsid w:val="4E9EECEC"/>
    <w:rsid w:val="4F9DCE9E"/>
    <w:rsid w:val="4FA4A7F0"/>
    <w:rsid w:val="504468B4"/>
    <w:rsid w:val="5270C733"/>
    <w:rsid w:val="53457D6F"/>
    <w:rsid w:val="53CEE937"/>
    <w:rsid w:val="54344638"/>
    <w:rsid w:val="545B5B38"/>
    <w:rsid w:val="5484E310"/>
    <w:rsid w:val="54FB4AD1"/>
    <w:rsid w:val="551E090F"/>
    <w:rsid w:val="557C8054"/>
    <w:rsid w:val="55C9C970"/>
    <w:rsid w:val="56A98F05"/>
    <w:rsid w:val="575BBEA5"/>
    <w:rsid w:val="57BBF622"/>
    <w:rsid w:val="58E1B610"/>
    <w:rsid w:val="59860801"/>
    <w:rsid w:val="5A6AC29B"/>
    <w:rsid w:val="5AA591D6"/>
    <w:rsid w:val="5AB90F37"/>
    <w:rsid w:val="5B2DDE85"/>
    <w:rsid w:val="5B4F1BB7"/>
    <w:rsid w:val="5B9C31CF"/>
    <w:rsid w:val="5BC19D08"/>
    <w:rsid w:val="5BD5F37A"/>
    <w:rsid w:val="5C246608"/>
    <w:rsid w:val="5C4D9C76"/>
    <w:rsid w:val="5CB7E41E"/>
    <w:rsid w:val="5CBF8960"/>
    <w:rsid w:val="5D381829"/>
    <w:rsid w:val="5D564A2C"/>
    <w:rsid w:val="5E1757BE"/>
    <w:rsid w:val="5EA43000"/>
    <w:rsid w:val="5FAEE0E4"/>
    <w:rsid w:val="5FBD3FB9"/>
    <w:rsid w:val="60664A41"/>
    <w:rsid w:val="61241B75"/>
    <w:rsid w:val="615FBAF1"/>
    <w:rsid w:val="619C956B"/>
    <w:rsid w:val="623FBB83"/>
    <w:rsid w:val="62EE22E0"/>
    <w:rsid w:val="630CE812"/>
    <w:rsid w:val="63BFF077"/>
    <w:rsid w:val="63D8BEC5"/>
    <w:rsid w:val="640824BF"/>
    <w:rsid w:val="65535300"/>
    <w:rsid w:val="657356A4"/>
    <w:rsid w:val="657BCEE5"/>
    <w:rsid w:val="6792932C"/>
    <w:rsid w:val="67CBBA13"/>
    <w:rsid w:val="687244A8"/>
    <w:rsid w:val="68C894A3"/>
    <w:rsid w:val="68E210F1"/>
    <w:rsid w:val="695D8BA2"/>
    <w:rsid w:val="696B4FE2"/>
    <w:rsid w:val="6BE5F534"/>
    <w:rsid w:val="6C15FEE5"/>
    <w:rsid w:val="6D3A9F84"/>
    <w:rsid w:val="6D4C1B9B"/>
    <w:rsid w:val="6D6AC3FA"/>
    <w:rsid w:val="6DA0B5F3"/>
    <w:rsid w:val="6E29E51B"/>
    <w:rsid w:val="6E33EB43"/>
    <w:rsid w:val="6E3F7351"/>
    <w:rsid w:val="6EB8E311"/>
    <w:rsid w:val="6F38BD83"/>
    <w:rsid w:val="7113B74F"/>
    <w:rsid w:val="7167201B"/>
    <w:rsid w:val="71FA1DE1"/>
    <w:rsid w:val="724CBDC4"/>
    <w:rsid w:val="734053F4"/>
    <w:rsid w:val="74860632"/>
    <w:rsid w:val="75D04BEF"/>
    <w:rsid w:val="7708A12A"/>
    <w:rsid w:val="77271AC9"/>
    <w:rsid w:val="7745131B"/>
    <w:rsid w:val="77711D1D"/>
    <w:rsid w:val="79DCF89C"/>
    <w:rsid w:val="7A162D34"/>
    <w:rsid w:val="7AD4D349"/>
    <w:rsid w:val="7AFDE2F1"/>
    <w:rsid w:val="7BB47E72"/>
    <w:rsid w:val="7BD51F5B"/>
    <w:rsid w:val="7C5486F0"/>
    <w:rsid w:val="7CA141FE"/>
    <w:rsid w:val="7DBCE435"/>
    <w:rsid w:val="7DC2410A"/>
    <w:rsid w:val="7E3A39F3"/>
    <w:rsid w:val="7EA65EC5"/>
    <w:rsid w:val="7EA8A377"/>
    <w:rsid w:val="7F34E3A2"/>
    <w:rsid w:val="7FFF725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8CC85A8"/>
  <w15:docId w15:val="{FE1FD502-DD82-4AF5-BBC5-0CDA2D200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iPriority="99" w:unhideWhenUsed="1" w:qFormat="1"/>
    <w:lsdException w:name="List Bullet 3" w:semiHidden="1" w:uiPriority="99"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qFormat="1"/>
    <w:lsdException w:name="List Continue 2" w:semiHidden="1" w:uiPriority="99"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65368C"/>
    <w:pPr>
      <w:keepNext/>
      <w:keepLines/>
      <w:numPr>
        <w:numId w:val="15"/>
      </w:numPr>
      <w:spacing w:before="300" w:after="360" w:line="440" w:lineRule="exact"/>
      <w:outlineLvl w:val="0"/>
    </w:pPr>
    <w:rPr>
      <w:b/>
      <w:bCs/>
      <w:color w:val="00B2A9" w:themeColor="accent1"/>
      <w:kern w:val="32"/>
      <w:sz w:val="28"/>
      <w:szCs w:val="22"/>
    </w:rPr>
  </w:style>
  <w:style w:type="paragraph" w:styleId="Heading2">
    <w:name w:val="heading 2"/>
    <w:basedOn w:val="Normal"/>
    <w:next w:val="BodyText"/>
    <w:link w:val="Heading2Char"/>
    <w:qFormat/>
    <w:rsid w:val="00A33527"/>
    <w:pPr>
      <w:keepNext/>
      <w:keepLines/>
      <w:numPr>
        <w:ilvl w:val="1"/>
        <w:numId w:val="15"/>
      </w:numPr>
      <w:tabs>
        <w:tab w:val="left" w:pos="1418"/>
        <w:tab w:val="left" w:pos="1701"/>
        <w:tab w:val="left" w:pos="1985"/>
      </w:tabs>
      <w:spacing w:before="240" w:after="100" w:line="280" w:lineRule="exact"/>
      <w:outlineLvl w:val="1"/>
    </w:pPr>
    <w:rPr>
      <w:rFonts w:ascii="Arial" w:hAnsi="Arial"/>
      <w:b/>
      <w:b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numPr>
        <w:ilvl w:val="5"/>
        <w:numId w:val="13"/>
      </w:numPr>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uiPriority w:val="99"/>
    <w:semiHidden/>
    <w:qFormat/>
    <w:rsid w:val="007E536E"/>
    <w:pPr>
      <w:keepNext/>
      <w:keepLines/>
      <w:numPr>
        <w:ilvl w:val="6"/>
        <w:numId w:val="13"/>
      </w:numPr>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qFormat/>
    <w:rsid w:val="000758E3"/>
    <w:pPr>
      <w:keepNext/>
      <w:keepLines/>
      <w:pageBreakBefore/>
      <w:framePr w:w="11907" w:h="1985" w:hRule="exact" w:hSpace="11340" w:vSpace="284" w:wrap="around" w:vAnchor="page" w:hAnchor="page" w:yAlign="top"/>
      <w:numPr>
        <w:ilvl w:val="7"/>
        <w:numId w:val="1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qFormat/>
    <w:rsid w:val="00E8055B"/>
    <w:pPr>
      <w:keepNext/>
      <w:keepLines/>
      <w:numPr>
        <w:ilvl w:val="8"/>
        <w:numId w:val="13"/>
      </w:numPr>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uiPriority w:val="99"/>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uiPriority w:val="99"/>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uiPriority w:val="99"/>
    <w:rsid w:val="001748A0"/>
    <w:pPr>
      <w:ind w:right="28"/>
    </w:pPr>
    <w:rPr>
      <w:b/>
      <w:color w:val="00B2A9" w:themeColor="accent1"/>
    </w:rPr>
  </w:style>
  <w:style w:type="paragraph" w:customStyle="1" w:styleId="FootnoteSeparator">
    <w:name w:val="Footnote Separator"/>
    <w:basedOn w:val="Normal"/>
    <w:uiPriority w:val="99"/>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uiPriority w:val="99"/>
    <w:semiHidden/>
    <w:rsid w:val="00606818"/>
    <w:rPr>
      <w:sz w:val="16"/>
      <w:szCs w:val="16"/>
    </w:rPr>
  </w:style>
  <w:style w:type="character" w:customStyle="1" w:styleId="Italics">
    <w:name w:val="Italics"/>
    <w:rsid w:val="00901CD1"/>
    <w:rPr>
      <w:i/>
    </w:rPr>
  </w:style>
  <w:style w:type="paragraph" w:styleId="ListContinue">
    <w:name w:val="List Continue"/>
    <w:basedOn w:val="Normal"/>
    <w:uiPriority w:val="99"/>
    <w:semiHidden/>
    <w:qFormat/>
    <w:rsid w:val="00606818"/>
    <w:pPr>
      <w:spacing w:before="220" w:after="220"/>
      <w:ind w:left="340"/>
    </w:pPr>
  </w:style>
  <w:style w:type="paragraph" w:styleId="ListContinue2">
    <w:name w:val="List Continue 2"/>
    <w:basedOn w:val="Normal"/>
    <w:uiPriority w:val="99"/>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65368C"/>
    <w:pPr>
      <w:spacing w:before="120" w:after="120"/>
    </w:pPr>
    <w:rPr>
      <w:rFonts w:cs="Times New Roman"/>
      <w:sz w:val="18"/>
      <w:szCs w:val="18"/>
      <w:lang w:eastAsia="en-US"/>
    </w:rPr>
  </w:style>
  <w:style w:type="character" w:customStyle="1" w:styleId="BodyTextChar">
    <w:name w:val="Body Text Char"/>
    <w:basedOn w:val="DefaultParagraphFont"/>
    <w:link w:val="BodyText"/>
    <w:rsid w:val="0065368C"/>
    <w:rPr>
      <w:rFonts w:cs="Times New Roman"/>
      <w:sz w:val="18"/>
      <w:szCs w:val="18"/>
      <w:lang w:eastAsia="en-US"/>
    </w:rPr>
  </w:style>
  <w:style w:type="paragraph" w:customStyle="1" w:styleId="Footnotes">
    <w:name w:val="Footnotes"/>
    <w:basedOn w:val="Normal"/>
    <w:uiPriority w:val="99"/>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autoRedefine/>
    <w:qFormat/>
    <w:rsid w:val="006670D2"/>
    <w:pPr>
      <w:keepNext/>
      <w:spacing w:before="120" w:after="120" w:line="200" w:lineRule="atLeast"/>
    </w:pPr>
    <w:rPr>
      <w:b/>
      <w:sz w:val="16"/>
      <w:szCs w:val="16"/>
    </w:rPr>
  </w:style>
  <w:style w:type="character" w:styleId="FootnoteReference">
    <w:name w:val="footnote reference"/>
    <w:aliases w:val="Footnotes refss,FNRefe Char,BVI fnr Char,BVI fnr Char Char,BVI fnr Car Car Char Char,BVI fnr Car Char Char,BVI fnr Car Car Car Car Char Char Char Char,FNRefe Char Char,BVI fnr Char Char Char,BVI fnr Car Car Char Char Char"/>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BodyText"/>
    <w:uiPriority w:val="99"/>
    <w:unhideWhenUsed/>
    <w:qFormat/>
    <w:rsid w:val="0065368C"/>
    <w:pPr>
      <w:numPr>
        <w:numId w:val="18"/>
      </w:numPr>
    </w:pPr>
  </w:style>
  <w:style w:type="paragraph" w:styleId="ListBullet2">
    <w:name w:val="List Bullet 2"/>
    <w:basedOn w:val="ListBullet"/>
    <w:uiPriority w:val="99"/>
    <w:unhideWhenUsed/>
    <w:qFormat/>
    <w:rsid w:val="004D4063"/>
  </w:style>
  <w:style w:type="paragraph" w:styleId="ListBullet3">
    <w:name w:val="List Bullet 3"/>
    <w:basedOn w:val="Normal"/>
    <w:uiPriority w:val="99"/>
    <w:unhideWhenUsed/>
    <w:rsid w:val="004D4063"/>
    <w:pPr>
      <w:numPr>
        <w:ilvl w:val="2"/>
        <w:numId w:val="16"/>
      </w:numPr>
      <w:spacing w:before="120" w:after="120"/>
    </w:pPr>
  </w:style>
  <w:style w:type="paragraph" w:styleId="Subtitle">
    <w:name w:val="Subtitle"/>
    <w:basedOn w:val="Normal"/>
    <w:next w:val="Normal"/>
    <w:link w:val="SubtitleChar"/>
    <w:uiPriority w:val="99"/>
    <w:qFormat/>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uiPriority w:val="99"/>
    <w:qFormat/>
    <w:rsid w:val="00041903"/>
    <w:pPr>
      <w:numPr>
        <w:numId w:val="2"/>
      </w:numPr>
    </w:pPr>
  </w:style>
  <w:style w:type="paragraph" w:customStyle="1" w:styleId="TableTextNumbered2">
    <w:name w:val="Table Text Numbered 2"/>
    <w:basedOn w:val="TableTextNumbered"/>
    <w:uiPriority w:val="99"/>
    <w:qFormat/>
    <w:rsid w:val="003043D2"/>
    <w:pPr>
      <w:numPr>
        <w:ilvl w:val="1"/>
      </w:numPr>
    </w:pPr>
  </w:style>
  <w:style w:type="paragraph" w:customStyle="1" w:styleId="TableTextNumbered3">
    <w:name w:val="Table Text Numbered 3"/>
    <w:basedOn w:val="TableTextNumbered2"/>
    <w:uiPriority w:val="99"/>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uiPriority w:val="99"/>
    <w:qFormat/>
    <w:rsid w:val="001F668A"/>
    <w:rPr>
      <w:b/>
    </w:rPr>
  </w:style>
  <w:style w:type="paragraph" w:customStyle="1" w:styleId="BoldHeading">
    <w:name w:val="Bold Heading"/>
    <w:basedOn w:val="Normal"/>
    <w:next w:val="BodyText"/>
    <w:uiPriority w:val="99"/>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uiPriority w:val="99"/>
    <w:rsid w:val="0086233C"/>
    <w:pPr>
      <w:spacing w:before="170" w:after="20" w:line="170" w:lineRule="atLeast"/>
    </w:pPr>
    <w:rPr>
      <w:b/>
      <w:sz w:val="16"/>
    </w:rPr>
  </w:style>
  <w:style w:type="paragraph" w:styleId="Title">
    <w:name w:val="Title"/>
    <w:basedOn w:val="Normal"/>
    <w:next w:val="Normal"/>
    <w:link w:val="TitleChar"/>
    <w:uiPriority w:val="99"/>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uiPriority w:val="99"/>
    <w:qFormat/>
    <w:rsid w:val="00097538"/>
    <w:pPr>
      <w:spacing w:before="240"/>
    </w:pPr>
  </w:style>
  <w:style w:type="character" w:customStyle="1" w:styleId="Heading7Char">
    <w:name w:val="Heading 7 Char"/>
    <w:basedOn w:val="DefaultParagraphFont"/>
    <w:link w:val="Heading7"/>
    <w:uiPriority w:val="99"/>
    <w:semiHidden/>
    <w:rsid w:val="007E536E"/>
    <w:rPr>
      <w:rFonts w:asciiTheme="majorHAnsi" w:eastAsiaTheme="majorEastAsia" w:hAnsiTheme="majorHAnsi" w:cstheme="majorBidi"/>
      <w:b/>
      <w:iCs/>
      <w:color w:val="FFFFFF"/>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uiPriority w:val="99"/>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uiPriority w:val="99"/>
    <w:qFormat/>
    <w:rsid w:val="004D4063"/>
    <w:pPr>
      <w:tabs>
        <w:tab w:val="left" w:pos="1134"/>
      </w:tabs>
      <w:spacing w:before="120" w:after="120"/>
      <w:ind w:left="284"/>
    </w:pPr>
    <w:rPr>
      <w:i/>
      <w:iCs/>
    </w:rPr>
  </w:style>
  <w:style w:type="character" w:customStyle="1" w:styleId="QuoteChar">
    <w:name w:val="Quote Char"/>
    <w:basedOn w:val="DefaultParagraphFont"/>
    <w:link w:val="Quote"/>
    <w:uiPriority w:val="99"/>
    <w:rsid w:val="004D4063"/>
    <w:rPr>
      <w:i/>
      <w:iCs/>
    </w:rPr>
  </w:style>
  <w:style w:type="character" w:styleId="IntenseEmphasis">
    <w:name w:val="Intense Emphasis"/>
    <w:qFormat/>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uiPriority w:val="99"/>
    <w:qFormat/>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uiPriority w:val="99"/>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uiPriority w:val="99"/>
    <w:qFormat/>
    <w:rsid w:val="00C91CF5"/>
    <w:pPr>
      <w:spacing w:before="120" w:after="120"/>
      <w:ind w:left="142" w:right="142"/>
    </w:pPr>
  </w:style>
  <w:style w:type="paragraph" w:customStyle="1" w:styleId="PullOutBoxHeading">
    <w:name w:val="Pull Out Box Heading"/>
    <w:basedOn w:val="PullOutBoxBodyText"/>
    <w:next w:val="PullOutBoxBodyText"/>
    <w:uiPriority w:val="99"/>
    <w:qFormat/>
    <w:rsid w:val="007879D1"/>
    <w:pPr>
      <w:keepNext/>
      <w:keepLines/>
    </w:pPr>
    <w:rPr>
      <w:b/>
      <w:szCs w:val="24"/>
    </w:rPr>
  </w:style>
  <w:style w:type="paragraph" w:customStyle="1" w:styleId="PullOutBoxBullet">
    <w:name w:val="Pull Out Box Bullet"/>
    <w:basedOn w:val="PullOutBoxBodyText"/>
    <w:autoRedefine/>
    <w:uiPriority w:val="99"/>
    <w:qFormat/>
    <w:rsid w:val="006670D2"/>
    <w:pPr>
      <w:numPr>
        <w:numId w:val="9"/>
      </w:numPr>
      <w:spacing w:line="220" w:lineRule="atLeast"/>
      <w:ind w:right="113"/>
    </w:pPr>
    <w:rPr>
      <w:rFonts w:eastAsia="Calibri" w:cs="Times New Roman"/>
      <w:sz w:val="18"/>
      <w:szCs w:val="18"/>
    </w:rPr>
  </w:style>
  <w:style w:type="paragraph" w:customStyle="1" w:styleId="PullOutBoxBullet2">
    <w:name w:val="Pull Out Box Bullet 2"/>
    <w:basedOn w:val="PullOutBoxBodyText"/>
    <w:uiPriority w:val="99"/>
    <w:qFormat/>
    <w:rsid w:val="0029709B"/>
    <w:pPr>
      <w:numPr>
        <w:numId w:val="28"/>
      </w:numPr>
    </w:pPr>
  </w:style>
  <w:style w:type="paragraph" w:customStyle="1" w:styleId="PullOutBoxBullet3">
    <w:name w:val="Pull Out Box Bullet 3"/>
    <w:basedOn w:val="PullOutBoxBodyText"/>
    <w:uiPriority w:val="99"/>
    <w:qFormat/>
    <w:rsid w:val="004D4063"/>
    <w:pPr>
      <w:numPr>
        <w:ilvl w:val="2"/>
        <w:numId w:val="9"/>
      </w:numPr>
    </w:pPr>
  </w:style>
  <w:style w:type="paragraph" w:customStyle="1" w:styleId="xBackPageWebAddress">
    <w:name w:val="xBack Page Web Address"/>
    <w:basedOn w:val="Normal"/>
    <w:uiPriority w:val="99"/>
    <w:semiHidden/>
    <w:rsid w:val="00A14B4E"/>
    <w:pPr>
      <w:spacing w:before="140"/>
    </w:pPr>
    <w:rPr>
      <w:color w:val="FFFFFF"/>
      <w:spacing w:val="-6"/>
      <w:sz w:val="36"/>
      <w:szCs w:val="36"/>
    </w:rPr>
  </w:style>
  <w:style w:type="paragraph" w:customStyle="1" w:styleId="xBackPage">
    <w:name w:val="xBack Page"/>
    <w:basedOn w:val="Normal"/>
    <w:uiPriority w:val="99"/>
    <w:semiHidden/>
    <w:rsid w:val="00A14B4E"/>
    <w:rPr>
      <w:color w:val="FFFFFF"/>
    </w:rPr>
  </w:style>
  <w:style w:type="paragraph" w:customStyle="1" w:styleId="Source">
    <w:name w:val="Source"/>
    <w:basedOn w:val="Normal"/>
    <w:next w:val="BodyText"/>
    <w:uiPriority w:val="99"/>
    <w:rsid w:val="00F83203"/>
    <w:pPr>
      <w:spacing w:before="60" w:after="60" w:line="180" w:lineRule="atLeast"/>
    </w:pPr>
    <w:rPr>
      <w:b/>
      <w:i/>
      <w:sz w:val="14"/>
    </w:rPr>
  </w:style>
  <w:style w:type="paragraph" w:customStyle="1" w:styleId="xDisclaimerText">
    <w:name w:val="xDisclaimer Text"/>
    <w:basedOn w:val="xContactDetails"/>
    <w:uiPriority w:val="99"/>
    <w:rsid w:val="009363B5"/>
    <w:pPr>
      <w:spacing w:before="0" w:after="0" w:line="175" w:lineRule="atLeast"/>
      <w:ind w:left="0" w:right="0"/>
      <w:contextualSpacing w:val="0"/>
    </w:pPr>
  </w:style>
  <w:style w:type="paragraph" w:customStyle="1" w:styleId="IntroFeatureText">
    <w:name w:val="Intro/Feature Text"/>
    <w:basedOn w:val="Normal"/>
    <w:next w:val="BodyText"/>
    <w:uiPriority w:val="99"/>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uiPriority w:val="99"/>
    <w:qFormat/>
    <w:rsid w:val="0096416C"/>
    <w:pPr>
      <w:jc w:val="right"/>
    </w:pPr>
  </w:style>
  <w:style w:type="paragraph" w:customStyle="1" w:styleId="CaptionDescriptive">
    <w:name w:val="Caption Descriptive"/>
    <w:basedOn w:val="BodyText"/>
    <w:next w:val="BodyText"/>
    <w:uiPriority w:val="99"/>
    <w:rsid w:val="00F83203"/>
    <w:pPr>
      <w:spacing w:after="60" w:line="240" w:lineRule="auto"/>
      <w:ind w:right="227"/>
    </w:pPr>
    <w:rPr>
      <w:i/>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99"/>
    <w:qFormat/>
    <w:rsid w:val="00ED5179"/>
    <w:pPr>
      <w:spacing w:line="240" w:lineRule="auto"/>
    </w:pPr>
  </w:style>
  <w:style w:type="paragraph" w:styleId="Date">
    <w:name w:val="Date"/>
    <w:basedOn w:val="Normal"/>
    <w:next w:val="Normal"/>
    <w:link w:val="DateChar"/>
    <w:uiPriority w:val="99"/>
    <w:semiHidden/>
    <w:rsid w:val="003260D0"/>
    <w:rPr>
      <w:b/>
      <w:color w:val="FFFFFF"/>
      <w:sz w:val="36"/>
    </w:rPr>
  </w:style>
  <w:style w:type="character" w:customStyle="1" w:styleId="DateChar">
    <w:name w:val="Date Char"/>
    <w:basedOn w:val="DefaultParagraphFont"/>
    <w:link w:val="Date"/>
    <w:uiPriority w:val="99"/>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uiPriority w:val="99"/>
    <w:qFormat/>
    <w:rsid w:val="007879D1"/>
    <w:pPr>
      <w:numPr>
        <w:numId w:val="4"/>
      </w:numPr>
    </w:pPr>
  </w:style>
  <w:style w:type="paragraph" w:customStyle="1" w:styleId="PullOutBoxNumbered2">
    <w:name w:val="Pull Out Box Numbered 2"/>
    <w:basedOn w:val="PullOutBoxBodyText"/>
    <w:uiPriority w:val="99"/>
    <w:qFormat/>
    <w:rsid w:val="007A4BA3"/>
    <w:pPr>
      <w:numPr>
        <w:ilvl w:val="1"/>
        <w:numId w:val="4"/>
      </w:numPr>
    </w:pPr>
  </w:style>
  <w:style w:type="paragraph" w:customStyle="1" w:styleId="PullOutBoxNumbered3">
    <w:name w:val="Pull Out Box Numbered 3"/>
    <w:basedOn w:val="PullOutBoxBodyText"/>
    <w:uiPriority w:val="99"/>
    <w:qFormat/>
    <w:rsid w:val="007879D1"/>
    <w:pPr>
      <w:numPr>
        <w:ilvl w:val="2"/>
        <w:numId w:val="4"/>
      </w:numPr>
    </w:pPr>
  </w:style>
  <w:style w:type="paragraph" w:customStyle="1" w:styleId="xDisclaimerText2">
    <w:name w:val="xDisclaimer Text 2"/>
    <w:basedOn w:val="xDisclaimerText"/>
    <w:uiPriority w:val="99"/>
    <w:rsid w:val="009363B5"/>
    <w:pPr>
      <w:spacing w:before="180" w:after="170"/>
    </w:pPr>
  </w:style>
  <w:style w:type="paragraph" w:customStyle="1" w:styleId="Heading1TopofPage">
    <w:name w:val="Heading 1 Top of Page"/>
    <w:basedOn w:val="Heading1"/>
    <w:next w:val="BodyText"/>
    <w:uiPriority w:val="99"/>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uiPriority w:val="99"/>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uiPriority w:val="99"/>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uiPriority w:val="99"/>
    <w:semiHidden/>
    <w:rsid w:val="00F77596"/>
    <w:rPr>
      <w:b/>
      <w:caps/>
      <w:color w:val="FF0000"/>
      <w:sz w:val="48"/>
      <w:szCs w:val="52"/>
    </w:rPr>
  </w:style>
  <w:style w:type="paragraph" w:customStyle="1" w:styleId="TableTextCentre">
    <w:name w:val="Table Text Centre"/>
    <w:basedOn w:val="TableTextLeft"/>
    <w:uiPriority w:val="99"/>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uiPriority w:val="99"/>
    <w:rsid w:val="0016301C"/>
    <w:pPr>
      <w:numPr>
        <w:ilvl w:val="1"/>
        <w:numId w:val="5"/>
      </w:numPr>
      <w:spacing w:after="100" w:afterAutospacing="1" w:line="180" w:lineRule="atLeast"/>
      <w:contextualSpacing/>
    </w:pPr>
    <w:rPr>
      <w:sz w:val="14"/>
    </w:rPr>
  </w:style>
  <w:style w:type="table" w:customStyle="1" w:styleId="HighlightTable">
    <w:name w:val="Highlight Table"/>
    <w:basedOn w:val="TableNormal"/>
    <w:uiPriority w:val="99"/>
    <w:rsid w:val="00DB686A"/>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uiPriority w:val="99"/>
    <w:qFormat/>
    <w:rsid w:val="00096B2D"/>
    <w:rPr>
      <w:color w:val="00B2A9" w:themeColor="accent1"/>
    </w:rPr>
  </w:style>
  <w:style w:type="paragraph" w:customStyle="1" w:styleId="CaptionImageorFigure">
    <w:name w:val="Caption Image or Figure"/>
    <w:basedOn w:val="Caption"/>
    <w:qFormat/>
    <w:rsid w:val="00F041AE"/>
    <w:pPr>
      <w:spacing w:before="60"/>
    </w:pPr>
  </w:style>
  <w:style w:type="paragraph" w:customStyle="1" w:styleId="PhotoCredit">
    <w:name w:val="Photo Credit"/>
    <w:basedOn w:val="CaptionDescriptive"/>
    <w:next w:val="BodyText"/>
    <w:uiPriority w:val="99"/>
    <w:qFormat/>
    <w:rsid w:val="00BC0FB0"/>
    <w:rPr>
      <w:i w:val="0"/>
      <w:sz w:val="16"/>
    </w:rPr>
  </w:style>
  <w:style w:type="paragraph" w:customStyle="1" w:styleId="ListAlpha">
    <w:name w:val="List Alpha"/>
    <w:basedOn w:val="Normal"/>
    <w:uiPriority w:val="99"/>
    <w:qFormat/>
    <w:rsid w:val="00893106"/>
    <w:pPr>
      <w:numPr>
        <w:numId w:val="10"/>
      </w:numPr>
      <w:spacing w:before="120" w:after="120"/>
    </w:pPr>
  </w:style>
  <w:style w:type="paragraph" w:customStyle="1" w:styleId="ListAlpha2">
    <w:name w:val="List Alpha 2"/>
    <w:basedOn w:val="Normal"/>
    <w:uiPriority w:val="99"/>
    <w:qFormat/>
    <w:rsid w:val="00893106"/>
    <w:pPr>
      <w:numPr>
        <w:ilvl w:val="1"/>
        <w:numId w:val="10"/>
      </w:numPr>
      <w:spacing w:before="120" w:after="120"/>
    </w:pPr>
  </w:style>
  <w:style w:type="paragraph" w:customStyle="1" w:styleId="ListAlpha3">
    <w:name w:val="List Alpha 3"/>
    <w:basedOn w:val="Normal"/>
    <w:uiPriority w:val="99"/>
    <w:qFormat/>
    <w:rsid w:val="00893106"/>
    <w:pPr>
      <w:numPr>
        <w:ilvl w:val="2"/>
        <w:numId w:val="10"/>
      </w:numPr>
      <w:spacing w:before="120" w:after="120"/>
    </w:pPr>
  </w:style>
  <w:style w:type="paragraph" w:customStyle="1" w:styleId="HighlightBoxHeading">
    <w:name w:val="Highlight Box Heading"/>
    <w:basedOn w:val="HighlightBoxText"/>
    <w:uiPriority w:val="99"/>
    <w:qFormat/>
    <w:rsid w:val="0072771D"/>
    <w:rPr>
      <w:b/>
    </w:rPr>
  </w:style>
  <w:style w:type="paragraph" w:customStyle="1" w:styleId="HighlightBoxBullet">
    <w:name w:val="Highlight Box Bullet"/>
    <w:basedOn w:val="HighlightBoxText"/>
    <w:uiPriority w:val="99"/>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uiPriority w:val="99"/>
    <w:qFormat/>
    <w:rsid w:val="006D0741"/>
    <w:pPr>
      <w:spacing w:before="40" w:after="40" w:line="220" w:lineRule="atLeast"/>
    </w:pPr>
    <w:rPr>
      <w:sz w:val="18"/>
    </w:rPr>
  </w:style>
  <w:style w:type="paragraph" w:customStyle="1" w:styleId="SmallBullet">
    <w:name w:val="Small Bullet"/>
    <w:basedOn w:val="SmallBodyText"/>
    <w:uiPriority w:val="99"/>
    <w:qFormat/>
    <w:rsid w:val="00D14E24"/>
    <w:pPr>
      <w:numPr>
        <w:numId w:val="11"/>
      </w:numPr>
    </w:pPr>
  </w:style>
  <w:style w:type="paragraph" w:customStyle="1" w:styleId="SmallHeading">
    <w:name w:val="Small Heading"/>
    <w:basedOn w:val="xDisclaimerHeading"/>
    <w:next w:val="SmallBodyText"/>
    <w:uiPriority w:val="99"/>
    <w:qFormat/>
    <w:rsid w:val="006D0741"/>
    <w:pPr>
      <w:spacing w:after="40" w:line="220" w:lineRule="atLeast"/>
    </w:pPr>
    <w:rPr>
      <w:sz w:val="18"/>
    </w:rPr>
  </w:style>
  <w:style w:type="paragraph" w:customStyle="1" w:styleId="xWeb">
    <w:name w:val="xWeb"/>
    <w:basedOn w:val="Normal"/>
    <w:uiPriority w:val="99"/>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uiPriority w:val="99"/>
    <w:semiHidden/>
    <w:qFormat/>
    <w:rsid w:val="0086451D"/>
    <w:pPr>
      <w:spacing w:line="300" w:lineRule="exact"/>
    </w:pPr>
    <w:rPr>
      <w:sz w:val="24"/>
    </w:rPr>
  </w:style>
  <w:style w:type="paragraph" w:customStyle="1" w:styleId="xAccessibilityHeading">
    <w:name w:val="xAccessibility Heading"/>
    <w:basedOn w:val="Normal"/>
    <w:uiPriority w:val="99"/>
    <w:semiHidden/>
    <w:qFormat/>
    <w:rsid w:val="0086451D"/>
    <w:pPr>
      <w:spacing w:before="170" w:after="20" w:line="300" w:lineRule="exact"/>
    </w:pPr>
    <w:rPr>
      <w:b/>
      <w:sz w:val="24"/>
    </w:rPr>
  </w:style>
  <w:style w:type="paragraph" w:customStyle="1" w:styleId="FooterEvenPageNumber">
    <w:name w:val="Footer Even Page Number"/>
    <w:basedOn w:val="FooterEven"/>
    <w:uiPriority w:val="99"/>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A33527"/>
    <w:rPr>
      <w:rFonts w:ascii="Arial" w:hAnsi="Arial"/>
      <w:b/>
      <w:bCs/>
      <w:color w:val="00B2A9" w:themeColor="accent1"/>
      <w:kern w:val="20"/>
      <w:sz w:val="24"/>
      <w:szCs w:val="28"/>
    </w:rPr>
  </w:style>
  <w:style w:type="character" w:customStyle="1" w:styleId="Heading1Char">
    <w:name w:val="Heading 1 Char"/>
    <w:basedOn w:val="DefaultParagraphFont"/>
    <w:link w:val="Heading1"/>
    <w:rsid w:val="0065368C"/>
    <w:rPr>
      <w:b/>
      <w:bCs/>
      <w:color w:val="00B2A9" w:themeColor="accent1"/>
      <w:kern w:val="32"/>
      <w:sz w:val="28"/>
      <w:szCs w:val="2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uiPriority w:val="99"/>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uiPriority w:val="99"/>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character" w:customStyle="1" w:styleId="normaltextrun">
    <w:name w:val="normaltextrun"/>
    <w:basedOn w:val="DefaultParagraphFont"/>
    <w:rsid w:val="00897355"/>
  </w:style>
  <w:style w:type="character" w:customStyle="1" w:styleId="eop">
    <w:name w:val="eop"/>
    <w:basedOn w:val="DefaultParagraphFont"/>
    <w:rsid w:val="00897355"/>
  </w:style>
  <w:style w:type="paragraph" w:styleId="Revision">
    <w:name w:val="Revision"/>
    <w:hidden/>
    <w:uiPriority w:val="99"/>
    <w:semiHidden/>
    <w:rsid w:val="008A598A"/>
    <w:pPr>
      <w:spacing w:line="240" w:lineRule="auto"/>
    </w:pPr>
  </w:style>
  <w:style w:type="paragraph" w:customStyle="1" w:styleId="paragraph">
    <w:name w:val="paragraph"/>
    <w:basedOn w:val="Normal"/>
    <w:uiPriority w:val="99"/>
    <w:rsid w:val="00BD1BA5"/>
    <w:pPr>
      <w:spacing w:before="100" w:beforeAutospacing="1" w:after="100" w:afterAutospacing="1" w:line="240" w:lineRule="auto"/>
    </w:pPr>
    <w:rPr>
      <w:rFonts w:ascii="Courier New" w:eastAsia="Courier New" w:hAnsi="Courier New" w:cs="Courier New"/>
      <w:color w:val="auto"/>
      <w:sz w:val="24"/>
      <w:szCs w:val="24"/>
    </w:rPr>
  </w:style>
  <w:style w:type="character" w:styleId="Strong">
    <w:name w:val="Strong"/>
    <w:basedOn w:val="DefaultParagraphFont"/>
    <w:uiPriority w:val="22"/>
    <w:qFormat/>
    <w:rsid w:val="00BD1BA5"/>
    <w:rPr>
      <w:b/>
      <w:bCs/>
    </w:rPr>
  </w:style>
  <w:style w:type="paragraph" w:customStyle="1" w:styleId="pf0">
    <w:name w:val="pf0"/>
    <w:basedOn w:val="Normal"/>
    <w:uiPriority w:val="99"/>
    <w:rsid w:val="00BD1BA5"/>
    <w:pPr>
      <w:spacing w:before="100" w:beforeAutospacing="1" w:after="100" w:afterAutospacing="1" w:line="240" w:lineRule="auto"/>
    </w:pPr>
    <w:rPr>
      <w:rFonts w:ascii="Times New Roman" w:hAnsi="Times New Roman" w:cs="Times New Roman"/>
      <w:color w:val="auto"/>
      <w:sz w:val="24"/>
      <w:szCs w:val="24"/>
    </w:rPr>
  </w:style>
  <w:style w:type="character" w:customStyle="1" w:styleId="cf01">
    <w:name w:val="cf01"/>
    <w:basedOn w:val="DefaultParagraphFont"/>
    <w:rsid w:val="00BD1BA5"/>
    <w:rPr>
      <w:rFonts w:ascii="Segoe UI" w:hAnsi="Segoe UI" w:cs="Segoe UI" w:hint="default"/>
    </w:rPr>
  </w:style>
  <w:style w:type="character" w:customStyle="1" w:styleId="title-text">
    <w:name w:val="title-text"/>
    <w:basedOn w:val="DefaultParagraphFont"/>
    <w:rsid w:val="00466BF6"/>
  </w:style>
  <w:style w:type="character" w:styleId="Emphasis">
    <w:name w:val="Emphasis"/>
    <w:basedOn w:val="DefaultParagraphFont"/>
    <w:uiPriority w:val="20"/>
    <w:qFormat/>
    <w:rsid w:val="00466BF6"/>
    <w:rPr>
      <w:i/>
      <w:iCs/>
    </w:rPr>
  </w:style>
  <w:style w:type="character" w:styleId="Mention">
    <w:name w:val="Mention"/>
    <w:basedOn w:val="DefaultParagraphFont"/>
    <w:uiPriority w:val="99"/>
    <w:unhideWhenUsed/>
    <w:rsid w:val="00466BF6"/>
    <w:rPr>
      <w:color w:val="2B579A"/>
      <w:shd w:val="clear" w:color="auto" w:fill="E1DFDD"/>
    </w:rPr>
  </w:style>
  <w:style w:type="paragraph" w:customStyle="1" w:styleId="msonormal0">
    <w:name w:val="msonormal"/>
    <w:basedOn w:val="Normal"/>
    <w:uiPriority w:val="99"/>
    <w:rsid w:val="00324D1B"/>
    <w:rPr>
      <w:rFonts w:eastAsiaTheme="minorEastAsia" w:cs="Times New Roman"/>
      <w:szCs w:val="24"/>
    </w:rPr>
  </w:style>
  <w:style w:type="character" w:customStyle="1" w:styleId="Heading8Char1">
    <w:name w:val="Heading 8 Char1"/>
    <w:aliases w:val="Appendix Title Char1"/>
    <w:basedOn w:val="DefaultParagraphFont"/>
    <w:uiPriority w:val="1"/>
    <w:semiHidden/>
    <w:rsid w:val="00324D1B"/>
    <w:rPr>
      <w:rFonts w:asciiTheme="majorHAnsi" w:eastAsiaTheme="majorEastAsia" w:hAnsiTheme="majorHAnsi" w:cstheme="majorBidi"/>
      <w:color w:val="555352" w:themeColor="text1" w:themeTint="D8"/>
      <w:sz w:val="21"/>
      <w:szCs w:val="21"/>
    </w:rPr>
  </w:style>
  <w:style w:type="character" w:customStyle="1" w:styleId="Heading9Char1">
    <w:name w:val="Heading 9 Char1"/>
    <w:aliases w:val="Appendix Heading 1 Char1"/>
    <w:basedOn w:val="DefaultParagraphFont"/>
    <w:uiPriority w:val="1"/>
    <w:semiHidden/>
    <w:rsid w:val="00324D1B"/>
    <w:rPr>
      <w:rFonts w:asciiTheme="majorHAnsi" w:eastAsiaTheme="majorEastAsia" w:hAnsiTheme="majorHAnsi" w:cstheme="majorBidi"/>
      <w:i/>
      <w:iCs/>
      <w:color w:val="555352" w:themeColor="text1" w:themeTint="D8"/>
      <w:sz w:val="21"/>
      <w:szCs w:val="21"/>
    </w:rPr>
  </w:style>
  <w:style w:type="character" w:customStyle="1" w:styleId="BalloonTextChar">
    <w:name w:val="Balloon Text Char"/>
    <w:basedOn w:val="DefaultParagraphFont"/>
    <w:link w:val="BalloonText"/>
    <w:uiPriority w:val="99"/>
    <w:semiHidden/>
    <w:rsid w:val="00324D1B"/>
    <w:rPr>
      <w:rFonts w:ascii="Tahoma" w:hAnsi="Tahoma" w:cs="Tahoma"/>
      <w:sz w:val="16"/>
      <w:szCs w:val="16"/>
    </w:rPr>
  </w:style>
  <w:style w:type="table" w:customStyle="1" w:styleId="GridTable5Dark-Accent11">
    <w:name w:val="Grid Table 5 Dark - Accent 11"/>
    <w:basedOn w:val="TableNormal"/>
    <w:next w:val="GridTable5Dark-Accent1"/>
    <w:uiPriority w:val="50"/>
    <w:rsid w:val="000C1EE0"/>
    <w:pPr>
      <w:spacing w:line="240" w:lineRule="auto"/>
    </w:pPr>
    <w:rPr>
      <w:rFonts w:eastAsiaTheme="minorHAnsi" w:cstheme="minorBidi"/>
      <w:color w:val="auto"/>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FootnoteText1">
    <w:name w:val="Footnote Text1"/>
    <w:basedOn w:val="Normal"/>
    <w:next w:val="FootnoteText"/>
    <w:uiPriority w:val="99"/>
    <w:semiHidden/>
    <w:unhideWhenUsed/>
    <w:rsid w:val="000C1EE0"/>
    <w:pPr>
      <w:spacing w:line="240" w:lineRule="auto"/>
    </w:pPr>
    <w:rPr>
      <w:rFonts w:eastAsiaTheme="minorHAnsi" w:cstheme="minorBidi"/>
      <w:color w:val="auto"/>
    </w:rPr>
  </w:style>
  <w:style w:type="paragraph" w:customStyle="1" w:styleId="bs">
    <w:name w:val="bs"/>
    <w:basedOn w:val="Normal"/>
    <w:next w:val="Normal"/>
    <w:rsid w:val="006A4AB7"/>
    <w:pPr>
      <w:keepNext/>
      <w:keepLines/>
      <w:spacing w:before="240" w:after="60" w:line="240" w:lineRule="auto"/>
      <w:ind w:left="284"/>
      <w:jc w:val="both"/>
    </w:pPr>
    <w:rPr>
      <w:rFonts w:ascii="Tahoma" w:hAnsi="Tahoma" w:cs="Times New Roman"/>
      <w:b/>
      <w:color w:val="auto"/>
      <w:lang w:eastAsia="en-US"/>
    </w:rPr>
  </w:style>
  <w:style w:type="paragraph" w:styleId="TOC9">
    <w:name w:val="toc 9"/>
    <w:basedOn w:val="Normal"/>
    <w:next w:val="Normal"/>
    <w:autoRedefine/>
    <w:uiPriority w:val="39"/>
    <w:unhideWhenUsed/>
    <w:rsid w:val="006A3F60"/>
    <w:pPr>
      <w:spacing w:after="100" w:line="259" w:lineRule="auto"/>
      <w:ind w:left="1760"/>
    </w:pPr>
    <w:rPr>
      <w:rFonts w:eastAsiaTheme="minorEastAsia" w:cstheme="minorBidi"/>
      <w:color w:val="auto"/>
      <w:sz w:val="22"/>
      <w:szCs w:val="22"/>
    </w:rPr>
  </w:style>
  <w:style w:type="paragraph" w:customStyle="1" w:styleId="indentbullet1">
    <w:name w:val="indent bullet 1"/>
    <w:basedOn w:val="BodyText"/>
    <w:qFormat/>
    <w:rsid w:val="00A400D6"/>
    <w:pPr>
      <w:spacing w:before="40" w:after="40" w:line="240" w:lineRule="auto"/>
      <w:ind w:left="357" w:hanging="357"/>
    </w:pPr>
    <w:rPr>
      <w:rFonts w:ascii="Arial" w:hAnsi="Arial" w:cs="Arial"/>
      <w:color w:val="auto"/>
    </w:rPr>
  </w:style>
  <w:style w:type="paragraph" w:customStyle="1" w:styleId="indentbullet2">
    <w:name w:val="indent bullet 2"/>
    <w:basedOn w:val="BodyText"/>
    <w:qFormat/>
    <w:rsid w:val="00A400D6"/>
    <w:pPr>
      <w:spacing w:before="40" w:after="40" w:line="240" w:lineRule="auto"/>
      <w:ind w:left="714" w:hanging="357"/>
    </w:pPr>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10459">
      <w:bodyDiv w:val="1"/>
      <w:marLeft w:val="0"/>
      <w:marRight w:val="0"/>
      <w:marTop w:val="0"/>
      <w:marBottom w:val="0"/>
      <w:divBdr>
        <w:top w:val="none" w:sz="0" w:space="0" w:color="auto"/>
        <w:left w:val="none" w:sz="0" w:space="0" w:color="auto"/>
        <w:bottom w:val="none" w:sz="0" w:space="0" w:color="auto"/>
        <w:right w:val="none" w:sz="0" w:space="0" w:color="auto"/>
      </w:divBdr>
    </w:div>
    <w:div w:id="71436054">
      <w:bodyDiv w:val="1"/>
      <w:marLeft w:val="0"/>
      <w:marRight w:val="0"/>
      <w:marTop w:val="0"/>
      <w:marBottom w:val="0"/>
      <w:divBdr>
        <w:top w:val="none" w:sz="0" w:space="0" w:color="auto"/>
        <w:left w:val="none" w:sz="0" w:space="0" w:color="auto"/>
        <w:bottom w:val="none" w:sz="0" w:space="0" w:color="auto"/>
        <w:right w:val="none" w:sz="0" w:space="0" w:color="auto"/>
      </w:divBdr>
    </w:div>
    <w:div w:id="123960984">
      <w:bodyDiv w:val="1"/>
      <w:marLeft w:val="0"/>
      <w:marRight w:val="0"/>
      <w:marTop w:val="0"/>
      <w:marBottom w:val="0"/>
      <w:divBdr>
        <w:top w:val="none" w:sz="0" w:space="0" w:color="auto"/>
        <w:left w:val="none" w:sz="0" w:space="0" w:color="auto"/>
        <w:bottom w:val="none" w:sz="0" w:space="0" w:color="auto"/>
        <w:right w:val="none" w:sz="0" w:space="0" w:color="auto"/>
      </w:divBdr>
    </w:div>
    <w:div w:id="126120406">
      <w:bodyDiv w:val="1"/>
      <w:marLeft w:val="0"/>
      <w:marRight w:val="0"/>
      <w:marTop w:val="0"/>
      <w:marBottom w:val="0"/>
      <w:divBdr>
        <w:top w:val="none" w:sz="0" w:space="0" w:color="auto"/>
        <w:left w:val="none" w:sz="0" w:space="0" w:color="auto"/>
        <w:bottom w:val="none" w:sz="0" w:space="0" w:color="auto"/>
        <w:right w:val="none" w:sz="0" w:space="0" w:color="auto"/>
      </w:divBdr>
    </w:div>
    <w:div w:id="157617103">
      <w:bodyDiv w:val="1"/>
      <w:marLeft w:val="0"/>
      <w:marRight w:val="0"/>
      <w:marTop w:val="0"/>
      <w:marBottom w:val="0"/>
      <w:divBdr>
        <w:top w:val="none" w:sz="0" w:space="0" w:color="auto"/>
        <w:left w:val="none" w:sz="0" w:space="0" w:color="auto"/>
        <w:bottom w:val="none" w:sz="0" w:space="0" w:color="auto"/>
        <w:right w:val="none" w:sz="0" w:space="0" w:color="auto"/>
      </w:divBdr>
    </w:div>
    <w:div w:id="165557459">
      <w:bodyDiv w:val="1"/>
      <w:marLeft w:val="0"/>
      <w:marRight w:val="0"/>
      <w:marTop w:val="0"/>
      <w:marBottom w:val="0"/>
      <w:divBdr>
        <w:top w:val="none" w:sz="0" w:space="0" w:color="auto"/>
        <w:left w:val="none" w:sz="0" w:space="0" w:color="auto"/>
        <w:bottom w:val="none" w:sz="0" w:space="0" w:color="auto"/>
        <w:right w:val="none" w:sz="0" w:space="0" w:color="auto"/>
      </w:divBdr>
    </w:div>
    <w:div w:id="213201741">
      <w:bodyDiv w:val="1"/>
      <w:marLeft w:val="0"/>
      <w:marRight w:val="0"/>
      <w:marTop w:val="0"/>
      <w:marBottom w:val="0"/>
      <w:divBdr>
        <w:top w:val="none" w:sz="0" w:space="0" w:color="auto"/>
        <w:left w:val="none" w:sz="0" w:space="0" w:color="auto"/>
        <w:bottom w:val="none" w:sz="0" w:space="0" w:color="auto"/>
        <w:right w:val="none" w:sz="0" w:space="0" w:color="auto"/>
      </w:divBdr>
    </w:div>
    <w:div w:id="249314846">
      <w:bodyDiv w:val="1"/>
      <w:marLeft w:val="0"/>
      <w:marRight w:val="0"/>
      <w:marTop w:val="0"/>
      <w:marBottom w:val="0"/>
      <w:divBdr>
        <w:top w:val="none" w:sz="0" w:space="0" w:color="auto"/>
        <w:left w:val="none" w:sz="0" w:space="0" w:color="auto"/>
        <w:bottom w:val="none" w:sz="0" w:space="0" w:color="auto"/>
        <w:right w:val="none" w:sz="0" w:space="0" w:color="auto"/>
      </w:divBdr>
    </w:div>
    <w:div w:id="262881421">
      <w:bodyDiv w:val="1"/>
      <w:marLeft w:val="0"/>
      <w:marRight w:val="0"/>
      <w:marTop w:val="0"/>
      <w:marBottom w:val="0"/>
      <w:divBdr>
        <w:top w:val="none" w:sz="0" w:space="0" w:color="auto"/>
        <w:left w:val="none" w:sz="0" w:space="0" w:color="auto"/>
        <w:bottom w:val="none" w:sz="0" w:space="0" w:color="auto"/>
        <w:right w:val="none" w:sz="0" w:space="0" w:color="auto"/>
      </w:divBdr>
    </w:div>
    <w:div w:id="279646924">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4215321">
      <w:bodyDiv w:val="1"/>
      <w:marLeft w:val="0"/>
      <w:marRight w:val="0"/>
      <w:marTop w:val="0"/>
      <w:marBottom w:val="0"/>
      <w:divBdr>
        <w:top w:val="none" w:sz="0" w:space="0" w:color="auto"/>
        <w:left w:val="none" w:sz="0" w:space="0" w:color="auto"/>
        <w:bottom w:val="none" w:sz="0" w:space="0" w:color="auto"/>
        <w:right w:val="none" w:sz="0" w:space="0" w:color="auto"/>
      </w:divBdr>
    </w:div>
    <w:div w:id="297760600">
      <w:bodyDiv w:val="1"/>
      <w:marLeft w:val="0"/>
      <w:marRight w:val="0"/>
      <w:marTop w:val="0"/>
      <w:marBottom w:val="0"/>
      <w:divBdr>
        <w:top w:val="none" w:sz="0" w:space="0" w:color="auto"/>
        <w:left w:val="none" w:sz="0" w:space="0" w:color="auto"/>
        <w:bottom w:val="none" w:sz="0" w:space="0" w:color="auto"/>
        <w:right w:val="none" w:sz="0" w:space="0" w:color="auto"/>
      </w:divBdr>
    </w:div>
    <w:div w:id="331566663">
      <w:bodyDiv w:val="1"/>
      <w:marLeft w:val="0"/>
      <w:marRight w:val="0"/>
      <w:marTop w:val="0"/>
      <w:marBottom w:val="0"/>
      <w:divBdr>
        <w:top w:val="none" w:sz="0" w:space="0" w:color="auto"/>
        <w:left w:val="none" w:sz="0" w:space="0" w:color="auto"/>
        <w:bottom w:val="none" w:sz="0" w:space="0" w:color="auto"/>
        <w:right w:val="none" w:sz="0" w:space="0" w:color="auto"/>
      </w:divBdr>
    </w:div>
    <w:div w:id="358285637">
      <w:bodyDiv w:val="1"/>
      <w:marLeft w:val="0"/>
      <w:marRight w:val="0"/>
      <w:marTop w:val="0"/>
      <w:marBottom w:val="0"/>
      <w:divBdr>
        <w:top w:val="none" w:sz="0" w:space="0" w:color="auto"/>
        <w:left w:val="none" w:sz="0" w:space="0" w:color="auto"/>
        <w:bottom w:val="none" w:sz="0" w:space="0" w:color="auto"/>
        <w:right w:val="none" w:sz="0" w:space="0" w:color="auto"/>
      </w:divBdr>
    </w:div>
    <w:div w:id="370613892">
      <w:bodyDiv w:val="1"/>
      <w:marLeft w:val="0"/>
      <w:marRight w:val="0"/>
      <w:marTop w:val="0"/>
      <w:marBottom w:val="0"/>
      <w:divBdr>
        <w:top w:val="none" w:sz="0" w:space="0" w:color="auto"/>
        <w:left w:val="none" w:sz="0" w:space="0" w:color="auto"/>
        <w:bottom w:val="none" w:sz="0" w:space="0" w:color="auto"/>
        <w:right w:val="none" w:sz="0" w:space="0" w:color="auto"/>
      </w:divBdr>
    </w:div>
    <w:div w:id="373390255">
      <w:bodyDiv w:val="1"/>
      <w:marLeft w:val="0"/>
      <w:marRight w:val="0"/>
      <w:marTop w:val="0"/>
      <w:marBottom w:val="0"/>
      <w:divBdr>
        <w:top w:val="none" w:sz="0" w:space="0" w:color="auto"/>
        <w:left w:val="none" w:sz="0" w:space="0" w:color="auto"/>
        <w:bottom w:val="none" w:sz="0" w:space="0" w:color="auto"/>
        <w:right w:val="none" w:sz="0" w:space="0" w:color="auto"/>
      </w:divBdr>
    </w:div>
    <w:div w:id="402071377">
      <w:bodyDiv w:val="1"/>
      <w:marLeft w:val="0"/>
      <w:marRight w:val="0"/>
      <w:marTop w:val="0"/>
      <w:marBottom w:val="0"/>
      <w:divBdr>
        <w:top w:val="none" w:sz="0" w:space="0" w:color="auto"/>
        <w:left w:val="none" w:sz="0" w:space="0" w:color="auto"/>
        <w:bottom w:val="none" w:sz="0" w:space="0" w:color="auto"/>
        <w:right w:val="none" w:sz="0" w:space="0" w:color="auto"/>
      </w:divBdr>
    </w:div>
    <w:div w:id="420873427">
      <w:bodyDiv w:val="1"/>
      <w:marLeft w:val="0"/>
      <w:marRight w:val="0"/>
      <w:marTop w:val="0"/>
      <w:marBottom w:val="0"/>
      <w:divBdr>
        <w:top w:val="none" w:sz="0" w:space="0" w:color="auto"/>
        <w:left w:val="none" w:sz="0" w:space="0" w:color="auto"/>
        <w:bottom w:val="none" w:sz="0" w:space="0" w:color="auto"/>
        <w:right w:val="none" w:sz="0" w:space="0" w:color="auto"/>
      </w:divBdr>
    </w:div>
    <w:div w:id="43155850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12916585">
      <w:bodyDiv w:val="1"/>
      <w:marLeft w:val="0"/>
      <w:marRight w:val="0"/>
      <w:marTop w:val="0"/>
      <w:marBottom w:val="0"/>
      <w:divBdr>
        <w:top w:val="none" w:sz="0" w:space="0" w:color="auto"/>
        <w:left w:val="none" w:sz="0" w:space="0" w:color="auto"/>
        <w:bottom w:val="none" w:sz="0" w:space="0" w:color="auto"/>
        <w:right w:val="none" w:sz="0" w:space="0" w:color="auto"/>
      </w:divBdr>
    </w:div>
    <w:div w:id="51461385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91817754">
      <w:bodyDiv w:val="1"/>
      <w:marLeft w:val="0"/>
      <w:marRight w:val="0"/>
      <w:marTop w:val="0"/>
      <w:marBottom w:val="0"/>
      <w:divBdr>
        <w:top w:val="none" w:sz="0" w:space="0" w:color="auto"/>
        <w:left w:val="none" w:sz="0" w:space="0" w:color="auto"/>
        <w:bottom w:val="none" w:sz="0" w:space="0" w:color="auto"/>
        <w:right w:val="none" w:sz="0" w:space="0" w:color="auto"/>
      </w:divBdr>
    </w:div>
    <w:div w:id="626352852">
      <w:bodyDiv w:val="1"/>
      <w:marLeft w:val="0"/>
      <w:marRight w:val="0"/>
      <w:marTop w:val="0"/>
      <w:marBottom w:val="0"/>
      <w:divBdr>
        <w:top w:val="none" w:sz="0" w:space="0" w:color="auto"/>
        <w:left w:val="none" w:sz="0" w:space="0" w:color="auto"/>
        <w:bottom w:val="none" w:sz="0" w:space="0" w:color="auto"/>
        <w:right w:val="none" w:sz="0" w:space="0" w:color="auto"/>
      </w:divBdr>
    </w:div>
    <w:div w:id="636687392">
      <w:bodyDiv w:val="1"/>
      <w:marLeft w:val="0"/>
      <w:marRight w:val="0"/>
      <w:marTop w:val="0"/>
      <w:marBottom w:val="0"/>
      <w:divBdr>
        <w:top w:val="none" w:sz="0" w:space="0" w:color="auto"/>
        <w:left w:val="none" w:sz="0" w:space="0" w:color="auto"/>
        <w:bottom w:val="none" w:sz="0" w:space="0" w:color="auto"/>
        <w:right w:val="none" w:sz="0" w:space="0" w:color="auto"/>
      </w:divBdr>
    </w:div>
    <w:div w:id="741949182">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78791072">
      <w:bodyDiv w:val="1"/>
      <w:marLeft w:val="0"/>
      <w:marRight w:val="0"/>
      <w:marTop w:val="0"/>
      <w:marBottom w:val="0"/>
      <w:divBdr>
        <w:top w:val="none" w:sz="0" w:space="0" w:color="auto"/>
        <w:left w:val="none" w:sz="0" w:space="0" w:color="auto"/>
        <w:bottom w:val="none" w:sz="0" w:space="0" w:color="auto"/>
        <w:right w:val="none" w:sz="0" w:space="0" w:color="auto"/>
      </w:divBdr>
    </w:div>
    <w:div w:id="781995855">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7961008">
      <w:bodyDiv w:val="1"/>
      <w:marLeft w:val="0"/>
      <w:marRight w:val="0"/>
      <w:marTop w:val="0"/>
      <w:marBottom w:val="0"/>
      <w:divBdr>
        <w:top w:val="none" w:sz="0" w:space="0" w:color="auto"/>
        <w:left w:val="none" w:sz="0" w:space="0" w:color="auto"/>
        <w:bottom w:val="none" w:sz="0" w:space="0" w:color="auto"/>
        <w:right w:val="none" w:sz="0" w:space="0" w:color="auto"/>
      </w:divBdr>
    </w:div>
    <w:div w:id="827792191">
      <w:bodyDiv w:val="1"/>
      <w:marLeft w:val="0"/>
      <w:marRight w:val="0"/>
      <w:marTop w:val="0"/>
      <w:marBottom w:val="0"/>
      <w:divBdr>
        <w:top w:val="none" w:sz="0" w:space="0" w:color="auto"/>
        <w:left w:val="none" w:sz="0" w:space="0" w:color="auto"/>
        <w:bottom w:val="none" w:sz="0" w:space="0" w:color="auto"/>
        <w:right w:val="none" w:sz="0" w:space="0" w:color="auto"/>
      </w:divBdr>
    </w:div>
    <w:div w:id="873074939">
      <w:bodyDiv w:val="1"/>
      <w:marLeft w:val="0"/>
      <w:marRight w:val="0"/>
      <w:marTop w:val="0"/>
      <w:marBottom w:val="0"/>
      <w:divBdr>
        <w:top w:val="none" w:sz="0" w:space="0" w:color="auto"/>
        <w:left w:val="none" w:sz="0" w:space="0" w:color="auto"/>
        <w:bottom w:val="none" w:sz="0" w:space="0" w:color="auto"/>
        <w:right w:val="none" w:sz="0" w:space="0" w:color="auto"/>
      </w:divBdr>
    </w:div>
    <w:div w:id="877936323">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9608450">
      <w:bodyDiv w:val="1"/>
      <w:marLeft w:val="0"/>
      <w:marRight w:val="0"/>
      <w:marTop w:val="0"/>
      <w:marBottom w:val="0"/>
      <w:divBdr>
        <w:top w:val="none" w:sz="0" w:space="0" w:color="auto"/>
        <w:left w:val="none" w:sz="0" w:space="0" w:color="auto"/>
        <w:bottom w:val="none" w:sz="0" w:space="0" w:color="auto"/>
        <w:right w:val="none" w:sz="0" w:space="0" w:color="auto"/>
      </w:divBdr>
    </w:div>
    <w:div w:id="915210620">
      <w:bodyDiv w:val="1"/>
      <w:marLeft w:val="0"/>
      <w:marRight w:val="0"/>
      <w:marTop w:val="0"/>
      <w:marBottom w:val="0"/>
      <w:divBdr>
        <w:top w:val="none" w:sz="0" w:space="0" w:color="auto"/>
        <w:left w:val="none" w:sz="0" w:space="0" w:color="auto"/>
        <w:bottom w:val="none" w:sz="0" w:space="0" w:color="auto"/>
        <w:right w:val="none" w:sz="0" w:space="0" w:color="auto"/>
      </w:divBdr>
    </w:div>
    <w:div w:id="977762945">
      <w:bodyDiv w:val="1"/>
      <w:marLeft w:val="0"/>
      <w:marRight w:val="0"/>
      <w:marTop w:val="0"/>
      <w:marBottom w:val="0"/>
      <w:divBdr>
        <w:top w:val="none" w:sz="0" w:space="0" w:color="auto"/>
        <w:left w:val="none" w:sz="0" w:space="0" w:color="auto"/>
        <w:bottom w:val="none" w:sz="0" w:space="0" w:color="auto"/>
        <w:right w:val="none" w:sz="0" w:space="0" w:color="auto"/>
      </w:divBdr>
    </w:div>
    <w:div w:id="983121266">
      <w:bodyDiv w:val="1"/>
      <w:marLeft w:val="0"/>
      <w:marRight w:val="0"/>
      <w:marTop w:val="0"/>
      <w:marBottom w:val="0"/>
      <w:divBdr>
        <w:top w:val="none" w:sz="0" w:space="0" w:color="auto"/>
        <w:left w:val="none" w:sz="0" w:space="0" w:color="auto"/>
        <w:bottom w:val="none" w:sz="0" w:space="0" w:color="auto"/>
        <w:right w:val="none" w:sz="0" w:space="0" w:color="auto"/>
      </w:divBdr>
    </w:div>
    <w:div w:id="985474315">
      <w:bodyDiv w:val="1"/>
      <w:marLeft w:val="0"/>
      <w:marRight w:val="0"/>
      <w:marTop w:val="0"/>
      <w:marBottom w:val="0"/>
      <w:divBdr>
        <w:top w:val="none" w:sz="0" w:space="0" w:color="auto"/>
        <w:left w:val="none" w:sz="0" w:space="0" w:color="auto"/>
        <w:bottom w:val="none" w:sz="0" w:space="0" w:color="auto"/>
        <w:right w:val="none" w:sz="0" w:space="0" w:color="auto"/>
      </w:divBdr>
    </w:div>
    <w:div w:id="1062606245">
      <w:bodyDiv w:val="1"/>
      <w:marLeft w:val="0"/>
      <w:marRight w:val="0"/>
      <w:marTop w:val="0"/>
      <w:marBottom w:val="0"/>
      <w:divBdr>
        <w:top w:val="none" w:sz="0" w:space="0" w:color="auto"/>
        <w:left w:val="none" w:sz="0" w:space="0" w:color="auto"/>
        <w:bottom w:val="none" w:sz="0" w:space="0" w:color="auto"/>
        <w:right w:val="none" w:sz="0" w:space="0" w:color="auto"/>
      </w:divBdr>
    </w:div>
    <w:div w:id="1077478786">
      <w:bodyDiv w:val="1"/>
      <w:marLeft w:val="0"/>
      <w:marRight w:val="0"/>
      <w:marTop w:val="0"/>
      <w:marBottom w:val="0"/>
      <w:divBdr>
        <w:top w:val="none" w:sz="0" w:space="0" w:color="auto"/>
        <w:left w:val="none" w:sz="0" w:space="0" w:color="auto"/>
        <w:bottom w:val="none" w:sz="0" w:space="0" w:color="auto"/>
        <w:right w:val="none" w:sz="0" w:space="0" w:color="auto"/>
      </w:divBdr>
    </w:div>
    <w:div w:id="111005407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3591786">
      <w:bodyDiv w:val="1"/>
      <w:marLeft w:val="0"/>
      <w:marRight w:val="0"/>
      <w:marTop w:val="0"/>
      <w:marBottom w:val="0"/>
      <w:divBdr>
        <w:top w:val="none" w:sz="0" w:space="0" w:color="auto"/>
        <w:left w:val="none" w:sz="0" w:space="0" w:color="auto"/>
        <w:bottom w:val="none" w:sz="0" w:space="0" w:color="auto"/>
        <w:right w:val="none" w:sz="0" w:space="0" w:color="auto"/>
      </w:divBdr>
    </w:div>
    <w:div w:id="1216040106">
      <w:bodyDiv w:val="1"/>
      <w:marLeft w:val="0"/>
      <w:marRight w:val="0"/>
      <w:marTop w:val="0"/>
      <w:marBottom w:val="0"/>
      <w:divBdr>
        <w:top w:val="none" w:sz="0" w:space="0" w:color="auto"/>
        <w:left w:val="none" w:sz="0" w:space="0" w:color="auto"/>
        <w:bottom w:val="none" w:sz="0" w:space="0" w:color="auto"/>
        <w:right w:val="none" w:sz="0" w:space="0" w:color="auto"/>
      </w:divBdr>
    </w:div>
    <w:div w:id="1227185037">
      <w:bodyDiv w:val="1"/>
      <w:marLeft w:val="0"/>
      <w:marRight w:val="0"/>
      <w:marTop w:val="0"/>
      <w:marBottom w:val="0"/>
      <w:divBdr>
        <w:top w:val="none" w:sz="0" w:space="0" w:color="auto"/>
        <w:left w:val="none" w:sz="0" w:space="0" w:color="auto"/>
        <w:bottom w:val="none" w:sz="0" w:space="0" w:color="auto"/>
        <w:right w:val="none" w:sz="0" w:space="0" w:color="auto"/>
      </w:divBdr>
    </w:div>
    <w:div w:id="1244148108">
      <w:bodyDiv w:val="1"/>
      <w:marLeft w:val="0"/>
      <w:marRight w:val="0"/>
      <w:marTop w:val="0"/>
      <w:marBottom w:val="0"/>
      <w:divBdr>
        <w:top w:val="none" w:sz="0" w:space="0" w:color="auto"/>
        <w:left w:val="none" w:sz="0" w:space="0" w:color="auto"/>
        <w:bottom w:val="none" w:sz="0" w:space="0" w:color="auto"/>
        <w:right w:val="none" w:sz="0" w:space="0" w:color="auto"/>
      </w:divBdr>
    </w:div>
    <w:div w:id="1247837120">
      <w:bodyDiv w:val="1"/>
      <w:marLeft w:val="0"/>
      <w:marRight w:val="0"/>
      <w:marTop w:val="0"/>
      <w:marBottom w:val="0"/>
      <w:divBdr>
        <w:top w:val="none" w:sz="0" w:space="0" w:color="auto"/>
        <w:left w:val="none" w:sz="0" w:space="0" w:color="auto"/>
        <w:bottom w:val="none" w:sz="0" w:space="0" w:color="auto"/>
        <w:right w:val="none" w:sz="0" w:space="0" w:color="auto"/>
      </w:divBdr>
    </w:div>
    <w:div w:id="1259633707">
      <w:bodyDiv w:val="1"/>
      <w:marLeft w:val="0"/>
      <w:marRight w:val="0"/>
      <w:marTop w:val="0"/>
      <w:marBottom w:val="0"/>
      <w:divBdr>
        <w:top w:val="none" w:sz="0" w:space="0" w:color="auto"/>
        <w:left w:val="none" w:sz="0" w:space="0" w:color="auto"/>
        <w:bottom w:val="none" w:sz="0" w:space="0" w:color="auto"/>
        <w:right w:val="none" w:sz="0" w:space="0" w:color="auto"/>
      </w:divBdr>
    </w:div>
    <w:div w:id="1293828090">
      <w:bodyDiv w:val="1"/>
      <w:marLeft w:val="0"/>
      <w:marRight w:val="0"/>
      <w:marTop w:val="0"/>
      <w:marBottom w:val="0"/>
      <w:divBdr>
        <w:top w:val="none" w:sz="0" w:space="0" w:color="auto"/>
        <w:left w:val="none" w:sz="0" w:space="0" w:color="auto"/>
        <w:bottom w:val="none" w:sz="0" w:space="0" w:color="auto"/>
        <w:right w:val="none" w:sz="0" w:space="0" w:color="auto"/>
      </w:divBdr>
    </w:div>
    <w:div w:id="1298951659">
      <w:bodyDiv w:val="1"/>
      <w:marLeft w:val="0"/>
      <w:marRight w:val="0"/>
      <w:marTop w:val="0"/>
      <w:marBottom w:val="0"/>
      <w:divBdr>
        <w:top w:val="none" w:sz="0" w:space="0" w:color="auto"/>
        <w:left w:val="none" w:sz="0" w:space="0" w:color="auto"/>
        <w:bottom w:val="none" w:sz="0" w:space="0" w:color="auto"/>
        <w:right w:val="none" w:sz="0" w:space="0" w:color="auto"/>
      </w:divBdr>
    </w:div>
    <w:div w:id="1311137793">
      <w:bodyDiv w:val="1"/>
      <w:marLeft w:val="0"/>
      <w:marRight w:val="0"/>
      <w:marTop w:val="0"/>
      <w:marBottom w:val="0"/>
      <w:divBdr>
        <w:top w:val="none" w:sz="0" w:space="0" w:color="auto"/>
        <w:left w:val="none" w:sz="0" w:space="0" w:color="auto"/>
        <w:bottom w:val="none" w:sz="0" w:space="0" w:color="auto"/>
        <w:right w:val="none" w:sz="0" w:space="0" w:color="auto"/>
      </w:divBdr>
    </w:div>
    <w:div w:id="1333603058">
      <w:bodyDiv w:val="1"/>
      <w:marLeft w:val="0"/>
      <w:marRight w:val="0"/>
      <w:marTop w:val="0"/>
      <w:marBottom w:val="0"/>
      <w:divBdr>
        <w:top w:val="none" w:sz="0" w:space="0" w:color="auto"/>
        <w:left w:val="none" w:sz="0" w:space="0" w:color="auto"/>
        <w:bottom w:val="none" w:sz="0" w:space="0" w:color="auto"/>
        <w:right w:val="none" w:sz="0" w:space="0" w:color="auto"/>
      </w:divBdr>
    </w:div>
    <w:div w:id="138899086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9935933">
      <w:bodyDiv w:val="1"/>
      <w:marLeft w:val="0"/>
      <w:marRight w:val="0"/>
      <w:marTop w:val="0"/>
      <w:marBottom w:val="0"/>
      <w:divBdr>
        <w:top w:val="none" w:sz="0" w:space="0" w:color="auto"/>
        <w:left w:val="none" w:sz="0" w:space="0" w:color="auto"/>
        <w:bottom w:val="none" w:sz="0" w:space="0" w:color="auto"/>
        <w:right w:val="none" w:sz="0" w:space="0" w:color="auto"/>
      </w:divBdr>
    </w:div>
    <w:div w:id="1471097141">
      <w:bodyDiv w:val="1"/>
      <w:marLeft w:val="0"/>
      <w:marRight w:val="0"/>
      <w:marTop w:val="0"/>
      <w:marBottom w:val="0"/>
      <w:divBdr>
        <w:top w:val="none" w:sz="0" w:space="0" w:color="auto"/>
        <w:left w:val="none" w:sz="0" w:space="0" w:color="auto"/>
        <w:bottom w:val="none" w:sz="0" w:space="0" w:color="auto"/>
        <w:right w:val="none" w:sz="0" w:space="0" w:color="auto"/>
      </w:divBdr>
    </w:div>
    <w:div w:id="1479615613">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73345486">
      <w:bodyDiv w:val="1"/>
      <w:marLeft w:val="0"/>
      <w:marRight w:val="0"/>
      <w:marTop w:val="0"/>
      <w:marBottom w:val="0"/>
      <w:divBdr>
        <w:top w:val="none" w:sz="0" w:space="0" w:color="auto"/>
        <w:left w:val="none" w:sz="0" w:space="0" w:color="auto"/>
        <w:bottom w:val="none" w:sz="0" w:space="0" w:color="auto"/>
        <w:right w:val="none" w:sz="0" w:space="0" w:color="auto"/>
      </w:divBdr>
    </w:div>
    <w:div w:id="15779787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05502626">
      <w:bodyDiv w:val="1"/>
      <w:marLeft w:val="0"/>
      <w:marRight w:val="0"/>
      <w:marTop w:val="0"/>
      <w:marBottom w:val="0"/>
      <w:divBdr>
        <w:top w:val="none" w:sz="0" w:space="0" w:color="auto"/>
        <w:left w:val="none" w:sz="0" w:space="0" w:color="auto"/>
        <w:bottom w:val="none" w:sz="0" w:space="0" w:color="auto"/>
        <w:right w:val="none" w:sz="0" w:space="0" w:color="auto"/>
      </w:divBdr>
    </w:div>
    <w:div w:id="1631938077">
      <w:bodyDiv w:val="1"/>
      <w:marLeft w:val="0"/>
      <w:marRight w:val="0"/>
      <w:marTop w:val="0"/>
      <w:marBottom w:val="0"/>
      <w:divBdr>
        <w:top w:val="none" w:sz="0" w:space="0" w:color="auto"/>
        <w:left w:val="none" w:sz="0" w:space="0" w:color="auto"/>
        <w:bottom w:val="none" w:sz="0" w:space="0" w:color="auto"/>
        <w:right w:val="none" w:sz="0" w:space="0" w:color="auto"/>
      </w:divBdr>
    </w:div>
    <w:div w:id="1650549196">
      <w:bodyDiv w:val="1"/>
      <w:marLeft w:val="0"/>
      <w:marRight w:val="0"/>
      <w:marTop w:val="0"/>
      <w:marBottom w:val="0"/>
      <w:divBdr>
        <w:top w:val="none" w:sz="0" w:space="0" w:color="auto"/>
        <w:left w:val="none" w:sz="0" w:space="0" w:color="auto"/>
        <w:bottom w:val="none" w:sz="0" w:space="0" w:color="auto"/>
        <w:right w:val="none" w:sz="0" w:space="0" w:color="auto"/>
      </w:divBdr>
    </w:div>
    <w:div w:id="1699694887">
      <w:bodyDiv w:val="1"/>
      <w:marLeft w:val="0"/>
      <w:marRight w:val="0"/>
      <w:marTop w:val="0"/>
      <w:marBottom w:val="0"/>
      <w:divBdr>
        <w:top w:val="none" w:sz="0" w:space="0" w:color="auto"/>
        <w:left w:val="none" w:sz="0" w:space="0" w:color="auto"/>
        <w:bottom w:val="none" w:sz="0" w:space="0" w:color="auto"/>
        <w:right w:val="none" w:sz="0" w:space="0" w:color="auto"/>
      </w:divBdr>
    </w:div>
    <w:div w:id="1705015648">
      <w:bodyDiv w:val="1"/>
      <w:marLeft w:val="0"/>
      <w:marRight w:val="0"/>
      <w:marTop w:val="0"/>
      <w:marBottom w:val="0"/>
      <w:divBdr>
        <w:top w:val="none" w:sz="0" w:space="0" w:color="auto"/>
        <w:left w:val="none" w:sz="0" w:space="0" w:color="auto"/>
        <w:bottom w:val="none" w:sz="0" w:space="0" w:color="auto"/>
        <w:right w:val="none" w:sz="0" w:space="0" w:color="auto"/>
      </w:divBdr>
    </w:div>
    <w:div w:id="1726760623">
      <w:bodyDiv w:val="1"/>
      <w:marLeft w:val="0"/>
      <w:marRight w:val="0"/>
      <w:marTop w:val="0"/>
      <w:marBottom w:val="0"/>
      <w:divBdr>
        <w:top w:val="none" w:sz="0" w:space="0" w:color="auto"/>
        <w:left w:val="none" w:sz="0" w:space="0" w:color="auto"/>
        <w:bottom w:val="none" w:sz="0" w:space="0" w:color="auto"/>
        <w:right w:val="none" w:sz="0" w:space="0" w:color="auto"/>
      </w:divBdr>
    </w:div>
    <w:div w:id="1775399097">
      <w:bodyDiv w:val="1"/>
      <w:marLeft w:val="0"/>
      <w:marRight w:val="0"/>
      <w:marTop w:val="0"/>
      <w:marBottom w:val="0"/>
      <w:divBdr>
        <w:top w:val="none" w:sz="0" w:space="0" w:color="auto"/>
        <w:left w:val="none" w:sz="0" w:space="0" w:color="auto"/>
        <w:bottom w:val="none" w:sz="0" w:space="0" w:color="auto"/>
        <w:right w:val="none" w:sz="0" w:space="0" w:color="auto"/>
      </w:divBdr>
    </w:div>
    <w:div w:id="1779137270">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16876744">
      <w:bodyDiv w:val="1"/>
      <w:marLeft w:val="0"/>
      <w:marRight w:val="0"/>
      <w:marTop w:val="0"/>
      <w:marBottom w:val="0"/>
      <w:divBdr>
        <w:top w:val="none" w:sz="0" w:space="0" w:color="auto"/>
        <w:left w:val="none" w:sz="0" w:space="0" w:color="auto"/>
        <w:bottom w:val="none" w:sz="0" w:space="0" w:color="auto"/>
        <w:right w:val="none" w:sz="0" w:space="0" w:color="auto"/>
      </w:divBdr>
    </w:div>
    <w:div w:id="1929727921">
      <w:bodyDiv w:val="1"/>
      <w:marLeft w:val="0"/>
      <w:marRight w:val="0"/>
      <w:marTop w:val="0"/>
      <w:marBottom w:val="0"/>
      <w:divBdr>
        <w:top w:val="none" w:sz="0" w:space="0" w:color="auto"/>
        <w:left w:val="none" w:sz="0" w:space="0" w:color="auto"/>
        <w:bottom w:val="none" w:sz="0" w:space="0" w:color="auto"/>
        <w:right w:val="none" w:sz="0" w:space="0" w:color="auto"/>
      </w:divBdr>
    </w:div>
    <w:div w:id="1937668344">
      <w:bodyDiv w:val="1"/>
      <w:marLeft w:val="0"/>
      <w:marRight w:val="0"/>
      <w:marTop w:val="0"/>
      <w:marBottom w:val="0"/>
      <w:divBdr>
        <w:top w:val="none" w:sz="0" w:space="0" w:color="auto"/>
        <w:left w:val="none" w:sz="0" w:space="0" w:color="auto"/>
        <w:bottom w:val="none" w:sz="0" w:space="0" w:color="auto"/>
        <w:right w:val="none" w:sz="0" w:space="0" w:color="auto"/>
      </w:divBdr>
    </w:div>
    <w:div w:id="2017147162">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7.jpg"/><Relationship Id="rId42" Type="http://schemas.openxmlformats.org/officeDocument/2006/relationships/hyperlink" Target="https://www.environment.vic.gov.au/__data/assets/pdf_file/0040/499936/Threatened-species-and-communities-risk-assessment.pdf" TargetMode="External"/><Relationship Id="rId47" Type="http://schemas.openxmlformats.org/officeDocument/2006/relationships/hyperlink" Target="https://www.ffm.vic.gov.au/" TargetMode="External"/><Relationship Id="rId63" Type="http://schemas.openxmlformats.org/officeDocument/2006/relationships/hyperlink" Target="https://www.environment.vic.gov.au/__data/assets/pdf_file/0033/408489/CrownLandProcedure.pdf" TargetMode="External"/><Relationship Id="rId68" Type="http://schemas.openxmlformats.org/officeDocument/2006/relationships/hyperlink" Target="https://www.wildlife.vic.gov.au/home/biodiversity-bushfire-response-and-recovery" TargetMode="External"/><Relationship Id="rId84" Type="http://schemas.openxmlformats.org/officeDocument/2006/relationships/image" Target="media/image20.jpeg"/><Relationship Id="rId89" Type="http://schemas.openxmlformats.org/officeDocument/2006/relationships/image" Target="media/image26.jpeg"/><Relationship Id="rId16" Type="http://schemas.openxmlformats.org/officeDocument/2006/relationships/image" Target="media/image4.png"/><Relationship Id="rId11" Type="http://schemas.openxmlformats.org/officeDocument/2006/relationships/footnotes" Target="footnotes.xml"/><Relationship Id="rId32" Type="http://schemas.openxmlformats.org/officeDocument/2006/relationships/footer" Target="footer2.xml"/><Relationship Id="rId37" Type="http://schemas.openxmlformats.org/officeDocument/2006/relationships/hyperlink" Target="mailto:customer.service@delwp.vic.gov.au" TargetMode="External"/><Relationship Id="rId53" Type="http://schemas.openxmlformats.org/officeDocument/2006/relationships/hyperlink" Target="https://www.water.vic.gov.au/planning/victorias-entitlement-framework/the-water-act" TargetMode="External"/><Relationship Id="rId58" Type="http://schemas.openxmlformats.org/officeDocument/2006/relationships/hyperlink" Target="https://www.environment.vic.gov.au/sustainability/ep-act-2017" TargetMode="External"/><Relationship Id="rId79" Type="http://schemas.openxmlformats.org/officeDocument/2006/relationships/hyperlink" Target="https://vicflora.rbg.vic.gov.au/flora/taxon/05e8fab7-5c07-4a52-b3f4-fc81007d632f" TargetMode="External"/><Relationship Id="rId5" Type="http://schemas.openxmlformats.org/officeDocument/2006/relationships/customXml" Target="../customXml/item5.xml"/><Relationship Id="rId90" Type="http://schemas.openxmlformats.org/officeDocument/2006/relationships/image" Target="media/image27.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0.JPG"/><Relationship Id="rId30" Type="http://schemas.openxmlformats.org/officeDocument/2006/relationships/header" Target="header1.xml"/><Relationship Id="rId35" Type="http://schemas.openxmlformats.org/officeDocument/2006/relationships/image" Target="media/image17.emf"/><Relationship Id="rId43" Type="http://schemas.openxmlformats.org/officeDocument/2006/relationships/hyperlink" Target="https://www.climatechange.vic.gov.au/legislation/climate-change-act-2017" TargetMode="External"/><Relationship Id="rId48" Type="http://schemas.openxmlformats.org/officeDocument/2006/relationships/hyperlink" Target="https://www.ffm.vic.gov.au/__data/assets/pdf_file/0025/25747/Code-of-Practice-for-Bushfire-Management-on-Public-Land-1.pdf" TargetMode="External"/><Relationship Id="rId56" Type="http://schemas.openxmlformats.org/officeDocument/2006/relationships/hyperlink" Target="https://www.water.vic.gov.au/waterways-and-catchments/rivers-estuaries-and-waterways/strategies-and-planning" TargetMode="External"/><Relationship Id="rId64" Type="http://schemas.openxmlformats.org/officeDocument/2006/relationships/hyperlink" Target="https://www.environment.vic.gov.au/invasive-plants-and-animals/invasive-species-on-public-land/weeds-and-pests-on-public-land-program" TargetMode="External"/><Relationship Id="rId69" Type="http://schemas.openxmlformats.org/officeDocument/2006/relationships/hyperlink" Target="https://content.legislation.vic.gov.au/sites/default/files/2021-12/94-52aa069%20authorised.pdf" TargetMode="External"/><Relationship Id="rId77" Type="http://schemas.openxmlformats.org/officeDocument/2006/relationships/image" Target="media/image18.png"/><Relationship Id="rId8" Type="http://schemas.openxmlformats.org/officeDocument/2006/relationships/styles" Target="styles.xml"/><Relationship Id="rId51" Type="http://schemas.openxmlformats.org/officeDocument/2006/relationships/hyperlink" Target="https://www.awe.gov.au/sites/default/files/sitecollectiondocuments/rfa/publications/nat_nac.pdf" TargetMode="External"/><Relationship Id="rId72" Type="http://schemas.openxmlformats.org/officeDocument/2006/relationships/hyperlink" Target="https://www.parks.vic.gov.au/get-into-nature/conservation-and-science/conserving-our-parks/weeds-and-pests" TargetMode="External"/><Relationship Id="rId80" Type="http://schemas.openxmlformats.org/officeDocument/2006/relationships/header" Target="header3.xml"/><Relationship Id="rId85" Type="http://schemas.openxmlformats.org/officeDocument/2006/relationships/image" Target="media/image21.jpe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3.xml"/><Relationship Id="rId38" Type="http://schemas.openxmlformats.org/officeDocument/2006/relationships/hyperlink" Target="http://www.relayservice.com.au" TargetMode="External"/><Relationship Id="rId46" Type="http://schemas.openxmlformats.org/officeDocument/2006/relationships/hyperlink" Target="https://www.ffm.vic.gov.au/fuel-management-report-2018-19/statewide-achievements/safer-together" TargetMode="External"/><Relationship Id="rId59" Type="http://schemas.openxmlformats.org/officeDocument/2006/relationships/hyperlink" Target="https://www.mdba.gov.au/basin-plan-roll-out" TargetMode="External"/><Relationship Id="rId67" Type="http://schemas.openxmlformats.org/officeDocument/2006/relationships/hyperlink" Target="https://www.environment.vic.gov.au/biodiversity/working-together-for-biodiversity" TargetMode="External"/><Relationship Id="rId20" Type="http://schemas.openxmlformats.org/officeDocument/2006/relationships/image" Target="media/image8.jpeg"/><Relationship Id="rId41" Type="http://schemas.openxmlformats.org/officeDocument/2006/relationships/footer" Target="footer4.xml"/><Relationship Id="rId54" Type="http://schemas.openxmlformats.org/officeDocument/2006/relationships/hyperlink" Target="https://www.water.vic.gov.au/planning/long-term-assessments-and-strategies/sws" TargetMode="External"/><Relationship Id="rId62" Type="http://schemas.openxmlformats.org/officeDocument/2006/relationships/hyperlink" Target="https://www.landcarevic.org.au/" TargetMode="External"/><Relationship Id="rId70" Type="http://schemas.openxmlformats.org/officeDocument/2006/relationships/hyperlink" Target="http://www.nrm.gov.au/system/files/resources/683a3fe8-0142-4eda-8a6b-5594de0403af/files/rlp-project-listing-2021.pdf" TargetMode="External"/><Relationship Id="rId83" Type="http://schemas.openxmlformats.org/officeDocument/2006/relationships/image" Target="media/image19.jpeg"/><Relationship Id="rId88" Type="http://schemas.openxmlformats.org/officeDocument/2006/relationships/image" Target="media/image25.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hyperlink" Target="http://creativecommons.org/licenses/by/4.0/" TargetMode="External"/><Relationship Id="rId49" Type="http://schemas.openxmlformats.org/officeDocument/2006/relationships/hyperlink" Target="https://www.safertogether.vic.gov.au/strategic-bushfire-management-planning" TargetMode="External"/><Relationship Id="rId57" Type="http://schemas.openxmlformats.org/officeDocument/2006/relationships/hyperlink" Target="https://www.environment.vic.gov.au/__data/assets/pdf_file/0020/32483/Alteration_to_the_natural_flow_regimes_of_rivers_and_streams.pdf" TargetMode="External"/><Relationship Id="rId10" Type="http://schemas.openxmlformats.org/officeDocument/2006/relationships/webSettings" Target="webSettings.xml"/><Relationship Id="rId31" Type="http://schemas.openxmlformats.org/officeDocument/2006/relationships/footer" Target="footer1.xml"/><Relationship Id="rId44" Type="http://schemas.openxmlformats.org/officeDocument/2006/relationships/hyperlink" Target="https://www.water.vic.gov.au/planning/victorias-entitlement-framework/the-water-act" TargetMode="External"/><Relationship Id="rId52" Type="http://schemas.openxmlformats.org/officeDocument/2006/relationships/hyperlink" Target="https://www.vic.gov.au/timber-harvesting" TargetMode="External"/><Relationship Id="rId60" Type="http://schemas.openxmlformats.org/officeDocument/2006/relationships/hyperlink" Target="https://www.water.vic.gov.au/planning/victorias-entitlement-framework/the-water-act" TargetMode="External"/><Relationship Id="rId65" Type="http://schemas.openxmlformats.org/officeDocument/2006/relationships/hyperlink" Target="https://www.environment.vic.gov.au/invasive-plants-and-animals/invasive-species-on-public-land" TargetMode="External"/><Relationship Id="rId73" Type="http://schemas.openxmlformats.org/officeDocument/2006/relationships/hyperlink" Target="https://www.rbg.vic.gov.au/science/seedbank/" TargetMode="External"/><Relationship Id="rId78" Type="http://schemas.openxmlformats.org/officeDocument/2006/relationships/hyperlink" Target="http://www.bom.gov.au/state-of-the-climate/documents/State-of-the-Climate-2020.pdf" TargetMode="External"/><Relationship Id="rId81" Type="http://schemas.openxmlformats.org/officeDocument/2006/relationships/header" Target="header4.xml"/><Relationship Id="rId86"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0.png"/><Relationship Id="rId39" Type="http://schemas.openxmlformats.org/officeDocument/2006/relationships/hyperlink" Target="http://www.delwp.vic.gov.au" TargetMode="External"/><Relationship Id="rId34" Type="http://schemas.openxmlformats.org/officeDocument/2006/relationships/image" Target="media/image16.png"/><Relationship Id="rId50" Type="http://schemas.openxmlformats.org/officeDocument/2006/relationships/hyperlink" Target="https://www.vic.gov.au/timber-harvesting" TargetMode="External"/><Relationship Id="rId55" Type="http://schemas.openxmlformats.org/officeDocument/2006/relationships/hyperlink" Target="https://www.water.vic.gov.au/waterways-and-catchments/rivers-estuaries-and-waterways/strategies-and-planning" TargetMode="External"/><Relationship Id="rId76" Type="http://schemas.openxmlformats.org/officeDocument/2006/relationships/image" Target="media/image23.jpeg"/><Relationship Id="rId7" Type="http://schemas.openxmlformats.org/officeDocument/2006/relationships/numbering" Target="numbering.xml"/><Relationship Id="rId71" Type="http://schemas.openxmlformats.org/officeDocument/2006/relationships/hyperlink" Target="https://www.vic.gov.au/timber-harvesting" TargetMode="External"/><Relationship Id="rId9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12.jpg"/><Relationship Id="rId24" Type="http://schemas.openxmlformats.org/officeDocument/2006/relationships/image" Target="media/image12.jpeg"/><Relationship Id="rId40" Type="http://schemas.openxmlformats.org/officeDocument/2006/relationships/header" Target="header2.xml"/><Relationship Id="rId45" Type="http://schemas.openxmlformats.org/officeDocument/2006/relationships/hyperlink" Target="https://www.water.vic.gov.au/managing-floodplains/new-victorian-floodplain-management-strategy" TargetMode="External"/><Relationship Id="rId66" Type="http://schemas.openxmlformats.org/officeDocument/2006/relationships/hyperlink" Target="https://www.environment.vic.gov.au/invasive-plants-and-animals/deer-control-strategy" TargetMode="External"/><Relationship Id="rId87" Type="http://schemas.openxmlformats.org/officeDocument/2006/relationships/image" Target="media/image24.jpeg"/><Relationship Id="rId61" Type="http://schemas.openxmlformats.org/officeDocument/2006/relationships/hyperlink" Target="https://www.environment.vic.gov.au/native-vegetation/native-vegetation" TargetMode="External"/><Relationship Id="rId82" Type="http://schemas.openxmlformats.org/officeDocument/2006/relationships/footer" Target="footer5.xml"/><Relationship Id="rId19" Type="http://schemas.openxmlformats.org/officeDocument/2006/relationships/image" Target="media/image6.jpg"/></Relationships>
</file>

<file path=word/_rels/footer3.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08.INTERNAL\AppData\Roaming\Microsoft\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05E9A6A44F44768F46EFDB8A62AC19"/>
        <w:category>
          <w:name w:val="General"/>
          <w:gallery w:val="placeholder"/>
        </w:category>
        <w:types>
          <w:type w:val="bbPlcHdr"/>
        </w:types>
        <w:behaviors>
          <w:behavior w:val="content"/>
        </w:behaviors>
        <w:guid w:val="{2D86EA9B-18E0-44EC-98EC-E9E01A01F1F2}"/>
      </w:docPartPr>
      <w:docPartBody>
        <w:p w:rsidR="003E2DF8" w:rsidRDefault="007125E8">
          <w:pPr>
            <w:pStyle w:val="C605E9A6A44F44768F46EFDB8A62AC19"/>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Wingdings-Regular">
    <w:altName w:val="MS Gothic"/>
    <w:panose1 w:val="00000000000000000000"/>
    <w:charset w:val="88"/>
    <w:family w:val="auto"/>
    <w:notTrueType/>
    <w:pitch w:val="default"/>
    <w:sig w:usb0="00000000" w:usb1="08080000" w:usb2="00000010" w:usb3="00000000" w:csb0="00100000"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DF8"/>
    <w:rsid w:val="00020063"/>
    <w:rsid w:val="00020EBC"/>
    <w:rsid w:val="000248CC"/>
    <w:rsid w:val="000309B9"/>
    <w:rsid w:val="00032AD9"/>
    <w:rsid w:val="00074FA3"/>
    <w:rsid w:val="00106053"/>
    <w:rsid w:val="00122BBF"/>
    <w:rsid w:val="00155A2D"/>
    <w:rsid w:val="00164A77"/>
    <w:rsid w:val="00176EBA"/>
    <w:rsid w:val="001A1ECF"/>
    <w:rsid w:val="001B6310"/>
    <w:rsid w:val="001C33FD"/>
    <w:rsid w:val="001E655E"/>
    <w:rsid w:val="00294485"/>
    <w:rsid w:val="002A05FF"/>
    <w:rsid w:val="002D6059"/>
    <w:rsid w:val="002F0D11"/>
    <w:rsid w:val="003267B3"/>
    <w:rsid w:val="00341597"/>
    <w:rsid w:val="003823FF"/>
    <w:rsid w:val="003A14EC"/>
    <w:rsid w:val="003B600B"/>
    <w:rsid w:val="003B7D2C"/>
    <w:rsid w:val="003D16DF"/>
    <w:rsid w:val="003D2C2B"/>
    <w:rsid w:val="003E2DF8"/>
    <w:rsid w:val="003F2FF8"/>
    <w:rsid w:val="00424D53"/>
    <w:rsid w:val="0043492F"/>
    <w:rsid w:val="00454CCE"/>
    <w:rsid w:val="004862FD"/>
    <w:rsid w:val="004945A1"/>
    <w:rsid w:val="004A31E1"/>
    <w:rsid w:val="004E4DD5"/>
    <w:rsid w:val="004E5FE6"/>
    <w:rsid w:val="004F0159"/>
    <w:rsid w:val="0052103F"/>
    <w:rsid w:val="0055158E"/>
    <w:rsid w:val="0057093C"/>
    <w:rsid w:val="005C18C1"/>
    <w:rsid w:val="005D3945"/>
    <w:rsid w:val="005E2FA8"/>
    <w:rsid w:val="005F1411"/>
    <w:rsid w:val="005F7B25"/>
    <w:rsid w:val="00625C46"/>
    <w:rsid w:val="006348C6"/>
    <w:rsid w:val="00656D2E"/>
    <w:rsid w:val="00686A7E"/>
    <w:rsid w:val="006A5B6A"/>
    <w:rsid w:val="007125E8"/>
    <w:rsid w:val="007228A3"/>
    <w:rsid w:val="00787345"/>
    <w:rsid w:val="00846B28"/>
    <w:rsid w:val="008605D6"/>
    <w:rsid w:val="00894A9B"/>
    <w:rsid w:val="008B5501"/>
    <w:rsid w:val="009032B0"/>
    <w:rsid w:val="00920831"/>
    <w:rsid w:val="0099181A"/>
    <w:rsid w:val="009978C7"/>
    <w:rsid w:val="00A228E5"/>
    <w:rsid w:val="00A51641"/>
    <w:rsid w:val="00A64D20"/>
    <w:rsid w:val="00AB3C21"/>
    <w:rsid w:val="00AC1CC4"/>
    <w:rsid w:val="00B0070D"/>
    <w:rsid w:val="00B96313"/>
    <w:rsid w:val="00BE349B"/>
    <w:rsid w:val="00BF07E5"/>
    <w:rsid w:val="00BF4712"/>
    <w:rsid w:val="00CD2FA8"/>
    <w:rsid w:val="00CE1003"/>
    <w:rsid w:val="00CE4819"/>
    <w:rsid w:val="00CF6E6C"/>
    <w:rsid w:val="00D03BDA"/>
    <w:rsid w:val="00D5011B"/>
    <w:rsid w:val="00D72A86"/>
    <w:rsid w:val="00D7542B"/>
    <w:rsid w:val="00D76DE3"/>
    <w:rsid w:val="00E33E49"/>
    <w:rsid w:val="00E546F1"/>
    <w:rsid w:val="00E84070"/>
    <w:rsid w:val="00EC7007"/>
    <w:rsid w:val="00EF65E6"/>
    <w:rsid w:val="00F727AD"/>
    <w:rsid w:val="00F86322"/>
    <w:rsid w:val="00F93818"/>
    <w:rsid w:val="00FB3301"/>
    <w:rsid w:val="00FC2BA6"/>
    <w:rsid w:val="00FD45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605E9A6A44F44768F46EFDB8A62AC19">
    <w:name w:val="C605E9A6A44F44768F46EFDB8A62AC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Report" ma:contentTypeID="0x01010058DDEB47312E4967BFC1576B96E8C3D400AB991AFBA557FE4382546964D5C33866" ma:contentTypeVersion="33" ma:contentTypeDescription="" ma:contentTypeScope="" ma:versionID="57ea13f5ca91f1a700c7aa0989d7ae67">
  <xsd:schema xmlns:xsd="http://www.w3.org/2001/XMLSchema" xmlns:xs="http://www.w3.org/2001/XMLSchema" xmlns:p="http://schemas.microsoft.com/office/2006/metadata/properties" xmlns:ns1="http://schemas.microsoft.com/sharepoint/v3" xmlns:ns2="a5f32de4-e402-4188-b034-e71ca7d22e54" xmlns:ns3="9fd47c19-1c4a-4d7d-b342-c10cef269344" xmlns:ns4="9e36a974-4d7c-469d-bb65-00b417e8af1d" xmlns:ns5="153f2783-1c70-4464-955e-85040a58200f" targetNamespace="http://schemas.microsoft.com/office/2006/metadata/properties" ma:root="true" ma:fieldsID="babd1097b40445783a0c1739d8c0b39e" ns1:_="" ns2:_="" ns3:_="" ns4:_="" ns5:_="">
    <xsd:import namespace="http://schemas.microsoft.com/sharepoint/v3"/>
    <xsd:import namespace="a5f32de4-e402-4188-b034-e71ca7d22e54"/>
    <xsd:import namespace="9fd47c19-1c4a-4d7d-b342-c10cef269344"/>
    <xsd:import namespace="9e36a974-4d7c-469d-bb65-00b417e8af1d"/>
    <xsd:import namespace="153f2783-1c70-4464-955e-85040a58200f"/>
    <xsd:element name="properties">
      <xsd:complexType>
        <xsd:sequence>
          <xsd:element name="documentManagement">
            <xsd:complexType>
              <xsd:all>
                <xsd:element ref="ns1:ReportDescription" minOccurs="0"/>
                <xsd:element ref="ns1:ParentId" minOccurs="0"/>
                <xsd:element ref="ns1:ReportOwner" minOccurs="0"/>
                <xsd:element ref="ns1:ReportCategory" minOccurs="0"/>
                <xsd:element ref="ns1:ReportStatus" minOccurs="0"/>
                <xsd:element ref="ns2:_dlc_DocId" minOccurs="0"/>
                <xsd:element ref="ns2:_dlc_DocIdUrl" minOccurs="0"/>
                <xsd:element ref="ns2:_dlc_DocIdPersistId" minOccurs="0"/>
                <xsd:element ref="ns3:TaxCatchAll" minOccurs="0"/>
                <xsd:element ref="ns3:TaxCatchAllLabel" minOccurs="0"/>
                <xsd:element ref="ns4:g7a967ddcf1a45dc9b52784e00cdb055" minOccurs="0"/>
                <xsd:element ref="ns4:idbbc5064a3a43f791ab03d23e984708" minOccurs="0"/>
                <xsd:element ref="ns3:ece32f50ba964e1fbf627a9d83fe6c01" minOccurs="0"/>
                <xsd:element ref="ns3:ic50d0a05a8e4d9791dac67f8a1e716c" minOccurs="0"/>
                <xsd:element ref="ns3:n771d69a070c4babbf278c67c8a2b859" minOccurs="0"/>
                <xsd:element ref="ns3:mfe9accc5a0b4653a7b513b67ffd122d" minOccurs="0"/>
                <xsd:element ref="ns3:pd01c257034b4e86b1f58279a3bd54c6" minOccurs="0"/>
                <xsd:element ref="ns3:fb3179c379644f499d7166d0c985669b" minOccurs="0"/>
                <xsd:element ref="ns1:Language" minOccurs="0"/>
                <xsd:element ref="ns5:SharedWithUsers" minOccurs="0"/>
                <xsd:element ref="ns5: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Category" ma:index="11" nillable="true" ma:displayName="Report Category" ma:description="Category of the report" ma:internalName="ReportCategory">
      <xsd:simpleType>
        <xsd:restriction base="dms:Choice">
          <xsd:enumeration value="Category 1"/>
          <xsd:enumeration value="Category 2"/>
          <xsd:enumeration value="Category 3"/>
        </xsd:restriction>
      </xsd:simpleType>
    </xsd:element>
    <xsd:element name="ReportStatus" ma:index="12"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element name="Language" ma:index="34" nillable="true"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bf557a4-09fa-4dd8-a780-7bea7ec75b81}"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5bf557a4-09fa-4dd8-a780-7bea7ec75b81}"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2" nillable="true"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4" ma:taxonomy="true" ma:internalName="ic50d0a05a8e4d9791dac67f8a1e716c" ma:taxonomyFieldName="Group1" ma:displayName="Group" ma:default="11;#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6"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mfe9accc5a0b4653a7b513b67ffd122d" ma:index="28" ma:taxonomy="true" ma:internalName="mfe9accc5a0b4653a7b513b67ffd122d" ma:taxonomyFieldName="Branch" ma:displayName="Branch" ma:default="7;#Knowledge and Decision Systems|b4e6fa65-71ac-4707-b13f-b1fda20207e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30" nillable="true"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32" nillable="true"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36a974-4d7c-469d-bb65-00b417e8af1d" elementFormDefault="qualified">
    <xsd:import namespace="http://schemas.microsoft.com/office/2006/documentManagement/types"/>
    <xsd:import namespace="http://schemas.microsoft.com/office/infopath/2007/PartnerControls"/>
    <xsd:element name="g7a967ddcf1a45dc9b52784e00cdb055" ma:index="18" nillable="true" ma:taxonomy="true" ma:internalName="g7a967ddcf1a45dc9b52784e00cdb055" ma:taxonomyFieldName="Project_x0020_Name" ma:displayName="Project Name" ma:indexed="true" ma:default="" ma:fieldId="{07a967dd-cf1a-45dc-9b52-784e00cdb055}" ma:sspId="797aeec6-0273-40f2-ab3e-beee73212332" ma:termSetId="12ce138a-55b7-4836-b116-d06ff7efed19" ma:anchorId="00000000-0000-0000-0000-000000000000" ma:open="false" ma:isKeyword="false">
      <xsd:complexType>
        <xsd:sequence>
          <xsd:element ref="pc:Terms" minOccurs="0" maxOccurs="1"/>
        </xsd:sequence>
      </xsd:complexType>
    </xsd:element>
    <xsd:element name="idbbc5064a3a43f791ab03d23e984708" ma:index="20" nillable="true" ma:taxonomy="true" ma:internalName="idbbc5064a3a43f791ab03d23e984708" ma:taxonomyFieldName="Work_x0020_Area" ma:displayName="Work Area" ma:default="" ma:fieldId="{2dbbc506-4a3a-43f7-91ab-03d23e984708}" ma:sspId="797aeec6-0273-40f2-ab3e-beee73212332" ma:termSetId="8d3f01d9-f7fb-46ce-8d28-165de32f1106" ma:anchorId="00000000-0000-0000-0000-000000000000" ma:open="true" ma:isKeyword="false">
      <xsd:complexType>
        <xsd:sequence>
          <xsd:element ref="pc:Terms" minOccurs="0" maxOccurs="1"/>
        </xsd:sequence>
      </xsd:complex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AutoTags" ma:index="39" nillable="true" ma:displayName="Tags" ma:internalName="MediaServiceAutoTags"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DateTaken" ma:index="43" nillable="true" ma:displayName="MediaServiceDateTaken" ma:hidden="true" ma:internalName="MediaServiceDateTaken" ma:readOnly="true">
      <xsd:simpleType>
        <xsd:restriction base="dms:Text"/>
      </xsd:simpleType>
    </xsd:element>
    <xsd:element name="MediaLengthInSeconds" ma:index="44" nillable="true" ma:displayName="MediaLengthInSeconds" ma:hidden="true" ma:internalName="MediaLengthInSeconds" ma:readOnly="true">
      <xsd:simpleType>
        <xsd:restriction base="dms:Unknown"/>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4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RptLibraryForm</Display>
  <Edit>RptLibraryForm</Edit>
  <New>RptLibraryForm</New>
</FormTemplates>
</file>

<file path=customXml/item4.xml><?xml version="1.0" encoding="utf-8"?>
<?mso-contentType ?>
<SharedContentType xmlns="Microsoft.SharePoint.Taxonomy.ContentTypeSync" SourceId="797aeec6-0273-40f2-ab3e-beee73212332" ContentTypeId="0x01010058DDEB47312E4967BFC1576B96E8C3D4" PreviousValue="false"/>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b:Source>
    <b:Tag>VicFlora2014</b:Tag>
    <b:SourceType>InternetSite</b:SourceType>
    <b:Guid>{C6219FE6-A65B-4330-8D14-46CF50E4D0AD}</b:Guid>
    <b:Title>Flora of Victoria, Royal Botanic Gardens Victoria: Notogrammitis angustifolia subsp. nothofageti.</b:Title>
    <b:Year>2014</b:Year>
    <b:Author>
      <b:Author>
        <b:NameList>
          <b:Person>
            <b:Last>VicFlora</b:Last>
          </b:Person>
        </b:NameList>
      </b:Author>
    </b:Author>
    <b:InternetSiteTitle>VicFlora</b:InternetSiteTitle>
    <b:Month>06</b:Month>
    <b:Day>10</b:Day>
    <b:URL>https://vicflora.rbg.vic.gov.au/flora/taxon/05e8fab7-5c07-4a52-b3f4-fc81007d632f</b:URL>
    <b:RefOrder>1</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DOCID107-258493733-5698</_dlc_DocId>
    <_dlc_DocIdUrl xmlns="a5f32de4-e402-4188-b034-e71ca7d22e54">
      <Url>https://delwpvicgovau.sharepoint.com/sites/ecm_107/_layouts/15/DocIdRedir.aspx?ID=DOCID107-258493733-5698</Url>
      <Description>DOCID107-258493733-5698</Description>
    </_dlc_DocIdUrl>
    <TaxCatchAll xmlns="9fd47c19-1c4a-4d7d-b342-c10cef269344">
      <Value>308</Value>
      <Value>11</Value>
      <Value>7</Value>
      <Value>6</Value>
      <Value>106</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Knowledge and Decision Systems</TermName>
          <TermId xmlns="http://schemas.microsoft.com/office/infopath/2007/PartnerControls">b4e6fa65-71ac-4707-b13f-b1fda20207e7</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TaxCatchAllLabel xmlns="9fd47c19-1c4a-4d7d-b342-c10cef269344" xsi:nil="true"/>
    <_dlc_DocIdPersistId xmlns="a5f32de4-e402-4188-b034-e71ca7d22e54">false</_dlc_DocIdPersistId>
    <Language xmlns="http://schemas.microsoft.com/sharepoint/v3">English</Language>
    <idbbc5064a3a43f791ab03d23e984708 xmlns="9e36a974-4d7c-469d-bb65-00b417e8af1d">
      <Terms xmlns="http://schemas.microsoft.com/office/infopath/2007/PartnerControls">
        <TermInfo xmlns="http://schemas.microsoft.com/office/infopath/2007/PartnerControls">
          <TermName xmlns="http://schemas.microsoft.com/office/infopath/2007/PartnerControls">Tranche 2 - Threatend Species and Communities Risk Assessment</TermName>
          <TermId xmlns="http://schemas.microsoft.com/office/infopath/2007/PartnerControls">55e85ee9-0506-4999-a555-ceb2ff5ed18b</TermId>
        </TermInfo>
      </Terms>
    </idbbc5064a3a43f791ab03d23e984708>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7a967ddcf1a45dc9b52784e00cdb055 xmlns="9e36a974-4d7c-469d-bb65-00b417e8af1d">
      <Terms xmlns="http://schemas.microsoft.com/office/infopath/2007/PartnerControls">
        <TermInfo xmlns="http://schemas.microsoft.com/office/infopath/2007/PartnerControls">
          <TermName xmlns="http://schemas.microsoft.com/office/infopath/2007/PartnerControls">Renew Projects</TermName>
          <TermId xmlns="http://schemas.microsoft.com/office/infopath/2007/PartnerControls">21ccdeb5-302e-46cf-828c-8eb5c8b2848c</TermId>
        </TermInfo>
      </Terms>
    </g7a967ddcf1a45dc9b52784e00cdb055>
    <ReportCategory xmlns="http://schemas.microsoft.com/sharepoint/v3" xsi:nil="true"/>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SharedWithUsers xmlns="153f2783-1c70-4464-955e-85040a58200f">
      <UserInfo>
        <DisplayName>Adrian M Kitchingman (DELWP)</DisplayName>
        <AccountId>1104</AccountId>
        <AccountType/>
      </UserInfo>
      <UserInfo>
        <DisplayName>SharingLinks.d6d77b10-2e5a-4221-b93b-72ee5904cccd.Flexible.9ea0a7c6-0000-4640-ad24-9862bef59a08</DisplayName>
        <AccountId>6098</AccountId>
        <AccountType/>
      </UserInfo>
      <UserInfo>
        <DisplayName>Maureen P Lever (DELWP)</DisplayName>
        <AccountId>1415</AccountId>
        <AccountType/>
      </UserInfo>
      <UserInfo>
        <DisplayName>Emma J Wise (DELWP)</DisplayName>
        <AccountId>1186</AccountId>
        <AccountType/>
      </UserInfo>
      <UserInfo>
        <DisplayName>Stephen J Hadley (DELWP)</DisplayName>
        <AccountId>554</AccountId>
        <AccountType/>
      </UserInfo>
      <UserInfo>
        <DisplayName>Clare E Millen (DELWP)</DisplayName>
        <AccountId>252</AccountId>
        <AccountType/>
      </UserInfo>
      <UserInfo>
        <DisplayName>Steve Goldsworthy (DELWP)</DisplayName>
        <AccountId>228</AccountId>
        <AccountType/>
      </UserInfo>
      <UserInfo>
        <DisplayName>Vic EmergencyThirtyOne (DELWP)</DisplayName>
        <AccountId>2884</AccountId>
        <AccountType/>
      </UserInfo>
      <UserInfo>
        <DisplayName>Emily Davies (DELWP)</DisplayName>
        <AccountId>771</AccountId>
        <AccountType/>
      </UserInfo>
      <UserInfo>
        <DisplayName>Darren C Cullen (DELWP)</DisplayName>
        <AccountId>76</AccountId>
        <AccountType/>
      </UserInfo>
      <UserInfo>
        <DisplayName>Adrian C Moorrees (DELWP)</DisplayName>
        <AccountId>26</AccountId>
        <AccountType/>
      </UserInfo>
      <UserInfo>
        <DisplayName>Brian J Latorre Reyes (DELWP)</DisplayName>
        <AccountId>6037</AccountId>
        <AccountType/>
      </UserInfo>
      <UserInfo>
        <DisplayName>Rhiannon Stute (DELWP)</DisplayName>
        <AccountId>2676</AccountId>
        <AccountType/>
      </UserInfo>
      <UserInfo>
        <DisplayName>Charlotte De Waal (DELWP)</DisplayName>
        <AccountId>250</AccountId>
        <AccountType/>
      </UserInfo>
      <UserInfo>
        <DisplayName>Jamie M Molloy (DELWP)</DisplayName>
        <AccountId>589</AccountId>
        <AccountType/>
      </UserInfo>
      <UserInfo>
        <DisplayName>Natasha McLean (DELWP)</DisplayName>
        <AccountId>245</AccountId>
        <AccountType/>
      </UserInfo>
      <UserInfo>
        <DisplayName>Sheri M Burmeister (DELWP)</DisplayName>
        <AccountId>161</AccountId>
        <AccountType/>
      </UserInfo>
      <UserInfo>
        <DisplayName>Te Ao Marama Eketone (DELWP)</DisplayName>
        <AccountId>2016</AccountId>
        <AccountType/>
      </UserInfo>
    </SharedWithUsers>
    <lcf76f155ced4ddcb4097134ff3c332f xmlns="9e36a974-4d7c-469d-bb65-00b417e8af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CC7C7D-1F25-4DD3-BE39-18683EF5FA58}">
  <ds:schemaRefs>
    <ds:schemaRef ds:uri="http://schemas.microsoft.com/sharepoint/events"/>
  </ds:schemaRefs>
</ds:datastoreItem>
</file>

<file path=customXml/itemProps2.xml><?xml version="1.0" encoding="utf-8"?>
<ds:datastoreItem xmlns:ds="http://schemas.openxmlformats.org/officeDocument/2006/customXml" ds:itemID="{A0978815-2B98-4ED2-A7D0-506AE6099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e36a974-4d7c-469d-bb65-00b417e8af1d"/>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C2B02A-5541-4BDC-A61F-B20335D282A0}">
  <ds:schemaRefs>
    <ds:schemaRef ds:uri="http://schemas.microsoft.com/sharepoint/v3/contenttype/forms"/>
  </ds:schemaRefs>
</ds:datastoreItem>
</file>

<file path=customXml/itemProps4.xml><?xml version="1.0" encoding="utf-8"?>
<ds:datastoreItem xmlns:ds="http://schemas.openxmlformats.org/officeDocument/2006/customXml" ds:itemID="{14D229A4-74A8-4C11-BBB4-ED72BB3AF3D8}">
  <ds:schemaRefs>
    <ds:schemaRef ds:uri="Microsoft.SharePoint.Taxonomy.ContentTypeSync"/>
  </ds:schemaRefs>
</ds:datastoreItem>
</file>

<file path=customXml/itemProps5.xml><?xml version="1.0" encoding="utf-8"?>
<ds:datastoreItem xmlns:ds="http://schemas.openxmlformats.org/officeDocument/2006/customXml" ds:itemID="{C610EAD8-AFFF-428E-AE09-8A5B90E2AB17}">
  <ds:schemaRefs>
    <ds:schemaRef ds:uri="http://schemas.openxmlformats.org/officeDocument/2006/bibliography"/>
  </ds:schemaRefs>
</ds:datastoreItem>
</file>

<file path=customXml/itemProps6.xml><?xml version="1.0" encoding="utf-8"?>
<ds:datastoreItem xmlns:ds="http://schemas.openxmlformats.org/officeDocument/2006/customXml" ds:itemID="{7F0D83FC-E137-4EA1-8C68-39C95A0ECC0B}">
  <ds:schemaRefs>
    <ds:schemaRef ds:uri="http://schemas.microsoft.com/office/2006/metadata/properties"/>
    <ds:schemaRef ds:uri="http://schemas.microsoft.com/office/infopath/2007/PartnerControls"/>
    <ds:schemaRef ds:uri="a5f32de4-e402-4188-b034-e71ca7d22e54"/>
    <ds:schemaRef ds:uri="9fd47c19-1c4a-4d7d-b342-c10cef269344"/>
    <ds:schemaRef ds:uri="http://schemas.microsoft.com/sharepoint/v3"/>
    <ds:schemaRef ds:uri="9e36a974-4d7c-469d-bb65-00b417e8af1d"/>
    <ds:schemaRef ds:uri="153f2783-1c70-4464-955e-85040a58200f"/>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3047</TotalTime>
  <Pages>1</Pages>
  <Words>94799</Words>
  <Characters>540359</Characters>
  <Application>Microsoft Office Word</Application>
  <DocSecurity>4</DocSecurity>
  <Lines>4502</Lines>
  <Paragraphs>1267</Paragraphs>
  <ScaleCrop>false</ScaleCrop>
  <HeadingPairs>
    <vt:vector size="2" baseType="variant">
      <vt:variant>
        <vt:lpstr>Title</vt:lpstr>
      </vt:variant>
      <vt:variant>
        <vt:i4>1</vt:i4>
      </vt:variant>
    </vt:vector>
  </HeadingPairs>
  <TitlesOfParts>
    <vt:vector size="1" baseType="lpstr">
      <vt:lpstr>Threatened Species and Communities Risk Assessment</vt:lpstr>
    </vt:vector>
  </TitlesOfParts>
  <Company/>
  <LinksUpToDate>false</LinksUpToDate>
  <CharactersWithSpaces>633891</CharactersWithSpaces>
  <SharedDoc>false</SharedDoc>
  <HLinks>
    <vt:vector size="732" baseType="variant">
      <vt:variant>
        <vt:i4>327694</vt:i4>
      </vt:variant>
      <vt:variant>
        <vt:i4>1530</vt:i4>
      </vt:variant>
      <vt:variant>
        <vt:i4>0</vt:i4>
      </vt:variant>
      <vt:variant>
        <vt:i4>5</vt:i4>
      </vt:variant>
      <vt:variant>
        <vt:lpwstr>https://vicflora.rbg.vic.gov.au/flora/taxon/05e8fab7-5c07-4a52-b3f4-fc81007d632f</vt:lpwstr>
      </vt:variant>
      <vt:variant>
        <vt:lpwstr/>
      </vt:variant>
      <vt:variant>
        <vt:i4>6684725</vt:i4>
      </vt:variant>
      <vt:variant>
        <vt:i4>1527</vt:i4>
      </vt:variant>
      <vt:variant>
        <vt:i4>0</vt:i4>
      </vt:variant>
      <vt:variant>
        <vt:i4>5</vt:i4>
      </vt:variant>
      <vt:variant>
        <vt:lpwstr>http://www.bom.gov.au/state-of-the-climate/documents/State-of-the-Climate-2020.pdf</vt:lpwstr>
      </vt:variant>
      <vt:variant>
        <vt:lpwstr/>
      </vt:variant>
      <vt:variant>
        <vt:i4>5439582</vt:i4>
      </vt:variant>
      <vt:variant>
        <vt:i4>624</vt:i4>
      </vt:variant>
      <vt:variant>
        <vt:i4>0</vt:i4>
      </vt:variant>
      <vt:variant>
        <vt:i4>5</vt:i4>
      </vt:variant>
      <vt:variant>
        <vt:lpwstr>https://www.rbg.vic.gov.au/science/seedbank/</vt:lpwstr>
      </vt:variant>
      <vt:variant>
        <vt:lpwstr/>
      </vt:variant>
      <vt:variant>
        <vt:i4>7602231</vt:i4>
      </vt:variant>
      <vt:variant>
        <vt:i4>621</vt:i4>
      </vt:variant>
      <vt:variant>
        <vt:i4>0</vt:i4>
      </vt:variant>
      <vt:variant>
        <vt:i4>5</vt:i4>
      </vt:variant>
      <vt:variant>
        <vt:lpwstr>https://www.parks.vic.gov.au/get-into-nature/conservation-and-science/conserving-our-parks/weeds-and-pests</vt:lpwstr>
      </vt:variant>
      <vt:variant>
        <vt:lpwstr/>
      </vt:variant>
      <vt:variant>
        <vt:i4>22</vt:i4>
      </vt:variant>
      <vt:variant>
        <vt:i4>618</vt:i4>
      </vt:variant>
      <vt:variant>
        <vt:i4>0</vt:i4>
      </vt:variant>
      <vt:variant>
        <vt:i4>5</vt:i4>
      </vt:variant>
      <vt:variant>
        <vt:lpwstr>https://www.vic.gov.au/timber-harvesting</vt:lpwstr>
      </vt:variant>
      <vt:variant>
        <vt:lpwstr/>
      </vt:variant>
      <vt:variant>
        <vt:i4>5374017</vt:i4>
      </vt:variant>
      <vt:variant>
        <vt:i4>615</vt:i4>
      </vt:variant>
      <vt:variant>
        <vt:i4>0</vt:i4>
      </vt:variant>
      <vt:variant>
        <vt:i4>5</vt:i4>
      </vt:variant>
      <vt:variant>
        <vt:lpwstr>http://www.nrm.gov.au/system/files/resources/683a3fe8-0142-4eda-8a6b-5594de0403af/files/rlp-project-listing-2021.pdf</vt:lpwstr>
      </vt:variant>
      <vt:variant>
        <vt:lpwstr/>
      </vt:variant>
      <vt:variant>
        <vt:i4>4325381</vt:i4>
      </vt:variant>
      <vt:variant>
        <vt:i4>612</vt:i4>
      </vt:variant>
      <vt:variant>
        <vt:i4>0</vt:i4>
      </vt:variant>
      <vt:variant>
        <vt:i4>5</vt:i4>
      </vt:variant>
      <vt:variant>
        <vt:lpwstr>https://content.legislation.vic.gov.au/sites/default/files/2021-12/94-52aa069 authorised.pdf</vt:lpwstr>
      </vt:variant>
      <vt:variant>
        <vt:lpwstr/>
      </vt:variant>
      <vt:variant>
        <vt:i4>5636121</vt:i4>
      </vt:variant>
      <vt:variant>
        <vt:i4>609</vt:i4>
      </vt:variant>
      <vt:variant>
        <vt:i4>0</vt:i4>
      </vt:variant>
      <vt:variant>
        <vt:i4>5</vt:i4>
      </vt:variant>
      <vt:variant>
        <vt:lpwstr>https://www.wildlife.vic.gov.au/home/biodiversity-bushfire-response-and-recovery</vt:lpwstr>
      </vt:variant>
      <vt:variant>
        <vt:lpwstr/>
      </vt:variant>
      <vt:variant>
        <vt:i4>1179659</vt:i4>
      </vt:variant>
      <vt:variant>
        <vt:i4>606</vt:i4>
      </vt:variant>
      <vt:variant>
        <vt:i4>0</vt:i4>
      </vt:variant>
      <vt:variant>
        <vt:i4>5</vt:i4>
      </vt:variant>
      <vt:variant>
        <vt:lpwstr>https://www.environment.vic.gov.au/biodiversity/working-together-for-biodiversity</vt:lpwstr>
      </vt:variant>
      <vt:variant>
        <vt:lpwstr/>
      </vt:variant>
      <vt:variant>
        <vt:i4>5963850</vt:i4>
      </vt:variant>
      <vt:variant>
        <vt:i4>603</vt:i4>
      </vt:variant>
      <vt:variant>
        <vt:i4>0</vt:i4>
      </vt:variant>
      <vt:variant>
        <vt:i4>5</vt:i4>
      </vt:variant>
      <vt:variant>
        <vt:lpwstr>https://www.environment.vic.gov.au/invasive-plants-and-animals/deer-control-strategy</vt:lpwstr>
      </vt:variant>
      <vt:variant>
        <vt:lpwstr/>
      </vt:variant>
      <vt:variant>
        <vt:i4>7733353</vt:i4>
      </vt:variant>
      <vt:variant>
        <vt:i4>600</vt:i4>
      </vt:variant>
      <vt:variant>
        <vt:i4>0</vt:i4>
      </vt:variant>
      <vt:variant>
        <vt:i4>5</vt:i4>
      </vt:variant>
      <vt:variant>
        <vt:lpwstr>https://www.environment.vic.gov.au/invasive-plants-and-animals/invasive-species-on-public-land</vt:lpwstr>
      </vt:variant>
      <vt:variant>
        <vt:lpwstr/>
      </vt:variant>
      <vt:variant>
        <vt:i4>65605</vt:i4>
      </vt:variant>
      <vt:variant>
        <vt:i4>597</vt:i4>
      </vt:variant>
      <vt:variant>
        <vt:i4>0</vt:i4>
      </vt:variant>
      <vt:variant>
        <vt:i4>5</vt:i4>
      </vt:variant>
      <vt:variant>
        <vt:lpwstr>https://www.environment.vic.gov.au/invasive-plants-and-animals/invasive-species-on-public-land/weeds-and-pests-on-public-land-program</vt:lpwstr>
      </vt:variant>
      <vt:variant>
        <vt:lpwstr/>
      </vt:variant>
      <vt:variant>
        <vt:i4>2818062</vt:i4>
      </vt:variant>
      <vt:variant>
        <vt:i4>594</vt:i4>
      </vt:variant>
      <vt:variant>
        <vt:i4>0</vt:i4>
      </vt:variant>
      <vt:variant>
        <vt:i4>5</vt:i4>
      </vt:variant>
      <vt:variant>
        <vt:lpwstr>https://www.environment.vic.gov.au/__data/assets/pdf_file/0033/408489/CrownLandProcedure.pdf</vt:lpwstr>
      </vt:variant>
      <vt:variant>
        <vt:lpwstr/>
      </vt:variant>
      <vt:variant>
        <vt:i4>2555951</vt:i4>
      </vt:variant>
      <vt:variant>
        <vt:i4>591</vt:i4>
      </vt:variant>
      <vt:variant>
        <vt:i4>0</vt:i4>
      </vt:variant>
      <vt:variant>
        <vt:i4>5</vt:i4>
      </vt:variant>
      <vt:variant>
        <vt:lpwstr>https://www.landcarevic.org.au/</vt:lpwstr>
      </vt:variant>
      <vt:variant>
        <vt:lpwstr/>
      </vt:variant>
      <vt:variant>
        <vt:i4>8257595</vt:i4>
      </vt:variant>
      <vt:variant>
        <vt:i4>588</vt:i4>
      </vt:variant>
      <vt:variant>
        <vt:i4>0</vt:i4>
      </vt:variant>
      <vt:variant>
        <vt:i4>5</vt:i4>
      </vt:variant>
      <vt:variant>
        <vt:lpwstr>https://www.environment.vic.gov.au/native-vegetation/native-vegetation</vt:lpwstr>
      </vt:variant>
      <vt:variant>
        <vt:lpwstr/>
      </vt:variant>
      <vt:variant>
        <vt:i4>7536737</vt:i4>
      </vt:variant>
      <vt:variant>
        <vt:i4>585</vt:i4>
      </vt:variant>
      <vt:variant>
        <vt:i4>0</vt:i4>
      </vt:variant>
      <vt:variant>
        <vt:i4>5</vt:i4>
      </vt:variant>
      <vt:variant>
        <vt:lpwstr>https://www.water.vic.gov.au/planning/victorias-entitlement-framework/the-water-act</vt:lpwstr>
      </vt:variant>
      <vt:variant>
        <vt:lpwstr/>
      </vt:variant>
      <vt:variant>
        <vt:i4>7536762</vt:i4>
      </vt:variant>
      <vt:variant>
        <vt:i4>582</vt:i4>
      </vt:variant>
      <vt:variant>
        <vt:i4>0</vt:i4>
      </vt:variant>
      <vt:variant>
        <vt:i4>5</vt:i4>
      </vt:variant>
      <vt:variant>
        <vt:lpwstr>https://www.mdba.gov.au/basin-plan-roll-out</vt:lpwstr>
      </vt:variant>
      <vt:variant>
        <vt:lpwstr/>
      </vt:variant>
      <vt:variant>
        <vt:i4>4325458</vt:i4>
      </vt:variant>
      <vt:variant>
        <vt:i4>579</vt:i4>
      </vt:variant>
      <vt:variant>
        <vt:i4>0</vt:i4>
      </vt:variant>
      <vt:variant>
        <vt:i4>5</vt:i4>
      </vt:variant>
      <vt:variant>
        <vt:lpwstr>https://www.environment.vic.gov.au/sustainability/ep-act-2017</vt:lpwstr>
      </vt:variant>
      <vt:variant>
        <vt:lpwstr/>
      </vt:variant>
      <vt:variant>
        <vt:i4>852061</vt:i4>
      </vt:variant>
      <vt:variant>
        <vt:i4>576</vt:i4>
      </vt:variant>
      <vt:variant>
        <vt:i4>0</vt:i4>
      </vt:variant>
      <vt:variant>
        <vt:i4>5</vt:i4>
      </vt:variant>
      <vt:variant>
        <vt:lpwstr>https://www.environment.vic.gov.au/__data/assets/pdf_file/0020/32483/Alteration_to_the_natural_flow_regimes_of_rivers_and_streams.pdf</vt:lpwstr>
      </vt:variant>
      <vt:variant>
        <vt:lpwstr/>
      </vt:variant>
      <vt:variant>
        <vt:i4>5242898</vt:i4>
      </vt:variant>
      <vt:variant>
        <vt:i4>573</vt:i4>
      </vt:variant>
      <vt:variant>
        <vt:i4>0</vt:i4>
      </vt:variant>
      <vt:variant>
        <vt:i4>5</vt:i4>
      </vt:variant>
      <vt:variant>
        <vt:lpwstr>https://www.water.vic.gov.au/waterways-and-catchments/rivers-estuaries-and-waterways/strategies-and-planning</vt:lpwstr>
      </vt:variant>
      <vt:variant>
        <vt:lpwstr/>
      </vt:variant>
      <vt:variant>
        <vt:i4>5242898</vt:i4>
      </vt:variant>
      <vt:variant>
        <vt:i4>570</vt:i4>
      </vt:variant>
      <vt:variant>
        <vt:i4>0</vt:i4>
      </vt:variant>
      <vt:variant>
        <vt:i4>5</vt:i4>
      </vt:variant>
      <vt:variant>
        <vt:lpwstr>https://www.water.vic.gov.au/waterways-and-catchments/rivers-estuaries-and-waterways/strategies-and-planning</vt:lpwstr>
      </vt:variant>
      <vt:variant>
        <vt:lpwstr/>
      </vt:variant>
      <vt:variant>
        <vt:i4>8126571</vt:i4>
      </vt:variant>
      <vt:variant>
        <vt:i4>567</vt:i4>
      </vt:variant>
      <vt:variant>
        <vt:i4>0</vt:i4>
      </vt:variant>
      <vt:variant>
        <vt:i4>5</vt:i4>
      </vt:variant>
      <vt:variant>
        <vt:lpwstr>https://www.water.vic.gov.au/planning/long-term-assessments-and-strategies/sws</vt:lpwstr>
      </vt:variant>
      <vt:variant>
        <vt:lpwstr/>
      </vt:variant>
      <vt:variant>
        <vt:i4>7536737</vt:i4>
      </vt:variant>
      <vt:variant>
        <vt:i4>564</vt:i4>
      </vt:variant>
      <vt:variant>
        <vt:i4>0</vt:i4>
      </vt:variant>
      <vt:variant>
        <vt:i4>5</vt:i4>
      </vt:variant>
      <vt:variant>
        <vt:lpwstr>https://www.water.vic.gov.au/planning/victorias-entitlement-framework/the-water-act</vt:lpwstr>
      </vt:variant>
      <vt:variant>
        <vt:lpwstr/>
      </vt:variant>
      <vt:variant>
        <vt:i4>22</vt:i4>
      </vt:variant>
      <vt:variant>
        <vt:i4>561</vt:i4>
      </vt:variant>
      <vt:variant>
        <vt:i4>0</vt:i4>
      </vt:variant>
      <vt:variant>
        <vt:i4>5</vt:i4>
      </vt:variant>
      <vt:variant>
        <vt:lpwstr>https://www.vic.gov.au/timber-harvesting</vt:lpwstr>
      </vt:variant>
      <vt:variant>
        <vt:lpwstr/>
      </vt:variant>
      <vt:variant>
        <vt:i4>1966127</vt:i4>
      </vt:variant>
      <vt:variant>
        <vt:i4>558</vt:i4>
      </vt:variant>
      <vt:variant>
        <vt:i4>0</vt:i4>
      </vt:variant>
      <vt:variant>
        <vt:i4>5</vt:i4>
      </vt:variant>
      <vt:variant>
        <vt:lpwstr>https://www.awe.gov.au/sites/default/files/sitecollectiondocuments/rfa/publications/nat_nac.pdf</vt:lpwstr>
      </vt:variant>
      <vt:variant>
        <vt:lpwstr/>
      </vt:variant>
      <vt:variant>
        <vt:i4>22</vt:i4>
      </vt:variant>
      <vt:variant>
        <vt:i4>555</vt:i4>
      </vt:variant>
      <vt:variant>
        <vt:i4>0</vt:i4>
      </vt:variant>
      <vt:variant>
        <vt:i4>5</vt:i4>
      </vt:variant>
      <vt:variant>
        <vt:lpwstr>https://www.vic.gov.au/timber-harvesting</vt:lpwstr>
      </vt:variant>
      <vt:variant>
        <vt:lpwstr/>
      </vt:variant>
      <vt:variant>
        <vt:i4>3080313</vt:i4>
      </vt:variant>
      <vt:variant>
        <vt:i4>552</vt:i4>
      </vt:variant>
      <vt:variant>
        <vt:i4>0</vt:i4>
      </vt:variant>
      <vt:variant>
        <vt:i4>5</vt:i4>
      </vt:variant>
      <vt:variant>
        <vt:lpwstr>https://www.safertogether.vic.gov.au/strategic-bushfire-management-planning</vt:lpwstr>
      </vt:variant>
      <vt:variant>
        <vt:lpwstr/>
      </vt:variant>
      <vt:variant>
        <vt:i4>1441891</vt:i4>
      </vt:variant>
      <vt:variant>
        <vt:i4>549</vt:i4>
      </vt:variant>
      <vt:variant>
        <vt:i4>0</vt:i4>
      </vt:variant>
      <vt:variant>
        <vt:i4>5</vt:i4>
      </vt:variant>
      <vt:variant>
        <vt:lpwstr>https://www.ffm.vic.gov.au/__data/assets/pdf_file/0025/25747/Code-of-Practice-for-Bushfire-Management-on-Public-Land-1.pdf</vt:lpwstr>
      </vt:variant>
      <vt:variant>
        <vt:lpwstr/>
      </vt:variant>
      <vt:variant>
        <vt:i4>7536686</vt:i4>
      </vt:variant>
      <vt:variant>
        <vt:i4>546</vt:i4>
      </vt:variant>
      <vt:variant>
        <vt:i4>0</vt:i4>
      </vt:variant>
      <vt:variant>
        <vt:i4>5</vt:i4>
      </vt:variant>
      <vt:variant>
        <vt:lpwstr>https://www.ffm.vic.gov.au/</vt:lpwstr>
      </vt:variant>
      <vt:variant>
        <vt:lpwstr/>
      </vt:variant>
      <vt:variant>
        <vt:i4>3473468</vt:i4>
      </vt:variant>
      <vt:variant>
        <vt:i4>543</vt:i4>
      </vt:variant>
      <vt:variant>
        <vt:i4>0</vt:i4>
      </vt:variant>
      <vt:variant>
        <vt:i4>5</vt:i4>
      </vt:variant>
      <vt:variant>
        <vt:lpwstr>https://www.ffm.vic.gov.au/fuel-management-report-2018-19/statewide-achievements/safer-together</vt:lpwstr>
      </vt:variant>
      <vt:variant>
        <vt:lpwstr/>
      </vt:variant>
      <vt:variant>
        <vt:i4>3211305</vt:i4>
      </vt:variant>
      <vt:variant>
        <vt:i4>540</vt:i4>
      </vt:variant>
      <vt:variant>
        <vt:i4>0</vt:i4>
      </vt:variant>
      <vt:variant>
        <vt:i4>5</vt:i4>
      </vt:variant>
      <vt:variant>
        <vt:lpwstr>https://www.water.vic.gov.au/managing-floodplains/new-victorian-floodplain-management-strategy</vt:lpwstr>
      </vt:variant>
      <vt:variant>
        <vt:lpwstr/>
      </vt:variant>
      <vt:variant>
        <vt:i4>7536737</vt:i4>
      </vt:variant>
      <vt:variant>
        <vt:i4>537</vt:i4>
      </vt:variant>
      <vt:variant>
        <vt:i4>0</vt:i4>
      </vt:variant>
      <vt:variant>
        <vt:i4>5</vt:i4>
      </vt:variant>
      <vt:variant>
        <vt:lpwstr>https://www.water.vic.gov.au/planning/victorias-entitlement-framework/the-water-act</vt:lpwstr>
      </vt:variant>
      <vt:variant>
        <vt:lpwstr/>
      </vt:variant>
      <vt:variant>
        <vt:i4>1310750</vt:i4>
      </vt:variant>
      <vt:variant>
        <vt:i4>534</vt:i4>
      </vt:variant>
      <vt:variant>
        <vt:i4>0</vt:i4>
      </vt:variant>
      <vt:variant>
        <vt:i4>5</vt:i4>
      </vt:variant>
      <vt:variant>
        <vt:lpwstr>https://www.climatechange.vic.gov.au/legislation/climate-change-act-2017</vt:lpwstr>
      </vt:variant>
      <vt:variant>
        <vt:lpwstr/>
      </vt:variant>
      <vt:variant>
        <vt:i4>6619136</vt:i4>
      </vt:variant>
      <vt:variant>
        <vt:i4>519</vt:i4>
      </vt:variant>
      <vt:variant>
        <vt:i4>0</vt:i4>
      </vt:variant>
      <vt:variant>
        <vt:i4>5</vt:i4>
      </vt:variant>
      <vt:variant>
        <vt:lpwstr>https://www.environment.vic.gov.au/__data/assets/pdf_file/0040/499936/Threatened-species-and-communities-risk-assessment.pdf</vt:lpwstr>
      </vt:variant>
      <vt:variant>
        <vt:lpwstr/>
      </vt:variant>
      <vt:variant>
        <vt:i4>1835061</vt:i4>
      </vt:variant>
      <vt:variant>
        <vt:i4>512</vt:i4>
      </vt:variant>
      <vt:variant>
        <vt:i4>0</vt:i4>
      </vt:variant>
      <vt:variant>
        <vt:i4>5</vt:i4>
      </vt:variant>
      <vt:variant>
        <vt:lpwstr/>
      </vt:variant>
      <vt:variant>
        <vt:lpwstr>_Toc113271099</vt:lpwstr>
      </vt:variant>
      <vt:variant>
        <vt:i4>1835061</vt:i4>
      </vt:variant>
      <vt:variant>
        <vt:i4>506</vt:i4>
      </vt:variant>
      <vt:variant>
        <vt:i4>0</vt:i4>
      </vt:variant>
      <vt:variant>
        <vt:i4>5</vt:i4>
      </vt:variant>
      <vt:variant>
        <vt:lpwstr/>
      </vt:variant>
      <vt:variant>
        <vt:lpwstr>_Toc113271098</vt:lpwstr>
      </vt:variant>
      <vt:variant>
        <vt:i4>1900597</vt:i4>
      </vt:variant>
      <vt:variant>
        <vt:i4>500</vt:i4>
      </vt:variant>
      <vt:variant>
        <vt:i4>0</vt:i4>
      </vt:variant>
      <vt:variant>
        <vt:i4>5</vt:i4>
      </vt:variant>
      <vt:variant>
        <vt:lpwstr/>
      </vt:variant>
      <vt:variant>
        <vt:lpwstr>_Toc113271087</vt:lpwstr>
      </vt:variant>
      <vt:variant>
        <vt:i4>1900597</vt:i4>
      </vt:variant>
      <vt:variant>
        <vt:i4>494</vt:i4>
      </vt:variant>
      <vt:variant>
        <vt:i4>0</vt:i4>
      </vt:variant>
      <vt:variant>
        <vt:i4>5</vt:i4>
      </vt:variant>
      <vt:variant>
        <vt:lpwstr/>
      </vt:variant>
      <vt:variant>
        <vt:lpwstr>_Toc113271086</vt:lpwstr>
      </vt:variant>
      <vt:variant>
        <vt:i4>1900597</vt:i4>
      </vt:variant>
      <vt:variant>
        <vt:i4>488</vt:i4>
      </vt:variant>
      <vt:variant>
        <vt:i4>0</vt:i4>
      </vt:variant>
      <vt:variant>
        <vt:i4>5</vt:i4>
      </vt:variant>
      <vt:variant>
        <vt:lpwstr/>
      </vt:variant>
      <vt:variant>
        <vt:lpwstr>_Toc113271085</vt:lpwstr>
      </vt:variant>
      <vt:variant>
        <vt:i4>1900597</vt:i4>
      </vt:variant>
      <vt:variant>
        <vt:i4>482</vt:i4>
      </vt:variant>
      <vt:variant>
        <vt:i4>0</vt:i4>
      </vt:variant>
      <vt:variant>
        <vt:i4>5</vt:i4>
      </vt:variant>
      <vt:variant>
        <vt:lpwstr/>
      </vt:variant>
      <vt:variant>
        <vt:lpwstr>_Toc113271084</vt:lpwstr>
      </vt:variant>
      <vt:variant>
        <vt:i4>1900597</vt:i4>
      </vt:variant>
      <vt:variant>
        <vt:i4>476</vt:i4>
      </vt:variant>
      <vt:variant>
        <vt:i4>0</vt:i4>
      </vt:variant>
      <vt:variant>
        <vt:i4>5</vt:i4>
      </vt:variant>
      <vt:variant>
        <vt:lpwstr/>
      </vt:variant>
      <vt:variant>
        <vt:lpwstr>_Toc113271083</vt:lpwstr>
      </vt:variant>
      <vt:variant>
        <vt:i4>1900597</vt:i4>
      </vt:variant>
      <vt:variant>
        <vt:i4>470</vt:i4>
      </vt:variant>
      <vt:variant>
        <vt:i4>0</vt:i4>
      </vt:variant>
      <vt:variant>
        <vt:i4>5</vt:i4>
      </vt:variant>
      <vt:variant>
        <vt:lpwstr/>
      </vt:variant>
      <vt:variant>
        <vt:lpwstr>_Toc113271082</vt:lpwstr>
      </vt:variant>
      <vt:variant>
        <vt:i4>1900597</vt:i4>
      </vt:variant>
      <vt:variant>
        <vt:i4>464</vt:i4>
      </vt:variant>
      <vt:variant>
        <vt:i4>0</vt:i4>
      </vt:variant>
      <vt:variant>
        <vt:i4>5</vt:i4>
      </vt:variant>
      <vt:variant>
        <vt:lpwstr/>
      </vt:variant>
      <vt:variant>
        <vt:lpwstr>_Toc113271081</vt:lpwstr>
      </vt:variant>
      <vt:variant>
        <vt:i4>1900597</vt:i4>
      </vt:variant>
      <vt:variant>
        <vt:i4>458</vt:i4>
      </vt:variant>
      <vt:variant>
        <vt:i4>0</vt:i4>
      </vt:variant>
      <vt:variant>
        <vt:i4>5</vt:i4>
      </vt:variant>
      <vt:variant>
        <vt:lpwstr/>
      </vt:variant>
      <vt:variant>
        <vt:lpwstr>_Toc113271080</vt:lpwstr>
      </vt:variant>
      <vt:variant>
        <vt:i4>1179701</vt:i4>
      </vt:variant>
      <vt:variant>
        <vt:i4>452</vt:i4>
      </vt:variant>
      <vt:variant>
        <vt:i4>0</vt:i4>
      </vt:variant>
      <vt:variant>
        <vt:i4>5</vt:i4>
      </vt:variant>
      <vt:variant>
        <vt:lpwstr/>
      </vt:variant>
      <vt:variant>
        <vt:lpwstr>_Toc113271079</vt:lpwstr>
      </vt:variant>
      <vt:variant>
        <vt:i4>1179701</vt:i4>
      </vt:variant>
      <vt:variant>
        <vt:i4>446</vt:i4>
      </vt:variant>
      <vt:variant>
        <vt:i4>0</vt:i4>
      </vt:variant>
      <vt:variant>
        <vt:i4>5</vt:i4>
      </vt:variant>
      <vt:variant>
        <vt:lpwstr/>
      </vt:variant>
      <vt:variant>
        <vt:lpwstr>_Toc113271078</vt:lpwstr>
      </vt:variant>
      <vt:variant>
        <vt:i4>1179701</vt:i4>
      </vt:variant>
      <vt:variant>
        <vt:i4>440</vt:i4>
      </vt:variant>
      <vt:variant>
        <vt:i4>0</vt:i4>
      </vt:variant>
      <vt:variant>
        <vt:i4>5</vt:i4>
      </vt:variant>
      <vt:variant>
        <vt:lpwstr/>
      </vt:variant>
      <vt:variant>
        <vt:lpwstr>_Toc113271077</vt:lpwstr>
      </vt:variant>
      <vt:variant>
        <vt:i4>1179701</vt:i4>
      </vt:variant>
      <vt:variant>
        <vt:i4>434</vt:i4>
      </vt:variant>
      <vt:variant>
        <vt:i4>0</vt:i4>
      </vt:variant>
      <vt:variant>
        <vt:i4>5</vt:i4>
      </vt:variant>
      <vt:variant>
        <vt:lpwstr/>
      </vt:variant>
      <vt:variant>
        <vt:lpwstr>_Toc113271076</vt:lpwstr>
      </vt:variant>
      <vt:variant>
        <vt:i4>1179701</vt:i4>
      </vt:variant>
      <vt:variant>
        <vt:i4>428</vt:i4>
      </vt:variant>
      <vt:variant>
        <vt:i4>0</vt:i4>
      </vt:variant>
      <vt:variant>
        <vt:i4>5</vt:i4>
      </vt:variant>
      <vt:variant>
        <vt:lpwstr/>
      </vt:variant>
      <vt:variant>
        <vt:lpwstr>_Toc113271075</vt:lpwstr>
      </vt:variant>
      <vt:variant>
        <vt:i4>1179701</vt:i4>
      </vt:variant>
      <vt:variant>
        <vt:i4>422</vt:i4>
      </vt:variant>
      <vt:variant>
        <vt:i4>0</vt:i4>
      </vt:variant>
      <vt:variant>
        <vt:i4>5</vt:i4>
      </vt:variant>
      <vt:variant>
        <vt:lpwstr/>
      </vt:variant>
      <vt:variant>
        <vt:lpwstr>_Toc113271074</vt:lpwstr>
      </vt:variant>
      <vt:variant>
        <vt:i4>1179701</vt:i4>
      </vt:variant>
      <vt:variant>
        <vt:i4>416</vt:i4>
      </vt:variant>
      <vt:variant>
        <vt:i4>0</vt:i4>
      </vt:variant>
      <vt:variant>
        <vt:i4>5</vt:i4>
      </vt:variant>
      <vt:variant>
        <vt:lpwstr/>
      </vt:variant>
      <vt:variant>
        <vt:lpwstr>_Toc113271073</vt:lpwstr>
      </vt:variant>
      <vt:variant>
        <vt:i4>1179701</vt:i4>
      </vt:variant>
      <vt:variant>
        <vt:i4>410</vt:i4>
      </vt:variant>
      <vt:variant>
        <vt:i4>0</vt:i4>
      </vt:variant>
      <vt:variant>
        <vt:i4>5</vt:i4>
      </vt:variant>
      <vt:variant>
        <vt:lpwstr/>
      </vt:variant>
      <vt:variant>
        <vt:lpwstr>_Toc113271072</vt:lpwstr>
      </vt:variant>
      <vt:variant>
        <vt:i4>1179701</vt:i4>
      </vt:variant>
      <vt:variant>
        <vt:i4>404</vt:i4>
      </vt:variant>
      <vt:variant>
        <vt:i4>0</vt:i4>
      </vt:variant>
      <vt:variant>
        <vt:i4>5</vt:i4>
      </vt:variant>
      <vt:variant>
        <vt:lpwstr/>
      </vt:variant>
      <vt:variant>
        <vt:lpwstr>_Toc113271071</vt:lpwstr>
      </vt:variant>
      <vt:variant>
        <vt:i4>1179701</vt:i4>
      </vt:variant>
      <vt:variant>
        <vt:i4>398</vt:i4>
      </vt:variant>
      <vt:variant>
        <vt:i4>0</vt:i4>
      </vt:variant>
      <vt:variant>
        <vt:i4>5</vt:i4>
      </vt:variant>
      <vt:variant>
        <vt:lpwstr/>
      </vt:variant>
      <vt:variant>
        <vt:lpwstr>_Toc113271070</vt:lpwstr>
      </vt:variant>
      <vt:variant>
        <vt:i4>1245237</vt:i4>
      </vt:variant>
      <vt:variant>
        <vt:i4>392</vt:i4>
      </vt:variant>
      <vt:variant>
        <vt:i4>0</vt:i4>
      </vt:variant>
      <vt:variant>
        <vt:i4>5</vt:i4>
      </vt:variant>
      <vt:variant>
        <vt:lpwstr/>
      </vt:variant>
      <vt:variant>
        <vt:lpwstr>_Toc113271069</vt:lpwstr>
      </vt:variant>
      <vt:variant>
        <vt:i4>1245237</vt:i4>
      </vt:variant>
      <vt:variant>
        <vt:i4>386</vt:i4>
      </vt:variant>
      <vt:variant>
        <vt:i4>0</vt:i4>
      </vt:variant>
      <vt:variant>
        <vt:i4>5</vt:i4>
      </vt:variant>
      <vt:variant>
        <vt:lpwstr/>
      </vt:variant>
      <vt:variant>
        <vt:lpwstr>_Toc113271068</vt:lpwstr>
      </vt:variant>
      <vt:variant>
        <vt:i4>1245237</vt:i4>
      </vt:variant>
      <vt:variant>
        <vt:i4>380</vt:i4>
      </vt:variant>
      <vt:variant>
        <vt:i4>0</vt:i4>
      </vt:variant>
      <vt:variant>
        <vt:i4>5</vt:i4>
      </vt:variant>
      <vt:variant>
        <vt:lpwstr/>
      </vt:variant>
      <vt:variant>
        <vt:lpwstr>_Toc113271067</vt:lpwstr>
      </vt:variant>
      <vt:variant>
        <vt:i4>1245237</vt:i4>
      </vt:variant>
      <vt:variant>
        <vt:i4>374</vt:i4>
      </vt:variant>
      <vt:variant>
        <vt:i4>0</vt:i4>
      </vt:variant>
      <vt:variant>
        <vt:i4>5</vt:i4>
      </vt:variant>
      <vt:variant>
        <vt:lpwstr/>
      </vt:variant>
      <vt:variant>
        <vt:lpwstr>_Toc113271066</vt:lpwstr>
      </vt:variant>
      <vt:variant>
        <vt:i4>1245237</vt:i4>
      </vt:variant>
      <vt:variant>
        <vt:i4>368</vt:i4>
      </vt:variant>
      <vt:variant>
        <vt:i4>0</vt:i4>
      </vt:variant>
      <vt:variant>
        <vt:i4>5</vt:i4>
      </vt:variant>
      <vt:variant>
        <vt:lpwstr/>
      </vt:variant>
      <vt:variant>
        <vt:lpwstr>_Toc113271065</vt:lpwstr>
      </vt:variant>
      <vt:variant>
        <vt:i4>1245237</vt:i4>
      </vt:variant>
      <vt:variant>
        <vt:i4>362</vt:i4>
      </vt:variant>
      <vt:variant>
        <vt:i4>0</vt:i4>
      </vt:variant>
      <vt:variant>
        <vt:i4>5</vt:i4>
      </vt:variant>
      <vt:variant>
        <vt:lpwstr/>
      </vt:variant>
      <vt:variant>
        <vt:lpwstr>_Toc113271064</vt:lpwstr>
      </vt:variant>
      <vt:variant>
        <vt:i4>1245237</vt:i4>
      </vt:variant>
      <vt:variant>
        <vt:i4>356</vt:i4>
      </vt:variant>
      <vt:variant>
        <vt:i4>0</vt:i4>
      </vt:variant>
      <vt:variant>
        <vt:i4>5</vt:i4>
      </vt:variant>
      <vt:variant>
        <vt:lpwstr/>
      </vt:variant>
      <vt:variant>
        <vt:lpwstr>_Toc113271063</vt:lpwstr>
      </vt:variant>
      <vt:variant>
        <vt:i4>1245237</vt:i4>
      </vt:variant>
      <vt:variant>
        <vt:i4>350</vt:i4>
      </vt:variant>
      <vt:variant>
        <vt:i4>0</vt:i4>
      </vt:variant>
      <vt:variant>
        <vt:i4>5</vt:i4>
      </vt:variant>
      <vt:variant>
        <vt:lpwstr/>
      </vt:variant>
      <vt:variant>
        <vt:lpwstr>_Toc113271062</vt:lpwstr>
      </vt:variant>
      <vt:variant>
        <vt:i4>1245237</vt:i4>
      </vt:variant>
      <vt:variant>
        <vt:i4>344</vt:i4>
      </vt:variant>
      <vt:variant>
        <vt:i4>0</vt:i4>
      </vt:variant>
      <vt:variant>
        <vt:i4>5</vt:i4>
      </vt:variant>
      <vt:variant>
        <vt:lpwstr/>
      </vt:variant>
      <vt:variant>
        <vt:lpwstr>_Toc113271061</vt:lpwstr>
      </vt:variant>
      <vt:variant>
        <vt:i4>1245237</vt:i4>
      </vt:variant>
      <vt:variant>
        <vt:i4>338</vt:i4>
      </vt:variant>
      <vt:variant>
        <vt:i4>0</vt:i4>
      </vt:variant>
      <vt:variant>
        <vt:i4>5</vt:i4>
      </vt:variant>
      <vt:variant>
        <vt:lpwstr/>
      </vt:variant>
      <vt:variant>
        <vt:lpwstr>_Toc113271060</vt:lpwstr>
      </vt:variant>
      <vt:variant>
        <vt:i4>1048629</vt:i4>
      </vt:variant>
      <vt:variant>
        <vt:i4>332</vt:i4>
      </vt:variant>
      <vt:variant>
        <vt:i4>0</vt:i4>
      </vt:variant>
      <vt:variant>
        <vt:i4>5</vt:i4>
      </vt:variant>
      <vt:variant>
        <vt:lpwstr/>
      </vt:variant>
      <vt:variant>
        <vt:lpwstr>_Toc113271059</vt:lpwstr>
      </vt:variant>
      <vt:variant>
        <vt:i4>1048629</vt:i4>
      </vt:variant>
      <vt:variant>
        <vt:i4>326</vt:i4>
      </vt:variant>
      <vt:variant>
        <vt:i4>0</vt:i4>
      </vt:variant>
      <vt:variant>
        <vt:i4>5</vt:i4>
      </vt:variant>
      <vt:variant>
        <vt:lpwstr/>
      </vt:variant>
      <vt:variant>
        <vt:lpwstr>_Toc113271058</vt:lpwstr>
      </vt:variant>
      <vt:variant>
        <vt:i4>1048629</vt:i4>
      </vt:variant>
      <vt:variant>
        <vt:i4>320</vt:i4>
      </vt:variant>
      <vt:variant>
        <vt:i4>0</vt:i4>
      </vt:variant>
      <vt:variant>
        <vt:i4>5</vt:i4>
      </vt:variant>
      <vt:variant>
        <vt:lpwstr/>
      </vt:variant>
      <vt:variant>
        <vt:lpwstr>_Toc113271057</vt:lpwstr>
      </vt:variant>
      <vt:variant>
        <vt:i4>1048629</vt:i4>
      </vt:variant>
      <vt:variant>
        <vt:i4>314</vt:i4>
      </vt:variant>
      <vt:variant>
        <vt:i4>0</vt:i4>
      </vt:variant>
      <vt:variant>
        <vt:i4>5</vt:i4>
      </vt:variant>
      <vt:variant>
        <vt:lpwstr/>
      </vt:variant>
      <vt:variant>
        <vt:lpwstr>_Toc113271056</vt:lpwstr>
      </vt:variant>
      <vt:variant>
        <vt:i4>1048629</vt:i4>
      </vt:variant>
      <vt:variant>
        <vt:i4>308</vt:i4>
      </vt:variant>
      <vt:variant>
        <vt:i4>0</vt:i4>
      </vt:variant>
      <vt:variant>
        <vt:i4>5</vt:i4>
      </vt:variant>
      <vt:variant>
        <vt:lpwstr/>
      </vt:variant>
      <vt:variant>
        <vt:lpwstr>_Toc113271055</vt:lpwstr>
      </vt:variant>
      <vt:variant>
        <vt:i4>1048629</vt:i4>
      </vt:variant>
      <vt:variant>
        <vt:i4>302</vt:i4>
      </vt:variant>
      <vt:variant>
        <vt:i4>0</vt:i4>
      </vt:variant>
      <vt:variant>
        <vt:i4>5</vt:i4>
      </vt:variant>
      <vt:variant>
        <vt:lpwstr/>
      </vt:variant>
      <vt:variant>
        <vt:lpwstr>_Toc113271054</vt:lpwstr>
      </vt:variant>
      <vt:variant>
        <vt:i4>1048629</vt:i4>
      </vt:variant>
      <vt:variant>
        <vt:i4>296</vt:i4>
      </vt:variant>
      <vt:variant>
        <vt:i4>0</vt:i4>
      </vt:variant>
      <vt:variant>
        <vt:i4>5</vt:i4>
      </vt:variant>
      <vt:variant>
        <vt:lpwstr/>
      </vt:variant>
      <vt:variant>
        <vt:lpwstr>_Toc113271053</vt:lpwstr>
      </vt:variant>
      <vt:variant>
        <vt:i4>1048629</vt:i4>
      </vt:variant>
      <vt:variant>
        <vt:i4>290</vt:i4>
      </vt:variant>
      <vt:variant>
        <vt:i4>0</vt:i4>
      </vt:variant>
      <vt:variant>
        <vt:i4>5</vt:i4>
      </vt:variant>
      <vt:variant>
        <vt:lpwstr/>
      </vt:variant>
      <vt:variant>
        <vt:lpwstr>_Toc113271052</vt:lpwstr>
      </vt:variant>
      <vt:variant>
        <vt:i4>1048629</vt:i4>
      </vt:variant>
      <vt:variant>
        <vt:i4>284</vt:i4>
      </vt:variant>
      <vt:variant>
        <vt:i4>0</vt:i4>
      </vt:variant>
      <vt:variant>
        <vt:i4>5</vt:i4>
      </vt:variant>
      <vt:variant>
        <vt:lpwstr/>
      </vt:variant>
      <vt:variant>
        <vt:lpwstr>_Toc113271051</vt:lpwstr>
      </vt:variant>
      <vt:variant>
        <vt:i4>1048629</vt:i4>
      </vt:variant>
      <vt:variant>
        <vt:i4>278</vt:i4>
      </vt:variant>
      <vt:variant>
        <vt:i4>0</vt:i4>
      </vt:variant>
      <vt:variant>
        <vt:i4>5</vt:i4>
      </vt:variant>
      <vt:variant>
        <vt:lpwstr/>
      </vt:variant>
      <vt:variant>
        <vt:lpwstr>_Toc113271050</vt:lpwstr>
      </vt:variant>
      <vt:variant>
        <vt:i4>1114165</vt:i4>
      </vt:variant>
      <vt:variant>
        <vt:i4>272</vt:i4>
      </vt:variant>
      <vt:variant>
        <vt:i4>0</vt:i4>
      </vt:variant>
      <vt:variant>
        <vt:i4>5</vt:i4>
      </vt:variant>
      <vt:variant>
        <vt:lpwstr/>
      </vt:variant>
      <vt:variant>
        <vt:lpwstr>_Toc113271049</vt:lpwstr>
      </vt:variant>
      <vt:variant>
        <vt:i4>1114165</vt:i4>
      </vt:variant>
      <vt:variant>
        <vt:i4>266</vt:i4>
      </vt:variant>
      <vt:variant>
        <vt:i4>0</vt:i4>
      </vt:variant>
      <vt:variant>
        <vt:i4>5</vt:i4>
      </vt:variant>
      <vt:variant>
        <vt:lpwstr/>
      </vt:variant>
      <vt:variant>
        <vt:lpwstr>_Toc113271048</vt:lpwstr>
      </vt:variant>
      <vt:variant>
        <vt:i4>1114165</vt:i4>
      </vt:variant>
      <vt:variant>
        <vt:i4>260</vt:i4>
      </vt:variant>
      <vt:variant>
        <vt:i4>0</vt:i4>
      </vt:variant>
      <vt:variant>
        <vt:i4>5</vt:i4>
      </vt:variant>
      <vt:variant>
        <vt:lpwstr/>
      </vt:variant>
      <vt:variant>
        <vt:lpwstr>_Toc113271047</vt:lpwstr>
      </vt:variant>
      <vt:variant>
        <vt:i4>1114165</vt:i4>
      </vt:variant>
      <vt:variant>
        <vt:i4>254</vt:i4>
      </vt:variant>
      <vt:variant>
        <vt:i4>0</vt:i4>
      </vt:variant>
      <vt:variant>
        <vt:i4>5</vt:i4>
      </vt:variant>
      <vt:variant>
        <vt:lpwstr/>
      </vt:variant>
      <vt:variant>
        <vt:lpwstr>_Toc113271046</vt:lpwstr>
      </vt:variant>
      <vt:variant>
        <vt:i4>1114165</vt:i4>
      </vt:variant>
      <vt:variant>
        <vt:i4>248</vt:i4>
      </vt:variant>
      <vt:variant>
        <vt:i4>0</vt:i4>
      </vt:variant>
      <vt:variant>
        <vt:i4>5</vt:i4>
      </vt:variant>
      <vt:variant>
        <vt:lpwstr/>
      </vt:variant>
      <vt:variant>
        <vt:lpwstr>_Toc113271045</vt:lpwstr>
      </vt:variant>
      <vt:variant>
        <vt:i4>1114165</vt:i4>
      </vt:variant>
      <vt:variant>
        <vt:i4>242</vt:i4>
      </vt:variant>
      <vt:variant>
        <vt:i4>0</vt:i4>
      </vt:variant>
      <vt:variant>
        <vt:i4>5</vt:i4>
      </vt:variant>
      <vt:variant>
        <vt:lpwstr/>
      </vt:variant>
      <vt:variant>
        <vt:lpwstr>_Toc113271044</vt:lpwstr>
      </vt:variant>
      <vt:variant>
        <vt:i4>1114165</vt:i4>
      </vt:variant>
      <vt:variant>
        <vt:i4>236</vt:i4>
      </vt:variant>
      <vt:variant>
        <vt:i4>0</vt:i4>
      </vt:variant>
      <vt:variant>
        <vt:i4>5</vt:i4>
      </vt:variant>
      <vt:variant>
        <vt:lpwstr/>
      </vt:variant>
      <vt:variant>
        <vt:lpwstr>_Toc113271043</vt:lpwstr>
      </vt:variant>
      <vt:variant>
        <vt:i4>1114165</vt:i4>
      </vt:variant>
      <vt:variant>
        <vt:i4>230</vt:i4>
      </vt:variant>
      <vt:variant>
        <vt:i4>0</vt:i4>
      </vt:variant>
      <vt:variant>
        <vt:i4>5</vt:i4>
      </vt:variant>
      <vt:variant>
        <vt:lpwstr/>
      </vt:variant>
      <vt:variant>
        <vt:lpwstr>_Toc113271042</vt:lpwstr>
      </vt:variant>
      <vt:variant>
        <vt:i4>1114165</vt:i4>
      </vt:variant>
      <vt:variant>
        <vt:i4>224</vt:i4>
      </vt:variant>
      <vt:variant>
        <vt:i4>0</vt:i4>
      </vt:variant>
      <vt:variant>
        <vt:i4>5</vt:i4>
      </vt:variant>
      <vt:variant>
        <vt:lpwstr/>
      </vt:variant>
      <vt:variant>
        <vt:lpwstr>_Toc113271041</vt:lpwstr>
      </vt:variant>
      <vt:variant>
        <vt:i4>1114165</vt:i4>
      </vt:variant>
      <vt:variant>
        <vt:i4>218</vt:i4>
      </vt:variant>
      <vt:variant>
        <vt:i4>0</vt:i4>
      </vt:variant>
      <vt:variant>
        <vt:i4>5</vt:i4>
      </vt:variant>
      <vt:variant>
        <vt:lpwstr/>
      </vt:variant>
      <vt:variant>
        <vt:lpwstr>_Toc113271040</vt:lpwstr>
      </vt:variant>
      <vt:variant>
        <vt:i4>1441845</vt:i4>
      </vt:variant>
      <vt:variant>
        <vt:i4>212</vt:i4>
      </vt:variant>
      <vt:variant>
        <vt:i4>0</vt:i4>
      </vt:variant>
      <vt:variant>
        <vt:i4>5</vt:i4>
      </vt:variant>
      <vt:variant>
        <vt:lpwstr/>
      </vt:variant>
      <vt:variant>
        <vt:lpwstr>_Toc113271039</vt:lpwstr>
      </vt:variant>
      <vt:variant>
        <vt:i4>1441845</vt:i4>
      </vt:variant>
      <vt:variant>
        <vt:i4>206</vt:i4>
      </vt:variant>
      <vt:variant>
        <vt:i4>0</vt:i4>
      </vt:variant>
      <vt:variant>
        <vt:i4>5</vt:i4>
      </vt:variant>
      <vt:variant>
        <vt:lpwstr/>
      </vt:variant>
      <vt:variant>
        <vt:lpwstr>_Toc113271038</vt:lpwstr>
      </vt:variant>
      <vt:variant>
        <vt:i4>1441845</vt:i4>
      </vt:variant>
      <vt:variant>
        <vt:i4>200</vt:i4>
      </vt:variant>
      <vt:variant>
        <vt:i4>0</vt:i4>
      </vt:variant>
      <vt:variant>
        <vt:i4>5</vt:i4>
      </vt:variant>
      <vt:variant>
        <vt:lpwstr/>
      </vt:variant>
      <vt:variant>
        <vt:lpwstr>_Toc113271037</vt:lpwstr>
      </vt:variant>
      <vt:variant>
        <vt:i4>1441845</vt:i4>
      </vt:variant>
      <vt:variant>
        <vt:i4>194</vt:i4>
      </vt:variant>
      <vt:variant>
        <vt:i4>0</vt:i4>
      </vt:variant>
      <vt:variant>
        <vt:i4>5</vt:i4>
      </vt:variant>
      <vt:variant>
        <vt:lpwstr/>
      </vt:variant>
      <vt:variant>
        <vt:lpwstr>_Toc113271036</vt:lpwstr>
      </vt:variant>
      <vt:variant>
        <vt:i4>1441845</vt:i4>
      </vt:variant>
      <vt:variant>
        <vt:i4>188</vt:i4>
      </vt:variant>
      <vt:variant>
        <vt:i4>0</vt:i4>
      </vt:variant>
      <vt:variant>
        <vt:i4>5</vt:i4>
      </vt:variant>
      <vt:variant>
        <vt:lpwstr/>
      </vt:variant>
      <vt:variant>
        <vt:lpwstr>_Toc113271035</vt:lpwstr>
      </vt:variant>
      <vt:variant>
        <vt:i4>1441845</vt:i4>
      </vt:variant>
      <vt:variant>
        <vt:i4>182</vt:i4>
      </vt:variant>
      <vt:variant>
        <vt:i4>0</vt:i4>
      </vt:variant>
      <vt:variant>
        <vt:i4>5</vt:i4>
      </vt:variant>
      <vt:variant>
        <vt:lpwstr/>
      </vt:variant>
      <vt:variant>
        <vt:lpwstr>_Toc113271034</vt:lpwstr>
      </vt:variant>
      <vt:variant>
        <vt:i4>1441845</vt:i4>
      </vt:variant>
      <vt:variant>
        <vt:i4>176</vt:i4>
      </vt:variant>
      <vt:variant>
        <vt:i4>0</vt:i4>
      </vt:variant>
      <vt:variant>
        <vt:i4>5</vt:i4>
      </vt:variant>
      <vt:variant>
        <vt:lpwstr/>
      </vt:variant>
      <vt:variant>
        <vt:lpwstr>_Toc113271033</vt:lpwstr>
      </vt:variant>
      <vt:variant>
        <vt:i4>1441845</vt:i4>
      </vt:variant>
      <vt:variant>
        <vt:i4>170</vt:i4>
      </vt:variant>
      <vt:variant>
        <vt:i4>0</vt:i4>
      </vt:variant>
      <vt:variant>
        <vt:i4>5</vt:i4>
      </vt:variant>
      <vt:variant>
        <vt:lpwstr/>
      </vt:variant>
      <vt:variant>
        <vt:lpwstr>_Toc113271032</vt:lpwstr>
      </vt:variant>
      <vt:variant>
        <vt:i4>1441845</vt:i4>
      </vt:variant>
      <vt:variant>
        <vt:i4>164</vt:i4>
      </vt:variant>
      <vt:variant>
        <vt:i4>0</vt:i4>
      </vt:variant>
      <vt:variant>
        <vt:i4>5</vt:i4>
      </vt:variant>
      <vt:variant>
        <vt:lpwstr/>
      </vt:variant>
      <vt:variant>
        <vt:lpwstr>_Toc113271031</vt:lpwstr>
      </vt:variant>
      <vt:variant>
        <vt:i4>1441845</vt:i4>
      </vt:variant>
      <vt:variant>
        <vt:i4>158</vt:i4>
      </vt:variant>
      <vt:variant>
        <vt:i4>0</vt:i4>
      </vt:variant>
      <vt:variant>
        <vt:i4>5</vt:i4>
      </vt:variant>
      <vt:variant>
        <vt:lpwstr/>
      </vt:variant>
      <vt:variant>
        <vt:lpwstr>_Toc113271030</vt:lpwstr>
      </vt:variant>
      <vt:variant>
        <vt:i4>1507381</vt:i4>
      </vt:variant>
      <vt:variant>
        <vt:i4>152</vt:i4>
      </vt:variant>
      <vt:variant>
        <vt:i4>0</vt:i4>
      </vt:variant>
      <vt:variant>
        <vt:i4>5</vt:i4>
      </vt:variant>
      <vt:variant>
        <vt:lpwstr/>
      </vt:variant>
      <vt:variant>
        <vt:lpwstr>_Toc113271029</vt:lpwstr>
      </vt:variant>
      <vt:variant>
        <vt:i4>1507381</vt:i4>
      </vt:variant>
      <vt:variant>
        <vt:i4>146</vt:i4>
      </vt:variant>
      <vt:variant>
        <vt:i4>0</vt:i4>
      </vt:variant>
      <vt:variant>
        <vt:i4>5</vt:i4>
      </vt:variant>
      <vt:variant>
        <vt:lpwstr/>
      </vt:variant>
      <vt:variant>
        <vt:lpwstr>_Toc113271028</vt:lpwstr>
      </vt:variant>
      <vt:variant>
        <vt:i4>1507381</vt:i4>
      </vt:variant>
      <vt:variant>
        <vt:i4>140</vt:i4>
      </vt:variant>
      <vt:variant>
        <vt:i4>0</vt:i4>
      </vt:variant>
      <vt:variant>
        <vt:i4>5</vt:i4>
      </vt:variant>
      <vt:variant>
        <vt:lpwstr/>
      </vt:variant>
      <vt:variant>
        <vt:lpwstr>_Toc113271027</vt:lpwstr>
      </vt:variant>
      <vt:variant>
        <vt:i4>1507381</vt:i4>
      </vt:variant>
      <vt:variant>
        <vt:i4>134</vt:i4>
      </vt:variant>
      <vt:variant>
        <vt:i4>0</vt:i4>
      </vt:variant>
      <vt:variant>
        <vt:i4>5</vt:i4>
      </vt:variant>
      <vt:variant>
        <vt:lpwstr/>
      </vt:variant>
      <vt:variant>
        <vt:lpwstr>_Toc113271026</vt:lpwstr>
      </vt:variant>
      <vt:variant>
        <vt:i4>1507381</vt:i4>
      </vt:variant>
      <vt:variant>
        <vt:i4>128</vt:i4>
      </vt:variant>
      <vt:variant>
        <vt:i4>0</vt:i4>
      </vt:variant>
      <vt:variant>
        <vt:i4>5</vt:i4>
      </vt:variant>
      <vt:variant>
        <vt:lpwstr/>
      </vt:variant>
      <vt:variant>
        <vt:lpwstr>_Toc113271025</vt:lpwstr>
      </vt:variant>
      <vt:variant>
        <vt:i4>1507381</vt:i4>
      </vt:variant>
      <vt:variant>
        <vt:i4>122</vt:i4>
      </vt:variant>
      <vt:variant>
        <vt:i4>0</vt:i4>
      </vt:variant>
      <vt:variant>
        <vt:i4>5</vt:i4>
      </vt:variant>
      <vt:variant>
        <vt:lpwstr/>
      </vt:variant>
      <vt:variant>
        <vt:lpwstr>_Toc113271024</vt:lpwstr>
      </vt:variant>
      <vt:variant>
        <vt:i4>1507381</vt:i4>
      </vt:variant>
      <vt:variant>
        <vt:i4>116</vt:i4>
      </vt:variant>
      <vt:variant>
        <vt:i4>0</vt:i4>
      </vt:variant>
      <vt:variant>
        <vt:i4>5</vt:i4>
      </vt:variant>
      <vt:variant>
        <vt:lpwstr/>
      </vt:variant>
      <vt:variant>
        <vt:lpwstr>_Toc113271023</vt:lpwstr>
      </vt:variant>
      <vt:variant>
        <vt:i4>1507381</vt:i4>
      </vt:variant>
      <vt:variant>
        <vt:i4>110</vt:i4>
      </vt:variant>
      <vt:variant>
        <vt:i4>0</vt:i4>
      </vt:variant>
      <vt:variant>
        <vt:i4>5</vt:i4>
      </vt:variant>
      <vt:variant>
        <vt:lpwstr/>
      </vt:variant>
      <vt:variant>
        <vt:lpwstr>_Toc113271022</vt:lpwstr>
      </vt:variant>
      <vt:variant>
        <vt:i4>1507381</vt:i4>
      </vt:variant>
      <vt:variant>
        <vt:i4>104</vt:i4>
      </vt:variant>
      <vt:variant>
        <vt:i4>0</vt:i4>
      </vt:variant>
      <vt:variant>
        <vt:i4>5</vt:i4>
      </vt:variant>
      <vt:variant>
        <vt:lpwstr/>
      </vt:variant>
      <vt:variant>
        <vt:lpwstr>_Toc113271021</vt:lpwstr>
      </vt:variant>
      <vt:variant>
        <vt:i4>1507381</vt:i4>
      </vt:variant>
      <vt:variant>
        <vt:i4>98</vt:i4>
      </vt:variant>
      <vt:variant>
        <vt:i4>0</vt:i4>
      </vt:variant>
      <vt:variant>
        <vt:i4>5</vt:i4>
      </vt:variant>
      <vt:variant>
        <vt:lpwstr/>
      </vt:variant>
      <vt:variant>
        <vt:lpwstr>_Toc113271020</vt:lpwstr>
      </vt:variant>
      <vt:variant>
        <vt:i4>1310773</vt:i4>
      </vt:variant>
      <vt:variant>
        <vt:i4>92</vt:i4>
      </vt:variant>
      <vt:variant>
        <vt:i4>0</vt:i4>
      </vt:variant>
      <vt:variant>
        <vt:i4>5</vt:i4>
      </vt:variant>
      <vt:variant>
        <vt:lpwstr/>
      </vt:variant>
      <vt:variant>
        <vt:lpwstr>_Toc113271019</vt:lpwstr>
      </vt:variant>
      <vt:variant>
        <vt:i4>1310773</vt:i4>
      </vt:variant>
      <vt:variant>
        <vt:i4>86</vt:i4>
      </vt:variant>
      <vt:variant>
        <vt:i4>0</vt:i4>
      </vt:variant>
      <vt:variant>
        <vt:i4>5</vt:i4>
      </vt:variant>
      <vt:variant>
        <vt:lpwstr/>
      </vt:variant>
      <vt:variant>
        <vt:lpwstr>_Toc113271018</vt:lpwstr>
      </vt:variant>
      <vt:variant>
        <vt:i4>1310773</vt:i4>
      </vt:variant>
      <vt:variant>
        <vt:i4>80</vt:i4>
      </vt:variant>
      <vt:variant>
        <vt:i4>0</vt:i4>
      </vt:variant>
      <vt:variant>
        <vt:i4>5</vt:i4>
      </vt:variant>
      <vt:variant>
        <vt:lpwstr/>
      </vt:variant>
      <vt:variant>
        <vt:lpwstr>_Toc113271017</vt:lpwstr>
      </vt:variant>
      <vt:variant>
        <vt:i4>1310773</vt:i4>
      </vt:variant>
      <vt:variant>
        <vt:i4>74</vt:i4>
      </vt:variant>
      <vt:variant>
        <vt:i4>0</vt:i4>
      </vt:variant>
      <vt:variant>
        <vt:i4>5</vt:i4>
      </vt:variant>
      <vt:variant>
        <vt:lpwstr/>
      </vt:variant>
      <vt:variant>
        <vt:lpwstr>_Toc113271016</vt:lpwstr>
      </vt:variant>
      <vt:variant>
        <vt:i4>1310773</vt:i4>
      </vt:variant>
      <vt:variant>
        <vt:i4>68</vt:i4>
      </vt:variant>
      <vt:variant>
        <vt:i4>0</vt:i4>
      </vt:variant>
      <vt:variant>
        <vt:i4>5</vt:i4>
      </vt:variant>
      <vt:variant>
        <vt:lpwstr/>
      </vt:variant>
      <vt:variant>
        <vt:lpwstr>_Toc113271015</vt:lpwstr>
      </vt:variant>
      <vt:variant>
        <vt:i4>1310773</vt:i4>
      </vt:variant>
      <vt:variant>
        <vt:i4>62</vt:i4>
      </vt:variant>
      <vt:variant>
        <vt:i4>0</vt:i4>
      </vt:variant>
      <vt:variant>
        <vt:i4>5</vt:i4>
      </vt:variant>
      <vt:variant>
        <vt:lpwstr/>
      </vt:variant>
      <vt:variant>
        <vt:lpwstr>_Toc113271014</vt:lpwstr>
      </vt:variant>
      <vt:variant>
        <vt:i4>1310773</vt:i4>
      </vt:variant>
      <vt:variant>
        <vt:i4>56</vt:i4>
      </vt:variant>
      <vt:variant>
        <vt:i4>0</vt:i4>
      </vt:variant>
      <vt:variant>
        <vt:i4>5</vt:i4>
      </vt:variant>
      <vt:variant>
        <vt:lpwstr/>
      </vt:variant>
      <vt:variant>
        <vt:lpwstr>_Toc113271013</vt:lpwstr>
      </vt:variant>
      <vt:variant>
        <vt:i4>1310773</vt:i4>
      </vt:variant>
      <vt:variant>
        <vt:i4>50</vt:i4>
      </vt:variant>
      <vt:variant>
        <vt:i4>0</vt:i4>
      </vt:variant>
      <vt:variant>
        <vt:i4>5</vt:i4>
      </vt:variant>
      <vt:variant>
        <vt:lpwstr/>
      </vt:variant>
      <vt:variant>
        <vt:lpwstr>_Toc113271012</vt:lpwstr>
      </vt:variant>
      <vt:variant>
        <vt:i4>1310773</vt:i4>
      </vt:variant>
      <vt:variant>
        <vt:i4>44</vt:i4>
      </vt:variant>
      <vt:variant>
        <vt:i4>0</vt:i4>
      </vt:variant>
      <vt:variant>
        <vt:i4>5</vt:i4>
      </vt:variant>
      <vt:variant>
        <vt:lpwstr/>
      </vt:variant>
      <vt:variant>
        <vt:lpwstr>_Toc113271011</vt:lpwstr>
      </vt:variant>
      <vt:variant>
        <vt:i4>1310773</vt:i4>
      </vt:variant>
      <vt:variant>
        <vt:i4>38</vt:i4>
      </vt:variant>
      <vt:variant>
        <vt:i4>0</vt:i4>
      </vt:variant>
      <vt:variant>
        <vt:i4>5</vt:i4>
      </vt:variant>
      <vt:variant>
        <vt:lpwstr/>
      </vt:variant>
      <vt:variant>
        <vt:lpwstr>_Toc113271010</vt:lpwstr>
      </vt:variant>
      <vt:variant>
        <vt:i4>1376309</vt:i4>
      </vt:variant>
      <vt:variant>
        <vt:i4>32</vt:i4>
      </vt:variant>
      <vt:variant>
        <vt:i4>0</vt:i4>
      </vt:variant>
      <vt:variant>
        <vt:i4>5</vt:i4>
      </vt:variant>
      <vt:variant>
        <vt:lpwstr/>
      </vt:variant>
      <vt:variant>
        <vt:lpwstr>_Toc113271009</vt:lpwstr>
      </vt:variant>
      <vt:variant>
        <vt:i4>1376309</vt:i4>
      </vt:variant>
      <vt:variant>
        <vt:i4>26</vt:i4>
      </vt:variant>
      <vt:variant>
        <vt:i4>0</vt:i4>
      </vt:variant>
      <vt:variant>
        <vt:i4>5</vt:i4>
      </vt:variant>
      <vt:variant>
        <vt:lpwstr/>
      </vt:variant>
      <vt:variant>
        <vt:lpwstr>_Toc113271008</vt:lpwstr>
      </vt:variant>
      <vt:variant>
        <vt:i4>1376309</vt:i4>
      </vt:variant>
      <vt:variant>
        <vt:i4>20</vt:i4>
      </vt:variant>
      <vt:variant>
        <vt:i4>0</vt:i4>
      </vt:variant>
      <vt:variant>
        <vt:i4>5</vt:i4>
      </vt:variant>
      <vt:variant>
        <vt:lpwstr/>
      </vt:variant>
      <vt:variant>
        <vt:lpwstr>_Toc113271007</vt:lpwstr>
      </vt:variant>
      <vt:variant>
        <vt:i4>1376309</vt:i4>
      </vt:variant>
      <vt:variant>
        <vt:i4>14</vt:i4>
      </vt:variant>
      <vt:variant>
        <vt:i4>0</vt:i4>
      </vt:variant>
      <vt:variant>
        <vt:i4>5</vt:i4>
      </vt:variant>
      <vt:variant>
        <vt:lpwstr/>
      </vt:variant>
      <vt:variant>
        <vt:lpwstr>_Toc113271006</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and Communities Risk Assessment</dc:title>
  <dc:subject/>
  <dc:creator>Te Ao Marama Eketone (DELWP)</dc:creator>
  <cp:keywords/>
  <dc:description/>
  <cp:lastModifiedBy>Te Ao Marama Eketone (DELWP)</cp:lastModifiedBy>
  <cp:revision>409</cp:revision>
  <cp:lastPrinted>2022-08-19T08:00:00Z</cp:lastPrinted>
  <dcterms:created xsi:type="dcterms:W3CDTF">2022-07-30T09:55:00Z</dcterms:created>
  <dcterms:modified xsi:type="dcterms:W3CDTF">2022-09-06T23:56:00Z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Threatened Species and Communities Risk Assessment</vt:lpwstr>
  </property>
  <property fmtid="{D5CDD505-2E9C-101B-9397-08002B2CF9AE}" pid="3" name="xDate">
    <vt:lpwstr/>
  </property>
  <property fmtid="{D5CDD505-2E9C-101B-9397-08002B2CF9AE}" pid="4" name="xTOCH2">
    <vt:lpwstr>S</vt:lpwstr>
  </property>
  <property fmtid="{D5CDD505-2E9C-101B-9397-08002B2CF9AE}" pid="5" name="xTOCH3">
    <vt:lpwstr>S</vt:lpwstr>
  </property>
  <property fmtid="{D5CDD505-2E9C-101B-9397-08002B2CF9AE}" pid="6" name="xTOCTable">
    <vt:lpwstr>H</vt:lpwstr>
  </property>
  <property fmtid="{D5CDD505-2E9C-101B-9397-08002B2CF9AE}" pid="7" name="xTOCFigure">
    <vt:lpwstr>H</vt:lpwstr>
  </property>
  <property fmtid="{D5CDD505-2E9C-101B-9397-08002B2CF9AE}" pid="8" name="xTOCApp">
    <vt:lpwstr>H</vt:lpwstr>
  </property>
  <property fmtid="{D5CDD505-2E9C-101B-9397-08002B2CF9AE}" pid="9" name="xCR">
    <vt:lpwstr>Heading</vt:lpwstr>
  </property>
  <property fmtid="{D5CDD505-2E9C-101B-9397-08002B2CF9AE}" pid="10" name="xHeadingsNumbered">
    <vt:lpwstr>0</vt:lpwstr>
  </property>
  <property fmtid="{D5CDD505-2E9C-101B-9397-08002B2CF9AE}" pid="11" name="xDoctype">
    <vt:lpwstr/>
  </property>
  <property fmtid="{D5CDD505-2E9C-101B-9397-08002B2CF9AE}" pid="12" name="xTOCH4">
    <vt:lpwstr>H</vt:lpwstr>
  </property>
  <property fmtid="{D5CDD505-2E9C-101B-9397-08002B2CF9AE}" pid="13" name="xFooterTitle">
    <vt:lpwstr>Threatened Species and Communities Risk Assessment</vt:lpwstr>
  </property>
  <property fmtid="{D5CDD505-2E9C-101B-9397-08002B2CF9AE}" pid="14" name="xAppendixName">
    <vt:lpwstr>Appendix</vt:lpwstr>
  </property>
  <property fmtid="{D5CDD505-2E9C-101B-9397-08002B2CF9AE}" pid="15" name="Section">
    <vt:lpwstr/>
  </property>
  <property fmtid="{D5CDD505-2E9C-101B-9397-08002B2CF9AE}" pid="16" name="Agency">
    <vt:lpwstr>1;#Department of Environment, Land, Water and Planning|607a3f87-1228-4cd9-82a5-076aa8776274</vt:lpwstr>
  </property>
  <property fmtid="{D5CDD505-2E9C-101B-9397-08002B2CF9AE}" pid="17" name="Branch">
    <vt:lpwstr>7;#Knowledge and Decision Systems|b4e6fa65-71ac-4707-b13f-b1fda20207e7</vt:lpwstr>
  </property>
  <property fmtid="{D5CDD505-2E9C-101B-9397-08002B2CF9AE}" pid="18" name="a25c4e3633654d669cbaa09ae6b70789">
    <vt:lpwstr/>
  </property>
  <property fmtid="{D5CDD505-2E9C-101B-9397-08002B2CF9AE}" pid="19" name="o85941e134754762b9719660a258a6e6">
    <vt:lpwstr/>
  </property>
  <property fmtid="{D5CDD505-2E9C-101B-9397-08002B2CF9AE}" pid="20" name="Reference_x0020_Type">
    <vt:lpwstr/>
  </property>
  <property fmtid="{D5CDD505-2E9C-101B-9397-08002B2CF9AE}" pid="21" name="Location_x0020_Type">
    <vt:lpwstr/>
  </property>
  <property fmtid="{D5CDD505-2E9C-101B-9397-08002B2CF9AE}" pid="22" name="Copyright_x0020_Licence_x0020_Name">
    <vt:lpwstr/>
  </property>
  <property fmtid="{D5CDD505-2E9C-101B-9397-08002B2CF9AE}" pid="23" name="df723ab3fe1c4eb7a0b151674e7ac40d">
    <vt:lpwstr/>
  </property>
  <property fmtid="{D5CDD505-2E9C-101B-9397-08002B2CF9AE}" pid="24" name="Division">
    <vt:lpwstr>6;#Biodiversity|a369ff78-9705-4b66-a29c-499bde0c7988</vt:lpwstr>
  </property>
  <property fmtid="{D5CDD505-2E9C-101B-9397-08002B2CF9AE}" pid="25" name="k1bd994a94c2413797db3bab8f123f6f">
    <vt:lpwstr/>
  </property>
  <property fmtid="{D5CDD505-2E9C-101B-9397-08002B2CF9AE}" pid="26" name="Dissemination Limiting Marker">
    <vt:lpwstr>2;#FOUO|955eb6fc-b35a-4808-8aa5-31e514fa3f26</vt:lpwstr>
  </property>
  <property fmtid="{D5CDD505-2E9C-101B-9397-08002B2CF9AE}" pid="27" name="Sub_x002d_Section">
    <vt:lpwstr/>
  </property>
  <property fmtid="{D5CDD505-2E9C-101B-9397-08002B2CF9AE}" pid="28" name="Group1">
    <vt:lpwstr>11;#Environment and Climate Change|b90772f5-2afa-408f-b8b8-93ad6baba774</vt:lpwstr>
  </property>
  <property fmtid="{D5CDD505-2E9C-101B-9397-08002B2CF9AE}" pid="29" name="Security Classification">
    <vt:lpwstr>3;#Unclassified|7fa379f4-4aba-4692-ab80-7d39d3a23cf4</vt:lpwstr>
  </property>
  <property fmtid="{D5CDD505-2E9C-101B-9397-08002B2CF9AE}" pid="30" name="o2e611f6ba3e4c8f9a895dfb7980639e">
    <vt:lpwstr/>
  </property>
  <property fmtid="{D5CDD505-2E9C-101B-9397-08002B2CF9AE}" pid="31" name="ld508a88e6264ce89693af80a72862cb">
    <vt:lpwstr/>
  </property>
  <property fmtid="{D5CDD505-2E9C-101B-9397-08002B2CF9AE}" pid="32" name="Copyright_x0020_License_x0020_Type">
    <vt:lpwstr/>
  </property>
  <property fmtid="{D5CDD505-2E9C-101B-9397-08002B2CF9AE}" pid="33" name="Sub-Section">
    <vt:lpwstr/>
  </property>
  <property fmtid="{D5CDD505-2E9C-101B-9397-08002B2CF9AE}" pid="34" name="Copyright Licence Name">
    <vt:lpwstr/>
  </property>
  <property fmtid="{D5CDD505-2E9C-101B-9397-08002B2CF9AE}" pid="35" name="Reference Type">
    <vt:lpwstr/>
  </property>
  <property fmtid="{D5CDD505-2E9C-101B-9397-08002B2CF9AE}" pid="36" name="Copyright License Type">
    <vt:lpwstr/>
  </property>
  <property fmtid="{D5CDD505-2E9C-101B-9397-08002B2CF9AE}" pid="37" name="Location Type">
    <vt:lpwstr/>
  </property>
  <property fmtid="{D5CDD505-2E9C-101B-9397-08002B2CF9AE}" pid="38" name="ContentTypeId">
    <vt:lpwstr>0x01010058DDEB47312E4967BFC1576B96E8C3D400AB991AFBA557FE4382546964D5C33866</vt:lpwstr>
  </property>
  <property fmtid="{D5CDD505-2E9C-101B-9397-08002B2CF9AE}" pid="39" name="ReportOwner">
    <vt:lpwstr/>
  </property>
  <property fmtid="{D5CDD505-2E9C-101B-9397-08002B2CF9AE}" pid="40" name="SharedWithUsers">
    <vt:lpwstr>1104;#Te Ao Marama Eketone (DELWP);#6098;#Sarah W Garnick (DELWP);#1415;#Nick McCristal (DELWP);#1186;#Sheri M Burmeister (DELWP);#554;#Rachael J Minton (DELWP);#252;#Natasha McLean (DELWP);#228;#James A Todd (DELWP);#2884;#Lindsay E Rayner (DELWP);#771;#Charlotte De Waal (DELWP);#76;#Beatrix J Spencer (DELWP)</vt:lpwstr>
  </property>
  <property fmtid="{D5CDD505-2E9C-101B-9397-08002B2CF9AE}" pid="41" name="Order">
    <vt:r8>420500</vt:r8>
  </property>
  <property fmtid="{D5CDD505-2E9C-101B-9397-08002B2CF9AE}" pid="42" name="pd01c257034b4e86b1f58279a3bd54c6">
    <vt:lpwstr>Unclassified|7fa379f4-4aba-4692-ab80-7d39d3a23cf4</vt:lpwstr>
  </property>
  <property fmtid="{D5CDD505-2E9C-101B-9397-08002B2CF9AE}" pid="43" name="xd_ProgID">
    <vt:lpwstr/>
  </property>
  <property fmtid="{D5CDD505-2E9C-101B-9397-08002B2CF9AE}" pid="44" name="DocumentSetDescription">
    <vt:lpwstr/>
  </property>
  <property fmtid="{D5CDD505-2E9C-101B-9397-08002B2CF9AE}" pid="45" name="idbbc5064a3a43f791ab03d23e984708">
    <vt:lpwstr>Tranche 2 - Threatend Species and Communities Risk Assessment|55e85ee9-0506-4999-a555-ceb2ff5ed18b</vt:lpwstr>
  </property>
  <property fmtid="{D5CDD505-2E9C-101B-9397-08002B2CF9AE}" pid="46" name="ComplianceAssetId">
    <vt:lpwstr/>
  </property>
  <property fmtid="{D5CDD505-2E9C-101B-9397-08002B2CF9AE}" pid="47" name="TemplateUrl">
    <vt:lpwstr/>
  </property>
  <property fmtid="{D5CDD505-2E9C-101B-9397-08002B2CF9AE}" pid="48" name="_ExtendedDescription">
    <vt:lpwstr/>
  </property>
  <property fmtid="{D5CDD505-2E9C-101B-9397-08002B2CF9AE}" pid="49" name="TriggerFlowInfo">
    <vt:lpwstr/>
  </property>
  <property fmtid="{D5CDD505-2E9C-101B-9397-08002B2CF9AE}" pid="50" name="Originating Author">
    <vt:lpwstr/>
  </property>
  <property fmtid="{D5CDD505-2E9C-101B-9397-08002B2CF9AE}" pid="51" name="Language">
    <vt:lpwstr>English</vt:lpwstr>
  </property>
  <property fmtid="{D5CDD505-2E9C-101B-9397-08002B2CF9AE}" pid="52" name="URL">
    <vt:lpwstr/>
  </property>
  <property fmtid="{D5CDD505-2E9C-101B-9397-08002B2CF9AE}" pid="53" name="xd_Signature">
    <vt:bool>false</vt:bool>
  </property>
  <property fmtid="{D5CDD505-2E9C-101B-9397-08002B2CF9AE}" pid="54" name="g7a967ddcf1a45dc9b52784e00cdb055">
    <vt:lpwstr>Renew Projects|21ccdeb5-302e-46cf-828c-8eb5c8b2848c</vt:lpwstr>
  </property>
  <property fmtid="{D5CDD505-2E9C-101B-9397-08002B2CF9AE}" pid="55" name="wic_System_Copyright">
    <vt:lpwstr/>
  </property>
  <property fmtid="{D5CDD505-2E9C-101B-9397-08002B2CF9AE}" pid="56" name="Reference Number">
    <vt:lpwstr/>
  </property>
  <property fmtid="{D5CDD505-2E9C-101B-9397-08002B2CF9AE}" pid="57" name="ReportCategory">
    <vt:lpwstr/>
  </property>
  <property fmtid="{D5CDD505-2E9C-101B-9397-08002B2CF9AE}" pid="58" name="ReportDescription">
    <vt:lpwstr/>
  </property>
  <property fmtid="{D5CDD505-2E9C-101B-9397-08002B2CF9AE}" pid="59" name="ReportStatus">
    <vt:lpwstr/>
  </property>
  <property fmtid="{D5CDD505-2E9C-101B-9397-08002B2CF9AE}" pid="60" name="Unit">
    <vt:lpwstr>302;#Forest Regulatory Design|e5ec13c7-8998-4b41-9305-89d02c07ab20</vt:lpwstr>
  </property>
  <property fmtid="{D5CDD505-2E9C-101B-9397-08002B2CF9AE}" pid="61" name="_dlc_DocIdItemGuid">
    <vt:lpwstr>eb37a483-e2da-420a-8565-f9a0a88209dc</vt:lpwstr>
  </property>
  <property fmtid="{D5CDD505-2E9C-101B-9397-08002B2CF9AE}" pid="62" name="xStatus">
    <vt:lpwstr/>
  </property>
  <property fmtid="{D5CDD505-2E9C-101B-9397-08002B2CF9AE}" pid="63" name="xSubtitle">
    <vt:lpwstr>Tranche 2 Risk Assessment and Interim Protections</vt:lpwstr>
  </property>
  <property fmtid="{D5CDD505-2E9C-101B-9397-08002B2CF9AE}" pid="64" name="xFooterSubtitle">
    <vt:lpwstr>Tranche 2 Risk Assessment and Interim Protections</vt:lpwstr>
  </property>
  <property fmtid="{D5CDD505-2E9C-101B-9397-08002B2CF9AE}" pid="65" name="MSIP_Label_4257e2ab-f512-40e2-9c9a-c64247360765_Enabled">
    <vt:lpwstr>true</vt:lpwstr>
  </property>
  <property fmtid="{D5CDD505-2E9C-101B-9397-08002B2CF9AE}" pid="66" name="MSIP_Label_4257e2ab-f512-40e2-9c9a-c64247360765_Method">
    <vt:lpwstr>Privileged</vt:lpwstr>
  </property>
  <property fmtid="{D5CDD505-2E9C-101B-9397-08002B2CF9AE}" pid="67" name="MSIP_Label_4257e2ab-f512-40e2-9c9a-c64247360765_Name">
    <vt:lpwstr>OFFICIAL</vt:lpwstr>
  </property>
  <property fmtid="{D5CDD505-2E9C-101B-9397-08002B2CF9AE}" pid="68" name="MSIP_Label_4257e2ab-f512-40e2-9c9a-c64247360765_SiteId">
    <vt:lpwstr>e8bdd6f7-fc18-4e48-a554-7f547927223b</vt:lpwstr>
  </property>
  <property fmtid="{D5CDD505-2E9C-101B-9397-08002B2CF9AE}" pid="69" name="MSIP_Label_4257e2ab-f512-40e2-9c9a-c64247360765_ContentBits">
    <vt:lpwstr>2</vt:lpwstr>
  </property>
  <property fmtid="{D5CDD505-2E9C-101B-9397-08002B2CF9AE}" pid="70" name="MediaServiceImageTags">
    <vt:lpwstr/>
  </property>
  <property fmtid="{D5CDD505-2E9C-101B-9397-08002B2CF9AE}" pid="71" name="MSIP_Label_4257e2ab-f512-40e2-9c9a-c64247360765_SetDate">
    <vt:lpwstr>2022-09-05T21:43:57Z</vt:lpwstr>
  </property>
  <property fmtid="{D5CDD505-2E9C-101B-9397-08002B2CF9AE}" pid="72" name="MSIP_Label_4257e2ab-f512-40e2-9c9a-c64247360765_ActionId">
    <vt:lpwstr>d9fbe719-f661-419e-804f-07359651d04a</vt:lpwstr>
  </property>
  <property fmtid="{D5CDD505-2E9C-101B-9397-08002B2CF9AE}" pid="73" name="Work Area">
    <vt:lpwstr>308</vt:lpwstr>
  </property>
  <property fmtid="{D5CDD505-2E9C-101B-9397-08002B2CF9AE}" pid="74" name="Project Name">
    <vt:lpwstr>106</vt:lpwstr>
  </property>
</Properties>
</file>