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C665B6" w14:paraId="240637E3" w14:textId="77777777" w:rsidTr="003F46E9">
        <w:trPr>
          <w:trHeight w:hRule="exact" w:val="1418"/>
        </w:trPr>
        <w:tc>
          <w:tcPr>
            <w:tcW w:w="7761" w:type="dxa"/>
            <w:vAlign w:val="center"/>
          </w:tcPr>
          <w:p w14:paraId="25F430F0" w14:textId="57F8558C" w:rsidR="009B1003" w:rsidRPr="00C665B6" w:rsidRDefault="00F431F5" w:rsidP="009B1003">
            <w:pPr>
              <w:pStyle w:val="Title"/>
              <w:rPr>
                <w:rFonts w:asciiTheme="minorHAnsi" w:hAnsiTheme="minorHAnsi" w:cstheme="minorHAnsi"/>
              </w:rPr>
            </w:pPr>
            <w:r w:rsidRPr="00C665B6">
              <w:rPr>
                <w:rFonts w:asciiTheme="minorHAnsi" w:hAnsiTheme="minorHAnsi" w:cstheme="minorHAnsi"/>
              </w:rPr>
              <w:t>2020 Net Gain Accounting Qualitative Update</w:t>
            </w:r>
          </w:p>
        </w:tc>
      </w:tr>
    </w:tbl>
    <w:p w14:paraId="4780C000" w14:textId="4FC37216" w:rsidR="00806AB6" w:rsidRPr="00C665B6" w:rsidRDefault="00806AB6" w:rsidP="00F431F5">
      <w:pPr>
        <w:pStyle w:val="Heading2"/>
        <w:rPr>
          <w:rFonts w:cstheme="minorHAnsi"/>
        </w:rPr>
      </w:pPr>
    </w:p>
    <w:p w14:paraId="17FC875E" w14:textId="4DE1DEAA" w:rsidR="00F431F5" w:rsidRPr="00C665B6" w:rsidRDefault="00F431F5" w:rsidP="00F431F5">
      <w:pPr>
        <w:pStyle w:val="BodyText"/>
        <w:rPr>
          <w:rFonts w:cstheme="minorHAnsi"/>
          <w:lang w:eastAsia="en-AU"/>
        </w:rPr>
      </w:pPr>
    </w:p>
    <w:p w14:paraId="6D27FE77" w14:textId="77777777" w:rsidR="00F431F5" w:rsidRPr="00C665B6" w:rsidRDefault="00F431F5" w:rsidP="00F431F5">
      <w:pPr>
        <w:pStyle w:val="BodyText"/>
        <w:rPr>
          <w:rFonts w:cstheme="minorHAnsi"/>
          <w:lang w:eastAsia="en-AU"/>
        </w:rPr>
      </w:pPr>
    </w:p>
    <w:p w14:paraId="31529365" w14:textId="77777777" w:rsidR="00806AB6" w:rsidRPr="00C665B6" w:rsidRDefault="00806AB6" w:rsidP="00F431F5">
      <w:pPr>
        <w:pStyle w:val="Heading2"/>
        <w:numPr>
          <w:ilvl w:val="0"/>
          <w:numId w:val="0"/>
        </w:numPr>
        <w:rPr>
          <w:rFonts w:cstheme="minorHAnsi"/>
        </w:rPr>
        <w:sectPr w:rsidR="00806AB6" w:rsidRPr="00C665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52EF9FCE" w14:textId="4D1A6D97" w:rsidR="00F431F5" w:rsidRDefault="00F431F5" w:rsidP="00F431F5">
      <w:pPr>
        <w:pStyle w:val="Heading2"/>
        <w:rPr>
          <w:rFonts w:cstheme="minorHAnsi"/>
        </w:rPr>
      </w:pPr>
      <w:r w:rsidRPr="00C665B6">
        <w:rPr>
          <w:rFonts w:cstheme="minorHAnsi"/>
        </w:rPr>
        <w:t>The Net Gain Accounting First Approximation Report (2008)</w:t>
      </w:r>
      <w:r w:rsidR="00C665B6" w:rsidRPr="00C665B6">
        <w:rPr>
          <w:rFonts w:cstheme="minorHAnsi"/>
        </w:rPr>
        <w:t xml:space="preserve"> </w:t>
      </w:r>
      <w:r w:rsidRPr="00C665B6">
        <w:rPr>
          <w:rFonts w:cstheme="minorHAnsi"/>
        </w:rPr>
        <w:t xml:space="preserve">provided useful insights into the relative amounts and rates of positive and negative contributions to the native vegetation Net Gain objective. </w:t>
      </w:r>
    </w:p>
    <w:p w14:paraId="09EB1B7E" w14:textId="77777777" w:rsidR="00C665B6" w:rsidRPr="00C665B6" w:rsidRDefault="00C665B6" w:rsidP="00C665B6">
      <w:pPr>
        <w:pStyle w:val="BodyText"/>
        <w:rPr>
          <w:lang w:eastAsia="en-AU"/>
        </w:rPr>
      </w:pPr>
    </w:p>
    <w:p w14:paraId="6F6F2F3A" w14:textId="29771312" w:rsidR="00F431F5" w:rsidRDefault="00F431F5" w:rsidP="00F431F5">
      <w:pPr>
        <w:pStyle w:val="BodyText"/>
        <w:rPr>
          <w:rFonts w:cstheme="minorHAnsi"/>
        </w:rPr>
      </w:pPr>
      <w:r w:rsidRPr="00C665B6">
        <w:rPr>
          <w:rFonts w:cstheme="minorHAnsi"/>
        </w:rPr>
        <w:t xml:space="preserve">It provided estimates of the overall rate of change in extent and quality of native vegetation on public and private land in Victoria for the year 2007. It was based on once-off modelled native vegetation extent and condition, and a range of assumptions regarding specific transactions and broad changes. As such, the estimates were subject to high variability and poorly quantified levels of uncertainty.  </w:t>
      </w:r>
    </w:p>
    <w:p w14:paraId="5823722E" w14:textId="51270784" w:rsidR="00C665B6" w:rsidRPr="00C665B6" w:rsidRDefault="00C665B6" w:rsidP="00F431F5">
      <w:pPr>
        <w:pStyle w:val="BodyText"/>
        <w:rPr>
          <w:rFonts w:cstheme="minorHAnsi"/>
        </w:rPr>
      </w:pPr>
      <w:r w:rsidRPr="0028367E">
        <w:rPr>
          <w:rFonts w:cstheme="minorHAnsi"/>
        </w:rPr>
        <w:t>To access the Net Gain Accounting First Approximation Report (2008), go to:</w:t>
      </w:r>
      <w:r>
        <w:rPr>
          <w:rFonts w:cstheme="minorHAnsi"/>
        </w:rPr>
        <w:t xml:space="preserve"> </w:t>
      </w:r>
      <w:hyperlink r:id="rId20" w:history="1">
        <w:r>
          <w:rPr>
            <w:rStyle w:val="Hyperlink"/>
          </w:rPr>
          <w:t>Net_Gain_Accounting_-_First_Approximation_Report.pdf (dse.vic.gov.au)</w:t>
        </w:r>
      </w:hyperlink>
    </w:p>
    <w:p w14:paraId="1773C1F4" w14:textId="77777777" w:rsidR="00F431F5" w:rsidRPr="00C665B6" w:rsidRDefault="00F431F5" w:rsidP="00F431F5">
      <w:pPr>
        <w:pStyle w:val="BodyText"/>
        <w:rPr>
          <w:rFonts w:cstheme="minorHAnsi"/>
        </w:rPr>
      </w:pPr>
      <w:r w:rsidRPr="00C665B6">
        <w:rPr>
          <w:rFonts w:cstheme="minorHAnsi"/>
        </w:rPr>
        <w:t xml:space="preserve">An update to the initial approximation report was produced in 2015 to reflect new data and assess the status of native vegetation at that time.  </w:t>
      </w:r>
    </w:p>
    <w:p w14:paraId="4EE4671C" w14:textId="50A99E2B" w:rsidR="00F431F5" w:rsidRPr="00C665B6" w:rsidRDefault="00F431F5" w:rsidP="00F431F5">
      <w:pPr>
        <w:pStyle w:val="BodyText"/>
        <w:rPr>
          <w:rFonts w:cstheme="minorHAnsi"/>
        </w:rPr>
      </w:pPr>
      <w:r w:rsidRPr="00C665B6">
        <w:rPr>
          <w:rFonts w:cstheme="minorHAnsi"/>
        </w:rPr>
        <w:t xml:space="preserve">The purpose of this 2020 update is to provide an indicative scale of the contribution of a range of activities to changes in native vegetation across the state up to the year 2020 (FY 2019/20). This will be used as context </w:t>
      </w:r>
      <w:r w:rsidR="00A44151">
        <w:rPr>
          <w:rFonts w:cstheme="minorHAnsi"/>
        </w:rPr>
        <w:t xml:space="preserve">to support a future update </w:t>
      </w:r>
      <w:r w:rsidRPr="00C665B6">
        <w:rPr>
          <w:rFonts w:cstheme="minorHAnsi"/>
        </w:rPr>
        <w:t xml:space="preserve">of Victoria’s native vegetation clearing regulations and the delivery of outcomes under Victoria’s biodiversity strategy.  </w:t>
      </w:r>
    </w:p>
    <w:p w14:paraId="2B54833A" w14:textId="711C0196" w:rsidR="00F431F5" w:rsidRPr="00C665B6" w:rsidRDefault="00F431F5" w:rsidP="00F431F5">
      <w:pPr>
        <w:pStyle w:val="BodyText"/>
        <w:rPr>
          <w:rFonts w:cstheme="minorHAnsi"/>
        </w:rPr>
      </w:pPr>
      <w:r w:rsidRPr="00C665B6">
        <w:rPr>
          <w:rFonts w:cstheme="minorHAnsi"/>
        </w:rPr>
        <w:t>It uses the following change categories as a basis of comparison:</w:t>
      </w:r>
    </w:p>
    <w:p w14:paraId="643B0AAE" w14:textId="16A73175" w:rsidR="00F431F5" w:rsidRPr="00C665B6" w:rsidRDefault="00F431F5" w:rsidP="00F431F5">
      <w:pPr>
        <w:pStyle w:val="ListBullet"/>
        <w:rPr>
          <w:rFonts w:cstheme="minorHAnsi"/>
        </w:rPr>
      </w:pPr>
      <w:r w:rsidRPr="00C665B6">
        <w:rPr>
          <w:rFonts w:cstheme="minorHAnsi"/>
        </w:rPr>
        <w:t>Gain activities: Government investment, general management, voluntary actions, improved security, offsets for permitted clearing and unallocated native vegetation credits</w:t>
      </w:r>
    </w:p>
    <w:p w14:paraId="4815A168" w14:textId="77777777" w:rsidR="00F431F5" w:rsidRPr="00C665B6" w:rsidRDefault="00F431F5" w:rsidP="00F431F5">
      <w:pPr>
        <w:pStyle w:val="ListBullet"/>
        <w:rPr>
          <w:rFonts w:cstheme="minorHAnsi"/>
        </w:rPr>
      </w:pPr>
      <w:r w:rsidRPr="00C665B6">
        <w:rPr>
          <w:rFonts w:cstheme="minorHAnsi"/>
        </w:rPr>
        <w:t>Loss activities: Entitled uses, exemptions, controlled management regimes and insufficient threat management on crown or freehold land, and losses due to permitted clearing</w:t>
      </w:r>
    </w:p>
    <w:p w14:paraId="00DDF7B7" w14:textId="77777777" w:rsidR="00F431F5" w:rsidRPr="00C665B6" w:rsidRDefault="00F431F5" w:rsidP="00F431F5">
      <w:pPr>
        <w:pStyle w:val="ListBullet"/>
        <w:rPr>
          <w:rFonts w:cstheme="minorHAnsi"/>
        </w:rPr>
      </w:pPr>
      <w:r w:rsidRPr="00C665B6">
        <w:rPr>
          <w:rFonts w:cstheme="minorHAnsi"/>
        </w:rPr>
        <w:t>Neutral activities: wildfire, forest harvesting and regeneration</w:t>
      </w:r>
    </w:p>
    <w:p w14:paraId="5E74CE4B" w14:textId="77777777" w:rsidR="00F431F5" w:rsidRPr="00C665B6" w:rsidRDefault="00F431F5" w:rsidP="00F431F5">
      <w:pPr>
        <w:pStyle w:val="BodyText"/>
        <w:rPr>
          <w:rFonts w:cstheme="minorHAnsi"/>
        </w:rPr>
      </w:pPr>
      <w:r w:rsidRPr="00C665B6">
        <w:rPr>
          <w:rFonts w:cstheme="minorHAnsi"/>
        </w:rPr>
        <w:t>The analyses of contributions are largely based on the 2008 First Approximation Report with some minor adjustments to reflect changes in assumptions based on recent evidence (indicated in the table below). While the core elements of the analysis remained the same as those used in the earlier report this report uses updated extent and condition models.</w:t>
      </w:r>
    </w:p>
    <w:p w14:paraId="421AF088" w14:textId="6F08E2D4" w:rsidR="00F431F5" w:rsidRPr="00C665B6" w:rsidRDefault="00F431F5" w:rsidP="00F431F5">
      <w:pPr>
        <w:pStyle w:val="BodyText"/>
        <w:rPr>
          <w:rFonts w:cstheme="minorHAnsi"/>
          <w:szCs w:val="22"/>
        </w:rPr>
      </w:pPr>
      <w:r w:rsidRPr="00C665B6">
        <w:rPr>
          <w:rFonts w:cstheme="minorHAnsi"/>
          <w:szCs w:val="22"/>
        </w:rPr>
        <w:t xml:space="preserve">This report contains information not included in the 2008 First Approximation Report. The impact of controlled management regimes is included as a loss where the most recent planned burn has resulted in the native vegetation being below the tolerable fire interval. While planned burning may also provide some benefits for native vegetation extent and condition, this relationship needs further investigation and is not included in this report. Controlled management decisions on public land are made in the context of many factors including community health and safety. These decisions and their trade-offs are not within the scope of this report. </w:t>
      </w:r>
    </w:p>
    <w:p w14:paraId="7072E0EE" w14:textId="77777777" w:rsidR="00C665B6" w:rsidRDefault="00C665B6" w:rsidP="00F431F5">
      <w:pPr>
        <w:pStyle w:val="Heading2"/>
        <w:rPr>
          <w:rFonts w:cstheme="minorHAnsi"/>
        </w:rPr>
      </w:pPr>
    </w:p>
    <w:p w14:paraId="3EC0CF28" w14:textId="77777777" w:rsidR="00C665B6" w:rsidRDefault="00C665B6" w:rsidP="00C665B6">
      <w:pPr>
        <w:pStyle w:val="Heading2"/>
        <w:rPr>
          <w:rFonts w:cstheme="minorHAnsi"/>
        </w:rPr>
      </w:pPr>
    </w:p>
    <w:p w14:paraId="310019AC" w14:textId="10AC5836" w:rsidR="00C665B6" w:rsidRPr="00C665B6" w:rsidRDefault="00F431F5" w:rsidP="00C665B6">
      <w:pPr>
        <w:pStyle w:val="Heading2"/>
        <w:rPr>
          <w:rFonts w:cstheme="minorHAnsi"/>
        </w:rPr>
      </w:pPr>
      <w:r w:rsidRPr="00C665B6">
        <w:rPr>
          <w:rFonts w:cstheme="minorHAnsi"/>
        </w:rPr>
        <w:t>Net outcome over time</w:t>
      </w:r>
    </w:p>
    <w:tbl>
      <w:tblPr>
        <w:tblW w:w="5000" w:type="pct"/>
        <w:tblInd w:w="-208" w:type="dxa"/>
        <w:tblBorders>
          <w:bottom w:val="single" w:sz="4" w:space="0" w:color="228591"/>
          <w:insideH w:val="single" w:sz="4" w:space="0" w:color="228591"/>
        </w:tblBorders>
        <w:tblLook w:val="01E0" w:firstRow="1" w:lastRow="1" w:firstColumn="1" w:lastColumn="1" w:noHBand="0" w:noVBand="0"/>
      </w:tblPr>
      <w:tblGrid>
        <w:gridCol w:w="1375"/>
        <w:gridCol w:w="1500"/>
        <w:gridCol w:w="1506"/>
        <w:gridCol w:w="1506"/>
        <w:gridCol w:w="1500"/>
        <w:gridCol w:w="1500"/>
        <w:gridCol w:w="1318"/>
      </w:tblGrid>
      <w:tr w:rsidR="00F431F5" w:rsidRPr="00C665B6" w14:paraId="79DC905E" w14:textId="77777777" w:rsidTr="00F431F5">
        <w:trPr>
          <w:tblHeader/>
        </w:trPr>
        <w:tc>
          <w:tcPr>
            <w:tcW w:w="1392" w:type="dxa"/>
            <w:shd w:val="clear" w:color="auto" w:fill="00B2A9" w:themeFill="accent1"/>
          </w:tcPr>
          <w:p w14:paraId="217AAFA9" w14:textId="77777777" w:rsidR="00F431F5" w:rsidRPr="00C665B6" w:rsidRDefault="00F431F5" w:rsidP="008477EB">
            <w:pPr>
              <w:pStyle w:val="TblBdy"/>
              <w:rPr>
                <w:rFonts w:asciiTheme="minorHAnsi" w:hAnsiTheme="minorHAnsi" w:cstheme="minorHAnsi"/>
                <w:b/>
                <w:bCs/>
                <w:color w:val="FFFFFF" w:themeColor="background1"/>
                <w:sz w:val="20"/>
                <w:szCs w:val="20"/>
              </w:rPr>
            </w:pPr>
          </w:p>
        </w:tc>
        <w:tc>
          <w:tcPr>
            <w:tcW w:w="4611" w:type="dxa"/>
            <w:gridSpan w:val="3"/>
            <w:shd w:val="clear" w:color="auto" w:fill="00B2A9" w:themeFill="accent1"/>
            <w:vAlign w:val="center"/>
          </w:tcPr>
          <w:p w14:paraId="7AB1A4A8" w14:textId="77777777" w:rsidR="00F431F5" w:rsidRPr="00C665B6" w:rsidRDefault="00F431F5" w:rsidP="008477EB">
            <w:pPr>
              <w:pStyle w:val="TblBdy"/>
              <w:jc w:val="center"/>
              <w:rPr>
                <w:rFonts w:asciiTheme="minorHAnsi" w:hAnsiTheme="minorHAnsi" w:cstheme="minorHAnsi"/>
                <w:b/>
                <w:bCs/>
                <w:color w:val="FFFFFF" w:themeColor="background1"/>
                <w:sz w:val="20"/>
                <w:szCs w:val="20"/>
              </w:rPr>
            </w:pPr>
            <w:r w:rsidRPr="00C665B6">
              <w:rPr>
                <w:rFonts w:asciiTheme="minorHAnsi" w:hAnsiTheme="minorHAnsi" w:cstheme="minorHAnsi"/>
                <w:b/>
                <w:bCs/>
                <w:color w:val="FFFFFF" w:themeColor="background1"/>
                <w:sz w:val="20"/>
                <w:szCs w:val="20"/>
              </w:rPr>
              <w:t>Crown land (Habitat Hectare/ year)</w:t>
            </w:r>
          </w:p>
        </w:tc>
        <w:tc>
          <w:tcPr>
            <w:tcW w:w="4419" w:type="dxa"/>
            <w:gridSpan w:val="3"/>
            <w:shd w:val="clear" w:color="auto" w:fill="00B2A9" w:themeFill="accent1"/>
            <w:vAlign w:val="center"/>
          </w:tcPr>
          <w:p w14:paraId="0C06BF10" w14:textId="77777777" w:rsidR="00F431F5" w:rsidRPr="00C665B6" w:rsidRDefault="00F431F5" w:rsidP="008477EB">
            <w:pPr>
              <w:pStyle w:val="TblBdy"/>
              <w:jc w:val="center"/>
              <w:rPr>
                <w:rFonts w:asciiTheme="minorHAnsi" w:hAnsiTheme="minorHAnsi" w:cstheme="minorHAnsi"/>
                <w:b/>
                <w:bCs/>
                <w:color w:val="FFFFFF" w:themeColor="background1"/>
                <w:sz w:val="20"/>
                <w:szCs w:val="20"/>
              </w:rPr>
            </w:pPr>
            <w:r w:rsidRPr="00C665B6">
              <w:rPr>
                <w:rFonts w:asciiTheme="minorHAnsi" w:hAnsiTheme="minorHAnsi" w:cstheme="minorHAnsi"/>
                <w:b/>
                <w:bCs/>
                <w:color w:val="FFFFFF" w:themeColor="background1"/>
                <w:sz w:val="20"/>
                <w:szCs w:val="20"/>
              </w:rPr>
              <w:t>Freehold land (Habitat Hectare/ year)</w:t>
            </w:r>
          </w:p>
        </w:tc>
      </w:tr>
      <w:tr w:rsidR="00F431F5" w:rsidRPr="00C665B6" w14:paraId="3DB77117" w14:textId="77777777" w:rsidTr="00F431F5">
        <w:tc>
          <w:tcPr>
            <w:tcW w:w="1392" w:type="dxa"/>
          </w:tcPr>
          <w:p w14:paraId="1D9B51E6" w14:textId="77777777" w:rsidR="00F431F5" w:rsidRPr="00C665B6" w:rsidRDefault="00F431F5" w:rsidP="008477EB">
            <w:pPr>
              <w:pStyle w:val="TblBdy"/>
              <w:rPr>
                <w:rFonts w:asciiTheme="minorHAnsi" w:hAnsiTheme="minorHAnsi" w:cstheme="minorHAnsi"/>
                <w:b/>
                <w:bCs/>
                <w:sz w:val="20"/>
                <w:szCs w:val="20"/>
              </w:rPr>
            </w:pPr>
          </w:p>
        </w:tc>
        <w:tc>
          <w:tcPr>
            <w:tcW w:w="1537" w:type="dxa"/>
          </w:tcPr>
          <w:p w14:paraId="6AA19FD2"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2008</w:t>
            </w:r>
          </w:p>
        </w:tc>
        <w:tc>
          <w:tcPr>
            <w:tcW w:w="1537" w:type="dxa"/>
          </w:tcPr>
          <w:p w14:paraId="557D2F21"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2015</w:t>
            </w:r>
          </w:p>
        </w:tc>
        <w:tc>
          <w:tcPr>
            <w:tcW w:w="1537" w:type="dxa"/>
            <w:shd w:val="clear" w:color="auto" w:fill="EAF8F8" w:themeFill="accent4" w:themeFillTint="33"/>
          </w:tcPr>
          <w:p w14:paraId="3E85D7C9"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2020</w:t>
            </w:r>
          </w:p>
        </w:tc>
        <w:tc>
          <w:tcPr>
            <w:tcW w:w="1537" w:type="dxa"/>
          </w:tcPr>
          <w:p w14:paraId="2FB408D8"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2008</w:t>
            </w:r>
          </w:p>
        </w:tc>
        <w:tc>
          <w:tcPr>
            <w:tcW w:w="1537" w:type="dxa"/>
          </w:tcPr>
          <w:p w14:paraId="28C4239B"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2015</w:t>
            </w:r>
          </w:p>
        </w:tc>
        <w:tc>
          <w:tcPr>
            <w:tcW w:w="1345" w:type="dxa"/>
            <w:shd w:val="clear" w:color="auto" w:fill="EAF8F8" w:themeFill="accent4" w:themeFillTint="33"/>
          </w:tcPr>
          <w:p w14:paraId="0796C2AF"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2020</w:t>
            </w:r>
          </w:p>
        </w:tc>
      </w:tr>
      <w:tr w:rsidR="00F431F5" w:rsidRPr="00C665B6" w14:paraId="247DB462" w14:textId="77777777" w:rsidTr="00F431F5">
        <w:tc>
          <w:tcPr>
            <w:tcW w:w="1392" w:type="dxa"/>
          </w:tcPr>
          <w:p w14:paraId="417A5E11" w14:textId="77777777" w:rsidR="00F431F5" w:rsidRPr="00C665B6" w:rsidRDefault="00F431F5" w:rsidP="008477EB">
            <w:pPr>
              <w:pStyle w:val="TblBdy"/>
              <w:rPr>
                <w:rFonts w:asciiTheme="minorHAnsi" w:hAnsiTheme="minorHAnsi" w:cstheme="minorHAnsi"/>
                <w:b/>
                <w:bCs/>
                <w:sz w:val="20"/>
                <w:szCs w:val="20"/>
              </w:rPr>
            </w:pPr>
            <w:r w:rsidRPr="00C665B6">
              <w:rPr>
                <w:rFonts w:asciiTheme="minorHAnsi" w:hAnsiTheme="minorHAnsi" w:cstheme="minorHAnsi"/>
                <w:b/>
                <w:bCs/>
                <w:sz w:val="20"/>
                <w:szCs w:val="20"/>
              </w:rPr>
              <w:t>Gains subtotal</w:t>
            </w:r>
          </w:p>
        </w:tc>
        <w:tc>
          <w:tcPr>
            <w:tcW w:w="1537" w:type="dxa"/>
            <w:vAlign w:val="center"/>
          </w:tcPr>
          <w:p w14:paraId="0E777C6F"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+8,760</w:t>
            </w:r>
          </w:p>
        </w:tc>
        <w:tc>
          <w:tcPr>
            <w:tcW w:w="1537" w:type="dxa"/>
            <w:vAlign w:val="center"/>
          </w:tcPr>
          <w:p w14:paraId="18ED6207"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+10,500</w:t>
            </w:r>
          </w:p>
        </w:tc>
        <w:tc>
          <w:tcPr>
            <w:tcW w:w="1537" w:type="dxa"/>
            <w:shd w:val="clear" w:color="auto" w:fill="EAF8F8" w:themeFill="accent4" w:themeFillTint="33"/>
            <w:vAlign w:val="center"/>
          </w:tcPr>
          <w:p w14:paraId="65D666C1" w14:textId="272116D8"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+10</w:t>
            </w:r>
            <w:r w:rsidR="00F82C3A">
              <w:rPr>
                <w:rFonts w:asciiTheme="minorHAnsi" w:hAnsiTheme="minorHAnsi" w:cstheme="minorHAnsi"/>
                <w:sz w:val="20"/>
                <w:szCs w:val="20"/>
              </w:rPr>
              <w:t>,26</w:t>
            </w:r>
            <w:r w:rsidR="00C67111">
              <w:rPr>
                <w:rFonts w:asciiTheme="minorHAnsi" w:hAnsiTheme="minorHAnsi" w:cstheme="minorHAnsi"/>
                <w:sz w:val="20"/>
                <w:szCs w:val="20"/>
              </w:rPr>
              <w:t>0</w:t>
            </w:r>
          </w:p>
        </w:tc>
        <w:tc>
          <w:tcPr>
            <w:tcW w:w="1537" w:type="dxa"/>
            <w:vAlign w:val="center"/>
          </w:tcPr>
          <w:p w14:paraId="6D30ED80"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+4,560</w:t>
            </w:r>
          </w:p>
        </w:tc>
        <w:tc>
          <w:tcPr>
            <w:tcW w:w="1537" w:type="dxa"/>
            <w:vAlign w:val="center"/>
          </w:tcPr>
          <w:p w14:paraId="09143D37"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+3,100</w:t>
            </w:r>
          </w:p>
        </w:tc>
        <w:tc>
          <w:tcPr>
            <w:tcW w:w="1345" w:type="dxa"/>
            <w:shd w:val="clear" w:color="auto" w:fill="EAF8F8" w:themeFill="accent4" w:themeFillTint="33"/>
            <w:vAlign w:val="center"/>
          </w:tcPr>
          <w:p w14:paraId="687D283E"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+3,090</w:t>
            </w:r>
          </w:p>
        </w:tc>
      </w:tr>
      <w:tr w:rsidR="00F431F5" w:rsidRPr="00C665B6" w14:paraId="48ABAF5B" w14:textId="77777777" w:rsidTr="00F431F5">
        <w:tc>
          <w:tcPr>
            <w:tcW w:w="1392" w:type="dxa"/>
          </w:tcPr>
          <w:p w14:paraId="057DCF9F" w14:textId="77777777" w:rsidR="00F431F5" w:rsidRPr="00C665B6" w:rsidRDefault="00F431F5" w:rsidP="008477EB">
            <w:pPr>
              <w:pStyle w:val="TblBdy"/>
              <w:rPr>
                <w:rFonts w:asciiTheme="minorHAnsi" w:hAnsiTheme="minorHAnsi" w:cstheme="minorHAnsi"/>
                <w:b/>
                <w:bCs/>
                <w:sz w:val="20"/>
                <w:szCs w:val="20"/>
              </w:rPr>
            </w:pPr>
            <w:r w:rsidRPr="00C665B6">
              <w:rPr>
                <w:rFonts w:asciiTheme="minorHAnsi" w:hAnsiTheme="minorHAnsi" w:cstheme="minorHAnsi"/>
                <w:b/>
                <w:bCs/>
                <w:sz w:val="20"/>
                <w:szCs w:val="20"/>
              </w:rPr>
              <w:t>Losses subtotal</w:t>
            </w:r>
          </w:p>
        </w:tc>
        <w:tc>
          <w:tcPr>
            <w:tcW w:w="1537" w:type="dxa"/>
            <w:vAlign w:val="center"/>
          </w:tcPr>
          <w:p w14:paraId="4692CD32"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-2,860</w:t>
            </w:r>
          </w:p>
        </w:tc>
        <w:tc>
          <w:tcPr>
            <w:tcW w:w="1537" w:type="dxa"/>
            <w:vAlign w:val="center"/>
          </w:tcPr>
          <w:p w14:paraId="08D6C71E"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-8,400</w:t>
            </w:r>
          </w:p>
        </w:tc>
        <w:tc>
          <w:tcPr>
            <w:tcW w:w="1537" w:type="dxa"/>
            <w:shd w:val="clear" w:color="auto" w:fill="EAF8F8" w:themeFill="accent4" w:themeFillTint="33"/>
            <w:vAlign w:val="center"/>
          </w:tcPr>
          <w:p w14:paraId="32A1761B" w14:textId="3B761EEE"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-6,54</w:t>
            </w:r>
            <w:r w:rsidR="00C67111">
              <w:rPr>
                <w:rFonts w:asciiTheme="minorHAnsi" w:hAnsiTheme="minorHAnsi" w:cstheme="minorHAnsi"/>
                <w:sz w:val="20"/>
                <w:szCs w:val="20"/>
              </w:rPr>
              <w:t>0</w:t>
            </w:r>
          </w:p>
        </w:tc>
        <w:tc>
          <w:tcPr>
            <w:tcW w:w="1537" w:type="dxa"/>
            <w:vAlign w:val="center"/>
          </w:tcPr>
          <w:p w14:paraId="773CCA17"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-14,550</w:t>
            </w:r>
          </w:p>
        </w:tc>
        <w:tc>
          <w:tcPr>
            <w:tcW w:w="1537" w:type="dxa"/>
            <w:vAlign w:val="center"/>
          </w:tcPr>
          <w:p w14:paraId="7221BDDA"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-13,400</w:t>
            </w:r>
          </w:p>
        </w:tc>
        <w:tc>
          <w:tcPr>
            <w:tcW w:w="1345" w:type="dxa"/>
            <w:shd w:val="clear" w:color="auto" w:fill="EAF8F8" w:themeFill="accent4" w:themeFillTint="33"/>
            <w:vAlign w:val="center"/>
          </w:tcPr>
          <w:p w14:paraId="137D4ACF" w14:textId="77777777" w:rsidR="00F431F5" w:rsidRPr="00C665B6" w:rsidRDefault="00F431F5" w:rsidP="008477EB">
            <w:pPr>
              <w:pStyle w:val="TblBdy"/>
              <w:jc w:val="right"/>
              <w:rPr>
                <w:rFonts w:asciiTheme="minorHAnsi" w:hAnsiTheme="minorHAnsi" w:cstheme="minorHAnsi"/>
                <w:sz w:val="20"/>
                <w:szCs w:val="20"/>
              </w:rPr>
            </w:pPr>
            <w:r w:rsidRPr="00C665B6">
              <w:rPr>
                <w:rFonts w:asciiTheme="minorHAnsi" w:hAnsiTheme="minorHAnsi" w:cstheme="minorHAnsi"/>
                <w:sz w:val="20"/>
                <w:szCs w:val="20"/>
              </w:rPr>
              <w:t>-13,470</w:t>
            </w:r>
          </w:p>
        </w:tc>
      </w:tr>
      <w:tr w:rsidR="00F431F5" w:rsidRPr="00C665B6" w14:paraId="322C0655" w14:textId="77777777" w:rsidTr="00F431F5">
        <w:tc>
          <w:tcPr>
            <w:tcW w:w="1392" w:type="dxa"/>
          </w:tcPr>
          <w:p w14:paraId="7D730CD2" w14:textId="77777777" w:rsidR="00F431F5" w:rsidRPr="00C665B6" w:rsidRDefault="00F431F5" w:rsidP="008477EB">
            <w:pPr>
              <w:pStyle w:val="TblBdy"/>
              <w:rPr>
                <w:rFonts w:asciiTheme="minorHAnsi" w:hAnsiTheme="minorHAnsi" w:cstheme="minorHAnsi"/>
                <w:sz w:val="20"/>
                <w:szCs w:val="20"/>
              </w:rPr>
            </w:pPr>
            <w:r w:rsidRPr="00C665B6">
              <w:rPr>
                <w:rFonts w:asciiTheme="minorHAnsi" w:hAnsiTheme="minorHAnsi" w:cstheme="minorHAnsi"/>
                <w:b/>
                <w:bCs/>
                <w:sz w:val="20"/>
                <w:szCs w:val="20"/>
              </w:rPr>
              <w:t>Net Outcome</w:t>
            </w:r>
          </w:p>
        </w:tc>
        <w:tc>
          <w:tcPr>
            <w:tcW w:w="1537" w:type="dxa"/>
            <w:vAlign w:val="center"/>
          </w:tcPr>
          <w:p w14:paraId="41BFE187"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+5,900</w:t>
            </w:r>
          </w:p>
        </w:tc>
        <w:tc>
          <w:tcPr>
            <w:tcW w:w="1537" w:type="dxa"/>
            <w:vAlign w:val="center"/>
          </w:tcPr>
          <w:p w14:paraId="793BE104"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+2,100</w:t>
            </w:r>
          </w:p>
        </w:tc>
        <w:tc>
          <w:tcPr>
            <w:tcW w:w="1537" w:type="dxa"/>
            <w:shd w:val="clear" w:color="auto" w:fill="EAF8F8" w:themeFill="accent4" w:themeFillTint="33"/>
            <w:vAlign w:val="center"/>
          </w:tcPr>
          <w:p w14:paraId="093442A7" w14:textId="3D8D6EB9"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w:t>
            </w:r>
            <w:r w:rsidR="002F7A9A">
              <w:rPr>
                <w:rFonts w:asciiTheme="minorHAnsi" w:hAnsiTheme="minorHAnsi" w:cstheme="minorHAnsi"/>
                <w:b/>
                <w:bCs/>
                <w:sz w:val="20"/>
                <w:szCs w:val="20"/>
              </w:rPr>
              <w:t>3,720</w:t>
            </w:r>
          </w:p>
        </w:tc>
        <w:tc>
          <w:tcPr>
            <w:tcW w:w="1537" w:type="dxa"/>
            <w:vAlign w:val="center"/>
          </w:tcPr>
          <w:p w14:paraId="34EDBF3C"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-9,990</w:t>
            </w:r>
          </w:p>
        </w:tc>
        <w:tc>
          <w:tcPr>
            <w:tcW w:w="1537" w:type="dxa"/>
            <w:vAlign w:val="center"/>
          </w:tcPr>
          <w:p w14:paraId="1FCE2DFA"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-10,300</w:t>
            </w:r>
          </w:p>
        </w:tc>
        <w:tc>
          <w:tcPr>
            <w:tcW w:w="1345" w:type="dxa"/>
            <w:shd w:val="clear" w:color="auto" w:fill="EAF8F8" w:themeFill="accent4" w:themeFillTint="33"/>
            <w:vAlign w:val="center"/>
          </w:tcPr>
          <w:p w14:paraId="43C686BE" w14:textId="77777777" w:rsidR="00F431F5" w:rsidRPr="00C665B6" w:rsidRDefault="00F431F5" w:rsidP="008477EB">
            <w:pPr>
              <w:pStyle w:val="TblBdy"/>
              <w:jc w:val="right"/>
              <w:rPr>
                <w:rFonts w:asciiTheme="minorHAnsi" w:hAnsiTheme="minorHAnsi" w:cstheme="minorHAnsi"/>
                <w:b/>
                <w:bCs/>
                <w:sz w:val="20"/>
                <w:szCs w:val="20"/>
              </w:rPr>
            </w:pPr>
            <w:r w:rsidRPr="00C665B6">
              <w:rPr>
                <w:rFonts w:asciiTheme="minorHAnsi" w:hAnsiTheme="minorHAnsi" w:cstheme="minorHAnsi"/>
                <w:b/>
                <w:bCs/>
                <w:sz w:val="20"/>
                <w:szCs w:val="20"/>
              </w:rPr>
              <w:t>-10,380</w:t>
            </w:r>
          </w:p>
        </w:tc>
      </w:tr>
    </w:tbl>
    <w:p w14:paraId="5DFBC684" w14:textId="77777777" w:rsidR="00F431F5" w:rsidRPr="00C665B6" w:rsidRDefault="00F431F5" w:rsidP="00F431F5">
      <w:pPr>
        <w:pStyle w:val="Body"/>
        <w:rPr>
          <w:rFonts w:asciiTheme="minorHAnsi" w:hAnsiTheme="minorHAnsi" w:cstheme="minorHAnsi"/>
          <w:b/>
          <w:bCs/>
        </w:rPr>
      </w:pPr>
    </w:p>
    <w:p w14:paraId="1EFB956A" w14:textId="61E9F512" w:rsidR="00F431F5" w:rsidRDefault="00F431F5" w:rsidP="00F431F5">
      <w:pPr>
        <w:pStyle w:val="Body"/>
        <w:jc w:val="right"/>
        <w:rPr>
          <w:rFonts w:asciiTheme="minorHAnsi" w:hAnsiTheme="minorHAnsi" w:cstheme="minorHAnsi"/>
          <w:b/>
          <w:bCs/>
        </w:rPr>
      </w:pPr>
      <w:r w:rsidRPr="00C665B6">
        <w:rPr>
          <w:rFonts w:asciiTheme="minorHAnsi" w:hAnsiTheme="minorHAnsi" w:cstheme="minorHAnsi"/>
          <w:b/>
          <w:bCs/>
        </w:rPr>
        <w:t>Overall position: -</w:t>
      </w:r>
      <w:r w:rsidR="00276282">
        <w:rPr>
          <w:rFonts w:asciiTheme="minorHAnsi" w:hAnsiTheme="minorHAnsi" w:cstheme="minorHAnsi"/>
          <w:b/>
          <w:bCs/>
        </w:rPr>
        <w:t>6,660</w:t>
      </w:r>
      <w:r w:rsidR="00F7008F">
        <w:rPr>
          <w:rFonts w:asciiTheme="minorHAnsi" w:hAnsiTheme="minorHAnsi" w:cstheme="minorHAnsi"/>
          <w:b/>
          <w:bCs/>
        </w:rPr>
        <w:t xml:space="preserve"> HHa/ year</w:t>
      </w:r>
      <w:r w:rsidR="00276282">
        <w:rPr>
          <w:rFonts w:asciiTheme="minorHAnsi" w:hAnsiTheme="minorHAnsi" w:cstheme="minorHAnsi"/>
          <w:b/>
          <w:bCs/>
        </w:rPr>
        <w:tab/>
      </w:r>
    </w:p>
    <w:p w14:paraId="5271B89E" w14:textId="77777777" w:rsidR="00C665B6" w:rsidRPr="00C665B6" w:rsidRDefault="00C665B6" w:rsidP="00F431F5">
      <w:pPr>
        <w:pStyle w:val="Body"/>
        <w:jc w:val="right"/>
        <w:rPr>
          <w:rFonts w:asciiTheme="minorHAnsi" w:hAnsiTheme="minorHAnsi" w:cstheme="minorHAnsi"/>
          <w:b/>
          <w:bCs/>
        </w:rPr>
      </w:pPr>
    </w:p>
    <w:p w14:paraId="349FC6B8" w14:textId="77777777" w:rsidR="00F431F5" w:rsidRPr="00C665B6" w:rsidRDefault="00F431F5" w:rsidP="00F431F5">
      <w:pPr>
        <w:pStyle w:val="Heading2"/>
        <w:rPr>
          <w:rFonts w:cstheme="minorHAnsi"/>
        </w:rPr>
      </w:pPr>
      <w:r w:rsidRPr="00C665B6">
        <w:rPr>
          <w:rFonts w:cstheme="minorHAnsi"/>
        </w:rPr>
        <w:t>Summary of native vegetation gains and losses (2020)</w:t>
      </w:r>
    </w:p>
    <w:tbl>
      <w:tblPr>
        <w:tblW w:w="4965" w:type="pct"/>
        <w:tblInd w:w="-176" w:type="dxa"/>
        <w:tblBorders>
          <w:bottom w:val="single" w:sz="4" w:space="0" w:color="228591"/>
          <w:insideH w:val="single" w:sz="4" w:space="0" w:color="228591"/>
        </w:tblBorders>
        <w:tblLook w:val="01E0" w:firstRow="1" w:lastRow="1" w:firstColumn="1" w:lastColumn="1" w:noHBand="0" w:noVBand="0"/>
      </w:tblPr>
      <w:tblGrid>
        <w:gridCol w:w="2148"/>
        <w:gridCol w:w="7986"/>
      </w:tblGrid>
      <w:tr w:rsidR="00F431F5" w:rsidRPr="00C665B6" w14:paraId="41ED29C2" w14:textId="77777777" w:rsidTr="00F431F5">
        <w:trPr>
          <w:tblHeader/>
        </w:trPr>
        <w:tc>
          <w:tcPr>
            <w:tcW w:w="1060" w:type="pct"/>
            <w:shd w:val="clear" w:color="auto" w:fill="00B2A9" w:themeFill="accent1"/>
          </w:tcPr>
          <w:p w14:paraId="676059E8" w14:textId="77777777" w:rsidR="00F431F5" w:rsidRPr="00C665B6" w:rsidRDefault="00F431F5" w:rsidP="008477EB">
            <w:pPr>
              <w:pStyle w:val="TblBdy"/>
              <w:rPr>
                <w:rFonts w:asciiTheme="minorHAnsi" w:hAnsiTheme="minorHAnsi" w:cstheme="minorHAnsi"/>
                <w:b/>
                <w:bCs/>
                <w:color w:val="FFFFFF" w:themeColor="background1"/>
                <w:sz w:val="20"/>
                <w:szCs w:val="20"/>
              </w:rPr>
            </w:pPr>
            <w:r w:rsidRPr="00C665B6">
              <w:rPr>
                <w:rFonts w:asciiTheme="minorHAnsi" w:hAnsiTheme="minorHAnsi" w:cstheme="minorHAnsi"/>
                <w:b/>
                <w:bCs/>
                <w:color w:val="FFFFFF" w:themeColor="background1"/>
                <w:sz w:val="20"/>
                <w:szCs w:val="20"/>
              </w:rPr>
              <w:t>Category</w:t>
            </w:r>
          </w:p>
        </w:tc>
        <w:tc>
          <w:tcPr>
            <w:tcW w:w="3940" w:type="pct"/>
            <w:shd w:val="clear" w:color="auto" w:fill="00B2A9" w:themeFill="accent1"/>
          </w:tcPr>
          <w:p w14:paraId="7665FECE" w14:textId="77777777" w:rsidR="00F431F5" w:rsidRPr="00C665B6" w:rsidRDefault="00F431F5" w:rsidP="008477EB">
            <w:pPr>
              <w:pStyle w:val="TblBdy"/>
              <w:rPr>
                <w:rFonts w:asciiTheme="minorHAnsi" w:hAnsiTheme="minorHAnsi" w:cstheme="minorHAnsi"/>
                <w:b/>
                <w:bCs/>
                <w:color w:val="FFFFFF" w:themeColor="background1"/>
                <w:sz w:val="20"/>
                <w:szCs w:val="20"/>
              </w:rPr>
            </w:pPr>
            <w:r w:rsidRPr="00C665B6">
              <w:rPr>
                <w:rFonts w:asciiTheme="minorHAnsi" w:hAnsiTheme="minorHAnsi" w:cstheme="minorHAnsi"/>
                <w:b/>
                <w:bCs/>
                <w:color w:val="FFFFFF" w:themeColor="background1"/>
                <w:sz w:val="20"/>
                <w:szCs w:val="20"/>
              </w:rPr>
              <w:t>Description</w:t>
            </w:r>
          </w:p>
        </w:tc>
      </w:tr>
      <w:tr w:rsidR="00F431F5" w:rsidRPr="00C665B6" w14:paraId="252ED295" w14:textId="77777777" w:rsidTr="00F431F5">
        <w:tc>
          <w:tcPr>
            <w:tcW w:w="5000" w:type="pct"/>
            <w:gridSpan w:val="2"/>
            <w:shd w:val="clear" w:color="auto" w:fill="EAF8F8" w:themeFill="accent4" w:themeFillTint="33"/>
          </w:tcPr>
          <w:p w14:paraId="4267DA4F" w14:textId="77777777" w:rsidR="00F431F5" w:rsidRPr="00C665B6" w:rsidRDefault="00F431F5" w:rsidP="008477EB">
            <w:pPr>
              <w:pStyle w:val="TblBdy"/>
              <w:rPr>
                <w:rFonts w:asciiTheme="minorHAnsi" w:hAnsiTheme="minorHAnsi" w:cstheme="minorHAnsi"/>
                <w:sz w:val="20"/>
                <w:szCs w:val="20"/>
              </w:rPr>
            </w:pPr>
            <w:r w:rsidRPr="00C665B6">
              <w:rPr>
                <w:rFonts w:asciiTheme="minorHAnsi" w:hAnsiTheme="minorHAnsi" w:cstheme="minorHAnsi"/>
                <w:b/>
                <w:bCs/>
                <w:sz w:val="20"/>
                <w:szCs w:val="20"/>
              </w:rPr>
              <w:t>For maintenance and improvement gains (where specific estimates can be made)</w:t>
            </w:r>
          </w:p>
        </w:tc>
      </w:tr>
      <w:tr w:rsidR="00F431F5" w:rsidRPr="00C665B6" w14:paraId="7ED75BB0" w14:textId="77777777" w:rsidTr="008477EB">
        <w:tc>
          <w:tcPr>
            <w:tcW w:w="1060" w:type="pct"/>
            <w:shd w:val="clear" w:color="auto" w:fill="auto"/>
          </w:tcPr>
          <w:p w14:paraId="1051555B" w14:textId="77777777" w:rsidR="00F431F5" w:rsidRPr="00C665B6" w:rsidRDefault="00F431F5" w:rsidP="008477EB">
            <w:pPr>
              <w:pStyle w:val="TblBdy"/>
              <w:rPr>
                <w:rFonts w:asciiTheme="minorHAnsi" w:hAnsiTheme="minorHAnsi" w:cstheme="minorHAnsi"/>
                <w:bCs/>
                <w:sz w:val="20"/>
                <w:szCs w:val="20"/>
              </w:rPr>
            </w:pPr>
            <w:r w:rsidRPr="00C665B6">
              <w:rPr>
                <w:rFonts w:asciiTheme="minorHAnsi" w:hAnsiTheme="minorHAnsi" w:cstheme="minorHAnsi"/>
                <w:bCs/>
                <w:sz w:val="20"/>
                <w:szCs w:val="20"/>
              </w:rPr>
              <w:t>Government programs on crown land</w:t>
            </w:r>
          </w:p>
        </w:tc>
        <w:tc>
          <w:tcPr>
            <w:tcW w:w="3940" w:type="pct"/>
            <w:shd w:val="clear" w:color="auto" w:fill="auto"/>
          </w:tcPr>
          <w:p w14:paraId="1B443284" w14:textId="77777777" w:rsidR="00F431F5" w:rsidRPr="00C665B6" w:rsidRDefault="00F431F5" w:rsidP="008477EB">
            <w:pPr>
              <w:pStyle w:val="TblBdy"/>
              <w:rPr>
                <w:rFonts w:asciiTheme="minorHAnsi" w:hAnsiTheme="minorHAnsi" w:cstheme="minorHAnsi"/>
                <w:sz w:val="20"/>
                <w:szCs w:val="20"/>
              </w:rPr>
            </w:pPr>
            <w:r w:rsidRPr="00C665B6">
              <w:rPr>
                <w:rFonts w:asciiTheme="minorHAnsi" w:hAnsiTheme="minorHAnsi" w:cstheme="minorHAnsi"/>
                <w:sz w:val="20"/>
                <w:szCs w:val="20"/>
              </w:rPr>
              <w:t xml:space="preserve">Where native vegetation actions are being directly undertaken - Areas where specific actions are known in addition to baseline threat surveillance and management in 2020 e.g. weed control or rabbit control, revegetation. </w:t>
            </w:r>
          </w:p>
          <w:p w14:paraId="2252BD1C" w14:textId="4C0543E1" w:rsidR="00F431F5" w:rsidRPr="00C665B6" w:rsidRDefault="00F431F5" w:rsidP="008477EB">
            <w:pPr>
              <w:pStyle w:val="TblBdy"/>
              <w:rPr>
                <w:rFonts w:asciiTheme="minorHAnsi" w:hAnsiTheme="minorHAnsi" w:cstheme="minorHAnsi"/>
                <w:sz w:val="20"/>
                <w:szCs w:val="20"/>
              </w:rPr>
            </w:pPr>
            <w:r w:rsidRPr="00C665B6">
              <w:rPr>
                <w:rFonts w:asciiTheme="minorHAnsi" w:hAnsiTheme="minorHAnsi" w:cstheme="minorHAnsi"/>
                <w:sz w:val="20"/>
                <w:szCs w:val="20"/>
              </w:rPr>
              <w:t xml:space="preserve">Programs include: </w:t>
            </w:r>
            <w:r w:rsidRPr="00C665B6">
              <w:rPr>
                <w:rFonts w:asciiTheme="minorHAnsi" w:hAnsiTheme="minorHAnsi" w:cstheme="minorHAnsi"/>
                <w:sz w:val="20"/>
                <w:szCs w:val="20"/>
                <w:lang w:val="en-US"/>
              </w:rPr>
              <w:t>Biodiversity Response Planning, the Weeds and Pests on Public Land Program and the Bushfire Biodiversity Response and Recovery Program (BBRR).</w:t>
            </w:r>
          </w:p>
          <w:p w14:paraId="5B2D95C4" w14:textId="77777777" w:rsidR="00F431F5" w:rsidRPr="00C665B6" w:rsidRDefault="00F431F5" w:rsidP="008477EB">
            <w:pPr>
              <w:pStyle w:val="TblBdy"/>
              <w:rPr>
                <w:rFonts w:asciiTheme="minorHAnsi" w:hAnsiTheme="minorHAnsi" w:cstheme="minorHAnsi"/>
                <w:i/>
                <w:sz w:val="20"/>
                <w:szCs w:val="20"/>
              </w:rPr>
            </w:pPr>
            <w:r w:rsidRPr="00C665B6">
              <w:rPr>
                <w:rFonts w:asciiTheme="minorHAnsi" w:hAnsiTheme="minorHAnsi" w:cstheme="minorHAnsi"/>
                <w:i/>
                <w:sz w:val="20"/>
                <w:szCs w:val="20"/>
              </w:rPr>
              <w:t>This excludes actions that counterbalance impacts of exemptions on crown land.</w:t>
            </w:r>
          </w:p>
        </w:tc>
      </w:tr>
      <w:tr w:rsidR="00F431F5" w:rsidRPr="00C665B6" w14:paraId="3411C0CC" w14:textId="77777777" w:rsidTr="008477EB">
        <w:tc>
          <w:tcPr>
            <w:tcW w:w="1060" w:type="pct"/>
            <w:shd w:val="clear" w:color="auto" w:fill="auto"/>
          </w:tcPr>
          <w:p w14:paraId="26E566D3" w14:textId="77777777" w:rsidR="00F431F5" w:rsidRPr="00C665B6" w:rsidRDefault="00F431F5" w:rsidP="008477EB">
            <w:pPr>
              <w:rPr>
                <w:rFonts w:cstheme="minorHAnsi"/>
                <w:color w:val="auto"/>
              </w:rPr>
            </w:pPr>
            <w:r w:rsidRPr="00C665B6">
              <w:rPr>
                <w:rFonts w:cstheme="minorHAnsi"/>
                <w:color w:val="auto"/>
              </w:rPr>
              <w:t>Government programs on freehold land</w:t>
            </w:r>
          </w:p>
        </w:tc>
        <w:tc>
          <w:tcPr>
            <w:tcW w:w="3940" w:type="pct"/>
            <w:shd w:val="clear" w:color="auto" w:fill="auto"/>
          </w:tcPr>
          <w:p w14:paraId="49A6781B" w14:textId="77777777" w:rsidR="00F431F5" w:rsidRPr="00C665B6" w:rsidRDefault="00F431F5" w:rsidP="008477EB">
            <w:pPr>
              <w:spacing w:after="120"/>
              <w:rPr>
                <w:rFonts w:cstheme="minorHAnsi"/>
                <w:color w:val="auto"/>
              </w:rPr>
            </w:pPr>
            <w:r w:rsidRPr="00C665B6">
              <w:rPr>
                <w:rFonts w:cstheme="minorHAnsi"/>
                <w:color w:val="auto"/>
              </w:rPr>
              <w:t xml:space="preserve">Where native vegetation actions are being directly undertaken – Areas where specific actions are known in 2020 (includes previous investment with contracts covering 2020) </w:t>
            </w:r>
          </w:p>
          <w:p w14:paraId="125A7A47" w14:textId="77777777" w:rsidR="00F431F5" w:rsidRPr="00C665B6" w:rsidRDefault="00F431F5" w:rsidP="008477EB">
            <w:pPr>
              <w:spacing w:after="120"/>
              <w:rPr>
                <w:rFonts w:cstheme="minorHAnsi"/>
                <w:color w:val="auto"/>
              </w:rPr>
            </w:pPr>
            <w:r w:rsidRPr="00C665B6">
              <w:rPr>
                <w:rFonts w:cstheme="minorHAnsi"/>
                <w:color w:val="auto"/>
              </w:rPr>
              <w:t xml:space="preserve">Programs include: Biodiversity Response Planning, Commonwealth programs, River Health Program and Peri-urban Weed Management Partnerships (PWMP) program. This also includes areas under Land for Wildlife, existing permanent protection (voluntary or previous investment) through Trust for Nature, </w:t>
            </w:r>
            <w:r w:rsidRPr="00C665B6">
              <w:rPr>
                <w:rFonts w:cstheme="minorHAnsi"/>
                <w:i/>
                <w:color w:val="auto"/>
              </w:rPr>
              <w:t>Conservation Forest and Lands Act</w:t>
            </w:r>
            <w:r w:rsidRPr="00C665B6">
              <w:rPr>
                <w:rFonts w:cstheme="minorHAnsi"/>
                <w:color w:val="auto"/>
              </w:rPr>
              <w:t xml:space="preserve"> 1987 and land owned and managed by Trust for Nature.</w:t>
            </w:r>
          </w:p>
        </w:tc>
      </w:tr>
      <w:tr w:rsidR="00F431F5" w:rsidRPr="00C665B6" w14:paraId="303277E3" w14:textId="77777777" w:rsidTr="008477EB">
        <w:tc>
          <w:tcPr>
            <w:tcW w:w="1060" w:type="pct"/>
            <w:shd w:val="clear" w:color="auto" w:fill="auto"/>
          </w:tcPr>
          <w:p w14:paraId="7F64305A" w14:textId="77777777" w:rsidR="00F431F5" w:rsidRPr="00C665B6" w:rsidRDefault="00F431F5" w:rsidP="008477EB">
            <w:pPr>
              <w:rPr>
                <w:rFonts w:cstheme="minorHAnsi"/>
                <w:color w:val="auto"/>
              </w:rPr>
            </w:pPr>
            <w:r w:rsidRPr="00C665B6">
              <w:rPr>
                <w:rFonts w:cstheme="minorHAnsi"/>
                <w:color w:val="auto"/>
              </w:rPr>
              <w:br w:type="page"/>
              <w:t xml:space="preserve">Offsets for permitted clearing </w:t>
            </w:r>
          </w:p>
        </w:tc>
        <w:tc>
          <w:tcPr>
            <w:tcW w:w="3940" w:type="pct"/>
            <w:shd w:val="clear" w:color="auto" w:fill="auto"/>
          </w:tcPr>
          <w:p w14:paraId="419FDED0" w14:textId="77777777" w:rsidR="00F431F5" w:rsidRPr="00C665B6" w:rsidRDefault="00F431F5" w:rsidP="008477EB">
            <w:pPr>
              <w:rPr>
                <w:rFonts w:cstheme="minorHAnsi"/>
                <w:color w:val="auto"/>
              </w:rPr>
            </w:pPr>
            <w:r w:rsidRPr="00C665B6">
              <w:rPr>
                <w:rFonts w:cstheme="minorHAnsi"/>
                <w:color w:val="auto"/>
              </w:rPr>
              <w:t>Native vegetation actions being undertaken under agreement in 2020 as offsets for permitted clearing referred to DELWP, Melbourne Strategic Assessment and major projects where data is available. Calculated based on annualised gain.</w:t>
            </w:r>
          </w:p>
          <w:p w14:paraId="2D339D9E" w14:textId="37B72F44" w:rsidR="00F431F5" w:rsidRPr="00C665B6" w:rsidRDefault="00F431F5" w:rsidP="008477EB">
            <w:pPr>
              <w:rPr>
                <w:rFonts w:cstheme="minorHAnsi"/>
                <w:color w:val="auto"/>
              </w:rPr>
            </w:pPr>
            <w:r w:rsidRPr="00C665B6">
              <w:rPr>
                <w:rFonts w:cstheme="minorHAnsi"/>
                <w:color w:val="auto"/>
              </w:rPr>
              <w:t xml:space="preserve">This figure also includes areas reserved for offsets </w:t>
            </w:r>
            <w:r w:rsidR="005971C3">
              <w:rPr>
                <w:rFonts w:cstheme="minorHAnsi"/>
                <w:color w:val="auto"/>
              </w:rPr>
              <w:t>under the native vegetation regulations</w:t>
            </w:r>
            <w:r w:rsidR="005971C3" w:rsidRPr="00C665B6">
              <w:rPr>
                <w:rFonts w:cstheme="minorHAnsi"/>
                <w:color w:val="auto"/>
              </w:rPr>
              <w:t xml:space="preserve"> </w:t>
            </w:r>
            <w:r w:rsidRPr="00C665B6">
              <w:rPr>
                <w:rFonts w:cstheme="minorHAnsi"/>
                <w:color w:val="auto"/>
              </w:rPr>
              <w:t>which have not yet been credited.</w:t>
            </w:r>
          </w:p>
        </w:tc>
      </w:tr>
      <w:tr w:rsidR="00F431F5" w:rsidRPr="00C665B6" w14:paraId="563EE2E4" w14:textId="77777777" w:rsidTr="008477EB">
        <w:tc>
          <w:tcPr>
            <w:tcW w:w="1060" w:type="pct"/>
            <w:shd w:val="clear" w:color="auto" w:fill="auto"/>
          </w:tcPr>
          <w:p w14:paraId="1B2E0FDE" w14:textId="77777777" w:rsidR="00F431F5" w:rsidRPr="00C665B6" w:rsidRDefault="00F431F5" w:rsidP="008477EB">
            <w:pPr>
              <w:rPr>
                <w:rFonts w:cstheme="minorHAnsi"/>
                <w:color w:val="auto"/>
              </w:rPr>
            </w:pPr>
            <w:r w:rsidRPr="00C665B6">
              <w:rPr>
                <w:rFonts w:cstheme="minorHAnsi"/>
                <w:color w:val="auto"/>
              </w:rPr>
              <w:t>Unallocated native vegetation credits</w:t>
            </w:r>
          </w:p>
        </w:tc>
        <w:tc>
          <w:tcPr>
            <w:tcW w:w="3940" w:type="pct"/>
            <w:shd w:val="clear" w:color="auto" w:fill="auto"/>
          </w:tcPr>
          <w:p w14:paraId="5123674D" w14:textId="77777777" w:rsidR="00F431F5" w:rsidRPr="00C665B6" w:rsidRDefault="00F431F5" w:rsidP="008477EB">
            <w:pPr>
              <w:spacing w:after="120"/>
              <w:rPr>
                <w:rFonts w:cstheme="minorHAnsi"/>
                <w:color w:val="auto"/>
              </w:rPr>
            </w:pPr>
            <w:r w:rsidRPr="00C665B6">
              <w:rPr>
                <w:rFonts w:cstheme="minorHAnsi"/>
                <w:color w:val="auto"/>
              </w:rPr>
              <w:t xml:space="preserve">Areas under management for native vegetation credits that have not yet been allocated as an offset. This also includes land secured under the Melbourne Strategic Assessment and not yet utilised as compensation for clearing. </w:t>
            </w:r>
          </w:p>
        </w:tc>
      </w:tr>
      <w:tr w:rsidR="00F431F5" w:rsidRPr="00C665B6" w14:paraId="3ABB58E2" w14:textId="77777777" w:rsidTr="00F431F5">
        <w:tc>
          <w:tcPr>
            <w:tcW w:w="5000" w:type="pct"/>
            <w:gridSpan w:val="2"/>
            <w:shd w:val="clear" w:color="auto" w:fill="EAF8F8" w:themeFill="accent4" w:themeFillTint="33"/>
          </w:tcPr>
          <w:p w14:paraId="45933093" w14:textId="77777777" w:rsidR="00F431F5" w:rsidRPr="00C665B6" w:rsidRDefault="00F431F5" w:rsidP="008477EB">
            <w:pPr>
              <w:pStyle w:val="TblBdy"/>
              <w:rPr>
                <w:rFonts w:asciiTheme="minorHAnsi" w:hAnsiTheme="minorHAnsi" w:cstheme="minorHAnsi"/>
                <w:b/>
                <w:sz w:val="20"/>
                <w:szCs w:val="20"/>
              </w:rPr>
            </w:pPr>
            <w:r w:rsidRPr="00C665B6">
              <w:rPr>
                <w:rFonts w:asciiTheme="minorHAnsi" w:hAnsiTheme="minorHAnsi" w:cstheme="minorHAnsi"/>
                <w:b/>
                <w:sz w:val="20"/>
                <w:szCs w:val="20"/>
              </w:rPr>
              <w:t>For maintenance / improvement gains (where broad assumptions only are possible)</w:t>
            </w:r>
          </w:p>
        </w:tc>
      </w:tr>
      <w:tr w:rsidR="00F431F5" w:rsidRPr="00C665B6" w14:paraId="01D0367F" w14:textId="77777777" w:rsidTr="008477EB">
        <w:tc>
          <w:tcPr>
            <w:tcW w:w="1060" w:type="pct"/>
            <w:shd w:val="clear" w:color="auto" w:fill="auto"/>
          </w:tcPr>
          <w:p w14:paraId="404DBC01" w14:textId="77777777" w:rsidR="00F431F5" w:rsidRPr="00C665B6" w:rsidRDefault="00F431F5" w:rsidP="008477EB">
            <w:pPr>
              <w:rPr>
                <w:rFonts w:cstheme="minorHAnsi"/>
                <w:color w:val="auto"/>
              </w:rPr>
            </w:pPr>
            <w:r w:rsidRPr="00C665B6">
              <w:rPr>
                <w:rFonts w:cstheme="minorHAnsi"/>
                <w:color w:val="auto"/>
              </w:rPr>
              <w:t>Voluntary actions on freehold land</w:t>
            </w:r>
          </w:p>
        </w:tc>
        <w:tc>
          <w:tcPr>
            <w:tcW w:w="3940" w:type="pct"/>
            <w:shd w:val="clear" w:color="auto" w:fill="auto"/>
          </w:tcPr>
          <w:p w14:paraId="01324D68" w14:textId="77777777" w:rsidR="00F431F5" w:rsidRPr="00C665B6" w:rsidRDefault="00F431F5" w:rsidP="008477EB">
            <w:pPr>
              <w:rPr>
                <w:rFonts w:cstheme="minorHAnsi"/>
                <w:color w:val="auto"/>
              </w:rPr>
            </w:pPr>
            <w:r w:rsidRPr="00C665B6">
              <w:rPr>
                <w:rFonts w:cstheme="minorHAnsi"/>
                <w:color w:val="auto"/>
              </w:rPr>
              <w:t xml:space="preserve">Voluntary actions undertaken but no known link to government funding. Mainly maintenance gain from remnants of variable quality. This is based on the assumption </w:t>
            </w:r>
            <w:r w:rsidRPr="00C665B6">
              <w:rPr>
                <w:rFonts w:cstheme="minorHAnsi"/>
                <w:color w:val="auto"/>
              </w:rPr>
              <w:lastRenderedPageBreak/>
              <w:t>that for each hectare of funded works (see above government investment) there is 0.26 ha of unfunded works (Duncan, Garreth, Morris &amp; Smith 2013). Previous assumption approach in 2008 was one to one ratio.</w:t>
            </w:r>
          </w:p>
        </w:tc>
      </w:tr>
      <w:tr w:rsidR="00F431F5" w:rsidRPr="00C665B6" w14:paraId="1B52675D" w14:textId="77777777" w:rsidTr="00F431F5">
        <w:tc>
          <w:tcPr>
            <w:tcW w:w="5000" w:type="pct"/>
            <w:gridSpan w:val="2"/>
            <w:shd w:val="clear" w:color="auto" w:fill="EAF8F8" w:themeFill="accent4" w:themeFillTint="33"/>
          </w:tcPr>
          <w:p w14:paraId="2BC763F5" w14:textId="77777777" w:rsidR="00F431F5" w:rsidRPr="00C665B6" w:rsidRDefault="00F431F5" w:rsidP="008477EB">
            <w:pPr>
              <w:pStyle w:val="TblBdy"/>
              <w:rPr>
                <w:rFonts w:asciiTheme="minorHAnsi" w:hAnsiTheme="minorHAnsi" w:cstheme="minorHAnsi"/>
                <w:b/>
                <w:sz w:val="20"/>
                <w:szCs w:val="20"/>
              </w:rPr>
            </w:pPr>
            <w:r w:rsidRPr="00C665B6">
              <w:rPr>
                <w:rFonts w:asciiTheme="minorHAnsi" w:hAnsiTheme="minorHAnsi" w:cstheme="minorHAnsi"/>
                <w:b/>
                <w:sz w:val="20"/>
                <w:szCs w:val="20"/>
              </w:rPr>
              <w:lastRenderedPageBreak/>
              <w:t>For security gains (where specific estimates can be made)</w:t>
            </w:r>
          </w:p>
        </w:tc>
      </w:tr>
      <w:tr w:rsidR="00F431F5" w:rsidRPr="00C665B6" w14:paraId="5BC7D686" w14:textId="77777777" w:rsidTr="008477EB">
        <w:tc>
          <w:tcPr>
            <w:tcW w:w="1060" w:type="pct"/>
            <w:shd w:val="clear" w:color="auto" w:fill="auto"/>
          </w:tcPr>
          <w:p w14:paraId="43540C33" w14:textId="77777777" w:rsidR="00F431F5" w:rsidRPr="00C665B6" w:rsidRDefault="00F431F5" w:rsidP="008477EB">
            <w:pPr>
              <w:rPr>
                <w:rFonts w:cstheme="minorHAnsi"/>
                <w:color w:val="auto"/>
              </w:rPr>
            </w:pPr>
            <w:r w:rsidRPr="00C665B6">
              <w:rPr>
                <w:rFonts w:cstheme="minorHAnsi"/>
                <w:color w:val="auto"/>
              </w:rPr>
              <w:t>Crown land</w:t>
            </w:r>
          </w:p>
        </w:tc>
        <w:tc>
          <w:tcPr>
            <w:tcW w:w="3940" w:type="pct"/>
            <w:shd w:val="clear" w:color="auto" w:fill="auto"/>
          </w:tcPr>
          <w:p w14:paraId="0A64E592" w14:textId="77777777" w:rsidR="00F431F5" w:rsidRPr="00C665B6" w:rsidRDefault="00F431F5" w:rsidP="008477EB">
            <w:pPr>
              <w:rPr>
                <w:rFonts w:cstheme="minorHAnsi"/>
                <w:color w:val="auto"/>
              </w:rPr>
            </w:pPr>
            <w:r w:rsidRPr="00C665B6">
              <w:rPr>
                <w:rFonts w:cstheme="minorHAnsi"/>
                <w:color w:val="auto"/>
              </w:rPr>
              <w:t>Private land or state forest added to reserve system since 2002. Average habitat score of site estimated to be 0.6. Security gain (10% of habitat score) annualised over 25 years – and gain recorded as part of net gain for 25 years. Previously in 2008 the security gain was 40% of habitat score.</w:t>
            </w:r>
          </w:p>
        </w:tc>
      </w:tr>
      <w:tr w:rsidR="00F431F5" w:rsidRPr="00C665B6" w14:paraId="1BDA5535" w14:textId="77777777" w:rsidTr="008477EB">
        <w:tc>
          <w:tcPr>
            <w:tcW w:w="1060" w:type="pct"/>
            <w:shd w:val="clear" w:color="auto" w:fill="auto"/>
          </w:tcPr>
          <w:p w14:paraId="1C7DAD45" w14:textId="77777777" w:rsidR="00F431F5" w:rsidRPr="00C665B6" w:rsidRDefault="00F431F5" w:rsidP="008477EB">
            <w:pPr>
              <w:rPr>
                <w:rFonts w:cstheme="minorHAnsi"/>
                <w:color w:val="auto"/>
              </w:rPr>
            </w:pPr>
            <w:r w:rsidRPr="00C665B6">
              <w:rPr>
                <w:rFonts w:cstheme="minorHAnsi"/>
                <w:color w:val="auto"/>
              </w:rPr>
              <w:t>Freehold land</w:t>
            </w:r>
          </w:p>
        </w:tc>
        <w:tc>
          <w:tcPr>
            <w:tcW w:w="3940" w:type="pct"/>
            <w:shd w:val="clear" w:color="auto" w:fill="auto"/>
          </w:tcPr>
          <w:p w14:paraId="1C6CFAB3" w14:textId="4CA1C35F" w:rsidR="00F431F5" w:rsidRPr="00C665B6" w:rsidRDefault="00F431F5" w:rsidP="008477EB">
            <w:pPr>
              <w:rPr>
                <w:rFonts w:cstheme="minorHAnsi"/>
                <w:color w:val="auto"/>
              </w:rPr>
            </w:pPr>
            <w:r w:rsidRPr="00C665B6">
              <w:rPr>
                <w:rFonts w:cstheme="minorHAnsi"/>
                <w:color w:val="auto"/>
              </w:rPr>
              <w:t>Freehold land placed under permanent protection agreements registered on title in the year of the report through Trust for Nature or under the Conservation, Forests and Lands Act. These areas are included in the figure under “Government programs on freehold land” There is also security gain associated with unallocated native vegetation credits</w:t>
            </w:r>
            <w:r w:rsidR="0000043B">
              <w:rPr>
                <w:rFonts w:cstheme="minorHAnsi"/>
                <w:color w:val="auto"/>
              </w:rPr>
              <w:t xml:space="preserve"> under the native vegetation regulations</w:t>
            </w:r>
            <w:r w:rsidRPr="00C665B6">
              <w:rPr>
                <w:rFonts w:cstheme="minorHAnsi"/>
                <w:color w:val="auto"/>
              </w:rPr>
              <w:t>.</w:t>
            </w:r>
          </w:p>
        </w:tc>
      </w:tr>
      <w:tr w:rsidR="00F431F5" w:rsidRPr="00C665B6" w14:paraId="00C013F9" w14:textId="77777777" w:rsidTr="00F431F5">
        <w:tc>
          <w:tcPr>
            <w:tcW w:w="5000" w:type="pct"/>
            <w:gridSpan w:val="2"/>
            <w:shd w:val="clear" w:color="auto" w:fill="EAF8F8" w:themeFill="accent4" w:themeFillTint="33"/>
          </w:tcPr>
          <w:p w14:paraId="2203A43A" w14:textId="77777777" w:rsidR="00F431F5" w:rsidRPr="00C665B6" w:rsidRDefault="00F431F5" w:rsidP="008477EB">
            <w:pPr>
              <w:pStyle w:val="TblBdy"/>
              <w:rPr>
                <w:rFonts w:asciiTheme="minorHAnsi" w:hAnsiTheme="minorHAnsi" w:cstheme="minorHAnsi"/>
                <w:b/>
                <w:sz w:val="20"/>
                <w:szCs w:val="20"/>
              </w:rPr>
            </w:pPr>
            <w:r w:rsidRPr="00C665B6">
              <w:rPr>
                <w:rFonts w:asciiTheme="minorHAnsi" w:hAnsiTheme="minorHAnsi" w:cstheme="minorHAnsi"/>
                <w:b/>
                <w:sz w:val="20"/>
                <w:szCs w:val="20"/>
              </w:rPr>
              <w:t>Losses (where broad assumptions only are possible)</w:t>
            </w:r>
          </w:p>
        </w:tc>
      </w:tr>
      <w:tr w:rsidR="00F431F5" w:rsidRPr="00C665B6" w14:paraId="76992C02" w14:textId="77777777" w:rsidTr="008477EB">
        <w:tc>
          <w:tcPr>
            <w:tcW w:w="1060" w:type="pct"/>
            <w:shd w:val="clear" w:color="auto" w:fill="auto"/>
          </w:tcPr>
          <w:p w14:paraId="63CAF532" w14:textId="77777777" w:rsidR="00F431F5" w:rsidRPr="00C665B6" w:rsidRDefault="00F431F5" w:rsidP="008477EB">
            <w:pPr>
              <w:rPr>
                <w:rFonts w:cstheme="minorHAnsi"/>
                <w:color w:val="auto"/>
              </w:rPr>
            </w:pPr>
            <w:r w:rsidRPr="00C665B6">
              <w:rPr>
                <w:rFonts w:cstheme="minorHAnsi"/>
                <w:color w:val="auto"/>
              </w:rPr>
              <w:t>Impacts of controlled management regimes on crown land</w:t>
            </w:r>
          </w:p>
        </w:tc>
        <w:tc>
          <w:tcPr>
            <w:tcW w:w="3940" w:type="pct"/>
            <w:shd w:val="clear" w:color="auto" w:fill="auto"/>
          </w:tcPr>
          <w:p w14:paraId="7C2D72C7" w14:textId="77777777" w:rsidR="00F431F5" w:rsidRPr="00C665B6" w:rsidRDefault="00F431F5" w:rsidP="008477EB">
            <w:pPr>
              <w:rPr>
                <w:rFonts w:cstheme="minorHAnsi"/>
                <w:color w:val="auto"/>
              </w:rPr>
            </w:pPr>
            <w:r w:rsidRPr="00C665B6">
              <w:rPr>
                <w:rFonts w:cstheme="minorHAnsi"/>
                <w:color w:val="auto"/>
              </w:rPr>
              <w:t xml:space="preserve">Areas of native vegetation that are under a regime where the most recent planned burn has resulted in the native vegetation being below the tolerable fire interval. </w:t>
            </w:r>
          </w:p>
        </w:tc>
      </w:tr>
      <w:tr w:rsidR="00F431F5" w:rsidRPr="00C665B6" w14:paraId="47CFFF4F" w14:textId="77777777" w:rsidTr="008477EB">
        <w:tc>
          <w:tcPr>
            <w:tcW w:w="1060" w:type="pct"/>
            <w:shd w:val="clear" w:color="auto" w:fill="auto"/>
          </w:tcPr>
          <w:p w14:paraId="6D3A4255" w14:textId="77777777" w:rsidR="00F431F5" w:rsidRPr="00C665B6" w:rsidRDefault="00F431F5" w:rsidP="008477EB">
            <w:pPr>
              <w:rPr>
                <w:rFonts w:cstheme="minorHAnsi"/>
                <w:color w:val="auto"/>
              </w:rPr>
            </w:pPr>
            <w:r w:rsidRPr="00C665B6">
              <w:rPr>
                <w:rFonts w:cstheme="minorHAnsi"/>
                <w:color w:val="auto"/>
              </w:rPr>
              <w:t>Insufficient management of threats on crown land</w:t>
            </w:r>
          </w:p>
        </w:tc>
        <w:tc>
          <w:tcPr>
            <w:tcW w:w="3940" w:type="pct"/>
            <w:shd w:val="clear" w:color="auto" w:fill="auto"/>
          </w:tcPr>
          <w:p w14:paraId="6F0FAF96" w14:textId="77777777" w:rsidR="00F431F5" w:rsidRPr="00C665B6" w:rsidRDefault="00F431F5" w:rsidP="008477EB">
            <w:pPr>
              <w:rPr>
                <w:rFonts w:cstheme="minorHAnsi"/>
                <w:color w:val="auto"/>
              </w:rPr>
            </w:pPr>
            <w:r w:rsidRPr="00C665B6">
              <w:rPr>
                <w:rFonts w:cstheme="minorHAnsi"/>
                <w:color w:val="auto"/>
              </w:rPr>
              <w:t>Areas of native vegetation on crown land where no baseline threat surveillance and management is undertaken (mainly lower priority areas). Assumed to occur in 5% of largely intact landscapes and 95% of native vegetation on crown land in fragmented landscapes.</w:t>
            </w:r>
          </w:p>
        </w:tc>
      </w:tr>
      <w:tr w:rsidR="00F431F5" w:rsidRPr="00C665B6" w14:paraId="5EB0D309" w14:textId="77777777" w:rsidTr="008477EB">
        <w:tc>
          <w:tcPr>
            <w:tcW w:w="1060" w:type="pct"/>
            <w:shd w:val="clear" w:color="auto" w:fill="auto"/>
          </w:tcPr>
          <w:p w14:paraId="1182503F" w14:textId="77777777" w:rsidR="00F431F5" w:rsidRPr="00C665B6" w:rsidRDefault="00F431F5" w:rsidP="008477EB">
            <w:pPr>
              <w:rPr>
                <w:rFonts w:cstheme="minorHAnsi"/>
                <w:color w:val="auto"/>
              </w:rPr>
            </w:pPr>
            <w:r w:rsidRPr="00C665B6">
              <w:rPr>
                <w:rFonts w:cstheme="minorHAnsi"/>
                <w:color w:val="auto"/>
              </w:rPr>
              <w:t>Entitled uses, exemptions, and insufficient management of threats on freehold land</w:t>
            </w:r>
          </w:p>
        </w:tc>
        <w:tc>
          <w:tcPr>
            <w:tcW w:w="3940" w:type="pct"/>
            <w:shd w:val="clear" w:color="auto" w:fill="auto"/>
          </w:tcPr>
          <w:p w14:paraId="4F4D2C7F" w14:textId="77777777" w:rsidR="00F431F5" w:rsidRPr="00C665B6" w:rsidRDefault="00F431F5" w:rsidP="008477EB">
            <w:pPr>
              <w:rPr>
                <w:rFonts w:cstheme="minorHAnsi"/>
                <w:color w:val="auto"/>
              </w:rPr>
            </w:pPr>
            <w:r w:rsidRPr="00C665B6">
              <w:rPr>
                <w:rFonts w:cstheme="minorHAnsi"/>
                <w:color w:val="auto"/>
              </w:rPr>
              <w:t>Entitled uses (e.g. grazing, removal of trees/ fallen logs for personal use), unmanaged threats beyond legislative obligations (e.g. environmental weeds) or clearing that is exempt from requiring a permit (e.g. fences, fire protection). Assumed to apply to freehold land in fragmented landscapes that is not covered by the area of investment or voluntary actions on freehold land.</w:t>
            </w:r>
          </w:p>
        </w:tc>
      </w:tr>
      <w:tr w:rsidR="00F431F5" w:rsidRPr="00C665B6" w14:paraId="289523E1" w14:textId="77777777" w:rsidTr="008477EB">
        <w:tc>
          <w:tcPr>
            <w:tcW w:w="1060" w:type="pct"/>
            <w:shd w:val="clear" w:color="auto" w:fill="auto"/>
          </w:tcPr>
          <w:p w14:paraId="409CE460" w14:textId="77777777" w:rsidR="00F431F5" w:rsidRPr="00C665B6" w:rsidRDefault="00F431F5" w:rsidP="008477EB">
            <w:pPr>
              <w:rPr>
                <w:rFonts w:cstheme="minorHAnsi"/>
                <w:color w:val="auto"/>
              </w:rPr>
            </w:pPr>
            <w:r w:rsidRPr="00C665B6">
              <w:rPr>
                <w:rFonts w:cstheme="minorHAnsi"/>
                <w:color w:val="auto"/>
              </w:rPr>
              <w:t>Impacts of exemptions on crown land</w:t>
            </w:r>
          </w:p>
        </w:tc>
        <w:tc>
          <w:tcPr>
            <w:tcW w:w="3940" w:type="pct"/>
            <w:shd w:val="clear" w:color="auto" w:fill="auto"/>
          </w:tcPr>
          <w:p w14:paraId="5DF20420" w14:textId="77777777" w:rsidR="00F431F5" w:rsidRPr="00C665B6" w:rsidRDefault="00F431F5" w:rsidP="008477EB">
            <w:pPr>
              <w:rPr>
                <w:rFonts w:cstheme="minorHAnsi"/>
                <w:color w:val="auto"/>
              </w:rPr>
            </w:pPr>
            <w:r w:rsidRPr="00C665B6">
              <w:rPr>
                <w:rFonts w:cstheme="minorHAnsi"/>
                <w:color w:val="auto"/>
              </w:rPr>
              <w:t xml:space="preserve">Clearing on crown land that is exempt from requiring a permit e.g. strategic fuelbreaks, fences, strategic fire access roads (to meet fire standards), new recreation assets (e.g. walking tracks), and the removal of hazardous fire damaged trees. </w:t>
            </w:r>
          </w:p>
        </w:tc>
      </w:tr>
      <w:tr w:rsidR="00F431F5" w:rsidRPr="00C665B6" w14:paraId="78803F1B" w14:textId="77777777" w:rsidTr="008477EB">
        <w:tc>
          <w:tcPr>
            <w:tcW w:w="1060" w:type="pct"/>
            <w:shd w:val="clear" w:color="auto" w:fill="auto"/>
          </w:tcPr>
          <w:p w14:paraId="7C8E49EC" w14:textId="77777777" w:rsidR="00F431F5" w:rsidRPr="00C665B6" w:rsidRDefault="00F431F5" w:rsidP="008477EB">
            <w:pPr>
              <w:rPr>
                <w:rFonts w:cstheme="minorHAnsi"/>
                <w:color w:val="auto"/>
              </w:rPr>
            </w:pPr>
            <w:r w:rsidRPr="00C665B6">
              <w:rPr>
                <w:rFonts w:cstheme="minorHAnsi"/>
                <w:color w:val="auto"/>
              </w:rPr>
              <w:t>Losses due to permitted clearing on freehold land</w:t>
            </w:r>
          </w:p>
        </w:tc>
        <w:tc>
          <w:tcPr>
            <w:tcW w:w="3940" w:type="pct"/>
            <w:shd w:val="clear" w:color="auto" w:fill="auto"/>
          </w:tcPr>
          <w:p w14:paraId="79B6E51B" w14:textId="77777777" w:rsidR="00F431F5" w:rsidRPr="00C665B6" w:rsidRDefault="00F431F5" w:rsidP="008477EB">
            <w:pPr>
              <w:rPr>
                <w:rFonts w:cstheme="minorHAnsi"/>
                <w:color w:val="auto"/>
              </w:rPr>
            </w:pPr>
            <w:r w:rsidRPr="00C665B6">
              <w:rPr>
                <w:rFonts w:cstheme="minorHAnsi"/>
                <w:color w:val="auto"/>
              </w:rPr>
              <w:t>Estimates of clearing of native vegetation from 2019/20 permits referred to DELWP, Melbourne Strategic Assessment and major projects where data are available.</w:t>
            </w:r>
          </w:p>
        </w:tc>
      </w:tr>
      <w:tr w:rsidR="00F431F5" w:rsidRPr="00C665B6" w14:paraId="2E9F7B72" w14:textId="77777777" w:rsidTr="008477EB">
        <w:tc>
          <w:tcPr>
            <w:tcW w:w="1060" w:type="pct"/>
            <w:shd w:val="clear" w:color="auto" w:fill="auto"/>
          </w:tcPr>
          <w:p w14:paraId="6B01EA37" w14:textId="77777777" w:rsidR="00F431F5" w:rsidRPr="00C665B6" w:rsidRDefault="00F431F5" w:rsidP="008477EB">
            <w:pPr>
              <w:rPr>
                <w:rFonts w:cstheme="minorHAnsi"/>
                <w:color w:val="auto"/>
              </w:rPr>
            </w:pPr>
            <w:r w:rsidRPr="00C665B6">
              <w:rPr>
                <w:rFonts w:cstheme="minorHAnsi"/>
                <w:color w:val="auto"/>
              </w:rPr>
              <w:t xml:space="preserve">Losses detected from satellite imagery (could be some permitted clearing </w:t>
            </w:r>
          </w:p>
        </w:tc>
        <w:tc>
          <w:tcPr>
            <w:tcW w:w="3940" w:type="pct"/>
            <w:shd w:val="clear" w:color="auto" w:fill="auto"/>
          </w:tcPr>
          <w:p w14:paraId="4383201D" w14:textId="77777777" w:rsidR="00F431F5" w:rsidRPr="00C665B6" w:rsidRDefault="00F431F5" w:rsidP="008477EB">
            <w:pPr>
              <w:rPr>
                <w:rFonts w:cstheme="minorHAnsi"/>
                <w:color w:val="auto"/>
              </w:rPr>
            </w:pPr>
            <w:r w:rsidRPr="00C665B6">
              <w:rPr>
                <w:rFonts w:cstheme="minorHAnsi"/>
                <w:color w:val="auto"/>
              </w:rPr>
              <w:t>Where remote-sensing reductions in extent have taken place, although this has not been ground-truthed. This is determined through comparing satellite imagery at different points in time. This may account for natural recovery and unaccounted for degradation over time if extent is impacted.</w:t>
            </w:r>
          </w:p>
          <w:p w14:paraId="1873D42D" w14:textId="77777777" w:rsidR="00F431F5" w:rsidRPr="00C665B6" w:rsidRDefault="00F431F5" w:rsidP="008477EB">
            <w:pPr>
              <w:rPr>
                <w:rFonts w:cstheme="minorHAnsi"/>
                <w:i/>
                <w:iCs/>
                <w:color w:val="auto"/>
              </w:rPr>
            </w:pPr>
            <w:r w:rsidRPr="00C665B6">
              <w:rPr>
                <w:rFonts w:cstheme="minorHAnsi"/>
                <w:i/>
                <w:iCs/>
                <w:color w:val="auto"/>
              </w:rPr>
              <w:t>As with past calculations, this value is too course to be included in Net outcome over time.</w:t>
            </w:r>
          </w:p>
        </w:tc>
      </w:tr>
    </w:tbl>
    <w:p w14:paraId="1BB631C9" w14:textId="77777777" w:rsidR="00F431F5" w:rsidRPr="00C665B6" w:rsidRDefault="00F431F5" w:rsidP="00F431F5">
      <w:pPr>
        <w:pStyle w:val="BodyText"/>
        <w:rPr>
          <w:rFonts w:cstheme="minorHAnsi"/>
        </w:rPr>
        <w:sectPr w:rsidR="00F431F5" w:rsidRPr="00C665B6" w:rsidSect="00F431F5">
          <w:type w:val="continuous"/>
          <w:pgSz w:w="11907" w:h="16840" w:code="9"/>
          <w:pgMar w:top="2211" w:right="851" w:bottom="1758" w:left="851" w:header="284" w:footer="284" w:gutter="0"/>
          <w:cols w:space="284"/>
          <w:docGrid w:linePitch="360"/>
        </w:sectPr>
      </w:pPr>
    </w:p>
    <w:p w14:paraId="42F2D9C0" w14:textId="4C32E5B5" w:rsidR="00F431F5" w:rsidRPr="00C665B6" w:rsidRDefault="00F431F5" w:rsidP="00F431F5">
      <w:pPr>
        <w:pStyle w:val="BodyText"/>
        <w:rPr>
          <w:rFonts w:cstheme="minorHAnsi"/>
        </w:rPr>
      </w:pPr>
    </w:p>
    <w:p w14:paraId="57A32A38" w14:textId="0F4DC864" w:rsidR="00F431F5" w:rsidRPr="00C665B6" w:rsidRDefault="00F431F5" w:rsidP="00F431F5">
      <w:pPr>
        <w:pStyle w:val="BodyText"/>
        <w:rPr>
          <w:rFonts w:cstheme="minorHAnsi"/>
        </w:rPr>
      </w:pPr>
    </w:p>
    <w:p w14:paraId="6CE05729" w14:textId="1302EEBE" w:rsidR="00A01DB7" w:rsidRPr="00843DDC" w:rsidRDefault="00F431F5" w:rsidP="00843DDC">
      <w:pPr>
        <w:pStyle w:val="Heading2"/>
        <w:rPr>
          <w:rFonts w:cstheme="minorBidi"/>
        </w:rPr>
      </w:pPr>
      <w:r w:rsidRPr="39031A6A">
        <w:rPr>
          <w:rFonts w:cstheme="minorBidi"/>
        </w:rPr>
        <w:t xml:space="preserve">Summary of native vegetation gains and losses </w:t>
      </w:r>
      <w:r w:rsidR="00071B4D" w:rsidRPr="39031A6A">
        <w:rPr>
          <w:rFonts w:cstheme="minorBidi"/>
        </w:rPr>
        <w:t>(</w:t>
      </w:r>
      <w:r w:rsidR="001F123B" w:rsidRPr="39031A6A">
        <w:rPr>
          <w:rFonts w:cstheme="minorBidi"/>
        </w:rPr>
        <w:t>in Habitat Hectares</w:t>
      </w:r>
      <w:r w:rsidR="00071B4D" w:rsidRPr="39031A6A">
        <w:rPr>
          <w:rFonts w:cstheme="minorBidi"/>
        </w:rPr>
        <w:t>)</w:t>
      </w:r>
    </w:p>
    <w:p w14:paraId="0D558733" w14:textId="133E8ECF" w:rsidR="001B7209" w:rsidRPr="002112BF" w:rsidRDefault="19AF66FD" w:rsidP="00EB3BF7">
      <w:pPr>
        <w:pStyle w:val="BodyText"/>
        <w:rPr>
          <w:rFonts w:ascii="Arial" w:hAnsi="Arial"/>
        </w:rPr>
      </w:pPr>
      <w:r>
        <w:rPr>
          <w:noProof/>
        </w:rPr>
        <w:drawing>
          <wp:inline distT="0" distB="0" distL="0" distR="0" wp14:anchorId="5F753290" wp14:editId="648275C1">
            <wp:extent cx="7866303" cy="4883662"/>
            <wp:effectExtent l="0" t="0" r="0" b="0"/>
            <wp:docPr id="1865816671" name="Picture 186581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7866303" cy="4883662"/>
                    </a:xfrm>
                    <a:prstGeom prst="rect">
                      <a:avLst/>
                    </a:prstGeom>
                  </pic:spPr>
                </pic:pic>
              </a:graphicData>
            </a:graphic>
          </wp:inline>
        </w:drawing>
      </w:r>
    </w:p>
    <w:p w14:paraId="360D57A8" w14:textId="1BA8D1BC" w:rsidR="00F431F5" w:rsidRPr="00C665B6" w:rsidRDefault="00F431F5" w:rsidP="00F431F5">
      <w:pPr>
        <w:pStyle w:val="BodyText"/>
        <w:rPr>
          <w:rFonts w:cstheme="minorHAnsi"/>
        </w:rPr>
      </w:pPr>
    </w:p>
    <w:p w14:paraId="11AD49DB" w14:textId="77777777" w:rsidR="00C665B6" w:rsidRDefault="00C665B6" w:rsidP="00F431F5">
      <w:pPr>
        <w:pStyle w:val="BodyText"/>
        <w:rPr>
          <w:rFonts w:cstheme="minorHAnsi"/>
        </w:rPr>
        <w:sectPr w:rsidR="00C665B6" w:rsidSect="00F431F5">
          <w:pgSz w:w="16840" w:h="11907" w:orient="landscape" w:code="9"/>
          <w:pgMar w:top="851" w:right="2211" w:bottom="851" w:left="1758" w:header="284" w:footer="284" w:gutter="0"/>
          <w:cols w:space="284"/>
          <w:docGrid w:linePitch="360"/>
        </w:sectPr>
      </w:pPr>
    </w:p>
    <w:p w14:paraId="657E973B" w14:textId="77777777" w:rsidR="00C665B6" w:rsidRDefault="00C665B6" w:rsidP="00C665B6">
      <w:pPr>
        <w:pStyle w:val="Heading2"/>
      </w:pPr>
      <w:r>
        <w:lastRenderedPageBreak/>
        <w:t xml:space="preserve">Progress with addressing information limitations (2020) </w:t>
      </w:r>
    </w:p>
    <w:p w14:paraId="79A26526" w14:textId="5C55D0EF" w:rsidR="00C665B6" w:rsidRPr="00E40DFB" w:rsidRDefault="00C665B6" w:rsidP="00C665B6">
      <w:pPr>
        <w:spacing w:after="120"/>
        <w:jc w:val="both"/>
        <w:rPr>
          <w:b/>
        </w:rPr>
      </w:pPr>
      <w:r w:rsidRPr="00E40DFB">
        <w:t xml:space="preserve">The </w:t>
      </w:r>
      <w:r>
        <w:t>First Approximation R</w:t>
      </w:r>
      <w:r w:rsidRPr="00E40DFB">
        <w:t xml:space="preserve">eport </w:t>
      </w:r>
      <w:r>
        <w:t xml:space="preserve">(2008) </w:t>
      </w:r>
      <w:r w:rsidRPr="00E40DFB">
        <w:t xml:space="preserve">recommended a range of new information </w:t>
      </w:r>
      <w:r>
        <w:t xml:space="preserve">requirements </w:t>
      </w:r>
      <w:r w:rsidRPr="00E40DFB">
        <w:t xml:space="preserve">to address limitations with </w:t>
      </w:r>
      <w:r>
        <w:t>that r</w:t>
      </w:r>
      <w:r w:rsidRPr="00E40DFB">
        <w:t>eport.</w:t>
      </w:r>
      <w:r>
        <w:t xml:space="preserve"> </w:t>
      </w:r>
      <w:r w:rsidR="0014505C">
        <w:t>While some progress in improving the information has been made, t</w:t>
      </w:r>
      <w:r>
        <w:t>hese limitations remain valid:</w:t>
      </w:r>
    </w:p>
    <w:p w14:paraId="660F64CE" w14:textId="24A25C3A" w:rsidR="00C665B6" w:rsidRPr="00E40DFB" w:rsidRDefault="00C665B6" w:rsidP="00C665B6">
      <w:pPr>
        <w:numPr>
          <w:ilvl w:val="0"/>
          <w:numId w:val="45"/>
        </w:numPr>
        <w:spacing w:after="120" w:line="240" w:lineRule="auto"/>
        <w:jc w:val="both"/>
      </w:pPr>
      <w:r w:rsidRPr="00E40DFB">
        <w:t xml:space="preserve">Better operational information on </w:t>
      </w:r>
      <w:r w:rsidRPr="00FA3454">
        <w:rPr>
          <w:b/>
        </w:rPr>
        <w:t>specific transactions</w:t>
      </w:r>
      <w:r w:rsidRPr="00E40DFB">
        <w:t xml:space="preserve"> – investment, permitted clearing</w:t>
      </w:r>
      <w:r w:rsidR="00763EBB">
        <w:t xml:space="preserve"> and</w:t>
      </w:r>
      <w:r w:rsidRPr="00E40DFB">
        <w:t xml:space="preserve"> exemptions</w:t>
      </w:r>
      <w:r w:rsidR="00C44A5E">
        <w:t>.</w:t>
      </w:r>
    </w:p>
    <w:p w14:paraId="779B125E" w14:textId="6240D6D4" w:rsidR="00C665B6" w:rsidRPr="00E40DFB" w:rsidRDefault="00C665B6" w:rsidP="00C665B6">
      <w:pPr>
        <w:numPr>
          <w:ilvl w:val="0"/>
          <w:numId w:val="45"/>
        </w:numPr>
        <w:spacing w:after="120" w:line="240" w:lineRule="auto"/>
        <w:jc w:val="both"/>
      </w:pPr>
      <w:r w:rsidRPr="00E40DFB">
        <w:t xml:space="preserve">New imagery and training data acquired at regular intervals to allow comparison across time of </w:t>
      </w:r>
      <w:r w:rsidRPr="00FA3454">
        <w:rPr>
          <w:b/>
        </w:rPr>
        <w:t>broad changes</w:t>
      </w:r>
      <w:r w:rsidRPr="00E40DFB">
        <w:t xml:space="preserve"> in extent and condition</w:t>
      </w:r>
      <w:r w:rsidR="00C44A5E">
        <w:t>.</w:t>
      </w:r>
    </w:p>
    <w:p w14:paraId="49E7A98C" w14:textId="61F21535" w:rsidR="00C665B6" w:rsidRPr="00E40DFB" w:rsidRDefault="00C665B6" w:rsidP="00C665B6">
      <w:pPr>
        <w:numPr>
          <w:ilvl w:val="0"/>
          <w:numId w:val="45"/>
        </w:numPr>
        <w:spacing w:after="120" w:line="240" w:lineRule="auto"/>
        <w:jc w:val="both"/>
      </w:pPr>
      <w:r w:rsidRPr="00E40DFB">
        <w:t xml:space="preserve">Further research or activities to </w:t>
      </w:r>
      <w:r w:rsidRPr="00FA3454">
        <w:rPr>
          <w:b/>
        </w:rPr>
        <w:t>test the assumptions</w:t>
      </w:r>
      <w:r w:rsidRPr="00E40DFB">
        <w:t xml:space="preserve"> used to determine impact of management actions on change in vegetation</w:t>
      </w:r>
      <w:r w:rsidR="00C44A5E">
        <w:t>.</w:t>
      </w:r>
    </w:p>
    <w:p w14:paraId="42F1F485" w14:textId="77777777" w:rsidR="00C665B6" w:rsidRDefault="00C665B6" w:rsidP="00C665B6">
      <w:pPr>
        <w:spacing w:after="120"/>
        <w:jc w:val="both"/>
        <w:rPr>
          <w:b/>
        </w:rPr>
      </w:pPr>
    </w:p>
    <w:p w14:paraId="57603221" w14:textId="63D86BBE" w:rsidR="00C665B6" w:rsidRPr="008F1537" w:rsidRDefault="00C665B6" w:rsidP="00C665B6">
      <w:pPr>
        <w:spacing w:after="120"/>
        <w:jc w:val="both"/>
        <w:rPr>
          <w:b/>
        </w:rPr>
      </w:pPr>
      <w:r w:rsidRPr="008F1537">
        <w:rPr>
          <w:b/>
        </w:rPr>
        <w:t xml:space="preserve">Specific transactions – </w:t>
      </w:r>
      <w:r w:rsidR="00727514">
        <w:rPr>
          <w:b/>
        </w:rPr>
        <w:t xml:space="preserve">need for </w:t>
      </w:r>
      <w:r w:rsidR="0055089E">
        <w:rPr>
          <w:b/>
        </w:rPr>
        <w:t xml:space="preserve">improved </w:t>
      </w:r>
      <w:r w:rsidR="00493CB5">
        <w:rPr>
          <w:b/>
        </w:rPr>
        <w:t>data on impacts to condition and extent</w:t>
      </w:r>
    </w:p>
    <w:p w14:paraId="3D320041" w14:textId="2E372812" w:rsidR="00C665B6" w:rsidRDefault="00C665B6" w:rsidP="00C665B6">
      <w:pPr>
        <w:spacing w:after="120"/>
        <w:jc w:val="both"/>
        <w:rPr>
          <w:b/>
        </w:rPr>
      </w:pPr>
      <w:r>
        <w:rPr>
          <w:bCs/>
        </w:rPr>
        <w:t xml:space="preserve">Reporting on government investment activity has improved since 2008 but is still not comprehensive. Work is continuing to more thoroughly report on </w:t>
      </w:r>
      <w:r w:rsidRPr="00E40DFB">
        <w:rPr>
          <w:bCs/>
        </w:rPr>
        <w:t>government ‘transactions’ such as those by DELWP, Parks Victoria</w:t>
      </w:r>
      <w:r>
        <w:rPr>
          <w:bCs/>
        </w:rPr>
        <w:t>, NGOs</w:t>
      </w:r>
      <w:r w:rsidRPr="00E40DFB">
        <w:rPr>
          <w:bCs/>
        </w:rPr>
        <w:t xml:space="preserve"> and CMAs.</w:t>
      </w:r>
      <w:r w:rsidR="00DB6874">
        <w:rPr>
          <w:bCs/>
        </w:rPr>
        <w:t xml:space="preserve"> Additional and improved </w:t>
      </w:r>
      <w:r>
        <w:rPr>
          <w:bCs/>
        </w:rPr>
        <w:t xml:space="preserve">data </w:t>
      </w:r>
      <w:r w:rsidR="00DB6874">
        <w:rPr>
          <w:bCs/>
        </w:rPr>
        <w:t xml:space="preserve">must be </w:t>
      </w:r>
      <w:r w:rsidR="00421168">
        <w:rPr>
          <w:bCs/>
        </w:rPr>
        <w:t xml:space="preserve">acquired </w:t>
      </w:r>
      <w:r w:rsidR="00B43C05">
        <w:rPr>
          <w:bCs/>
        </w:rPr>
        <w:t>to report more comprehensively and accurately in the future.</w:t>
      </w:r>
      <w:r w:rsidR="00EB5E16">
        <w:rPr>
          <w:bCs/>
        </w:rPr>
        <w:t xml:space="preserve"> </w:t>
      </w:r>
      <w:r>
        <w:rPr>
          <w:bCs/>
        </w:rPr>
        <w:t>There remains limited availability of data on some native vegetation losses such as</w:t>
      </w:r>
      <w:r w:rsidR="00B43C05" w:rsidDel="00856B48">
        <w:rPr>
          <w:bCs/>
        </w:rPr>
        <w:t xml:space="preserve"> </w:t>
      </w:r>
      <w:r w:rsidR="00B43C05">
        <w:rPr>
          <w:bCs/>
        </w:rPr>
        <w:t xml:space="preserve">hazardous tree removal, </w:t>
      </w:r>
      <w:r>
        <w:rPr>
          <w:bCs/>
        </w:rPr>
        <w:t xml:space="preserve">permitted clearing through Local Government approvals, </w:t>
      </w:r>
      <w:r w:rsidR="00147997">
        <w:rPr>
          <w:bCs/>
        </w:rPr>
        <w:t xml:space="preserve">clearing under </w:t>
      </w:r>
      <w:r>
        <w:rPr>
          <w:bCs/>
        </w:rPr>
        <w:t xml:space="preserve">exemptions on freehold land and illegal clearing. The </w:t>
      </w:r>
      <w:r w:rsidRPr="002B4096">
        <w:rPr>
          <w:bCs/>
          <w:i/>
          <w:iCs/>
        </w:rPr>
        <w:t>Native vegetation removal regulations - Crown land exemption</w:t>
      </w:r>
      <w:r>
        <w:rPr>
          <w:bCs/>
          <w:i/>
          <w:iCs/>
        </w:rPr>
        <w:t xml:space="preserve"> </w:t>
      </w:r>
      <w:r>
        <w:rPr>
          <w:bCs/>
        </w:rPr>
        <w:t xml:space="preserve">reports released for 2018/19 and 2019/20 detail impacts under the exemptions on Crown Land. </w:t>
      </w:r>
      <w:r w:rsidR="5880EFDC">
        <w:t xml:space="preserve">Future reporting will include </w:t>
      </w:r>
      <w:r w:rsidR="00843DDC">
        <w:t>actions to counterbalance exemptions</w:t>
      </w:r>
      <w:r w:rsidR="00D84429">
        <w:t xml:space="preserve"> on crown land</w:t>
      </w:r>
      <w:r w:rsidR="009C4363">
        <w:t xml:space="preserve"> </w:t>
      </w:r>
      <w:r w:rsidR="52FD83C5">
        <w:t xml:space="preserve">once data </w:t>
      </w:r>
      <w:r w:rsidR="05BE47A1">
        <w:t>quality is improved</w:t>
      </w:r>
      <w:r w:rsidR="52FD83C5">
        <w:t>.</w:t>
      </w:r>
    </w:p>
    <w:p w14:paraId="145CEE38" w14:textId="77777777" w:rsidR="00DF5F92" w:rsidRDefault="00DF5F92" w:rsidP="00C665B6">
      <w:pPr>
        <w:spacing w:after="120"/>
        <w:jc w:val="both"/>
        <w:rPr>
          <w:b/>
        </w:rPr>
      </w:pPr>
    </w:p>
    <w:p w14:paraId="5D8F8F9E" w14:textId="36D8FB6B" w:rsidR="00C665B6" w:rsidRPr="008F1537" w:rsidRDefault="00C665B6" w:rsidP="00C665B6">
      <w:pPr>
        <w:spacing w:after="120"/>
        <w:jc w:val="both"/>
        <w:rPr>
          <w:b/>
        </w:rPr>
      </w:pPr>
      <w:r w:rsidRPr="008F1537">
        <w:rPr>
          <w:b/>
        </w:rPr>
        <w:t>Broad Changes - extent</w:t>
      </w:r>
    </w:p>
    <w:p w14:paraId="06226E2C" w14:textId="77B627B1" w:rsidR="00C665B6" w:rsidRPr="00C665B6" w:rsidRDefault="00C665B6" w:rsidP="00C665B6">
      <w:pPr>
        <w:spacing w:after="120"/>
        <w:jc w:val="both"/>
      </w:pPr>
      <w:r>
        <w:t>DELWP has developed</w:t>
      </w:r>
      <w:r w:rsidRPr="008A40F3">
        <w:t xml:space="preserve"> </w:t>
      </w:r>
      <w:r>
        <w:t xml:space="preserve">new </w:t>
      </w:r>
      <w:r w:rsidRPr="008A40F3">
        <w:t xml:space="preserve">information on trends in </w:t>
      </w:r>
      <w:r>
        <w:t xml:space="preserve">native </w:t>
      </w:r>
      <w:r w:rsidRPr="008A40F3">
        <w:t xml:space="preserve">vegetation extent </w:t>
      </w:r>
      <w:r>
        <w:t xml:space="preserve">and land use </w:t>
      </w:r>
      <w:r w:rsidRPr="008A40F3">
        <w:t>from 1987-201</w:t>
      </w:r>
      <w:r>
        <w:t>9</w:t>
      </w:r>
      <w:r w:rsidRPr="008A40F3">
        <w:t xml:space="preserve">, broken into </w:t>
      </w:r>
      <w:r>
        <w:t>7</w:t>
      </w:r>
      <w:r w:rsidRPr="008A40F3">
        <w:t xml:space="preserve"> epochs. </w:t>
      </w:r>
      <w:r>
        <w:t xml:space="preserve">The acquisition of landsat (satellite) imagery, together with existing and a small amount of new training data, has provided a basis for modelling the distribution of native vegetation </w:t>
      </w:r>
      <w:r w:rsidRPr="008A40F3">
        <w:t xml:space="preserve">from a range of variables derived from satellite data sets. </w:t>
      </w:r>
      <w:r>
        <w:t xml:space="preserve">Training data is used to predict the relationship between the satellite imagery and native vegetation extent. The 7 epochs of satellite imagery enables the </w:t>
      </w:r>
      <w:r w:rsidRPr="008A40F3">
        <w:t>quantif</w:t>
      </w:r>
      <w:r>
        <w:t>ication of</w:t>
      </w:r>
      <w:r w:rsidRPr="008A40F3">
        <w:t xml:space="preserve"> how vegetation extent has changed across </w:t>
      </w:r>
      <w:r>
        <w:t>Victoria</w:t>
      </w:r>
      <w:r w:rsidRPr="008A40F3">
        <w:t xml:space="preserve"> since 1987</w:t>
      </w:r>
    </w:p>
    <w:p w14:paraId="33E6B475" w14:textId="77777777" w:rsidR="00C665B6" w:rsidRDefault="00C665B6" w:rsidP="00C665B6">
      <w:pPr>
        <w:spacing w:after="120"/>
        <w:jc w:val="both"/>
        <w:rPr>
          <w:b/>
        </w:rPr>
      </w:pPr>
    </w:p>
    <w:p w14:paraId="71E94B20" w14:textId="59447FC6" w:rsidR="00C665B6" w:rsidRPr="008F1537" w:rsidRDefault="00C665B6" w:rsidP="00C665B6">
      <w:pPr>
        <w:spacing w:after="120"/>
        <w:jc w:val="both"/>
        <w:rPr>
          <w:b/>
        </w:rPr>
      </w:pPr>
      <w:r w:rsidRPr="008F1537">
        <w:rPr>
          <w:b/>
        </w:rPr>
        <w:t>Broad Changes - condition</w:t>
      </w:r>
    </w:p>
    <w:p w14:paraId="1DF3ECDC" w14:textId="77777777" w:rsidR="00C665B6" w:rsidRDefault="00C665B6" w:rsidP="00C665B6">
      <w:pPr>
        <w:spacing w:after="120"/>
        <w:jc w:val="both"/>
      </w:pPr>
      <w:r>
        <w:t xml:space="preserve">Plot-based vegetation surveys continue to be conducted across Victoria, and new remote-sensed data are regularly captured, such that the raw data for updated condition mapping have accumulated since 2008. This data is however limited in the number and location of surveys, with increased targeted surveys needed to improve the condition layer and enable a time series analysis for future reporting. </w:t>
      </w:r>
    </w:p>
    <w:p w14:paraId="7098FCEE" w14:textId="2EF2FF87" w:rsidR="00C665B6" w:rsidRDefault="00C665B6" w:rsidP="00C665B6">
      <w:pPr>
        <w:spacing w:after="120"/>
        <w:jc w:val="both"/>
      </w:pPr>
      <w:r>
        <w:t>A new spatially-explicit, state-wide representation of habitat condition for the current period (2019/20),</w:t>
      </w:r>
      <w:r w:rsidRPr="001C2BD2">
        <w:t xml:space="preserve"> </w:t>
      </w:r>
      <w:r>
        <w:t xml:space="preserve">has been developed. This new model provides a </w:t>
      </w:r>
      <w:r w:rsidRPr="001C2BD2">
        <w:t>method</w:t>
      </w:r>
      <w:r>
        <w:t>ology and approaches</w:t>
      </w:r>
      <w:r w:rsidRPr="001C2BD2">
        <w:t xml:space="preserve"> that can be updated every few years to track condition change</w:t>
      </w:r>
      <w:r>
        <w:t xml:space="preserve">. </w:t>
      </w:r>
    </w:p>
    <w:p w14:paraId="39CDD491" w14:textId="77777777" w:rsidR="00C665B6" w:rsidRDefault="00C665B6" w:rsidP="00C665B6">
      <w:pPr>
        <w:spacing w:after="120"/>
        <w:jc w:val="both"/>
        <w:rPr>
          <w:b/>
        </w:rPr>
      </w:pPr>
    </w:p>
    <w:p w14:paraId="382C2A87" w14:textId="326DCFE8" w:rsidR="00C665B6" w:rsidRPr="008F1537" w:rsidRDefault="00C665B6" w:rsidP="00C665B6">
      <w:pPr>
        <w:spacing w:after="120"/>
        <w:jc w:val="both"/>
        <w:rPr>
          <w:b/>
        </w:rPr>
      </w:pPr>
      <w:r w:rsidRPr="008F1537">
        <w:rPr>
          <w:b/>
        </w:rPr>
        <w:t>Test the assumptions</w:t>
      </w:r>
    </w:p>
    <w:p w14:paraId="5CE643F5" w14:textId="54724922" w:rsidR="00F431F5" w:rsidRPr="00C665B6" w:rsidRDefault="00C665B6" w:rsidP="00C665B6">
      <w:pPr>
        <w:spacing w:after="120"/>
        <w:jc w:val="both"/>
        <w:rPr>
          <w:bCs/>
        </w:rPr>
      </w:pPr>
      <w:r w:rsidRPr="001D01BE">
        <w:rPr>
          <w:bCs/>
        </w:rPr>
        <w:t>There have been some activities to test assumptions on the impact of management actions on native vegetation</w:t>
      </w:r>
      <w:r>
        <w:rPr>
          <w:bCs/>
        </w:rPr>
        <w:t xml:space="preserve"> through various DELWP programs and initiatives</w:t>
      </w:r>
      <w:r w:rsidRPr="001D01BE">
        <w:rPr>
          <w:bCs/>
        </w:rPr>
        <w:t xml:space="preserve">. </w:t>
      </w:r>
      <w:r>
        <w:rPr>
          <w:bCs/>
        </w:rPr>
        <w:t xml:space="preserve">DELWP has developed a framework and standards for monitoring native vegetation to inform management effectiveness studies and to help test assumptions. </w:t>
      </w:r>
    </w:p>
    <w:p w14:paraId="18212AFB" w14:textId="77777777" w:rsidR="006E1C8D" w:rsidRPr="00C665B6" w:rsidRDefault="006E1C8D" w:rsidP="00C665B6">
      <w:pPr>
        <w:pStyle w:val="SmallBodyText"/>
        <w:rPr>
          <w:rFonts w:cstheme="minorHAnsi"/>
        </w:rPr>
      </w:pPr>
    </w:p>
    <w:sectPr w:rsidR="006E1C8D" w:rsidRPr="00C665B6" w:rsidSect="00C665B6">
      <w:footerReference w:type="default" r:id="rId22"/>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4BE68" w14:textId="77777777" w:rsidR="00766A17" w:rsidRDefault="00766A17">
      <w:r>
        <w:separator/>
      </w:r>
    </w:p>
    <w:p w14:paraId="45C9A486" w14:textId="77777777" w:rsidR="00766A17" w:rsidRDefault="00766A17"/>
    <w:p w14:paraId="63B9958C" w14:textId="77777777" w:rsidR="00766A17" w:rsidRDefault="00766A17"/>
  </w:endnote>
  <w:endnote w:type="continuationSeparator" w:id="0">
    <w:p w14:paraId="7BF04886" w14:textId="77777777" w:rsidR="00766A17" w:rsidRDefault="00766A17">
      <w:r>
        <w:continuationSeparator/>
      </w:r>
    </w:p>
    <w:p w14:paraId="4C1B43B3" w14:textId="77777777" w:rsidR="00766A17" w:rsidRDefault="00766A17"/>
    <w:p w14:paraId="4D011027" w14:textId="77777777" w:rsidR="00766A17" w:rsidRDefault="00766A17"/>
  </w:endnote>
  <w:endnote w:type="continuationNotice" w:id="1">
    <w:p w14:paraId="6939523F" w14:textId="77777777" w:rsidR="00766A17" w:rsidRDefault="00766A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7C81"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58240" behindDoc="1" locked="1" layoutInCell="1" allowOverlap="1" wp14:anchorId="7D8BD965" wp14:editId="791FFC63">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97F0" w14:textId="609D06B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D965"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3C5697F0" w14:textId="609D06B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0586" w14:textId="6FFCB70A" w:rsidR="00B40C2E" w:rsidRDefault="00C665B6" w:rsidP="00213C82">
    <w:pPr>
      <w:pStyle w:val="Footer"/>
    </w:pPr>
    <w:r>
      <w:rPr>
        <w:noProof/>
      </w:rPr>
      <mc:AlternateContent>
        <mc:Choice Requires="wps">
          <w:drawing>
            <wp:anchor distT="0" distB="0" distL="114300" distR="114300" simplePos="0" relativeHeight="251658259" behindDoc="0" locked="0" layoutInCell="0" allowOverlap="1" wp14:anchorId="4D06E5DB" wp14:editId="414F04F4">
              <wp:simplePos x="0" y="0"/>
              <wp:positionH relativeFrom="page">
                <wp:align>center</wp:align>
              </wp:positionH>
              <wp:positionV relativeFrom="page">
                <wp:align>bottom</wp:align>
              </wp:positionV>
              <wp:extent cx="7772400" cy="463550"/>
              <wp:effectExtent l="0" t="0" r="0" b="12700"/>
              <wp:wrapNone/>
              <wp:docPr id="31" name="MSIPCM359a4fa2ab9e71126ae9054f"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0DC33" w14:textId="7E4A8D8E" w:rsidR="00C665B6" w:rsidRPr="00194180" w:rsidRDefault="00194180" w:rsidP="00194180">
                          <w:pPr>
                            <w:jc w:val="center"/>
                            <w:rPr>
                              <w:rFonts w:ascii="Calibri" w:hAnsi="Calibri" w:cs="Calibri"/>
                              <w:color w:val="000000"/>
                              <w:sz w:val="24"/>
                            </w:rPr>
                          </w:pPr>
                          <w:r w:rsidRPr="001941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06E5DB" id="_x0000_t202" coordsize="21600,21600" o:spt="202" path="m,l,21600r21600,l21600,xe">
              <v:stroke joinstyle="miter"/>
              <v:path gradientshapeok="t" o:connecttype="rect"/>
            </v:shapetype>
            <v:shape id="MSIPCM359a4fa2ab9e71126ae9054f" o:spid="_x0000_s1027" type="#_x0000_t202" alt="{&quot;HashCode&quot;:-1264680268,&quot;Height&quot;:9999999.0,&quot;Width&quot;:9999999.0,&quot;Placement&quot;:&quot;Footer&quot;,&quot;Index&quot;:&quot;Primary&quot;,&quot;Section&quot;:1,&quot;Top&quot;:0.0,&quot;Left&quot;:0.0}" style="position:absolute;margin-left:0;margin-top:0;width:612pt;height:36.5pt;z-index:2516582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JCYTOyvAgAAWQUAAA4AAAAAAAAA&#10;AAAAAAAALgIAAGRycy9lMm9Eb2MueG1sUEsBAi0AFAAGAAgAAAAhAL4fCrfaAAAABQEAAA8AAAAA&#10;AAAAAAAAAAAACQUAAGRycy9kb3ducmV2LnhtbFBLBQYAAAAABAAEAPMAAAAQBgAAAAA=&#10;" o:allowincell="f" filled="f" stroked="f" strokeweight=".5pt">
              <v:textbox inset=",0,,0">
                <w:txbxContent>
                  <w:p w14:paraId="2D80DC33" w14:textId="7E4A8D8E" w:rsidR="00C665B6" w:rsidRPr="00194180" w:rsidRDefault="00194180" w:rsidP="00194180">
                    <w:pPr>
                      <w:jc w:val="center"/>
                      <w:rPr>
                        <w:rFonts w:ascii="Calibri" w:hAnsi="Calibri" w:cs="Calibri"/>
                        <w:color w:val="000000"/>
                        <w:sz w:val="24"/>
                      </w:rPr>
                    </w:pPr>
                    <w:r w:rsidRPr="00194180">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5B22562D" wp14:editId="0F7DE78D">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F1C07" w14:textId="3DC0C449"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562D"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i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S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SVHiIPAgAA&#10;8wMAAA4AAAAAAAAAAAAAAAAALgIAAGRycy9lMm9Eb2MueG1sUEsBAi0AFAAGAAgAAAAhADTFRM7b&#10;AAAABgEAAA8AAAAAAAAAAAAAAAAAaQQAAGRycy9kb3ducmV2LnhtbFBLBQYAAAAABAAEAPMAAABx&#10;BQAAAAA=&#10;" filled="f" stroked="f">
              <v:textbox>
                <w:txbxContent>
                  <w:p w14:paraId="311F1C07" w14:textId="3DC0C449"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85861" w14:textId="3B79A58C" w:rsidR="00B40C2E" w:rsidRDefault="00C665B6" w:rsidP="00BF3066">
    <w:pPr>
      <w:pStyle w:val="Footer"/>
      <w:spacing w:before="1600"/>
    </w:pPr>
    <w:r>
      <w:rPr>
        <w:noProof/>
      </w:rPr>
      <mc:AlternateContent>
        <mc:Choice Requires="wps">
          <w:drawing>
            <wp:anchor distT="0" distB="0" distL="114300" distR="114300" simplePos="0" relativeHeight="251658260" behindDoc="0" locked="0" layoutInCell="0" allowOverlap="1" wp14:anchorId="44D0B969" wp14:editId="72621D21">
              <wp:simplePos x="0" y="0"/>
              <wp:positionH relativeFrom="page">
                <wp:align>center</wp:align>
              </wp:positionH>
              <wp:positionV relativeFrom="page">
                <wp:align>bottom</wp:align>
              </wp:positionV>
              <wp:extent cx="7772400" cy="463550"/>
              <wp:effectExtent l="0" t="0" r="0" b="12700"/>
              <wp:wrapNone/>
              <wp:docPr id="32" name="MSIPCMb0064727bb150b13c9c14165"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8417E" w14:textId="433DB2FA" w:rsidR="00C665B6" w:rsidRPr="00194180" w:rsidRDefault="00194180" w:rsidP="00194180">
                          <w:pPr>
                            <w:jc w:val="center"/>
                            <w:rPr>
                              <w:rFonts w:ascii="Calibri" w:hAnsi="Calibri" w:cs="Calibri"/>
                              <w:color w:val="000000"/>
                              <w:sz w:val="24"/>
                            </w:rPr>
                          </w:pPr>
                          <w:r w:rsidRPr="001941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D0B969" id="_x0000_t202" coordsize="21600,21600" o:spt="202" path="m,l,21600r21600,l21600,xe">
              <v:stroke joinstyle="miter"/>
              <v:path gradientshapeok="t" o:connecttype="rect"/>
            </v:shapetype>
            <v:shape id="MSIPCMb0064727bb150b13c9c14165" o:spid="_x0000_s1029" type="#_x0000_t202" alt="{&quot;HashCode&quot;:-1264680268,&quot;Height&quot;:9999999.0,&quot;Width&quot;:9999999.0,&quot;Placement&quot;:&quot;Footer&quot;,&quot;Index&quot;:&quot;FirstPage&quot;,&quot;Section&quot;:1,&quot;Top&quot;:0.0,&quot;Left&quot;:0.0}" style="position:absolute;margin-left:0;margin-top:0;width:612pt;height:36.5pt;z-index:2516582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YWEIebECAABbBQAADgAAAAAA&#10;AAAAAAAAAAAuAgAAZHJzL2Uyb0RvYy54bWxQSwECLQAUAAYACAAAACEAvh8Kt9oAAAAFAQAADwAA&#10;AAAAAAAAAAAAAAALBQAAZHJzL2Rvd25yZXYueG1sUEsFBgAAAAAEAAQA8wAAABIGAAAAAA==&#10;" o:allowincell="f" filled="f" stroked="f" strokeweight=".5pt">
              <v:textbox inset=",0,,0">
                <w:txbxContent>
                  <w:p w14:paraId="5958417E" w14:textId="433DB2FA" w:rsidR="00C665B6" w:rsidRPr="00194180" w:rsidRDefault="00194180" w:rsidP="00194180">
                    <w:pPr>
                      <w:jc w:val="center"/>
                      <w:rPr>
                        <w:rFonts w:ascii="Calibri" w:hAnsi="Calibri" w:cs="Calibri"/>
                        <w:color w:val="000000"/>
                        <w:sz w:val="24"/>
                      </w:rPr>
                    </w:pPr>
                    <w:r w:rsidRPr="00194180">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5" behindDoc="1" locked="1" layoutInCell="1" allowOverlap="1" wp14:anchorId="5195E3C7" wp14:editId="39047280">
          <wp:simplePos x="0" y="0"/>
          <wp:positionH relativeFrom="page">
            <wp:posOffset>-35560</wp:posOffset>
          </wp:positionH>
          <wp:positionV relativeFrom="page">
            <wp:align>bottom</wp:align>
          </wp:positionV>
          <wp:extent cx="2008800" cy="950400"/>
          <wp:effectExtent l="0" t="0" r="0" b="2540"/>
          <wp:wrapNone/>
          <wp:docPr id="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2" behindDoc="1" locked="1" layoutInCell="1" allowOverlap="1" wp14:anchorId="662980F3" wp14:editId="6144D19A">
          <wp:simplePos x="0" y="0"/>
          <wp:positionH relativeFrom="page">
            <wp:align>right</wp:align>
          </wp:positionH>
          <wp:positionV relativeFrom="page">
            <wp:align>bottom</wp:align>
          </wp:positionV>
          <wp:extent cx="2403762" cy="1083600"/>
          <wp:effectExtent l="0" t="0" r="0" b="0"/>
          <wp:wrapNone/>
          <wp:docPr id="2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0F59" w14:textId="366603C1" w:rsidR="00C665B6" w:rsidRDefault="00C665B6" w:rsidP="00213C82">
    <w:pPr>
      <w:pStyle w:val="Footer"/>
    </w:pPr>
    <w:r>
      <w:rPr>
        <w:noProof/>
        <w:sz w:val="18"/>
      </w:rPr>
      <mc:AlternateContent>
        <mc:Choice Requires="wps">
          <w:drawing>
            <wp:anchor distT="0" distB="0" distL="114300" distR="114300" simplePos="0" relativeHeight="251658261" behindDoc="0" locked="0" layoutInCell="0" allowOverlap="1" wp14:anchorId="02AACFC5" wp14:editId="2861F08E">
              <wp:simplePos x="0" y="0"/>
              <wp:positionH relativeFrom="page">
                <wp:align>center</wp:align>
              </wp:positionH>
              <wp:positionV relativeFrom="page">
                <wp:align>bottom</wp:align>
              </wp:positionV>
              <wp:extent cx="7772400" cy="463550"/>
              <wp:effectExtent l="0" t="0" r="0" b="12700"/>
              <wp:wrapNone/>
              <wp:docPr id="35" name="MSIPCM3ade43d3a4baa2c18c3ca41d" descr="{&quot;HashCode&quot;:-1264680268,&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8A460" w14:textId="347B9E6F" w:rsidR="00C665B6" w:rsidRPr="00194180" w:rsidRDefault="00194180" w:rsidP="00194180">
                          <w:pPr>
                            <w:jc w:val="center"/>
                            <w:rPr>
                              <w:rFonts w:ascii="Calibri" w:hAnsi="Calibri" w:cs="Calibri"/>
                              <w:color w:val="000000"/>
                              <w:sz w:val="24"/>
                            </w:rPr>
                          </w:pPr>
                          <w:r w:rsidRPr="001941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AACFC5" id="_x0000_t202" coordsize="21600,21600" o:spt="202" path="m,l,21600r21600,l21600,xe">
              <v:stroke joinstyle="miter"/>
              <v:path gradientshapeok="t" o:connecttype="rect"/>
            </v:shapetype>
            <v:shape id="MSIPCM3ade43d3a4baa2c18c3ca41d" o:spid="_x0000_s1030" type="#_x0000_t202" alt="{&quot;HashCode&quot;:-1264680268,&quot;Height&quot;:9999999.0,&quot;Width&quot;:9999999.0,&quot;Placement&quot;:&quot;Footer&quot;,&quot;Index&quot;:&quot;Primary&quot;,&quot;Section&quot;:4,&quot;Top&quot;:0.0,&quot;Left&quot;:0.0}" style="position:absolute;margin-left:0;margin-top:0;width:612pt;height:36.5pt;z-index:2516582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xJT3Ra4CAABZBQAADgAAAAAAAAAA&#10;AAAAAAAuAgAAZHJzL2Uyb0RvYy54bWxQSwECLQAUAAYACAAAACEAvh8Kt9oAAAAFAQAADwAAAAAA&#10;AAAAAAAAAAAIBQAAZHJzL2Rvd25yZXYueG1sUEsFBgAAAAAEAAQA8wAAAA8GAAAAAA==&#10;" o:allowincell="f" filled="f" stroked="f" strokeweight=".5pt">
              <v:textbox inset=",0,,0">
                <w:txbxContent>
                  <w:p w14:paraId="6C98A460" w14:textId="347B9E6F" w:rsidR="00C665B6" w:rsidRPr="00194180" w:rsidRDefault="00194180" w:rsidP="00194180">
                    <w:pPr>
                      <w:jc w:val="center"/>
                      <w:rPr>
                        <w:rFonts w:ascii="Calibri" w:hAnsi="Calibri" w:cs="Calibri"/>
                        <w:color w:val="000000"/>
                        <w:sz w:val="24"/>
                      </w:rPr>
                    </w:pPr>
                    <w:r w:rsidRPr="00194180">
                      <w:rPr>
                        <w:rFonts w:ascii="Calibri" w:hAnsi="Calibri" w:cs="Calibri"/>
                        <w:color w:val="000000"/>
                        <w:sz w:val="24"/>
                      </w:rPr>
                      <w:t>OFFICIAL</w:t>
                    </w:r>
                  </w:p>
                </w:txbxContent>
              </v:textbox>
              <w10:wrap anchorx="page" anchory="page"/>
            </v:shape>
          </w:pict>
        </mc:Fallback>
      </mc:AlternateContent>
    </w:r>
    <w:r>
      <w:rPr>
        <w:noProof/>
        <w:sz w:val="18"/>
      </w:rPr>
      <mc:AlternateContent>
        <mc:Choice Requires="wps">
          <w:drawing>
            <wp:anchor distT="0" distB="0" distL="114300" distR="114300" simplePos="0" relativeHeight="251658258" behindDoc="0" locked="1" layoutInCell="1" allowOverlap="1" wp14:anchorId="15C29088" wp14:editId="642F6D92">
              <wp:simplePos x="0" y="0"/>
              <wp:positionH relativeFrom="page">
                <wp:posOffset>0</wp:posOffset>
              </wp:positionH>
              <wp:positionV relativeFrom="page">
                <wp:posOffset>9653270</wp:posOffset>
              </wp:positionV>
              <wp:extent cx="3848100" cy="719455"/>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30280" w14:textId="77777777" w:rsidR="00C665B6" w:rsidRDefault="00C665B6" w:rsidP="00C665B6">
                          <w:pPr>
                            <w:pStyle w:val="xWeb"/>
                          </w:pPr>
                        </w:p>
                        <w:p w14:paraId="341C915E" w14:textId="77777777" w:rsidR="00C665B6" w:rsidRDefault="00C665B6" w:rsidP="00C665B6">
                          <w:pPr>
                            <w:pStyle w:val="xWeb"/>
                          </w:pPr>
                        </w:p>
                        <w:p w14:paraId="24366E19" w14:textId="71AA7A23" w:rsidR="00C665B6" w:rsidRPr="009F69FA" w:rsidRDefault="00C665B6" w:rsidP="00C665B6">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9088" id="WebAddress" o:spid="_x0000_s1031" type="#_x0000_t202" style="position:absolute;margin-left:0;margin-top:760.1pt;width:303pt;height:56.6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" filled="f" stroked="f" strokeweight=".5pt">
              <v:textbox inset="15mm">
                <w:txbxContent>
                  <w:p w14:paraId="3B030280" w14:textId="77777777" w:rsidR="00C665B6" w:rsidRDefault="00C665B6" w:rsidP="00C665B6">
                    <w:pPr>
                      <w:pStyle w:val="xWeb"/>
                    </w:pPr>
                  </w:p>
                  <w:p w14:paraId="341C915E" w14:textId="77777777" w:rsidR="00C665B6" w:rsidRDefault="00C665B6" w:rsidP="00C665B6">
                    <w:pPr>
                      <w:pStyle w:val="xWeb"/>
                    </w:pPr>
                  </w:p>
                  <w:p w14:paraId="24366E19" w14:textId="71AA7A23" w:rsidR="00C665B6" w:rsidRPr="009F69FA" w:rsidRDefault="00C665B6" w:rsidP="00C665B6">
                    <w:pPr>
                      <w:pStyle w:val="xWeb"/>
                    </w:pPr>
                    <w:r w:rsidRPr="009F69FA">
                      <w:t>de</w:t>
                    </w:r>
                    <w:r>
                      <w:t>lwp</w:t>
                    </w:r>
                    <w:r w:rsidRPr="009F69FA">
                      <w:t>.vic.gov.au</w:t>
                    </w:r>
                  </w:p>
                </w:txbxContent>
              </v:textbox>
              <w10:wrap anchorx="page" anchory="page"/>
              <w10:anchorlock/>
            </v:shape>
          </w:pict>
        </mc:Fallback>
      </mc:AlternateContent>
    </w:r>
    <w:r>
      <w:rPr>
        <w:noProof/>
      </w:rPr>
      <w:drawing>
        <wp:anchor distT="0" distB="0" distL="114300" distR="114300" simplePos="0" relativeHeight="251658257" behindDoc="0" locked="0" layoutInCell="1" allowOverlap="1" wp14:anchorId="4B2F9AEE" wp14:editId="7C576EE1">
          <wp:simplePos x="0" y="0"/>
          <wp:positionH relativeFrom="margin">
            <wp:align>right</wp:align>
          </wp:positionH>
          <wp:positionV relativeFrom="paragraph">
            <wp:posOffset>-489857</wp:posOffset>
          </wp:positionV>
          <wp:extent cx="1815517" cy="540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r w:rsidRPr="00D55628">
      <w:rPr>
        <w:noProof/>
      </w:rPr>
      <mc:AlternateContent>
        <mc:Choice Requires="wps">
          <w:drawing>
            <wp:anchor distT="0" distB="0" distL="114300" distR="114300" simplePos="0" relativeHeight="251658256" behindDoc="1" locked="1" layoutInCell="1" allowOverlap="1" wp14:anchorId="4145A673" wp14:editId="280F553B">
              <wp:simplePos x="0" y="0"/>
              <wp:positionH relativeFrom="page">
                <wp:align>center</wp:align>
              </wp:positionH>
              <wp:positionV relativeFrom="page">
                <wp:align>center</wp:align>
              </wp:positionV>
              <wp:extent cx="7560000" cy="1796400"/>
              <wp:effectExtent l="0" t="0" r="0" b="0"/>
              <wp:wrapNone/>
              <wp:docPr id="29"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8D8B" w14:textId="05418729" w:rsidR="00C665B6" w:rsidRPr="0001226A" w:rsidRDefault="00C665B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5A673" id="_x0000_t202" coordsize="21600,21600" o:spt="202" path="m,l,21600r21600,l21600,xe">
              <v:stroke joinstyle="miter"/>
              <v:path gradientshapeok="t" o:connecttype="rect"/>
            </v:shapetype>
            <v:shape id="_x0000_s1032" type="#_x0000_t202" alt="Title: Background Watermark Image" style="position:absolute;margin-left:0;margin-top:0;width:595.3pt;height:141.45pt;z-index:-251658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Dn5t/WEAIA&#10;APQDAAAOAAAAAAAAAAAAAAAAAC4CAABkcnMvZTJvRG9jLnhtbFBLAQItABQABgAIAAAAIQA0xUTO&#10;2wAAAAYBAAAPAAAAAAAAAAAAAAAAAGoEAABkcnMvZG93bnJldi54bWxQSwUGAAAAAAQABADzAAAA&#10;cgUAAAAA&#10;" filled="f" stroked="f">
              <v:textbox>
                <w:txbxContent>
                  <w:p w14:paraId="6B078D8B" w14:textId="05418729" w:rsidR="00C665B6" w:rsidRPr="0001226A" w:rsidRDefault="00C665B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E8AA1" w14:textId="77777777" w:rsidR="00766A17" w:rsidRPr="008F5280" w:rsidRDefault="00766A17" w:rsidP="008F5280">
      <w:pPr>
        <w:pStyle w:val="FootnoteSeparator"/>
      </w:pPr>
    </w:p>
    <w:p w14:paraId="015905B4" w14:textId="77777777" w:rsidR="00766A17" w:rsidRDefault="00766A17"/>
  </w:footnote>
  <w:footnote w:type="continuationSeparator" w:id="0">
    <w:p w14:paraId="5E50E3D9" w14:textId="77777777" w:rsidR="00766A17" w:rsidRDefault="00766A17" w:rsidP="008F5280">
      <w:pPr>
        <w:pStyle w:val="FootnoteSeparator"/>
      </w:pPr>
    </w:p>
    <w:p w14:paraId="6041D778" w14:textId="77777777" w:rsidR="00766A17" w:rsidRDefault="00766A17"/>
    <w:p w14:paraId="58F3F60D" w14:textId="77777777" w:rsidR="00766A17" w:rsidRDefault="00766A17"/>
  </w:footnote>
  <w:footnote w:type="continuationNotice" w:id="1">
    <w:p w14:paraId="22504CD4" w14:textId="77777777" w:rsidR="00766A17" w:rsidRDefault="00766A17" w:rsidP="00D55628"/>
    <w:p w14:paraId="7DA024F9" w14:textId="77777777" w:rsidR="00766A17" w:rsidRDefault="00766A17"/>
    <w:p w14:paraId="03B75AFF" w14:textId="77777777" w:rsidR="00766A17" w:rsidRDefault="00766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A12F3EF" w14:textId="77777777" w:rsidTr="00B40C2E">
      <w:trPr>
        <w:trHeight w:hRule="exact" w:val="1418"/>
      </w:trPr>
      <w:tc>
        <w:tcPr>
          <w:tcW w:w="7761" w:type="dxa"/>
          <w:vAlign w:val="center"/>
        </w:tcPr>
        <w:p w14:paraId="1EA138F6" w14:textId="130AFB5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3D4193">
            <w:rPr>
              <w:noProof/>
            </w:rPr>
            <w:t>2020 Net Gain Accounting Qualitative Update</w:t>
          </w:r>
          <w:r>
            <w:rPr>
              <w:noProof/>
            </w:rPr>
            <w:fldChar w:fldCharType="end"/>
          </w:r>
        </w:p>
      </w:tc>
    </w:tr>
  </w:tbl>
  <w:p w14:paraId="3424E500"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0857091D" wp14:editId="0E05402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021FB"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7A7AEEDB" wp14:editId="592A4DD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AC9C9"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46F8AB09" wp14:editId="4CC65D1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80DA8"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6720E4A"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9CAD321" w14:textId="77777777" w:rsidTr="00B40C2E">
      <w:trPr>
        <w:trHeight w:hRule="exact" w:val="1418"/>
      </w:trPr>
      <w:tc>
        <w:tcPr>
          <w:tcW w:w="7761" w:type="dxa"/>
          <w:vAlign w:val="center"/>
        </w:tcPr>
        <w:p w14:paraId="316FD1A7" w14:textId="2CA38720"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3D4193">
            <w:rPr>
              <w:noProof/>
            </w:rPr>
            <w:t>2020 Net Gain Accounting Qualitative Update</w:t>
          </w:r>
          <w:r>
            <w:rPr>
              <w:noProof/>
            </w:rPr>
            <w:fldChar w:fldCharType="end"/>
          </w:r>
        </w:p>
      </w:tc>
    </w:tr>
  </w:tbl>
  <w:p w14:paraId="65125C32"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70EF5AD5" wp14:editId="297C7ECA">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2DFED"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2818C3F5" wp14:editId="592246C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81FEC"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302F42D" wp14:editId="735E23A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02881"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C67E7BF" w14:textId="77777777" w:rsidR="00B40C2E" w:rsidRDefault="00B40C2E" w:rsidP="00C665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0619" w14:textId="77777777" w:rsidR="00B40C2E" w:rsidRPr="00E97294" w:rsidRDefault="000B66BB" w:rsidP="00E97294">
    <w:pPr>
      <w:pStyle w:val="Header"/>
    </w:pPr>
    <w:r>
      <w:rPr>
        <w:noProof/>
      </w:rPr>
      <w:drawing>
        <wp:anchor distT="0" distB="0" distL="114300" distR="114300" simplePos="0" relativeHeight="251658254" behindDoc="1" locked="0" layoutInCell="1" allowOverlap="1" wp14:anchorId="6F6310FF" wp14:editId="6C28B6B4">
          <wp:simplePos x="0" y="0"/>
          <wp:positionH relativeFrom="page">
            <wp:posOffset>720090</wp:posOffset>
          </wp:positionH>
          <wp:positionV relativeFrom="page">
            <wp:posOffset>1188085</wp:posOffset>
          </wp:positionV>
          <wp:extent cx="860400" cy="896400"/>
          <wp:effectExtent l="0" t="0" r="0" b="0"/>
          <wp:wrapNone/>
          <wp:docPr id="22"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1" allowOverlap="1" wp14:anchorId="1E8B760B" wp14:editId="70F61737">
          <wp:simplePos x="0" y="0"/>
          <wp:positionH relativeFrom="page">
            <wp:posOffset>720090</wp:posOffset>
          </wp:positionH>
          <wp:positionV relativeFrom="page">
            <wp:posOffset>1188085</wp:posOffset>
          </wp:positionV>
          <wp:extent cx="864000" cy="896400"/>
          <wp:effectExtent l="0" t="0" r="0" b="0"/>
          <wp:wrapNone/>
          <wp:docPr id="23"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0FFD2288" wp14:editId="2BE594B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1C2E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2F12AE1C" wp14:editId="2185F995">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CF389"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06502AFF" wp14:editId="2BC4943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D5FAF"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03ACB851" wp14:editId="2F768F3E">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2F692F"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1A8D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4014BA4"/>
    <w:multiLevelType w:val="hybridMultilevel"/>
    <w:tmpl w:val="61AA28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37BE042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4307F8"/>
    <w:multiLevelType w:val="hybridMultilevel"/>
    <w:tmpl w:val="F026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6B00085"/>
    <w:multiLevelType w:val="singleLevel"/>
    <w:tmpl w:val="93825D98"/>
    <w:lvl w:ilvl="0">
      <w:start w:val="1"/>
      <w:numFmt w:val="decimal"/>
      <w:pStyle w:val="NumberedText"/>
      <w:lvlText w:val="%1."/>
      <w:lvlJc w:val="left"/>
      <w:pPr>
        <w:tabs>
          <w:tab w:val="num" w:pos="360"/>
        </w:tabs>
        <w:ind w:left="360" w:hanging="360"/>
      </w:pPr>
      <w:rPr>
        <w:rFonts w:ascii="Calibri" w:hAnsi="Calibri" w:hint="default"/>
        <w:i w:val="0"/>
        <w:sz w:val="24"/>
        <w:szCs w:val="24"/>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6"/>
  </w:num>
  <w:num w:numId="4">
    <w:abstractNumId w:val="34"/>
  </w:num>
  <w:num w:numId="5">
    <w:abstractNumId w:val="15"/>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num>
  <w:num w:numId="44">
    <w:abstractNumId w:val="25"/>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F431F5"/>
    <w:rsid w:val="0000017F"/>
    <w:rsid w:val="00000279"/>
    <w:rsid w:val="0000043B"/>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39E"/>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43A"/>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5C1"/>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4D"/>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093"/>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1B4"/>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1C"/>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05C"/>
    <w:rsid w:val="00145711"/>
    <w:rsid w:val="0014576E"/>
    <w:rsid w:val="001457F6"/>
    <w:rsid w:val="001459D7"/>
    <w:rsid w:val="00145BB5"/>
    <w:rsid w:val="00146CDE"/>
    <w:rsid w:val="0014701F"/>
    <w:rsid w:val="001470F1"/>
    <w:rsid w:val="001474AE"/>
    <w:rsid w:val="001474D5"/>
    <w:rsid w:val="00147997"/>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00"/>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180"/>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209"/>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23B"/>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1E"/>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2BF"/>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136"/>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282"/>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A9A"/>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AEC"/>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193"/>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569"/>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168"/>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CB5"/>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2A4"/>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89E"/>
    <w:rsid w:val="00550BE8"/>
    <w:rsid w:val="00550C69"/>
    <w:rsid w:val="00551607"/>
    <w:rsid w:val="00552423"/>
    <w:rsid w:val="005534BB"/>
    <w:rsid w:val="00553651"/>
    <w:rsid w:val="0055365C"/>
    <w:rsid w:val="00553668"/>
    <w:rsid w:val="00553ADF"/>
    <w:rsid w:val="005541D4"/>
    <w:rsid w:val="00554A10"/>
    <w:rsid w:val="005550AC"/>
    <w:rsid w:val="00555B10"/>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7F1"/>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1C3"/>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3A"/>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509"/>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1DC"/>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3CE"/>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E8C"/>
    <w:rsid w:val="0071329F"/>
    <w:rsid w:val="00713B45"/>
    <w:rsid w:val="00714FD3"/>
    <w:rsid w:val="007151A2"/>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514"/>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EBB"/>
    <w:rsid w:val="0076407E"/>
    <w:rsid w:val="00764110"/>
    <w:rsid w:val="00764456"/>
    <w:rsid w:val="00764E15"/>
    <w:rsid w:val="00765855"/>
    <w:rsid w:val="00765F41"/>
    <w:rsid w:val="00765F49"/>
    <w:rsid w:val="007660F9"/>
    <w:rsid w:val="0076674F"/>
    <w:rsid w:val="007667D9"/>
    <w:rsid w:val="00766982"/>
    <w:rsid w:val="00766A17"/>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41A"/>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4CE1"/>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DDC"/>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7EB"/>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48"/>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6AA"/>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5C5"/>
    <w:rsid w:val="00975C91"/>
    <w:rsid w:val="00975D72"/>
    <w:rsid w:val="00975ED3"/>
    <w:rsid w:val="00976B89"/>
    <w:rsid w:val="00977318"/>
    <w:rsid w:val="0097757C"/>
    <w:rsid w:val="0098053B"/>
    <w:rsid w:val="00980774"/>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BE"/>
    <w:rsid w:val="009C21E0"/>
    <w:rsid w:val="009C256D"/>
    <w:rsid w:val="009C30E1"/>
    <w:rsid w:val="009C3555"/>
    <w:rsid w:val="009C3562"/>
    <w:rsid w:val="009C379A"/>
    <w:rsid w:val="009C37C7"/>
    <w:rsid w:val="009C38A5"/>
    <w:rsid w:val="009C3936"/>
    <w:rsid w:val="009C4363"/>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1DB7"/>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151"/>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D45"/>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06"/>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3C05"/>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77E"/>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67D"/>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A5E"/>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5B6"/>
    <w:rsid w:val="00C6660B"/>
    <w:rsid w:val="00C666DD"/>
    <w:rsid w:val="00C66CF0"/>
    <w:rsid w:val="00C67029"/>
    <w:rsid w:val="00C67111"/>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446"/>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35"/>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4121"/>
    <w:rsid w:val="00D14D48"/>
    <w:rsid w:val="00D14E24"/>
    <w:rsid w:val="00D14EE7"/>
    <w:rsid w:val="00D14F29"/>
    <w:rsid w:val="00D14F40"/>
    <w:rsid w:val="00D15210"/>
    <w:rsid w:val="00D15362"/>
    <w:rsid w:val="00D15FD8"/>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4FC9"/>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3FBE"/>
    <w:rsid w:val="00D747A7"/>
    <w:rsid w:val="00D7587C"/>
    <w:rsid w:val="00D758F9"/>
    <w:rsid w:val="00D7591E"/>
    <w:rsid w:val="00D75FF5"/>
    <w:rsid w:val="00D76229"/>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429"/>
    <w:rsid w:val="00D84DD7"/>
    <w:rsid w:val="00D8528A"/>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AA7"/>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874"/>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5B4"/>
    <w:rsid w:val="00DF0786"/>
    <w:rsid w:val="00DF07EB"/>
    <w:rsid w:val="00DF0B12"/>
    <w:rsid w:val="00DF0BEF"/>
    <w:rsid w:val="00DF0C0A"/>
    <w:rsid w:val="00DF11CA"/>
    <w:rsid w:val="00DF1784"/>
    <w:rsid w:val="00DF1F57"/>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92"/>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5FFF"/>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BF7"/>
    <w:rsid w:val="00EB3C9C"/>
    <w:rsid w:val="00EB3DBF"/>
    <w:rsid w:val="00EB3EB1"/>
    <w:rsid w:val="00EB3F8C"/>
    <w:rsid w:val="00EB4036"/>
    <w:rsid w:val="00EB4B1A"/>
    <w:rsid w:val="00EB52AF"/>
    <w:rsid w:val="00EB5537"/>
    <w:rsid w:val="00EB5940"/>
    <w:rsid w:val="00EB5E16"/>
    <w:rsid w:val="00EB5F11"/>
    <w:rsid w:val="00EB61ED"/>
    <w:rsid w:val="00EB65AC"/>
    <w:rsid w:val="00EB6BC8"/>
    <w:rsid w:val="00EB74D6"/>
    <w:rsid w:val="00EB7608"/>
    <w:rsid w:val="00EB760C"/>
    <w:rsid w:val="00EC07D1"/>
    <w:rsid w:val="00EC08F4"/>
    <w:rsid w:val="00EC0A69"/>
    <w:rsid w:val="00EC0D4A"/>
    <w:rsid w:val="00EC1A00"/>
    <w:rsid w:val="00EC1C96"/>
    <w:rsid w:val="00EC23B4"/>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1F5"/>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8F"/>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2C3A"/>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116"/>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5BE47A1"/>
    <w:rsid w:val="0B6465D4"/>
    <w:rsid w:val="19AF66FD"/>
    <w:rsid w:val="33D08367"/>
    <w:rsid w:val="39031A6A"/>
    <w:rsid w:val="3CED4F68"/>
    <w:rsid w:val="3D260542"/>
    <w:rsid w:val="52FD83C5"/>
    <w:rsid w:val="56352487"/>
    <w:rsid w:val="57C1B24F"/>
    <w:rsid w:val="582E7195"/>
    <w:rsid w:val="5880EFDC"/>
    <w:rsid w:val="5B68D954"/>
    <w:rsid w:val="5E40366C"/>
    <w:rsid w:val="5F6FD3D8"/>
    <w:rsid w:val="5FD410A8"/>
    <w:rsid w:val="66321FF4"/>
    <w:rsid w:val="6F6CDC00"/>
    <w:rsid w:val="6F6F5FF6"/>
    <w:rsid w:val="74B460E3"/>
    <w:rsid w:val="7B923499"/>
    <w:rsid w:val="7CFA2B0C"/>
    <w:rsid w:val="7D782A3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DF3FE22"/>
  <w15:docId w15:val="{F3A9F563-E1AE-4058-A15E-952A1E32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431F5"/>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ullout">
    <w:name w:val="_Pullout"/>
    <w:qFormat/>
    <w:rsid w:val="00F431F5"/>
    <w:pPr>
      <w:spacing w:before="85" w:after="170" w:line="300" w:lineRule="atLeast"/>
    </w:pPr>
    <w:rPr>
      <w:rFonts w:ascii="Calibri" w:hAnsi="Calibri"/>
      <w:color w:val="228591"/>
      <w:sz w:val="24"/>
      <w:szCs w:val="24"/>
      <w:lang w:eastAsia="en-US"/>
    </w:rPr>
  </w:style>
  <w:style w:type="paragraph" w:customStyle="1" w:styleId="NumberedText">
    <w:name w:val="Numbered Text"/>
    <w:basedOn w:val="Normal"/>
    <w:rsid w:val="00F431F5"/>
    <w:pPr>
      <w:numPr>
        <w:numId w:val="43"/>
      </w:numPr>
      <w:spacing w:after="120" w:line="240" w:lineRule="auto"/>
      <w:jc w:val="both"/>
    </w:pPr>
    <w:rPr>
      <w:rFonts w:ascii="Times New Roman" w:hAnsi="Times New Roman" w:cs="Times New Roman"/>
      <w:color w:val="auto"/>
      <w:sz w:val="24"/>
    </w:rPr>
  </w:style>
  <w:style w:type="paragraph" w:customStyle="1" w:styleId="Body">
    <w:name w:val="_Body"/>
    <w:qFormat/>
    <w:rsid w:val="00F431F5"/>
    <w:pPr>
      <w:spacing w:after="113"/>
    </w:pPr>
    <w:rPr>
      <w:rFonts w:ascii="Calibri" w:hAnsi="Calibri"/>
      <w:color w:val="auto"/>
      <w:sz w:val="22"/>
      <w:szCs w:val="24"/>
      <w:lang w:eastAsia="en-US"/>
    </w:rPr>
  </w:style>
  <w:style w:type="paragraph" w:customStyle="1" w:styleId="HB">
    <w:name w:val="_HB"/>
    <w:next w:val="Body"/>
    <w:uiPriority w:val="2"/>
    <w:qFormat/>
    <w:rsid w:val="00F431F5"/>
    <w:pPr>
      <w:spacing w:before="180" w:after="113" w:line="300" w:lineRule="atLeast"/>
      <w:outlineLvl w:val="0"/>
    </w:pPr>
    <w:rPr>
      <w:rFonts w:ascii="Calibri" w:hAnsi="Calibri"/>
      <w:b/>
      <w:color w:val="228591"/>
      <w:sz w:val="28"/>
      <w:szCs w:val="24"/>
      <w:lang w:eastAsia="en-US"/>
    </w:rPr>
  </w:style>
  <w:style w:type="paragraph" w:customStyle="1" w:styleId="TblBdy">
    <w:name w:val="_TblBdy"/>
    <w:uiPriority w:val="1"/>
    <w:qFormat/>
    <w:rsid w:val="00F431F5"/>
    <w:pPr>
      <w:spacing w:before="80" w:after="60" w:line="240" w:lineRule="auto"/>
    </w:pPr>
    <w:rPr>
      <w:rFonts w:ascii="Calibri" w:hAnsi="Calibri"/>
      <w:color w:val="auto"/>
      <w:sz w:val="22"/>
      <w:szCs w:val="24"/>
      <w:lang w:eastAsia="en-US"/>
    </w:rPr>
  </w:style>
  <w:style w:type="paragraph" w:styleId="ListNumber4">
    <w:name w:val="List Number 4"/>
    <w:basedOn w:val="Normal"/>
    <w:semiHidden/>
    <w:rsid w:val="00F431F5"/>
    <w:pPr>
      <w:tabs>
        <w:tab w:val="num" w:pos="1209"/>
      </w:tabs>
      <w:spacing w:line="240" w:lineRule="auto"/>
      <w:ind w:left="1209" w:hanging="360"/>
    </w:pPr>
    <w:rPr>
      <w:rFonts w:ascii="Calibri" w:hAnsi="Calibri" w:cs="Times New Roman"/>
      <w:color w:val="auto"/>
      <w:sz w:val="22"/>
      <w:szCs w:val="24"/>
      <w:lang w:eastAsia="en-US"/>
    </w:rPr>
  </w:style>
  <w:style w:type="character" w:styleId="UnresolvedMention">
    <w:name w:val="Unresolved Mention"/>
    <w:basedOn w:val="DefaultParagraphFont"/>
    <w:uiPriority w:val="99"/>
    <w:unhideWhenUsed/>
    <w:rsid w:val="00C665B6"/>
    <w:rPr>
      <w:color w:val="605E5C"/>
      <w:shd w:val="clear" w:color="auto" w:fill="E1DFDD"/>
    </w:rPr>
  </w:style>
  <w:style w:type="character" w:styleId="Mention">
    <w:name w:val="Mention"/>
    <w:basedOn w:val="DefaultParagraphFont"/>
    <w:uiPriority w:val="99"/>
    <w:unhideWhenUsed/>
    <w:rsid w:val="00763E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se.vic.gov.au/__data/assets/pdf_file/0003/97347/Net_Gain_Accounting_-_First_Approximation_Repor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Business or Management Plan" ma:contentTypeID="0x0101002517F445A0F35E449C98AAD631F2B0382C005A723D5902319848B7BBD2F78B63A16C" ma:contentTypeVersion="15" ma:contentTypeDescription="Includes plans strategies and frameworks at the business level, including financial, risk or workforce planning - DEPI&#10;Also includes Burn Plans Activities that assist the Department in avoiding or reducing the impact of fire This Includes Fuel Reduction Burning. - PROV.  (Burn plans authority PROS 05/09 9.5.0 D - 7 yrs (After Last Action)" ma:contentTypeScope="" ma:versionID="973600e4bece79f197cdac10802c7f14">
  <xsd:schema xmlns:xsd="http://www.w3.org/2001/XMLSchema" xmlns:xs="http://www.w3.org/2001/XMLSchema" xmlns:p="http://schemas.microsoft.com/office/2006/metadata/properties" xmlns:ns1="http://schemas.microsoft.com/sharepoint/v3" xmlns:ns2="a5f32de4-e402-4188-b034-e71ca7d22e54" xmlns:ns3="9fd47c19-1c4a-4d7d-b342-c10cef269344" xmlns:ns4="873fda04-54f1-4e19-b226-6fe90bda1dad" xmlns:ns5="9e36a974-4d7c-469d-bb65-00b417e8af1d" targetNamespace="http://schemas.microsoft.com/office/2006/metadata/properties" ma:root="true" ma:fieldsID="21700aecc5d6dc1af3a784fedbca2004" ns1:_="" ns2:_="" ns3:_="" ns4:_="" ns5:_="">
    <xsd:import namespace="http://schemas.microsoft.com/sharepoint/v3"/>
    <xsd:import namespace="a5f32de4-e402-4188-b034-e71ca7d22e54"/>
    <xsd:import namespace="9fd47c19-1c4a-4d7d-b342-c10cef269344"/>
    <xsd:import namespace="873fda04-54f1-4e19-b226-6fe90bda1dad"/>
    <xsd:import namespace="9e36a974-4d7c-469d-bb65-00b417e8af1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cd13a4e04854468882e55396b179cf0" minOccurs="0"/>
                <xsd:element ref="ns2:Review_x0020_Date" minOccurs="0"/>
                <xsd:element ref="ns5:idbbc5064a3a43f791ab03d23e984708" minOccurs="0"/>
                <xsd:element ref="ns4:d048401f0797426594db870da7e67efe"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element name="Event_x0020_Date" ma:index="37"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3fda04-54f1-4e19-b226-6fe90bda1dad" elementFormDefault="qualified">
    <xsd:import namespace="http://schemas.microsoft.com/office/2006/documentManagement/types"/>
    <xsd:import namespace="http://schemas.microsoft.com/office/infopath/2007/PartnerControls"/>
    <xsd:element name="icd13a4e04854468882e55396b179cf0" ma:index="32" nillable="true" ma:taxonomy="true" ma:internalName="icd13a4e04854468882e55396b179cf0" ma:taxonomyFieldName="Traditional_x0020_Owner_x0020_Group" ma:displayName="Traditional Owner Group" ma:default="" ma:fieldId="{2cd13a4e-0485-4468-882e-55396b179cf0}" ma:sspId="797aeec6-0273-40f2-ab3e-beee73212332" ma:termSetId="47d6b8e6-3de0-41ad-ad0b-a7e829b61f2f" ma:anchorId="00000000-0000-0000-0000-000000000000" ma:open="false" ma:isKeyword="false">
      <xsd:complexType>
        <xsd:sequence>
          <xsd:element ref="pc:Terms" minOccurs="0" maxOccurs="1"/>
        </xsd:sequence>
      </xsd:complexType>
    </xsd:element>
    <xsd:element name="d048401f0797426594db870da7e67efe" ma:index="36" nillable="true" ma:taxonomy="true" ma:internalName="d048401f0797426594db870da7e67efe" ma:taxonomyFieldName="Sub_x002d_Theme" ma:displayName="Sub-Theme" ma:default="" ma:fieldId="{d048401f-0797-4265-94db-870da7e67efe}" ma:sspId="797aeec6-0273-40f2-ab3e-beee73212332" ma:termSetId="06600f51-ab3d-409f-8459-639f5b63dc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36a974-4d7c-469d-bb65-00b417e8af1d" elementFormDefault="qualified">
    <xsd:import namespace="http://schemas.microsoft.com/office/2006/documentManagement/types"/>
    <xsd:import namespace="http://schemas.microsoft.com/office/infopath/2007/PartnerControls"/>
    <xsd:element name="idbbc5064a3a43f791ab03d23e984708" ma:index="35" nillable="true" ma:taxonomy="true" ma:internalName="idbbc5064a3a43f791ab03d23e984708" ma:taxonomyFieldName="Work_x0020_Area" ma:displayName="Work Area" ma:default="" ma:fieldId="{2dbbc506-4a3a-43f7-91ab-03d23e984708}" ma:sspId="797aeec6-0273-40f2-ab3e-beee73212332" ma:termSetId="3d8e26cb-1b28-42a6-b7e4-d3aec9183e6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2517F445A0F35E449C98AAD631F2B0382C"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156</Value>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idbbc5064a3a43f791ab03d23e984708 xmlns="9e36a974-4d7c-469d-bb65-00b417e8af1d">
      <Terms xmlns="http://schemas.microsoft.com/office/infopath/2007/PartnerControls">
        <TermInfo xmlns="http://schemas.microsoft.com/office/infopath/2007/PartnerControls">
          <TermName xmlns="http://schemas.microsoft.com/office/infopath/2007/PartnerControls">Net Gain</TermName>
          <TermId xmlns="http://schemas.microsoft.com/office/infopath/2007/PartnerControls">a010b6b2-0abd-4078-b7b2-d6bdeb343e8f</TermId>
        </TermInfo>
      </Terms>
    </idbbc5064a3a43f791ab03d23e984708>
    <d048401f0797426594db870da7e67efe xmlns="873fda04-54f1-4e19-b226-6fe90bda1dad">
      <Terms xmlns="http://schemas.microsoft.com/office/infopath/2007/PartnerControls"/>
    </d048401f0797426594db870da7e67efe>
    <k1bd994a94c2413797db3bab8f123f6f xmlns="9fd47c19-1c4a-4d7d-b342-c10cef269344">
      <Terms xmlns="http://schemas.microsoft.com/office/infopath/2007/PartnerControl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d13a4e04854468882e55396b179cf0 xmlns="873fda04-54f1-4e19-b226-6fe90bda1dad">
      <Terms xmlns="http://schemas.microsoft.com/office/infopath/2007/PartnerControls"/>
    </icd13a4e04854468882e55396b179cf0>
    <RoutingRuleDescription xmlns="http://schemas.microsoft.com/sharepoint/v3">Using 2021 DELWP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Event_x0020_Date xmlns="a5f32de4-e402-4188-b034-e71ca7d22e54" xsi:nil="true"/>
    <_dlc_DocId xmlns="a5f32de4-e402-4188-b034-e71ca7d22e54">DOCID107-1827173089-16027</_dlc_DocId>
    <_dlc_DocIdUrl xmlns="a5f32de4-e402-4188-b034-e71ca7d22e54">
      <Url>https://delwpvicgovau.sharepoint.com/sites/ecm_107/_layouts/15/DocIdRedir.aspx?ID=DOCID107-1827173089-16027</Url>
      <Description>DOCID107-1827173089-16027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6E460-DD82-472D-A2F2-0FF55F5D1C37}">
  <ds:schemaRefs>
    <ds:schemaRef ds:uri="http://schemas.microsoft.com/office/2006/metadata/customXsn"/>
  </ds:schemaRefs>
</ds:datastoreItem>
</file>

<file path=customXml/itemProps2.xml><?xml version="1.0" encoding="utf-8"?>
<ds:datastoreItem xmlns:ds="http://schemas.openxmlformats.org/officeDocument/2006/customXml" ds:itemID="{B010D48E-CAD0-4047-8CAE-F8FC40D1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873fda04-54f1-4e19-b226-6fe90bda1dad"/>
    <ds:schemaRef ds:uri="9e36a974-4d7c-469d-bb65-00b417e8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7A2A6-EFFE-4841-8CF7-A8D6D77EBF17}">
  <ds:schemaRefs>
    <ds:schemaRef ds:uri="Microsoft.SharePoint.Taxonomy.ContentTypeSync"/>
  </ds:schemaRefs>
</ds:datastoreItem>
</file>

<file path=customXml/itemProps4.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customXml/itemProps5.xml><?xml version="1.0" encoding="utf-8"?>
<ds:datastoreItem xmlns:ds="http://schemas.openxmlformats.org/officeDocument/2006/customXml" ds:itemID="{D98B68AA-C32C-46B8-AE67-D6C32C6E5655}">
  <ds:schemaRefs>
    <ds:schemaRef ds:uri="http://schemas.microsoft.com/sharepoint/events"/>
  </ds:schemaRefs>
</ds:datastoreItem>
</file>

<file path=customXml/itemProps6.xml><?xml version="1.0" encoding="utf-8"?>
<ds:datastoreItem xmlns:ds="http://schemas.openxmlformats.org/officeDocument/2006/customXml" ds:itemID="{B54D6FAC-A6D7-44FC-B69A-A24AB2500971}">
  <ds:schemaRefs>
    <ds:schemaRef ds:uri="http://schemas.microsoft.com/office/2006/metadata/properties"/>
    <ds:schemaRef ds:uri="http://schemas.microsoft.com/office/infopath/2007/PartnerControls"/>
    <ds:schemaRef ds:uri="http://schemas.microsoft.com/sharepoint/v3"/>
    <ds:schemaRef ds:uri="9fd47c19-1c4a-4d7d-b342-c10cef269344"/>
    <ds:schemaRef ds:uri="9e36a974-4d7c-469d-bb65-00b417e8af1d"/>
    <ds:schemaRef ds:uri="873fda04-54f1-4e19-b226-6fe90bda1dad"/>
    <ds:schemaRef ds:uri="a5f32de4-e402-4188-b034-e71ca7d22e54"/>
  </ds:schemaRefs>
</ds:datastoreItem>
</file>

<file path=customXml/itemProps7.xml><?xml version="1.0" encoding="utf-8"?>
<ds:datastoreItem xmlns:ds="http://schemas.openxmlformats.org/officeDocument/2006/customXml" ds:itemID="{AE0145AD-A831-40A4-B3A8-9F1839292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11686</CharactersWithSpaces>
  <SharedDoc>false</SharedDoc>
  <HLinks>
    <vt:vector size="12" baseType="variant">
      <vt:variant>
        <vt:i4>6553687</vt:i4>
      </vt:variant>
      <vt:variant>
        <vt:i4>0</vt:i4>
      </vt:variant>
      <vt:variant>
        <vt:i4>0</vt:i4>
      </vt:variant>
      <vt:variant>
        <vt:i4>5</vt:i4>
      </vt:variant>
      <vt:variant>
        <vt:lpwstr>http://www.dse.vic.gov.au/__data/assets/pdf_file/0003/97347/Net_Gain_Accounting_-_First_Approximation_Report.pdf</vt:lpwstr>
      </vt:variant>
      <vt:variant>
        <vt:lpwstr/>
      </vt:variant>
      <vt:variant>
        <vt:i4>5898284</vt:i4>
      </vt:variant>
      <vt:variant>
        <vt:i4>0</vt:i4>
      </vt:variant>
      <vt:variant>
        <vt:i4>0</vt:i4>
      </vt:variant>
      <vt:variant>
        <vt:i4>5</vt:i4>
      </vt:variant>
      <vt:variant>
        <vt:lpwstr>mailto:angela.muscatello@delwp.vic.gov.au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Net Gain Accounting Qualitative Update</dc:title>
  <dc:subject/>
  <dc:creator>Angela Muscatello (DELWP)</dc:creator>
  <cp:keywords/>
  <dc:description/>
  <cp:lastModifiedBy>Angela Muscatello (DELWP)</cp:lastModifiedBy>
  <cp:revision>3</cp:revision>
  <cp:lastPrinted>2021-12-10T03:52:00Z</cp:lastPrinted>
  <dcterms:created xsi:type="dcterms:W3CDTF">2021-11-03T04:09:00Z</dcterms:created>
  <dcterms:modified xsi:type="dcterms:W3CDTF">2021-12-10T03:53:00Z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2021-09-21T01:50:10Z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9fdfa47a-0a09-41d1-aaca-04ee98cf405c</vt:lpwstr>
  </property>
  <property fmtid="{D5CDD505-2E9C-101B-9397-08002B2CF9AE}" pid="24" name="MSIP_Label_4257e2ab-f512-40e2-9c9a-c64247360765_ContentBits">
    <vt:lpwstr>2</vt:lpwstr>
  </property>
  <property fmtid="{D5CDD505-2E9C-101B-9397-08002B2CF9AE}" pid="25" name="ContentTypeId">
    <vt:lpwstr>0x0101002517F445A0F35E449C98AAD631F2B0382C005A723D5902319848B7BBD2F78B63A16C</vt:lpwstr>
  </property>
  <property fmtid="{D5CDD505-2E9C-101B-9397-08002B2CF9AE}" pid="26" name="Agency">
    <vt:lpwstr>1;#Department of Environment, Land, Water and Planning|607a3f87-1228-4cd9-82a5-076aa8776274</vt:lpwstr>
  </property>
  <property fmtid="{D5CDD505-2E9C-101B-9397-08002B2CF9AE}" pid="27" name="Branch">
    <vt:lpwstr>7;#Knowledge and Decision Systems|b4e6fa65-71ac-4707-b13f-b1fda20207e7</vt:lpwstr>
  </property>
  <property fmtid="{D5CDD505-2E9C-101B-9397-08002B2CF9AE}" pid="28" name="Division">
    <vt:lpwstr>6;#Biodiversity|a369ff78-9705-4b66-a29c-499bde0c7988</vt:lpwstr>
  </property>
  <property fmtid="{D5CDD505-2E9C-101B-9397-08002B2CF9AE}" pid="29" name="Group1">
    <vt:lpwstr>11;#Environment and Climate Change|b90772f5-2afa-408f-b8b8-93ad6baba774</vt:lpwstr>
  </property>
  <property fmtid="{D5CDD505-2E9C-101B-9397-08002B2CF9AE}" pid="30" name="Dissemination Limiting Marker">
    <vt:lpwstr>2;#FOUO|955eb6fc-b35a-4808-8aa5-31e514fa3f26</vt:lpwstr>
  </property>
  <property fmtid="{D5CDD505-2E9C-101B-9397-08002B2CF9AE}" pid="31" name="Security Classification">
    <vt:lpwstr>3;#Unclassified|7fa379f4-4aba-4692-ab80-7d39d3a23cf4</vt:lpwstr>
  </property>
  <property fmtid="{D5CDD505-2E9C-101B-9397-08002B2CF9AE}" pid="32" name="Work Area">
    <vt:lpwstr>156</vt:lpwstr>
  </property>
  <property fmtid="{D5CDD505-2E9C-101B-9397-08002B2CF9AE}" pid="33" name="_dlc_DocIdItemGuid">
    <vt:lpwstr>39c43b85-0dfc-4418-a724-13fd098485a0</vt:lpwstr>
  </property>
  <property fmtid="{D5CDD505-2E9C-101B-9397-08002B2CF9AE}" pid="34" name="Section">
    <vt:lpwstr/>
  </property>
  <property fmtid="{D5CDD505-2E9C-101B-9397-08002B2CF9AE}" pid="35" name="Sub-Section">
    <vt:lpwstr/>
  </property>
  <property fmtid="{D5CDD505-2E9C-101B-9397-08002B2CF9AE}" pid="36" name="o85941e134754762b9719660a258a6e6">
    <vt:lpwstr/>
  </property>
  <property fmtid="{D5CDD505-2E9C-101B-9397-08002B2CF9AE}" pid="37" name="Reference_x0020_Type">
    <vt:lpwstr/>
  </property>
  <property fmtid="{D5CDD505-2E9C-101B-9397-08002B2CF9AE}" pid="38" name="Location_x0020_Type">
    <vt:lpwstr/>
  </property>
  <property fmtid="{D5CDD505-2E9C-101B-9397-08002B2CF9AE}" pid="39" name="Sub-Theme">
    <vt:lpwstr/>
  </property>
  <property fmtid="{D5CDD505-2E9C-101B-9397-08002B2CF9AE}" pid="40" name="Copyright_x0020_Licence_x0020_Name">
    <vt:lpwstr/>
  </property>
  <property fmtid="{D5CDD505-2E9C-101B-9397-08002B2CF9AE}" pid="41" name="df723ab3fe1c4eb7a0b151674e7ac40d">
    <vt:lpwstr/>
  </property>
  <property fmtid="{D5CDD505-2E9C-101B-9397-08002B2CF9AE}" pid="42" name="Copyright_x0020_License_x0020_Type">
    <vt:lpwstr/>
  </property>
  <property fmtid="{D5CDD505-2E9C-101B-9397-08002B2CF9AE}" pid="43" name="o2e611f6ba3e4c8f9a895dfb7980639e">
    <vt:lpwstr/>
  </property>
  <property fmtid="{D5CDD505-2E9C-101B-9397-08002B2CF9AE}" pid="44" name="ld508a88e6264ce89693af80a72862cb">
    <vt:lpwstr/>
  </property>
  <property fmtid="{D5CDD505-2E9C-101B-9397-08002B2CF9AE}" pid="45" name="SharedWithUsers">
    <vt:lpwstr>27;#Anne Buchan (DELWP);#367;#Peter D Tange (DELWP);#224;#Nick V Rintoul (DELWP);#998;#Mark A Chisholm (DELWP);#33;#Ang M Robb (DELWP)</vt:lpwstr>
  </property>
  <property fmtid="{D5CDD505-2E9C-101B-9397-08002B2CF9AE}" pid="46" name="Copyright Licence Name">
    <vt:lpwstr/>
  </property>
  <property fmtid="{D5CDD505-2E9C-101B-9397-08002B2CF9AE}" pid="47" name="Location Type">
    <vt:lpwstr/>
  </property>
  <property fmtid="{D5CDD505-2E9C-101B-9397-08002B2CF9AE}" pid="48" name="Reference Type">
    <vt:lpwstr/>
  </property>
  <property fmtid="{D5CDD505-2E9C-101B-9397-08002B2CF9AE}" pid="49" name="Copyright License Type">
    <vt:lpwstr/>
  </property>
</Properties>
</file>