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438"/>
      </w:tblGrid>
      <w:tr w:rsidR="00F74678" w:rsidRPr="00F74678" w:rsidTr="00F22905">
        <w:trPr>
          <w:trHeight w:hRule="exact" w:val="3830"/>
        </w:trPr>
        <w:tc>
          <w:tcPr>
            <w:tcW w:w="9438" w:type="dxa"/>
            <w:shd w:val="clear" w:color="auto" w:fill="auto"/>
          </w:tcPr>
          <w:p w:rsidR="00F74678" w:rsidRPr="002A4569" w:rsidRDefault="002A4569" w:rsidP="00D033C6">
            <w:pPr>
              <w:pStyle w:val="CertHBWhite"/>
              <w:rPr>
                <w:sz w:val="60"/>
                <w:szCs w:val="60"/>
              </w:rPr>
            </w:pPr>
            <w:r w:rsidRPr="002A4569">
              <w:rPr>
                <w:sz w:val="60"/>
                <w:szCs w:val="60"/>
              </w:rPr>
              <w:t>Roadside vegetation management</w:t>
            </w:r>
          </w:p>
          <w:p w:rsidR="00B475BF" w:rsidRDefault="00B475BF" w:rsidP="00D033C6">
            <w:pPr>
              <w:pStyle w:val="CertHDWhite"/>
            </w:pPr>
          </w:p>
          <w:p w:rsidR="00F74678" w:rsidRPr="00DE5117" w:rsidRDefault="00947C52" w:rsidP="00D033C6">
            <w:pPr>
              <w:pStyle w:val="CertHDWhite"/>
            </w:pPr>
            <w:r>
              <w:t>F</w:t>
            </w:r>
            <w:r w:rsidR="002A4569">
              <w:t>ire exemption for roadsides</w:t>
            </w:r>
          </w:p>
        </w:tc>
      </w:tr>
    </w:tbl>
    <w:p w:rsidR="002A4569" w:rsidRDefault="002A4569" w:rsidP="00E2394C">
      <w:pPr>
        <w:sectPr w:rsidR="002A4569" w:rsidSect="000C39E4">
          <w:headerReference w:type="default" r:id="rId8"/>
          <w:footerReference w:type="default" r:id="rId9"/>
          <w:headerReference w:type="first" r:id="rId10"/>
          <w:footerReference w:type="first" r:id="rId11"/>
          <w:pgSz w:w="11907" w:h="16840" w:code="9"/>
          <w:pgMar w:top="1843" w:right="567" w:bottom="567" w:left="1134" w:header="284" w:footer="362" w:gutter="0"/>
          <w:cols w:space="708"/>
          <w:titlePg/>
          <w:docGrid w:linePitch="360"/>
        </w:sectPr>
      </w:pPr>
    </w:p>
    <w:p w:rsidR="00E2394C" w:rsidRDefault="00E2394C" w:rsidP="00E2394C"/>
    <w:p w:rsidR="0099149F" w:rsidRDefault="0099149F" w:rsidP="00F930FD">
      <w:pPr>
        <w:sectPr w:rsidR="0099149F" w:rsidSect="002A4569">
          <w:type w:val="continuous"/>
          <w:pgSz w:w="11907" w:h="16840" w:code="9"/>
          <w:pgMar w:top="1843" w:right="567" w:bottom="567" w:left="1134" w:header="284" w:footer="362" w:gutter="0"/>
          <w:cols w:num="2" w:space="708"/>
          <w:titlePg/>
          <w:docGrid w:linePitch="360"/>
        </w:sectPr>
      </w:pPr>
    </w:p>
    <w:p w:rsidR="002A4569" w:rsidRDefault="002A4569" w:rsidP="002A4569">
      <w:pPr>
        <w:pStyle w:val="HB"/>
      </w:pPr>
      <w:r>
        <w:lastRenderedPageBreak/>
        <w:t>Background</w:t>
      </w:r>
    </w:p>
    <w:p w:rsidR="002A4569" w:rsidRPr="002A4569" w:rsidRDefault="002A4569" w:rsidP="002A4569">
      <w:pPr>
        <w:pStyle w:val="Body"/>
      </w:pPr>
      <w:r w:rsidRPr="002A4569">
        <w:t xml:space="preserve">A new exemption has been introduced to the Victoria Planning Provisions that simplifies the process for road managers to manage native vegetation on roadsides for bushfire risk mitigation. </w:t>
      </w:r>
    </w:p>
    <w:p w:rsidR="002A4569" w:rsidRPr="002A4569" w:rsidRDefault="0048279E" w:rsidP="002A4569">
      <w:pPr>
        <w:pStyle w:val="Body"/>
      </w:pPr>
      <w:r>
        <w:pict>
          <v:shapetype id="_x0000_t202" coordsize="21600,21600" o:spt="202" path="m,l,21600r21600,l21600,xe">
            <v:stroke joinstyle="miter"/>
            <v:path gradientshapeok="t" o:connecttype="rect"/>
          </v:shapetype>
          <v:shape id="_x0000_s1030" type="#_x0000_t202" style="position:absolute;margin-left:273.1pt;margin-top:26.95pt;width:238.2pt;height:165.25pt;z-index:251658240;mso-wrap-style:none;mso-position-vertical:absolute" fillcolor="#f5f3e9" strokecolor="#f58426">
            <v:textbox style="mso-next-textbox:#_x0000_s1030;mso-fit-shape-to-text:t">
              <w:txbxContent>
                <w:p w:rsidR="002A4569" w:rsidRDefault="002A4569" w:rsidP="002A4569">
                  <w:pPr>
                    <w:pStyle w:val="Body"/>
                  </w:pPr>
                  <w:r>
                    <w:t>No permit is required to remove, destroy or lop vegetation to the minimum extent necessary if any of the following apply:</w:t>
                  </w:r>
                </w:p>
                <w:p w:rsidR="002A4569" w:rsidRDefault="002A4569" w:rsidP="002A4569">
                  <w:pPr>
                    <w:pStyle w:val="Bullet"/>
                    <w:tabs>
                      <w:tab w:val="clear" w:pos="720"/>
                    </w:tabs>
                    <w:ind w:left="284" w:hanging="284"/>
                  </w:pPr>
                  <w:r>
                    <w:t xml:space="preserve">The vegetation is to be removed, destroyed or lopped to reduce fuel loads on roadsides to minimise risk to life and property from bushfire of an existing public road managed by the relevant responsible road authority (as defined by the </w:t>
                  </w:r>
                  <w:r w:rsidRPr="002A4569">
                    <w:t>Road Management Act 2004</w:t>
                  </w:r>
                  <w:r>
                    <w:t xml:space="preserve">) in accordance with the written agreement of the Secretary to the Department of Environment </w:t>
                  </w:r>
                  <w:r w:rsidR="00947C52">
                    <w:t xml:space="preserve">and Primary Industries </w:t>
                  </w:r>
                  <w:r>
                    <w:t xml:space="preserve">(as constituted under Part 2 of the </w:t>
                  </w:r>
                  <w:r w:rsidRPr="002A4569">
                    <w:t>Conservation, Forests and Lands Act</w:t>
                  </w:r>
                  <w:r>
                    <w:t xml:space="preserve"> </w:t>
                  </w:r>
                  <w:r w:rsidRPr="002A4569">
                    <w:t>1987</w:t>
                  </w:r>
                  <w:r>
                    <w:t>).</w:t>
                  </w:r>
                </w:p>
              </w:txbxContent>
            </v:textbox>
            <w10:wrap type="square"/>
          </v:shape>
        </w:pict>
      </w:r>
      <w:r>
        <w:pict>
          <v:shape id="_x0000_s1029" type="#_x0000_t202" style="position:absolute;margin-left:1.5pt;margin-top:55.55pt;width:232.2pt;height:81.15pt;z-index:251657216;mso-position-vertical:absolute" fillcolor="#f5f3e9" strokecolor="#f58426">
            <v:textbox>
              <w:txbxContent>
                <w:p w:rsidR="002A4569" w:rsidRDefault="002A4569" w:rsidP="002A4569">
                  <w:pPr>
                    <w:pStyle w:val="Body"/>
                  </w:pPr>
                  <w:r>
                    <w:t>“The State amend the exemptions in clause 52.17-6 to ensure that the provisions allow for a broad range of roadside works capable of reducing fire risk and provide specifically for a new exemption where the purpose of the works is to reduce bushfire risk” (recommendation 60).</w:t>
                  </w:r>
                </w:p>
              </w:txbxContent>
            </v:textbox>
            <w10:wrap type="square"/>
          </v:shape>
        </w:pict>
      </w:r>
      <w:r w:rsidR="002A4569" w:rsidRPr="002A4569">
        <w:t>The new exemption has been developed in response to recommendations made by the 2009 Victorian Bushfires Royal Commission (</w:t>
      </w:r>
      <w:proofErr w:type="spellStart"/>
      <w:r w:rsidR="002A4569" w:rsidRPr="002A4569">
        <w:t>VBRC</w:t>
      </w:r>
      <w:proofErr w:type="spellEnd"/>
      <w:r w:rsidR="002A4569" w:rsidRPr="002A4569">
        <w:t xml:space="preserve">). In its final report, the </w:t>
      </w:r>
      <w:proofErr w:type="spellStart"/>
      <w:r w:rsidR="002A4569" w:rsidRPr="002A4569">
        <w:t>VBRC</w:t>
      </w:r>
      <w:proofErr w:type="spellEnd"/>
      <w:r w:rsidR="002A4569" w:rsidRPr="002A4569">
        <w:t xml:space="preserve"> recommended that:</w:t>
      </w:r>
    </w:p>
    <w:p w:rsidR="002A4569" w:rsidRDefault="002A4569" w:rsidP="002A4569">
      <w:pPr>
        <w:pStyle w:val="HB"/>
      </w:pPr>
      <w:r>
        <w:t>Local Government Native Vegetation Reference Group</w:t>
      </w:r>
    </w:p>
    <w:p w:rsidR="002A4569" w:rsidRDefault="002A4569" w:rsidP="002A4569">
      <w:pPr>
        <w:pStyle w:val="Body"/>
      </w:pPr>
      <w:r>
        <w:t xml:space="preserve">The exemption was developed collaboratively through the </w:t>
      </w:r>
      <w:r>
        <w:rPr>
          <w:i/>
        </w:rPr>
        <w:t>Local Government Native Vegetation Reference Group</w:t>
      </w:r>
      <w:r>
        <w:t>. The group included representatives from local government, the Country Fire Authority (</w:t>
      </w:r>
      <w:proofErr w:type="spellStart"/>
      <w:r>
        <w:t>CFA</w:t>
      </w:r>
      <w:proofErr w:type="spellEnd"/>
      <w:r>
        <w:t>), the Municipal Association of Victoria (</w:t>
      </w:r>
      <w:proofErr w:type="spellStart"/>
      <w:r>
        <w:t>MAV</w:t>
      </w:r>
      <w:proofErr w:type="spellEnd"/>
      <w:r>
        <w:t xml:space="preserve">), </w:t>
      </w:r>
      <w:proofErr w:type="spellStart"/>
      <w:r>
        <w:t>VicRoads</w:t>
      </w:r>
      <w:proofErr w:type="spellEnd"/>
      <w:r>
        <w:t xml:space="preserve">, the </w:t>
      </w:r>
      <w:r w:rsidR="00947C52">
        <w:t xml:space="preserve">former </w:t>
      </w:r>
      <w:r>
        <w:t>Department of Planning and Community Development (</w:t>
      </w:r>
      <w:proofErr w:type="spellStart"/>
      <w:r>
        <w:t>DPCD</w:t>
      </w:r>
      <w:proofErr w:type="spellEnd"/>
      <w:r>
        <w:t xml:space="preserve">) and the </w:t>
      </w:r>
      <w:r w:rsidR="00947C52">
        <w:t xml:space="preserve">former </w:t>
      </w:r>
      <w:r>
        <w:t>Department of Sustainability and Environment (</w:t>
      </w:r>
      <w:proofErr w:type="spellStart"/>
      <w:r>
        <w:t>DSE</w:t>
      </w:r>
      <w:proofErr w:type="spellEnd"/>
      <w:r>
        <w:t>). In developing the exemption the group was guided by the following principles:</w:t>
      </w:r>
    </w:p>
    <w:p w:rsidR="002A4569" w:rsidRDefault="002A4569" w:rsidP="002A4569">
      <w:pPr>
        <w:pStyle w:val="Bullet"/>
        <w:tabs>
          <w:tab w:val="clear" w:pos="720"/>
        </w:tabs>
        <w:ind w:left="284" w:hanging="284"/>
      </w:pPr>
      <w:r>
        <w:t>any exemption should be simple and clear and enable road managers to undertake vegetation treatments on roadsides to reduce bushfire risk</w:t>
      </w:r>
    </w:p>
    <w:p w:rsidR="002A4569" w:rsidRDefault="002A4569" w:rsidP="002A4569">
      <w:pPr>
        <w:pStyle w:val="Bullet"/>
        <w:tabs>
          <w:tab w:val="clear" w:pos="720"/>
        </w:tabs>
        <w:ind w:left="284" w:hanging="284"/>
      </w:pPr>
      <w:r>
        <w:t>state-wide consistency, in the risk assessment methodology used to assess bushfire risk by all road managers is preferable</w:t>
      </w:r>
    </w:p>
    <w:p w:rsidR="002A4569" w:rsidRDefault="002A4569" w:rsidP="002A4569">
      <w:pPr>
        <w:pStyle w:val="Bullet"/>
        <w:tabs>
          <w:tab w:val="clear" w:pos="720"/>
        </w:tabs>
        <w:ind w:left="284" w:hanging="284"/>
      </w:pPr>
      <w:r>
        <w:t xml:space="preserve">the link between the risk assessment, determination of appropriate treatments and subsequent works should be transparent. This should be noted in a relevant plan </w:t>
      </w:r>
      <w:r>
        <w:lastRenderedPageBreak/>
        <w:t>which is part of an existing integrated approach to emergency management</w:t>
      </w:r>
    </w:p>
    <w:p w:rsidR="00671756" w:rsidRDefault="002A4569" w:rsidP="00671756">
      <w:pPr>
        <w:pStyle w:val="Bullet"/>
        <w:tabs>
          <w:tab w:val="clear" w:pos="720"/>
        </w:tabs>
        <w:ind w:left="284" w:hanging="284"/>
      </w:pPr>
      <w:r>
        <w:t xml:space="preserve">significant environmental impacts should remain  part of the planning permit process to ensure that standard impact assessment is applied. </w:t>
      </w:r>
    </w:p>
    <w:p w:rsidR="002A4569" w:rsidRDefault="002A4569" w:rsidP="002A4569">
      <w:pPr>
        <w:pStyle w:val="HB"/>
      </w:pPr>
      <w:r>
        <w:t>The exemption</w:t>
      </w:r>
    </w:p>
    <w:p w:rsidR="002A4569" w:rsidRDefault="002A4569" w:rsidP="002A4569">
      <w:pPr>
        <w:pStyle w:val="Body"/>
      </w:pPr>
      <w:r>
        <w:t>The exemption is:</w:t>
      </w:r>
    </w:p>
    <w:p w:rsidR="002A4569" w:rsidRDefault="002A4569" w:rsidP="002A4569">
      <w:pPr>
        <w:pStyle w:val="HB"/>
      </w:pPr>
      <w:r>
        <w:t>Guidance for road managers</w:t>
      </w:r>
    </w:p>
    <w:p w:rsidR="002A4569" w:rsidRDefault="002A4569" w:rsidP="002A4569">
      <w:pPr>
        <w:pStyle w:val="Body"/>
      </w:pPr>
      <w:r>
        <w:t xml:space="preserve">There are two key documents to support the use of the exemption by road managers. </w:t>
      </w:r>
      <w:proofErr w:type="spellStart"/>
      <w:r>
        <w:t>DSE</w:t>
      </w:r>
      <w:proofErr w:type="spellEnd"/>
      <w:r>
        <w:t xml:space="preserve"> developed a guide to assist councils and </w:t>
      </w:r>
      <w:proofErr w:type="spellStart"/>
      <w:r>
        <w:t>VicRoads</w:t>
      </w:r>
      <w:proofErr w:type="spellEnd"/>
      <w:r>
        <w:t xml:space="preserve"> to understand how to implement this new exemption. In addition, </w:t>
      </w:r>
      <w:proofErr w:type="spellStart"/>
      <w:r>
        <w:t>Terramatrix</w:t>
      </w:r>
      <w:proofErr w:type="spellEnd"/>
      <w:r>
        <w:t xml:space="preserve"> Pty Ltd has developed the Road Bushfire Risk Assessment Guideline to assist road managers to undertake the risk assessment process.</w:t>
      </w:r>
    </w:p>
    <w:p w:rsidR="002A4569" w:rsidRDefault="002A4569" w:rsidP="002A4569">
      <w:pPr>
        <w:pStyle w:val="Body"/>
      </w:pPr>
      <w:r>
        <w:t xml:space="preserve">There are also tools and templates that have been developed specifically to assist road managers throughout the process. </w:t>
      </w:r>
    </w:p>
    <w:p w:rsidR="002A4569" w:rsidRDefault="002A4569" w:rsidP="002A4569">
      <w:pPr>
        <w:pStyle w:val="HB"/>
      </w:pPr>
      <w:r>
        <w:t>Risk-based approach</w:t>
      </w:r>
    </w:p>
    <w:p w:rsidR="002A4569" w:rsidRDefault="002A4569" w:rsidP="002A4569">
      <w:pPr>
        <w:pStyle w:val="Body"/>
      </w:pPr>
      <w:r>
        <w:t>The exemption incorporates a risk based approach that will ensure that native vegetation is removed in areas that pose the greatest bushfire risk to the community.</w:t>
      </w:r>
    </w:p>
    <w:p w:rsidR="0048279E" w:rsidRDefault="0048279E" w:rsidP="002A4569">
      <w:pPr>
        <w:pStyle w:val="Body"/>
      </w:pPr>
    </w:p>
    <w:p w:rsidR="0048279E" w:rsidRDefault="0048279E" w:rsidP="002A4569">
      <w:pPr>
        <w:pStyle w:val="Body"/>
      </w:pPr>
    </w:p>
    <w:p w:rsidR="002A4569" w:rsidRDefault="002A4569" w:rsidP="002A4569">
      <w:pPr>
        <w:pStyle w:val="Body"/>
      </w:pPr>
      <w:r>
        <w:t>Under the exemption, road managers will be required to:</w:t>
      </w:r>
    </w:p>
    <w:p w:rsidR="002A4569" w:rsidRDefault="002A4569" w:rsidP="002A4569">
      <w:pPr>
        <w:pStyle w:val="Bullet"/>
        <w:tabs>
          <w:tab w:val="clear" w:pos="720"/>
        </w:tabs>
        <w:ind w:left="284" w:hanging="284"/>
      </w:pPr>
      <w:r>
        <w:t>undertake a roadside bushfire risk assessment using an agreed process, focusing on priority roads</w:t>
      </w:r>
      <w:r w:rsidRPr="002A4569">
        <w:footnoteReference w:id="1"/>
      </w:r>
    </w:p>
    <w:p w:rsidR="002A4569" w:rsidRDefault="002A4569" w:rsidP="002A4569">
      <w:pPr>
        <w:pStyle w:val="Bullet"/>
        <w:tabs>
          <w:tab w:val="clear" w:pos="720"/>
        </w:tabs>
        <w:ind w:left="284" w:hanging="284"/>
      </w:pPr>
      <w:r>
        <w:t>identify appropriate vegetation treatments for priority roads and record the results of this in a plan.</w:t>
      </w:r>
    </w:p>
    <w:p w:rsidR="002A4569" w:rsidRDefault="002A4569" w:rsidP="002A4569">
      <w:pPr>
        <w:pStyle w:val="HB"/>
      </w:pPr>
      <w:r>
        <w:t>The risk assessment process</w:t>
      </w:r>
    </w:p>
    <w:p w:rsidR="002A4569" w:rsidRDefault="002A4569" w:rsidP="002A4569">
      <w:pPr>
        <w:pStyle w:val="Body"/>
      </w:pPr>
      <w:r>
        <w:t xml:space="preserve">The roadside risk assessment process is based on the </w:t>
      </w:r>
      <w:proofErr w:type="spellStart"/>
      <w:r>
        <w:t>CFA</w:t>
      </w:r>
      <w:proofErr w:type="spellEnd"/>
      <w:r>
        <w:t xml:space="preserve"> </w:t>
      </w:r>
      <w:r>
        <w:rPr>
          <w:i/>
        </w:rPr>
        <w:t>Roadside Fire Management Guidelines</w:t>
      </w:r>
      <w:r>
        <w:t xml:space="preserve">. The guidelines have four relevant objectives including; </w:t>
      </w:r>
    </w:p>
    <w:p w:rsidR="002A4569" w:rsidRPr="002A4569" w:rsidRDefault="002A4569" w:rsidP="002A4569">
      <w:pPr>
        <w:pStyle w:val="Bodycopy"/>
        <w:numPr>
          <w:ilvl w:val="0"/>
          <w:numId w:val="31"/>
        </w:numPr>
        <w:ind w:left="284" w:hanging="284"/>
        <w:rPr>
          <w:rFonts w:ascii="Arial" w:hAnsi="Arial" w:cs="Arial"/>
          <w:sz w:val="18"/>
          <w:szCs w:val="18"/>
        </w:rPr>
      </w:pPr>
      <w:r w:rsidRPr="002A4569">
        <w:rPr>
          <w:rFonts w:ascii="Arial" w:hAnsi="Arial" w:cs="Arial"/>
          <w:sz w:val="18"/>
          <w:szCs w:val="18"/>
        </w:rPr>
        <w:t>Prevent or reduce the risk of fires on roadsides</w:t>
      </w:r>
    </w:p>
    <w:p w:rsidR="002A4569" w:rsidRPr="002A4569" w:rsidRDefault="002A4569" w:rsidP="002A4569">
      <w:pPr>
        <w:pStyle w:val="Bodycopy"/>
        <w:numPr>
          <w:ilvl w:val="0"/>
          <w:numId w:val="31"/>
        </w:numPr>
        <w:ind w:left="284" w:hanging="284"/>
        <w:rPr>
          <w:rFonts w:ascii="Arial" w:hAnsi="Arial" w:cs="Arial"/>
          <w:sz w:val="18"/>
          <w:szCs w:val="18"/>
        </w:rPr>
      </w:pPr>
      <w:r w:rsidRPr="002A4569">
        <w:rPr>
          <w:rFonts w:ascii="Arial" w:hAnsi="Arial" w:cs="Arial"/>
          <w:sz w:val="18"/>
          <w:szCs w:val="18"/>
        </w:rPr>
        <w:t>Reduce the risk of spread of fire from the road reserve</w:t>
      </w:r>
    </w:p>
    <w:p w:rsidR="002A4569" w:rsidRPr="002A4569" w:rsidRDefault="002A4569" w:rsidP="002A4569">
      <w:pPr>
        <w:pStyle w:val="Bodycopy"/>
        <w:numPr>
          <w:ilvl w:val="0"/>
          <w:numId w:val="31"/>
        </w:numPr>
        <w:ind w:left="284" w:hanging="284"/>
        <w:rPr>
          <w:rFonts w:ascii="Arial" w:hAnsi="Arial" w:cs="Arial"/>
          <w:sz w:val="18"/>
          <w:szCs w:val="18"/>
        </w:rPr>
      </w:pPr>
      <w:r w:rsidRPr="002A4569">
        <w:rPr>
          <w:rFonts w:ascii="Arial" w:hAnsi="Arial" w:cs="Arial"/>
          <w:sz w:val="18"/>
          <w:szCs w:val="18"/>
        </w:rPr>
        <w:t>Manage safety of road users</w:t>
      </w:r>
    </w:p>
    <w:p w:rsidR="002A4569" w:rsidRPr="002A4569" w:rsidRDefault="002A4569" w:rsidP="002A4569">
      <w:pPr>
        <w:pStyle w:val="Bodycopy"/>
        <w:numPr>
          <w:ilvl w:val="0"/>
          <w:numId w:val="31"/>
        </w:numPr>
        <w:ind w:left="284" w:hanging="284"/>
        <w:rPr>
          <w:rFonts w:ascii="Arial" w:hAnsi="Arial" w:cs="Arial"/>
          <w:sz w:val="18"/>
          <w:szCs w:val="18"/>
        </w:rPr>
      </w:pPr>
      <w:r w:rsidRPr="002A4569">
        <w:rPr>
          <w:rFonts w:ascii="Arial" w:hAnsi="Arial" w:cs="Arial"/>
          <w:sz w:val="18"/>
          <w:szCs w:val="18"/>
        </w:rPr>
        <w:t>Provide control lines.</w:t>
      </w:r>
    </w:p>
    <w:p w:rsidR="002A4569" w:rsidRDefault="002A4569" w:rsidP="002A4569">
      <w:pPr>
        <w:pStyle w:val="Body"/>
      </w:pPr>
      <w:r>
        <w:t>The risk assessment process provides a systematic approach to decision making that incorporates defined standards and will achieve state-wide consistency for all road managers. As outlined above, a guideline and tool have been developed to assist road managers.</w:t>
      </w:r>
    </w:p>
    <w:p w:rsidR="002A4569" w:rsidRDefault="002A4569" w:rsidP="002A4569">
      <w:pPr>
        <w:pStyle w:val="HB"/>
      </w:pPr>
      <w:r>
        <w:t>Treatment selection process</w:t>
      </w:r>
    </w:p>
    <w:p w:rsidR="002A4569" w:rsidRDefault="002A4569" w:rsidP="002A4569">
      <w:pPr>
        <w:pStyle w:val="Body"/>
      </w:pPr>
      <w:r>
        <w:t xml:space="preserve">Once the risk assessment process has been completed, road managers can then decide on what treatments will be implemented to reduce the risk of bushfire. </w:t>
      </w:r>
    </w:p>
    <w:p w:rsidR="002A4569" w:rsidRDefault="002A4569" w:rsidP="002A4569">
      <w:pPr>
        <w:pStyle w:val="Body"/>
      </w:pPr>
      <w:r>
        <w:t xml:space="preserve">There are a range of factors that can influence the treatment selection at a particular site including cost/benefit of each treatment, amenity, the expected fire behaviour beyond the road reserve or environmental values present. The </w:t>
      </w:r>
      <w:r w:rsidRPr="00947C52">
        <w:rPr>
          <w:i/>
        </w:rPr>
        <w:t>Road Bushfire Risk Assessment Guideline</w:t>
      </w:r>
      <w:r>
        <w:t xml:space="preserve"> will describe in detail the process for selecting a treatment and includes a Road Bushfire Treatment Selection tool.</w:t>
      </w:r>
    </w:p>
    <w:p w:rsidR="0048279E" w:rsidRDefault="0048279E" w:rsidP="002A4569">
      <w:pPr>
        <w:pStyle w:val="Body"/>
      </w:pPr>
    </w:p>
    <w:p w:rsidR="0048279E" w:rsidRDefault="0048279E" w:rsidP="002A4569">
      <w:pPr>
        <w:pStyle w:val="Body"/>
      </w:pPr>
    </w:p>
    <w:p w:rsidR="0048279E" w:rsidRDefault="0048279E" w:rsidP="002A4569">
      <w:pPr>
        <w:pStyle w:val="Body"/>
      </w:pPr>
    </w:p>
    <w:p w:rsidR="0048279E" w:rsidRDefault="0048279E" w:rsidP="002A4569">
      <w:pPr>
        <w:pStyle w:val="Body"/>
      </w:pPr>
      <w:bookmarkStart w:id="0" w:name="_GoBack"/>
      <w:bookmarkEnd w:id="0"/>
    </w:p>
    <w:p w:rsidR="00F22905" w:rsidRDefault="00F22905" w:rsidP="00F22905">
      <w:pPr>
        <w:pStyle w:val="HB"/>
      </w:pPr>
      <w:r>
        <w:t>Further information</w:t>
      </w:r>
    </w:p>
    <w:p w:rsidR="002A4569" w:rsidRDefault="00F22905" w:rsidP="00F22905">
      <w:pPr>
        <w:pStyle w:val="Body"/>
      </w:pPr>
      <w:r>
        <w:t xml:space="preserve">For further information </w:t>
      </w:r>
      <w:r w:rsidR="002A4569">
        <w:t xml:space="preserve">on the exemption and guidance material please visit the </w:t>
      </w:r>
      <w:proofErr w:type="spellStart"/>
      <w:r w:rsidR="002A4569">
        <w:t>DEPI</w:t>
      </w:r>
      <w:proofErr w:type="spellEnd"/>
      <w:r w:rsidR="002A4569">
        <w:t xml:space="preserve"> website. </w:t>
      </w:r>
    </w:p>
    <w:p w:rsidR="00F22905" w:rsidRDefault="002A4569" w:rsidP="00F22905">
      <w:pPr>
        <w:pStyle w:val="Body"/>
      </w:pPr>
      <w:r>
        <w:t xml:space="preserve">For more information </w:t>
      </w:r>
      <w:r w:rsidR="00F22905">
        <w:t xml:space="preserve">contact: </w:t>
      </w:r>
    </w:p>
    <w:p w:rsidR="00F22905" w:rsidRDefault="00F22905" w:rsidP="002A4569">
      <w:pPr>
        <w:pStyle w:val="Bullet"/>
        <w:tabs>
          <w:tab w:val="clear" w:pos="720"/>
        </w:tabs>
        <w:ind w:left="284" w:hanging="284"/>
      </w:pPr>
      <w:r>
        <w:t>Your local council</w:t>
      </w:r>
    </w:p>
    <w:p w:rsidR="00F22905" w:rsidRDefault="00F22905" w:rsidP="002A4569">
      <w:pPr>
        <w:pStyle w:val="Bullet"/>
        <w:tabs>
          <w:tab w:val="clear" w:pos="720"/>
        </w:tabs>
        <w:ind w:left="284" w:hanging="284"/>
      </w:pPr>
      <w:r>
        <w:t>Department of Environment and Primary Industries (</w:t>
      </w:r>
      <w:proofErr w:type="spellStart"/>
      <w:r>
        <w:t>DEPI</w:t>
      </w:r>
      <w:proofErr w:type="spellEnd"/>
      <w:r>
        <w:t>) Customer Service Centre on 136 186</w:t>
      </w:r>
    </w:p>
    <w:p w:rsidR="00F22905" w:rsidRPr="002A4569" w:rsidRDefault="00F22905" w:rsidP="002A4569">
      <w:pPr>
        <w:pStyle w:val="Bullet"/>
        <w:tabs>
          <w:tab w:val="clear" w:pos="720"/>
        </w:tabs>
        <w:ind w:left="284" w:hanging="284"/>
        <w:rPr>
          <w:rStyle w:val="Hyperlink"/>
          <w:color w:val="auto"/>
          <w:u w:val="none"/>
        </w:rPr>
      </w:pPr>
      <w:r>
        <w:t xml:space="preserve">visit </w:t>
      </w:r>
      <w:hyperlink r:id="rId12" w:history="1">
        <w:r>
          <w:rPr>
            <w:rStyle w:val="Hyperlink"/>
          </w:rPr>
          <w:t>www.depi.vic.gov.au</w:t>
        </w:r>
      </w:hyperlink>
    </w:p>
    <w:p w:rsidR="00F22905" w:rsidRDefault="00F22905" w:rsidP="002A4569">
      <w:pPr>
        <w:pStyle w:val="Bullet"/>
        <w:tabs>
          <w:tab w:val="clear" w:pos="720"/>
        </w:tabs>
        <w:ind w:left="284" w:hanging="284"/>
      </w:pPr>
      <w:r>
        <w:t xml:space="preserve">Victorian Bushfire Information Line on </w:t>
      </w:r>
      <w:r>
        <w:br/>
        <w:t>1800 240 667.</w:t>
      </w:r>
    </w:p>
    <w:sectPr w:rsidR="00F22905" w:rsidSect="002A4569">
      <w:type w:val="continuous"/>
      <w:pgSz w:w="11907" w:h="16840" w:code="9"/>
      <w:pgMar w:top="1843" w:right="567" w:bottom="567" w:left="1134" w:header="284" w:footer="362"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4F" w:rsidRDefault="00B5634F">
      <w:r>
        <w:separator/>
      </w:r>
    </w:p>
  </w:endnote>
  <w:endnote w:type="continuationSeparator" w:id="0">
    <w:p w:rsidR="00B5634F" w:rsidRDefault="00B5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E4" w:rsidRDefault="000C39E4" w:rsidP="00B3689A">
    <w:pPr>
      <w:pStyle w:val="ImprintBreak"/>
      <w:pBdr>
        <w:top w:val="dotted" w:sz="12" w:space="1" w:color="F58426"/>
      </w:pBdr>
    </w:pPr>
  </w:p>
  <w:tbl>
    <w:tblPr>
      <w:tblW w:w="10456" w:type="dxa"/>
      <w:tblLook w:val="01E0" w:firstRow="1" w:lastRow="1" w:firstColumn="1" w:lastColumn="1" w:noHBand="0" w:noVBand="0"/>
    </w:tblPr>
    <w:tblGrid>
      <w:gridCol w:w="5228"/>
      <w:gridCol w:w="5228"/>
    </w:tblGrid>
    <w:tr w:rsidR="000C39E4" w:rsidTr="00B3689A">
      <w:trPr>
        <w:trHeight w:val="2241"/>
      </w:trPr>
      <w:tc>
        <w:tcPr>
          <w:tcW w:w="5228" w:type="dxa"/>
          <w:shd w:val="clear" w:color="auto" w:fill="auto"/>
        </w:tcPr>
        <w:p w:rsidR="003F5A5C" w:rsidRPr="000A7B82" w:rsidRDefault="003F5A5C" w:rsidP="003F5A5C">
          <w:pPr>
            <w:pStyle w:val="ImprintText"/>
          </w:pPr>
          <w:r>
            <w:t xml:space="preserve">Published by the Victorian Government Department of Environment and Primary Industries </w:t>
          </w:r>
          <w:r w:rsidRPr="000A7B82">
            <w:t xml:space="preserve">Melbourne, </w:t>
          </w:r>
          <w:r w:rsidR="00CD350A" w:rsidRPr="000A7B82">
            <w:t>October 2013</w:t>
          </w:r>
        </w:p>
        <w:p w:rsidR="003F5A5C" w:rsidRPr="000A7B82" w:rsidRDefault="003F5A5C" w:rsidP="003F5A5C">
          <w:pPr>
            <w:pStyle w:val="ImprintText"/>
          </w:pPr>
          <w:r w:rsidRPr="000A7B82">
            <w:t>© The State of Victoria Department of Environment and Primary Industries Melbourne 2013</w:t>
          </w:r>
        </w:p>
        <w:p w:rsidR="003F5A5C" w:rsidRDefault="003F5A5C" w:rsidP="003F5A5C">
          <w:pPr>
            <w:pStyle w:val="ImprintText"/>
          </w:pPr>
          <w:r>
            <w:t xml:space="preserve">This publication is copyright. No part may be reproduced by any process except in accordance with the provisions of the </w:t>
          </w:r>
          <w:r w:rsidRPr="00B3689A">
            <w:rPr>
              <w:i/>
            </w:rPr>
            <w:t>Copyright Act 1968</w:t>
          </w:r>
          <w:r>
            <w:t>.</w:t>
          </w:r>
        </w:p>
        <w:p w:rsidR="00CD350A" w:rsidRPr="00027B45" w:rsidRDefault="00CD350A" w:rsidP="00CB00C9">
          <w:pPr>
            <w:pStyle w:val="ImprintText"/>
          </w:pPr>
        </w:p>
        <w:p w:rsidR="00027B45" w:rsidRPr="00027B45" w:rsidRDefault="00027B45" w:rsidP="00027B45">
          <w:pPr>
            <w:outlineLvl w:val="0"/>
            <w:rPr>
              <w:rFonts w:ascii="Arial" w:hAnsi="Arial" w:cs="Arial"/>
              <w:sz w:val="14"/>
              <w:szCs w:val="14"/>
            </w:rPr>
          </w:pPr>
          <w:r w:rsidRPr="00027B45">
            <w:rPr>
              <w:rFonts w:ascii="Arial" w:hAnsi="Arial" w:cs="Arial"/>
              <w:snapToGrid w:val="0"/>
              <w:sz w:val="14"/>
              <w:szCs w:val="14"/>
            </w:rPr>
            <w:t xml:space="preserve">ISBN </w:t>
          </w:r>
          <w:r w:rsidRPr="00027B45">
            <w:rPr>
              <w:rFonts w:ascii="Arial" w:hAnsi="Arial" w:cs="Arial"/>
              <w:bCs/>
              <w:sz w:val="14"/>
              <w:szCs w:val="14"/>
            </w:rPr>
            <w:t>978-1-742</w:t>
          </w:r>
          <w:r w:rsidR="00E50EB4">
            <w:rPr>
              <w:rFonts w:ascii="Arial" w:hAnsi="Arial" w:cs="Arial"/>
              <w:bCs/>
              <w:sz w:val="14"/>
              <w:szCs w:val="14"/>
            </w:rPr>
            <w:t>42</w:t>
          </w:r>
          <w:r w:rsidRPr="00027B45">
            <w:rPr>
              <w:rFonts w:ascii="Arial" w:hAnsi="Arial" w:cs="Arial"/>
              <w:bCs/>
              <w:sz w:val="14"/>
              <w:szCs w:val="14"/>
            </w:rPr>
            <w:t>-</w:t>
          </w:r>
          <w:r w:rsidR="00E50EB4">
            <w:rPr>
              <w:rFonts w:ascii="Arial" w:hAnsi="Arial" w:cs="Arial"/>
              <w:bCs/>
              <w:sz w:val="14"/>
              <w:szCs w:val="14"/>
            </w:rPr>
            <w:t>169</w:t>
          </w:r>
          <w:r w:rsidRPr="00027B45">
            <w:rPr>
              <w:rFonts w:ascii="Arial" w:hAnsi="Arial" w:cs="Arial"/>
              <w:bCs/>
              <w:sz w:val="14"/>
              <w:szCs w:val="14"/>
            </w:rPr>
            <w:t>-</w:t>
          </w:r>
          <w:r w:rsidR="00E50EB4">
            <w:rPr>
              <w:rFonts w:ascii="Arial" w:hAnsi="Arial" w:cs="Arial"/>
              <w:bCs/>
              <w:sz w:val="14"/>
              <w:szCs w:val="14"/>
            </w:rPr>
            <w:t>9</w:t>
          </w:r>
          <w:r w:rsidRPr="00027B45">
            <w:rPr>
              <w:rFonts w:ascii="Arial" w:hAnsi="Arial" w:cs="Arial"/>
              <w:sz w:val="14"/>
              <w:szCs w:val="14"/>
            </w:rPr>
            <w:t xml:space="preserve"> (online)</w:t>
          </w:r>
        </w:p>
        <w:p w:rsidR="00027B45" w:rsidRPr="00027B45" w:rsidRDefault="00027B45" w:rsidP="00027B45">
          <w:pPr>
            <w:rPr>
              <w:rFonts w:ascii="Arial" w:hAnsi="Arial" w:cs="Arial"/>
              <w:snapToGrid w:val="0"/>
              <w:sz w:val="14"/>
              <w:szCs w:val="14"/>
            </w:rPr>
          </w:pPr>
        </w:p>
        <w:p w:rsidR="000C39E4" w:rsidRDefault="000C39E4" w:rsidP="00CB00C9">
          <w:pPr>
            <w:pStyle w:val="ImprintText"/>
          </w:pPr>
        </w:p>
      </w:tc>
      <w:tc>
        <w:tcPr>
          <w:tcW w:w="5228" w:type="dxa"/>
          <w:shd w:val="clear" w:color="auto" w:fill="auto"/>
        </w:tcPr>
        <w:p w:rsidR="000C39E4" w:rsidRDefault="000C39E4" w:rsidP="00CB00C9">
          <w:pPr>
            <w:pStyle w:val="ImprintTxtBold"/>
          </w:pPr>
          <w:r>
            <w:t>Accessibility</w:t>
          </w:r>
        </w:p>
        <w:p w:rsidR="000C39E4" w:rsidRDefault="000C39E4" w:rsidP="00CB00C9">
          <w:pPr>
            <w:pStyle w:val="ImprintText"/>
          </w:pPr>
          <w:r>
            <w:t>If you would like to receive this publication in an alternative format,</w:t>
          </w:r>
          <w:r>
            <w:br/>
            <w:t xml:space="preserve">please telephone </w:t>
          </w:r>
          <w:proofErr w:type="spellStart"/>
          <w:r>
            <w:t>DEPI</w:t>
          </w:r>
          <w:proofErr w:type="spellEnd"/>
          <w:r>
            <w:t xml:space="preserve"> Customer Service Centre 13</w:t>
          </w:r>
          <w:r w:rsidR="00CD350A">
            <w:t>6 186, email</w:t>
          </w:r>
          <w:r w:rsidR="00CD350A">
            <w:br/>
            <w:t>customer.service@d</w:t>
          </w:r>
          <w:r>
            <w:t>e</w:t>
          </w:r>
          <w:r w:rsidR="00CD350A">
            <w:t>pi</w:t>
          </w:r>
          <w:r>
            <w:t>.vic.gov.au (or relevant address), via the National</w:t>
          </w:r>
          <w:r>
            <w:br/>
            <w:t>Relay Service on 133 677 www.relayservice.com.au This document is</w:t>
          </w:r>
          <w:r>
            <w:br/>
            <w:t>also available in on the internet at www.depi.vic.gov.au</w:t>
          </w:r>
        </w:p>
        <w:p w:rsidR="000C39E4" w:rsidRDefault="000C39E4" w:rsidP="00CB00C9">
          <w:pPr>
            <w:pStyle w:val="ImprintTxtBold"/>
          </w:pPr>
          <w:r>
            <w:t>Disclaimer</w:t>
          </w:r>
        </w:p>
        <w:p w:rsidR="000C39E4" w:rsidRDefault="000C39E4" w:rsidP="003F5A5C">
          <w:pPr>
            <w:pStyle w:val="ImprintText"/>
          </w:pPr>
          <w:r>
            <w:t>This publication may be of assistance to you but the State of Victoria and its</w:t>
          </w:r>
          <w:r>
            <w:br/>
            <w:t xml:space="preserve">employees do not guarantee that the publication is without flaw of any kind </w:t>
          </w:r>
          <w:r w:rsidR="003F5A5C">
            <w:br/>
          </w:r>
          <w:r>
            <w:t>or</w:t>
          </w:r>
          <w:r w:rsidR="003F5A5C">
            <w:t xml:space="preserve"> </w:t>
          </w:r>
          <w:r>
            <w:t>is</w:t>
          </w:r>
          <w:r w:rsidR="003F5A5C">
            <w:t xml:space="preserve"> </w:t>
          </w:r>
          <w:r>
            <w:t xml:space="preserve">wholly appropriate for your particular purposes and therefore disclaims </w:t>
          </w:r>
          <w:r w:rsidR="003F5A5C">
            <w:br/>
          </w:r>
          <w:r>
            <w:t>all liability</w:t>
          </w:r>
          <w:r w:rsidR="003F5A5C">
            <w:t xml:space="preserve"> </w:t>
          </w:r>
          <w:r>
            <w:t>for any error, loss or other consequence which may arise from you relying on any information in this publication.</w:t>
          </w:r>
        </w:p>
      </w:tc>
    </w:tr>
  </w:tbl>
  <w:p w:rsidR="002015AD" w:rsidRPr="000C39E4" w:rsidRDefault="0048279E" w:rsidP="000C39E4">
    <w:pPr>
      <w:pStyle w:val="zFooterURL"/>
      <w:spacing w:before="480"/>
      <w:ind w:left="0" w:firstLine="0"/>
      <w:rPr>
        <w:sz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22.4pt;margin-top:787.3pt;width:145.7pt;height:38pt;z-index:251659264;visibility:visible;mso-position-horizontal-relative:page;mso-position-vertical-relative:page;mso-width-relative:margin;mso-height-relative:margin">
          <v:imagedata r:id="rId1" o:title="DEPI_RGB_right"/>
          <w10:wrap anchorx="page" anchory="page"/>
        </v:shape>
      </w:pict>
    </w:r>
    <w:r w:rsidR="000C39E4" w:rsidRPr="000C39E4">
      <w:rPr>
        <w:sz w:val="26"/>
      </w:rPr>
      <w:t>www.depi.vic.gov.au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48279E" w:rsidP="002015A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EPI/VicBrick" o:spid="_x0000_s2049" type="#_x0000_t75" style="position:absolute;margin-left:422.3pt;margin-top:787.3pt;width:145.7pt;height:38pt;z-index:251658240;visibility:visible;mso-position-horizontal-relative:page;mso-position-vertical-relative:page;mso-width-relative:margin;mso-height-relative:margin">
          <v:imagedata r:id="rId1" o:title="DEPI_RGB_right"/>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4F" w:rsidRDefault="00B5634F">
      <w:r>
        <w:separator/>
      </w:r>
    </w:p>
  </w:footnote>
  <w:footnote w:type="continuationSeparator" w:id="0">
    <w:p w:rsidR="00B5634F" w:rsidRDefault="00B5634F">
      <w:r>
        <w:continuationSeparator/>
      </w:r>
    </w:p>
  </w:footnote>
  <w:footnote w:id="1">
    <w:p w:rsidR="002A4569" w:rsidRDefault="002A4569" w:rsidP="002A4569">
      <w:pPr>
        <w:pStyle w:val="Body"/>
      </w:pPr>
      <w:r>
        <w:rPr>
          <w:rStyle w:val="FootnoteReference"/>
          <w:sz w:val="16"/>
          <w:szCs w:val="16"/>
        </w:rPr>
        <w:footnoteRef/>
      </w:r>
      <w:r>
        <w:t xml:space="preserve"> As identified through the Victorian Fire Risk Register roads module and/or though the Municipal Fire Prevention Planning Committee.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48279E" w:rsidP="00F83A6F">
    <w:pPr>
      <w:rPr>
        <w:lang w:val="en-US"/>
      </w:rP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55" type="#_x0000_t75" style="position:absolute;margin-left:-32.9pt;margin-top:10.9pt;width:546.55pt;height:68.8pt;z-index:-251660288;visibility:visible">
          <v:imagedata r:id="rId1" o:title="Landscape invitation header"/>
        </v:shape>
      </w:pict>
    </w:r>
  </w:p>
  <w:tbl>
    <w:tblPr>
      <w:tblW w:w="0" w:type="auto"/>
      <w:tblLook w:val="01E0" w:firstRow="1" w:lastRow="1" w:firstColumn="1" w:lastColumn="1" w:noHBand="0" w:noVBand="0"/>
    </w:tblPr>
    <w:tblGrid>
      <w:gridCol w:w="9747"/>
    </w:tblGrid>
    <w:tr w:rsidR="00865A63" w:rsidRPr="00F83A6F" w:rsidTr="00B3689A">
      <w:trPr>
        <w:trHeight w:val="1286"/>
      </w:trPr>
      <w:tc>
        <w:tcPr>
          <w:tcW w:w="9747" w:type="dxa"/>
          <w:shd w:val="clear" w:color="auto" w:fill="auto"/>
          <w:vAlign w:val="center"/>
        </w:tcPr>
        <w:p w:rsidR="00865A63" w:rsidRPr="00F22905" w:rsidRDefault="00947C52" w:rsidP="0099149F">
          <w:pPr>
            <w:pStyle w:val="CertHDWhite"/>
            <w:rPr>
              <w:sz w:val="32"/>
              <w:szCs w:val="32"/>
            </w:rPr>
          </w:pPr>
          <w:r>
            <w:rPr>
              <w:sz w:val="32"/>
              <w:szCs w:val="32"/>
            </w:rPr>
            <w:t>F</w:t>
          </w:r>
          <w:r w:rsidR="002A4569">
            <w:rPr>
              <w:sz w:val="32"/>
              <w:szCs w:val="32"/>
            </w:rPr>
            <w:t>ire exemption for roadsides</w:t>
          </w:r>
        </w:p>
      </w:tc>
    </w:tr>
  </w:tbl>
  <w:p w:rsidR="009E66AE" w:rsidRDefault="009E66A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48279E" w:rsidP="000305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50" type="#_x0000_t75" style="position:absolute;margin-left:0;margin-top:.5pt;width:595.3pt;height:278.65pt;z-index:-251659264;visibility:visible;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59F5190"/>
    <w:multiLevelType w:val="hybridMultilevel"/>
    <w:tmpl w:val="053E6964"/>
    <w:lvl w:ilvl="0" w:tplc="FFFFFFFF">
      <w:start w:val="1"/>
      <w:numFmt w:val="bullet"/>
      <w:pStyle w:val="Bodycopy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081956F9"/>
    <w:multiLevelType w:val="hybridMultilevel"/>
    <w:tmpl w:val="76B45CDC"/>
    <w:lvl w:ilvl="0" w:tplc="C3AAF360">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417CCF"/>
    <w:multiLevelType w:val="hybridMultilevel"/>
    <w:tmpl w:val="CF14AA3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4">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E2D534D"/>
    <w:multiLevelType w:val="hybridMultilevel"/>
    <w:tmpl w:val="0D666F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8"/>
  </w:num>
  <w:num w:numId="14">
    <w:abstractNumId w:val="15"/>
  </w:num>
  <w:num w:numId="15">
    <w:abstractNumId w:val="17"/>
  </w:num>
  <w:num w:numId="16">
    <w:abstractNumId w:val="12"/>
  </w:num>
  <w:num w:numId="17">
    <w:abstractNumId w:val="17"/>
  </w:num>
  <w:num w:numId="18">
    <w:abstractNumId w:val="17"/>
  </w:num>
  <w:num w:numId="19">
    <w:abstractNumId w:val="17"/>
  </w:num>
  <w:num w:numId="20">
    <w:abstractNumId w:val="10"/>
  </w:num>
  <w:num w:numId="21">
    <w:abstractNumId w:val="11"/>
  </w:num>
  <w:num w:numId="22">
    <w:abstractNumId w:val="1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efaultTabStop w:val="720"/>
  <w:drawingGridHorizontalSpacing w:val="12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D5E"/>
    <w:rsid w:val="00012793"/>
    <w:rsid w:val="00013D7A"/>
    <w:rsid w:val="00027B45"/>
    <w:rsid w:val="0003050C"/>
    <w:rsid w:val="00034D96"/>
    <w:rsid w:val="0003535F"/>
    <w:rsid w:val="00055FEF"/>
    <w:rsid w:val="00063E31"/>
    <w:rsid w:val="0008754B"/>
    <w:rsid w:val="0009699E"/>
    <w:rsid w:val="000A7B82"/>
    <w:rsid w:val="000C3259"/>
    <w:rsid w:val="000C39E4"/>
    <w:rsid w:val="00120C40"/>
    <w:rsid w:val="00120F3F"/>
    <w:rsid w:val="00135491"/>
    <w:rsid w:val="00154577"/>
    <w:rsid w:val="00177115"/>
    <w:rsid w:val="001A243B"/>
    <w:rsid w:val="001E2024"/>
    <w:rsid w:val="002015AD"/>
    <w:rsid w:val="002122D2"/>
    <w:rsid w:val="00217D52"/>
    <w:rsid w:val="00223D5E"/>
    <w:rsid w:val="002526EA"/>
    <w:rsid w:val="00285925"/>
    <w:rsid w:val="002A4569"/>
    <w:rsid w:val="002C4BC3"/>
    <w:rsid w:val="002C5BA2"/>
    <w:rsid w:val="002D3CC8"/>
    <w:rsid w:val="002D680B"/>
    <w:rsid w:val="002E2EC1"/>
    <w:rsid w:val="00321F9E"/>
    <w:rsid w:val="00330679"/>
    <w:rsid w:val="003F437F"/>
    <w:rsid w:val="003F5A5C"/>
    <w:rsid w:val="00404EF3"/>
    <w:rsid w:val="0043348E"/>
    <w:rsid w:val="00455AC0"/>
    <w:rsid w:val="0047538B"/>
    <w:rsid w:val="0048279E"/>
    <w:rsid w:val="004969C1"/>
    <w:rsid w:val="004C2BC3"/>
    <w:rsid w:val="004E4BDF"/>
    <w:rsid w:val="004E6888"/>
    <w:rsid w:val="0050769F"/>
    <w:rsid w:val="00512102"/>
    <w:rsid w:val="005229C6"/>
    <w:rsid w:val="005304F7"/>
    <w:rsid w:val="00540762"/>
    <w:rsid w:val="00544B68"/>
    <w:rsid w:val="00557B17"/>
    <w:rsid w:val="00575F3A"/>
    <w:rsid w:val="00582724"/>
    <w:rsid w:val="005B3CE8"/>
    <w:rsid w:val="00606451"/>
    <w:rsid w:val="00623482"/>
    <w:rsid w:val="00656186"/>
    <w:rsid w:val="00671756"/>
    <w:rsid w:val="006741C5"/>
    <w:rsid w:val="00675636"/>
    <w:rsid w:val="006B4688"/>
    <w:rsid w:val="006F707D"/>
    <w:rsid w:val="00731631"/>
    <w:rsid w:val="00756A07"/>
    <w:rsid w:val="007702BD"/>
    <w:rsid w:val="007B0E45"/>
    <w:rsid w:val="007B1469"/>
    <w:rsid w:val="007B62F8"/>
    <w:rsid w:val="007B6E26"/>
    <w:rsid w:val="007E3E33"/>
    <w:rsid w:val="007F5211"/>
    <w:rsid w:val="0083541B"/>
    <w:rsid w:val="00862A04"/>
    <w:rsid w:val="00865A63"/>
    <w:rsid w:val="008732EE"/>
    <w:rsid w:val="008A3B87"/>
    <w:rsid w:val="008A6BBA"/>
    <w:rsid w:val="008B61B5"/>
    <w:rsid w:val="008C1B1D"/>
    <w:rsid w:val="008F4932"/>
    <w:rsid w:val="00926BDE"/>
    <w:rsid w:val="00947C52"/>
    <w:rsid w:val="00953344"/>
    <w:rsid w:val="00962D3B"/>
    <w:rsid w:val="00972191"/>
    <w:rsid w:val="00981EA2"/>
    <w:rsid w:val="009872FB"/>
    <w:rsid w:val="0099149F"/>
    <w:rsid w:val="009C3B5A"/>
    <w:rsid w:val="009D65B5"/>
    <w:rsid w:val="009E666D"/>
    <w:rsid w:val="009E66AE"/>
    <w:rsid w:val="009F2D92"/>
    <w:rsid w:val="00A0021E"/>
    <w:rsid w:val="00A03F08"/>
    <w:rsid w:val="00A04614"/>
    <w:rsid w:val="00A11FE6"/>
    <w:rsid w:val="00A37BFA"/>
    <w:rsid w:val="00A56C4D"/>
    <w:rsid w:val="00A67D11"/>
    <w:rsid w:val="00A730A4"/>
    <w:rsid w:val="00A80B5A"/>
    <w:rsid w:val="00A83A7C"/>
    <w:rsid w:val="00A85593"/>
    <w:rsid w:val="00AF4DB4"/>
    <w:rsid w:val="00B137B4"/>
    <w:rsid w:val="00B24A07"/>
    <w:rsid w:val="00B3689A"/>
    <w:rsid w:val="00B475BF"/>
    <w:rsid w:val="00B5634F"/>
    <w:rsid w:val="00B7150A"/>
    <w:rsid w:val="00B95745"/>
    <w:rsid w:val="00BB37E4"/>
    <w:rsid w:val="00BD4BC3"/>
    <w:rsid w:val="00C061DD"/>
    <w:rsid w:val="00C12A10"/>
    <w:rsid w:val="00C46B5E"/>
    <w:rsid w:val="00C651CE"/>
    <w:rsid w:val="00C73267"/>
    <w:rsid w:val="00C772CA"/>
    <w:rsid w:val="00C7777E"/>
    <w:rsid w:val="00C86B17"/>
    <w:rsid w:val="00CA19B7"/>
    <w:rsid w:val="00CB00C9"/>
    <w:rsid w:val="00CD350A"/>
    <w:rsid w:val="00CE10A1"/>
    <w:rsid w:val="00D031F0"/>
    <w:rsid w:val="00D033C6"/>
    <w:rsid w:val="00D11924"/>
    <w:rsid w:val="00D13102"/>
    <w:rsid w:val="00D54DE0"/>
    <w:rsid w:val="00D57FF0"/>
    <w:rsid w:val="00DA0042"/>
    <w:rsid w:val="00DD0AB3"/>
    <w:rsid w:val="00DE5117"/>
    <w:rsid w:val="00DF6665"/>
    <w:rsid w:val="00E07718"/>
    <w:rsid w:val="00E2394C"/>
    <w:rsid w:val="00E30FFD"/>
    <w:rsid w:val="00E325A1"/>
    <w:rsid w:val="00E50EB4"/>
    <w:rsid w:val="00E51072"/>
    <w:rsid w:val="00E56D27"/>
    <w:rsid w:val="00E6278D"/>
    <w:rsid w:val="00E8448C"/>
    <w:rsid w:val="00E9178F"/>
    <w:rsid w:val="00EA31C2"/>
    <w:rsid w:val="00EB26F0"/>
    <w:rsid w:val="00EB2BB2"/>
    <w:rsid w:val="00EB75EA"/>
    <w:rsid w:val="00EC6F19"/>
    <w:rsid w:val="00F0013D"/>
    <w:rsid w:val="00F15CF7"/>
    <w:rsid w:val="00F22905"/>
    <w:rsid w:val="00F46148"/>
    <w:rsid w:val="00F67782"/>
    <w:rsid w:val="00F74678"/>
    <w:rsid w:val="00F83A6F"/>
    <w:rsid w:val="00F910D5"/>
    <w:rsid w:val="00F930FD"/>
    <w:rsid w:val="00FA2BC8"/>
    <w:rsid w:val="00FB6261"/>
    <w:rsid w:val="00FD34FA"/>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uiPriority w:val="99"/>
    <w:qFormat/>
    <w:rsid w:val="000C39E4"/>
    <w:rPr>
      <w:sz w:val="24"/>
      <w:szCs w:val="24"/>
      <w:lang w:eastAsia="en-US"/>
    </w:rPr>
  </w:style>
  <w:style w:type="paragraph" w:styleId="Heading1">
    <w:name w:val="heading 1"/>
    <w:basedOn w:val="Normal"/>
    <w:next w:val="Normal"/>
    <w:semiHidden/>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5304F7"/>
    <w:pPr>
      <w:keepNext/>
      <w:spacing w:before="240" w:after="60"/>
      <w:outlineLvl w:val="3"/>
    </w:pPr>
    <w:rPr>
      <w:b/>
      <w:bCs/>
      <w:sz w:val="28"/>
      <w:szCs w:val="28"/>
    </w:rPr>
  </w:style>
  <w:style w:type="paragraph" w:styleId="Heading5">
    <w:name w:val="heading 5"/>
    <w:basedOn w:val="Normal"/>
    <w:next w:val="Normal"/>
    <w:semiHidden/>
    <w:qFormat/>
    <w:rsid w:val="005304F7"/>
    <w:pPr>
      <w:spacing w:before="240" w:after="60"/>
      <w:outlineLvl w:val="4"/>
    </w:pPr>
    <w:rPr>
      <w:b/>
      <w:bCs/>
      <w:i/>
      <w:iCs/>
      <w:sz w:val="26"/>
      <w:szCs w:val="26"/>
    </w:rPr>
  </w:style>
  <w:style w:type="paragraph" w:styleId="Heading6">
    <w:name w:val="heading 6"/>
    <w:basedOn w:val="Normal"/>
    <w:next w:val="Normal"/>
    <w:semiHidden/>
    <w:qFormat/>
    <w:rsid w:val="005304F7"/>
    <w:pPr>
      <w:spacing w:before="240" w:after="60"/>
      <w:outlineLvl w:val="5"/>
    </w:pPr>
    <w:rPr>
      <w:b/>
      <w:bCs/>
      <w:sz w:val="22"/>
      <w:szCs w:val="22"/>
    </w:rPr>
  </w:style>
  <w:style w:type="paragraph" w:styleId="Heading7">
    <w:name w:val="heading 7"/>
    <w:basedOn w:val="Normal"/>
    <w:next w:val="Normal"/>
    <w:semiHidden/>
    <w:qFormat/>
    <w:rsid w:val="005304F7"/>
    <w:pPr>
      <w:spacing w:before="240" w:after="60"/>
      <w:outlineLvl w:val="6"/>
    </w:pPr>
  </w:style>
  <w:style w:type="paragraph" w:styleId="Heading8">
    <w:name w:val="heading 8"/>
    <w:basedOn w:val="Normal"/>
    <w:next w:val="Normal"/>
    <w:semiHidden/>
    <w:qFormat/>
    <w:rsid w:val="005304F7"/>
    <w:pPr>
      <w:spacing w:before="240" w:after="60"/>
      <w:outlineLvl w:val="7"/>
    </w:pPr>
    <w:rPr>
      <w:i/>
      <w:iCs/>
    </w:rPr>
  </w:style>
  <w:style w:type="paragraph" w:styleId="Heading9">
    <w:name w:val="heading 9"/>
    <w:basedOn w:val="Normal"/>
    <w:next w:val="Normal"/>
    <w:semiHidden/>
    <w:qFormat/>
    <w:rsid w:val="005304F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D033C6"/>
    <w:pPr>
      <w:spacing w:after="113" w:line="240" w:lineRule="atLeast"/>
    </w:pPr>
    <w:rPr>
      <w:rFonts w:ascii="Arial" w:hAnsi="Arial" w:cs="Arial"/>
      <w:sz w:val="18"/>
      <w:szCs w:val="24"/>
      <w:lang w:eastAsia="en-US"/>
    </w:rPr>
  </w:style>
  <w:style w:type="paragraph" w:customStyle="1" w:styleId="Bullet">
    <w:name w:val="_Bullet"/>
    <w:link w:val="BulletChar"/>
    <w:autoRedefine/>
    <w:qFormat/>
    <w:rsid w:val="002A4569"/>
    <w:pPr>
      <w:numPr>
        <w:numId w:val="16"/>
      </w:numPr>
      <w:spacing w:after="113" w:line="220" w:lineRule="atLeast"/>
    </w:pPr>
    <w:rPr>
      <w:rFonts w:ascii="Arial" w:hAnsi="Arial" w:cs="Arial"/>
      <w:sz w:val="18"/>
      <w:szCs w:val="24"/>
      <w:lang w:eastAsia="en-US"/>
    </w:rPr>
  </w:style>
  <w:style w:type="character" w:customStyle="1" w:styleId="BulletChar">
    <w:name w:val="_Bullet Char"/>
    <w:link w:val="Bullet"/>
    <w:rsid w:val="002A4569"/>
    <w:rPr>
      <w:rFonts w:ascii="Arial" w:hAnsi="Arial" w:cs="Arial"/>
      <w:sz w:val="18"/>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D033C6"/>
    <w:pPr>
      <w:spacing w:before="120" w:after="120" w:line="170" w:lineRule="atLeast"/>
    </w:pPr>
    <w:rPr>
      <w:rFonts w:ascii="Arial" w:hAnsi="Arial" w:cs="Arial"/>
      <w:b/>
      <w:color w:val="404040"/>
      <w:sz w:val="14"/>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D033C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D033C6"/>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033C6"/>
    <w:pPr>
      <w:spacing w:after="600" w:line="460" w:lineRule="atLeast"/>
      <w:outlineLvl w:val="0"/>
    </w:pPr>
    <w:rPr>
      <w:rFonts w:ascii="Arial" w:hAnsi="Arial" w:cs="Arial"/>
      <w:color w:val="F58426"/>
      <w:sz w:val="40"/>
      <w:szCs w:val="24"/>
      <w:lang w:val="en-US" w:eastAsia="en-US"/>
    </w:rPr>
  </w:style>
  <w:style w:type="paragraph" w:customStyle="1" w:styleId="HB">
    <w:name w:val="_HB"/>
    <w:next w:val="Body"/>
    <w:uiPriority w:val="2"/>
    <w:qFormat/>
    <w:rsid w:val="00D033C6"/>
    <w:pPr>
      <w:spacing w:before="180" w:after="113" w:line="300" w:lineRule="atLeast"/>
      <w:outlineLvl w:val="0"/>
    </w:pPr>
    <w:rPr>
      <w:rFonts w:ascii="Arial" w:hAnsi="Arial" w:cs="Arial"/>
      <w:b/>
      <w:color w:val="F58426"/>
      <w:sz w:val="24"/>
      <w:szCs w:val="24"/>
      <w:lang w:eastAsia="en-US"/>
    </w:rPr>
  </w:style>
  <w:style w:type="paragraph" w:customStyle="1" w:styleId="HC">
    <w:name w:val="_HC"/>
    <w:next w:val="Body"/>
    <w:uiPriority w:val="2"/>
    <w:qFormat/>
    <w:rsid w:val="00D033C6"/>
    <w:pPr>
      <w:spacing w:before="140" w:after="57" w:line="220" w:lineRule="atLeast"/>
    </w:pPr>
    <w:rPr>
      <w:rFonts w:ascii="Arial" w:hAnsi="Arial" w:cs="Arial"/>
      <w:b/>
      <w:sz w:val="18"/>
      <w:szCs w:val="24"/>
      <w:lang w:eastAsia="en-US"/>
    </w:rPr>
  </w:style>
  <w:style w:type="paragraph" w:customStyle="1" w:styleId="HD">
    <w:name w:val="_HD"/>
    <w:next w:val="Body"/>
    <w:uiPriority w:val="2"/>
    <w:qFormat/>
    <w:rsid w:val="00D033C6"/>
    <w:pPr>
      <w:spacing w:before="57" w:after="57" w:line="220" w:lineRule="atLeast"/>
    </w:pPr>
    <w:rPr>
      <w:rFonts w:ascii="Arial" w:hAnsi="Arial" w:cs="Arial"/>
      <w:b/>
      <w:i/>
      <w:sz w:val="18"/>
      <w:szCs w:val="24"/>
      <w:lang w:eastAsia="en-US"/>
    </w:rPr>
  </w:style>
  <w:style w:type="paragraph" w:customStyle="1" w:styleId="Pullout">
    <w:name w:val="_Pullout"/>
    <w:qFormat/>
    <w:rsid w:val="00D11924"/>
    <w:pPr>
      <w:spacing w:before="85" w:after="170" w:line="300" w:lineRule="atLeast"/>
    </w:pPr>
    <w:rPr>
      <w:rFonts w:ascii="Arial" w:hAnsi="Arial" w:cs="Arial"/>
      <w:color w:val="FFFFFF"/>
      <w:sz w:val="24"/>
      <w:szCs w:val="24"/>
      <w:lang w:eastAsia="en-US"/>
    </w:rPr>
  </w:style>
  <w:style w:type="paragraph" w:customStyle="1" w:styleId="TableTitle">
    <w:name w:val="_TableTitle"/>
    <w:qFormat/>
    <w:rsid w:val="00D033C6"/>
    <w:pPr>
      <w:spacing w:after="120" w:line="220" w:lineRule="atLeast"/>
    </w:pPr>
    <w:rPr>
      <w:rFonts w:ascii="Arial" w:hAnsi="Arial" w:cs="Arial"/>
      <w:b/>
      <w:color w:val="404040"/>
      <w:sz w:val="18"/>
      <w:szCs w:val="18"/>
      <w:lang w:eastAsia="en-US"/>
    </w:rPr>
  </w:style>
  <w:style w:type="paragraph" w:customStyle="1" w:styleId="TblBdy">
    <w:name w:val="_TblBdy"/>
    <w:uiPriority w:val="1"/>
    <w:qFormat/>
    <w:rsid w:val="00D033C6"/>
    <w:pPr>
      <w:spacing w:before="80" w:after="60"/>
    </w:pPr>
    <w:rPr>
      <w:rFonts w:ascii="Arial" w:hAnsi="Arial" w:cs="Arial"/>
      <w:sz w:val="18"/>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Hd">
    <w:name w:val="_TblHd"/>
    <w:qFormat/>
    <w:rsid w:val="00D033C6"/>
    <w:pPr>
      <w:spacing w:before="60" w:after="60" w:line="230" w:lineRule="atLeast"/>
    </w:pPr>
    <w:rPr>
      <w:rFonts w:ascii="Arial" w:hAnsi="Arial" w:cs="Arial"/>
      <w:b/>
      <w:sz w:val="19"/>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C061DD"/>
    <w:pPr>
      <w:pBdr>
        <w:top w:val="dotted" w:sz="12" w:space="1" w:color="3BBEB4"/>
      </w:pBdr>
    </w:pPr>
    <w:rPr>
      <w:rFonts w:ascii="Arial" w:hAnsi="Arial" w:cs="Arial"/>
      <w:sz w:val="8"/>
      <w:szCs w:val="8"/>
      <w:lang w:eastAsia="en-US"/>
    </w:rPr>
  </w:style>
  <w:style w:type="paragraph" w:customStyle="1" w:styleId="ImprintText">
    <w:name w:val="_ImprintText"/>
    <w:uiPriority w:val="9"/>
    <w:rsid w:val="0047538B"/>
    <w:pPr>
      <w:spacing w:after="85" w:line="170" w:lineRule="atLeast"/>
    </w:pPr>
    <w:rPr>
      <w:rFonts w:ascii="Arial" w:hAnsi="Arial" w:cs="Arial"/>
      <w:sz w:val="14"/>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semiHidden/>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 w:val="20"/>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 w:val="20"/>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 w:val="20"/>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semiHidden/>
    <w:qFormat/>
    <w:rsid w:val="005304F7"/>
    <w:rPr>
      <w:b/>
      <w:bCs/>
    </w:rPr>
  </w:style>
  <w:style w:type="paragraph" w:styleId="Subtitle">
    <w:name w:val="Subtitle"/>
    <w:basedOn w:val="Normal"/>
    <w:semiHidden/>
    <w:qFormat/>
    <w:rsid w:val="005304F7"/>
    <w:pPr>
      <w:spacing w:after="60"/>
      <w:jc w:val="center"/>
      <w:outlineLvl w:val="1"/>
    </w:pPr>
    <w:rPr>
      <w:rFonts w:ascii="Arial" w:hAnsi="Arial" w:cs="Arial"/>
    </w:rPr>
  </w:style>
  <w:style w:type="table" w:styleId="Table3Deffects1">
    <w:name w:val="Table 3D effects 1"/>
    <w:basedOn w:val="TableNormal"/>
    <w:semiHidden/>
    <w:rsid w:val="005304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304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5304F7"/>
    <w:pPr>
      <w:spacing w:before="240" w:after="60"/>
      <w:jc w:val="center"/>
      <w:outlineLvl w:val="0"/>
    </w:pPr>
    <w:rPr>
      <w:rFonts w:ascii="Arial" w:hAnsi="Arial" w:cs="Arial"/>
      <w:b/>
      <w:bCs/>
      <w:kern w:val="28"/>
      <w:sz w:val="32"/>
      <w:szCs w:val="32"/>
    </w:rPr>
  </w:style>
  <w:style w:type="paragraph" w:customStyle="1" w:styleId="ImprintBreak2">
    <w:name w:val="_ImprintBreak2"/>
    <w:uiPriority w:val="9"/>
    <w:rsid w:val="00865A63"/>
    <w:rPr>
      <w:rFonts w:ascii="Arial" w:hAnsi="Arial"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0C39E4"/>
    <w:pPr>
      <w:ind w:left="-34" w:hanging="694"/>
    </w:pPr>
    <w:rPr>
      <w:rFonts w:ascii="Arial" w:hAnsi="Arial" w:cs="Arial"/>
      <w:color w:val="636466"/>
      <w:sz w:val="54"/>
      <w:szCs w:val="24"/>
      <w:lang w:eastAsia="en-US"/>
    </w:rPr>
  </w:style>
  <w:style w:type="character" w:customStyle="1" w:styleId="SubheadChar">
    <w:name w:val="Sub head Char"/>
    <w:link w:val="Subhead"/>
    <w:locked/>
    <w:rsid w:val="00F22905"/>
    <w:rPr>
      <w:rFonts w:ascii="Tahoma" w:hAnsi="Tahoma" w:cs="Tahoma"/>
      <w:b/>
      <w:noProof/>
    </w:rPr>
  </w:style>
  <w:style w:type="paragraph" w:customStyle="1" w:styleId="Subhead">
    <w:name w:val="Sub head"/>
    <w:link w:val="SubheadChar"/>
    <w:rsid w:val="00F22905"/>
    <w:pPr>
      <w:spacing w:before="180" w:after="60" w:line="260" w:lineRule="exact"/>
    </w:pPr>
    <w:rPr>
      <w:rFonts w:ascii="Tahoma" w:hAnsi="Tahoma" w:cs="Tahoma"/>
      <w:b/>
      <w:noProof/>
    </w:rPr>
  </w:style>
  <w:style w:type="paragraph" w:customStyle="1" w:styleId="Bodycopy">
    <w:name w:val="Body copy"/>
    <w:rsid w:val="00F22905"/>
    <w:pPr>
      <w:spacing w:after="120" w:line="240" w:lineRule="exact"/>
    </w:pPr>
    <w:rPr>
      <w:rFonts w:ascii="Lucida Bright" w:eastAsia="Times" w:hAnsi="Lucida Bright"/>
      <w:sz w:val="17"/>
    </w:rPr>
  </w:style>
  <w:style w:type="paragraph" w:customStyle="1" w:styleId="Bodycopybullets">
    <w:name w:val="Body copy bullets"/>
    <w:basedOn w:val="Bodycopy"/>
    <w:rsid w:val="00F22905"/>
    <w:pPr>
      <w:numPr>
        <w:numId w:val="21"/>
      </w:numPr>
      <w:spacing w:after="60"/>
      <w:ind w:left="284" w:hanging="284"/>
    </w:pPr>
  </w:style>
  <w:style w:type="character" w:customStyle="1" w:styleId="SubheadstartChar">
    <w:name w:val="Sub head start Char"/>
    <w:link w:val="Subheadstart"/>
    <w:locked/>
    <w:rsid w:val="00F22905"/>
    <w:rPr>
      <w:rFonts w:ascii="Tahoma" w:hAnsi="Tahoma" w:cs="Tahoma"/>
      <w:b/>
    </w:rPr>
  </w:style>
  <w:style w:type="paragraph" w:customStyle="1" w:styleId="Subheadstart">
    <w:name w:val="Sub head start"/>
    <w:basedOn w:val="Subhead"/>
    <w:link w:val="SubheadstartChar"/>
    <w:rsid w:val="00F22905"/>
    <w:pPr>
      <w:spacing w:before="0"/>
    </w:pPr>
    <w:rPr>
      <w:noProof w:val="0"/>
    </w:rPr>
  </w:style>
  <w:style w:type="character" w:styleId="FootnoteReference">
    <w:name w:val="footnote reference"/>
    <w:semiHidden/>
    <w:unhideWhenUsed/>
    <w:rsid w:val="00F22905"/>
    <w:rPr>
      <w:vertAlign w:val="superscript"/>
    </w:rPr>
  </w:style>
  <w:style w:type="paragraph" w:customStyle="1" w:styleId="16pt">
    <w:name w:val="16pt"/>
    <w:rsid w:val="00F22905"/>
    <w:pPr>
      <w:spacing w:after="60" w:line="720" w:lineRule="exact"/>
    </w:pPr>
    <w:rPr>
      <w:rFonts w:ascii="Tahoma" w:eastAsia="Times" w:hAnsi="Tahoma"/>
      <w:noProof/>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
    <w:name w:val="111111"/>
    <w:pPr>
      <w:numPr>
        <w:numId w:val="12"/>
      </w:numPr>
    </w:pPr>
  </w:style>
  <w:style w:type="numbering" w:customStyle="1" w:styleId="Bullet">
    <w:name w:val="ArticleSection"/>
    <w:pPr>
      <w:numPr>
        <w:numId w:val="14"/>
      </w:numPr>
    </w:pPr>
  </w:style>
  <w:style w:type="numbering" w:customStyle="1" w:styleId="BulletChar">
    <w:name w:val="1ai"/>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2971">
      <w:bodyDiv w:val="1"/>
      <w:marLeft w:val="0"/>
      <w:marRight w:val="0"/>
      <w:marTop w:val="0"/>
      <w:marBottom w:val="0"/>
      <w:divBdr>
        <w:top w:val="none" w:sz="0" w:space="0" w:color="auto"/>
        <w:left w:val="none" w:sz="0" w:space="0" w:color="auto"/>
        <w:bottom w:val="none" w:sz="0" w:space="0" w:color="auto"/>
        <w:right w:val="none" w:sz="0" w:space="0" w:color="auto"/>
      </w:divBdr>
    </w:div>
    <w:div w:id="417488199">
      <w:bodyDiv w:val="1"/>
      <w:marLeft w:val="0"/>
      <w:marRight w:val="0"/>
      <w:marTop w:val="0"/>
      <w:marBottom w:val="0"/>
      <w:divBdr>
        <w:top w:val="none" w:sz="0" w:space="0" w:color="auto"/>
        <w:left w:val="none" w:sz="0" w:space="0" w:color="auto"/>
        <w:bottom w:val="none" w:sz="0" w:space="0" w:color="auto"/>
        <w:right w:val="none" w:sz="0" w:space="0" w:color="auto"/>
      </w:divBdr>
    </w:div>
    <w:div w:id="578827281">
      <w:bodyDiv w:val="1"/>
      <w:marLeft w:val="0"/>
      <w:marRight w:val="0"/>
      <w:marTop w:val="0"/>
      <w:marBottom w:val="0"/>
      <w:divBdr>
        <w:top w:val="none" w:sz="0" w:space="0" w:color="auto"/>
        <w:left w:val="none" w:sz="0" w:space="0" w:color="auto"/>
        <w:bottom w:val="none" w:sz="0" w:space="0" w:color="auto"/>
        <w:right w:val="none" w:sz="0" w:space="0" w:color="auto"/>
      </w:divBdr>
    </w:div>
    <w:div w:id="692222528">
      <w:bodyDiv w:val="1"/>
      <w:marLeft w:val="0"/>
      <w:marRight w:val="0"/>
      <w:marTop w:val="0"/>
      <w:marBottom w:val="0"/>
      <w:divBdr>
        <w:top w:val="none" w:sz="0" w:space="0" w:color="auto"/>
        <w:left w:val="none" w:sz="0" w:space="0" w:color="auto"/>
        <w:bottom w:val="none" w:sz="0" w:space="0" w:color="auto"/>
        <w:right w:val="none" w:sz="0" w:space="0" w:color="auto"/>
      </w:divBdr>
    </w:div>
    <w:div w:id="1175730191">
      <w:bodyDiv w:val="1"/>
      <w:marLeft w:val="0"/>
      <w:marRight w:val="0"/>
      <w:marTop w:val="0"/>
      <w:marBottom w:val="0"/>
      <w:divBdr>
        <w:top w:val="none" w:sz="0" w:space="0" w:color="auto"/>
        <w:left w:val="none" w:sz="0" w:space="0" w:color="auto"/>
        <w:bottom w:val="none" w:sz="0" w:space="0" w:color="auto"/>
        <w:right w:val="none" w:sz="0" w:space="0" w:color="auto"/>
      </w:divBdr>
    </w:div>
    <w:div w:id="20810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pi.vic.gov.au/nativevege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DE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DEPI.dotx</Template>
  <TotalTime>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2013-10-04T01:31:00Z</dcterms:created>
  <dcterms:modified xsi:type="dcterms:W3CDTF">2013-10-11T02:58:00Z</dcterms:modified>
</cp:coreProperties>
</file>