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F3C7" w14:textId="61E364CF" w:rsidR="00124EF8" w:rsidRDefault="00000000">
      <w:pPr>
        <w:pStyle w:val="Title"/>
      </w:pPr>
      <w:r>
        <w:rPr>
          <w:color w:val="143A5F"/>
        </w:rPr>
        <w:t>Sustainability</w:t>
      </w:r>
      <w:r>
        <w:rPr>
          <w:color w:val="143A5F"/>
          <w:spacing w:val="-10"/>
        </w:rPr>
        <w:t xml:space="preserve"> </w:t>
      </w:r>
      <w:r>
        <w:rPr>
          <w:color w:val="143A5F"/>
        </w:rPr>
        <w:t>Fund</w:t>
      </w:r>
      <w:r>
        <w:rPr>
          <w:color w:val="143A5F"/>
          <w:spacing w:val="-7"/>
        </w:rPr>
        <w:t xml:space="preserve"> </w:t>
      </w:r>
      <w:r>
        <w:rPr>
          <w:color w:val="143A5F"/>
        </w:rPr>
        <w:t>Trust</w:t>
      </w:r>
      <w:r>
        <w:rPr>
          <w:color w:val="143A5F"/>
          <w:spacing w:val="-8"/>
        </w:rPr>
        <w:t xml:space="preserve"> </w:t>
      </w:r>
      <w:r>
        <w:rPr>
          <w:color w:val="143A5F"/>
        </w:rPr>
        <w:t>Account</w:t>
      </w:r>
      <w:r>
        <w:rPr>
          <w:color w:val="143A5F"/>
          <w:spacing w:val="-7"/>
        </w:rPr>
        <w:t xml:space="preserve"> </w:t>
      </w:r>
      <w:r>
        <w:rPr>
          <w:color w:val="143A5F"/>
          <w:spacing w:val="-2"/>
        </w:rPr>
        <w:t>Cashflows</w:t>
      </w:r>
      <w:r w:rsidR="00911D9E">
        <w:rPr>
          <w:color w:val="143A5F"/>
          <w:spacing w:val="-2"/>
        </w:rPr>
        <w:t xml:space="preserve"> 2023-24</w:t>
      </w:r>
    </w:p>
    <w:p w14:paraId="22AFECD7" w14:textId="77777777" w:rsidR="00124EF8" w:rsidRDefault="00124EF8">
      <w:pPr>
        <w:pStyle w:val="BodyText"/>
        <w:spacing w:before="171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8"/>
        <w:gridCol w:w="1361"/>
      </w:tblGrid>
      <w:tr w:rsidR="00124EF8" w14:paraId="618B3A3B" w14:textId="77777777">
        <w:trPr>
          <w:trHeight w:val="371"/>
        </w:trPr>
        <w:tc>
          <w:tcPr>
            <w:tcW w:w="8278" w:type="dxa"/>
            <w:tcBorders>
              <w:top w:val="nil"/>
              <w:left w:val="nil"/>
            </w:tcBorders>
            <w:shd w:val="clear" w:color="auto" w:fill="C5ECFF"/>
          </w:tcPr>
          <w:p w14:paraId="521DBBE3" w14:textId="77777777" w:rsidR="00124EF8" w:rsidRDefault="00124E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nil"/>
              <w:right w:val="nil"/>
            </w:tcBorders>
            <w:shd w:val="clear" w:color="auto" w:fill="C5ECFF"/>
          </w:tcPr>
          <w:p w14:paraId="59BDCDC1" w14:textId="77777777" w:rsidR="00124EF8" w:rsidRDefault="00000000">
            <w:pPr>
              <w:pStyle w:val="TableParagraph"/>
              <w:spacing w:before="58"/>
              <w:ind w:left="51"/>
              <w:rPr>
                <w:sz w:val="19"/>
              </w:rPr>
            </w:pPr>
            <w:r>
              <w:rPr>
                <w:sz w:val="19"/>
              </w:rPr>
              <w:t>($</w:t>
            </w:r>
            <w:r>
              <w:rPr>
                <w:spacing w:val="-2"/>
                <w:sz w:val="19"/>
              </w:rPr>
              <w:t xml:space="preserve"> million)</w:t>
            </w:r>
          </w:p>
        </w:tc>
      </w:tr>
      <w:tr w:rsidR="00124EF8" w14:paraId="6041DFA7" w14:textId="77777777">
        <w:trPr>
          <w:trHeight w:val="750"/>
        </w:trPr>
        <w:tc>
          <w:tcPr>
            <w:tcW w:w="8278" w:type="dxa"/>
            <w:tcBorders>
              <w:left w:val="nil"/>
              <w:right w:val="nil"/>
            </w:tcBorders>
            <w:shd w:val="clear" w:color="auto" w:fill="8BD8FF"/>
          </w:tcPr>
          <w:p w14:paraId="3545D076" w14:textId="77777777" w:rsidR="00124EF8" w:rsidRDefault="00000000">
            <w:pPr>
              <w:pStyle w:val="TableParagraph"/>
              <w:spacing w:before="57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Opening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cash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balance</w:t>
            </w:r>
          </w:p>
          <w:p w14:paraId="525B0F57" w14:textId="77777777" w:rsidR="00124EF8" w:rsidRDefault="00000000">
            <w:pPr>
              <w:pStyle w:val="TableParagraph"/>
              <w:ind w:lef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Receipts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8BD8FF"/>
          </w:tcPr>
          <w:p w14:paraId="0A685998" w14:textId="77777777" w:rsidR="00124EF8" w:rsidRDefault="00000000">
            <w:pPr>
              <w:pStyle w:val="TableParagraph"/>
              <w:spacing w:before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201.06</w:t>
            </w:r>
          </w:p>
        </w:tc>
      </w:tr>
      <w:tr w:rsidR="00124EF8" w14:paraId="32BED187" w14:textId="77777777">
        <w:trPr>
          <w:trHeight w:val="1131"/>
        </w:trPr>
        <w:tc>
          <w:tcPr>
            <w:tcW w:w="8278" w:type="dxa"/>
            <w:tcBorders>
              <w:left w:val="nil"/>
              <w:right w:val="nil"/>
            </w:tcBorders>
            <w:shd w:val="clear" w:color="auto" w:fill="C5ECFF"/>
          </w:tcPr>
          <w:p w14:paraId="5A2DF5CA" w14:textId="77777777" w:rsidR="00124EF8" w:rsidRDefault="00000000">
            <w:pPr>
              <w:pStyle w:val="TableParagraph"/>
              <w:spacing w:before="57" w:line="355" w:lineRule="auto"/>
              <w:ind w:left="57" w:right="1209"/>
              <w:rPr>
                <w:sz w:val="11"/>
              </w:rPr>
            </w:pPr>
            <w:r>
              <w:rPr>
                <w:sz w:val="19"/>
              </w:rPr>
              <w:t>Transfer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Industrial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Levy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Trust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 Unexpended program funds returned to the Sustainability Fund</w:t>
            </w:r>
            <w:r>
              <w:rPr>
                <w:position w:val="7"/>
                <w:sz w:val="11"/>
              </w:rPr>
              <w:t>i</w:t>
            </w:r>
          </w:p>
          <w:p w14:paraId="303B2458" w14:textId="77777777" w:rsidR="00124EF8" w:rsidRDefault="00000000">
            <w:pPr>
              <w:pStyle w:val="TableParagraph"/>
              <w:spacing w:before="2"/>
              <w:ind w:left="57"/>
              <w:rPr>
                <w:sz w:val="19"/>
              </w:rPr>
            </w:pPr>
            <w:r>
              <w:rPr>
                <w:sz w:val="19"/>
              </w:rPr>
              <w:t>Investment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Revenue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C5ECFF"/>
          </w:tcPr>
          <w:p w14:paraId="67EE1544" w14:textId="77777777" w:rsidR="00124EF8" w:rsidRDefault="00000000">
            <w:pPr>
              <w:pStyle w:val="TableParagraph"/>
              <w:spacing w:before="57"/>
              <w:rPr>
                <w:sz w:val="19"/>
              </w:rPr>
            </w:pPr>
            <w:r>
              <w:rPr>
                <w:spacing w:val="-2"/>
                <w:sz w:val="19"/>
              </w:rPr>
              <w:t>332.33</w:t>
            </w:r>
          </w:p>
          <w:p w14:paraId="33B2AE9E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7.50</w:t>
            </w:r>
          </w:p>
          <w:p w14:paraId="68E19FDD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9.54</w:t>
            </w:r>
          </w:p>
        </w:tc>
      </w:tr>
      <w:tr w:rsidR="00124EF8" w14:paraId="6B998FDA" w14:textId="77777777">
        <w:trPr>
          <w:trHeight w:val="370"/>
        </w:trPr>
        <w:tc>
          <w:tcPr>
            <w:tcW w:w="8278" w:type="dxa"/>
            <w:tcBorders>
              <w:left w:val="nil"/>
            </w:tcBorders>
            <w:shd w:val="clear" w:color="auto" w:fill="8BD8FF"/>
          </w:tcPr>
          <w:p w14:paraId="5D7905A0" w14:textId="77777777" w:rsidR="00124EF8" w:rsidRDefault="00000000">
            <w:pPr>
              <w:pStyle w:val="TableParagraph"/>
              <w:spacing w:before="57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receipts</w:t>
            </w:r>
          </w:p>
        </w:tc>
        <w:tc>
          <w:tcPr>
            <w:tcW w:w="1361" w:type="dxa"/>
            <w:vMerge w:val="restart"/>
            <w:tcBorders>
              <w:left w:val="nil"/>
              <w:right w:val="nil"/>
            </w:tcBorders>
            <w:shd w:val="clear" w:color="auto" w:fill="8BD8FF"/>
          </w:tcPr>
          <w:p w14:paraId="06D9C650" w14:textId="77777777" w:rsidR="00124EF8" w:rsidRDefault="00000000">
            <w:pPr>
              <w:pStyle w:val="TableParagraph"/>
              <w:spacing w:before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349.37</w:t>
            </w:r>
          </w:p>
        </w:tc>
      </w:tr>
      <w:tr w:rsidR="00124EF8" w14:paraId="115F7C5F" w14:textId="77777777">
        <w:trPr>
          <w:trHeight w:val="370"/>
        </w:trPr>
        <w:tc>
          <w:tcPr>
            <w:tcW w:w="8278" w:type="dxa"/>
            <w:tcBorders>
              <w:left w:val="nil"/>
            </w:tcBorders>
            <w:shd w:val="clear" w:color="auto" w:fill="8BD8FF"/>
          </w:tcPr>
          <w:p w14:paraId="7D307F26" w14:textId="77777777" w:rsidR="00124EF8" w:rsidRDefault="00000000">
            <w:pPr>
              <w:pStyle w:val="TableParagraph"/>
              <w:spacing w:before="57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Payments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programs</w:t>
            </w:r>
          </w:p>
        </w:tc>
        <w:tc>
          <w:tcPr>
            <w:tcW w:w="1361" w:type="dxa"/>
            <w:vMerge/>
            <w:tcBorders>
              <w:top w:val="nil"/>
              <w:left w:val="nil"/>
              <w:right w:val="nil"/>
            </w:tcBorders>
            <w:shd w:val="clear" w:color="auto" w:fill="8BD8FF"/>
          </w:tcPr>
          <w:p w14:paraId="488AD6CE" w14:textId="77777777" w:rsidR="00124EF8" w:rsidRDefault="00124EF8">
            <w:pPr>
              <w:rPr>
                <w:sz w:val="2"/>
                <w:szCs w:val="2"/>
              </w:rPr>
            </w:pPr>
          </w:p>
        </w:tc>
      </w:tr>
      <w:tr w:rsidR="00124EF8" w14:paraId="545B35B6" w14:textId="77777777">
        <w:trPr>
          <w:trHeight w:val="7980"/>
        </w:trPr>
        <w:tc>
          <w:tcPr>
            <w:tcW w:w="8278" w:type="dxa"/>
            <w:tcBorders>
              <w:left w:val="nil"/>
              <w:right w:val="nil"/>
            </w:tcBorders>
            <w:shd w:val="clear" w:color="auto" w:fill="C5ECFF"/>
          </w:tcPr>
          <w:p w14:paraId="173312B2" w14:textId="77777777" w:rsidR="00124EF8" w:rsidRDefault="00000000">
            <w:pPr>
              <w:pStyle w:val="TableParagraph"/>
              <w:spacing w:before="57" w:line="355" w:lineRule="auto"/>
              <w:ind w:left="57" w:right="1209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Market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Acceleration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Program Recycling Victoria - A New Economy: Waste Crime Prevention</w:t>
            </w:r>
          </w:p>
          <w:p w14:paraId="1D60E366" w14:textId="77777777" w:rsidR="00124EF8" w:rsidRDefault="00000000">
            <w:pPr>
              <w:pStyle w:val="TableParagraph"/>
              <w:spacing w:before="1" w:line="357" w:lineRule="auto"/>
              <w:ind w:left="57" w:right="1209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Circular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Support Recycling Victoria - A New Economy: Education and Behaviour Change Recycling Victoria - A New Economy: Circular Economy Councils Fund</w:t>
            </w:r>
          </w:p>
          <w:p w14:paraId="29008464" w14:textId="77777777" w:rsidR="00124EF8" w:rsidRDefault="00000000">
            <w:pPr>
              <w:pStyle w:val="TableParagraph"/>
              <w:spacing w:before="0" w:line="355" w:lineRule="auto"/>
              <w:ind w:left="57"/>
              <w:rPr>
                <w:sz w:val="19"/>
              </w:rPr>
            </w:pPr>
            <w:r>
              <w:rPr>
                <w:spacing w:val="-2"/>
                <w:sz w:val="19"/>
              </w:rPr>
              <w:t>Recycling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Victoria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Economy: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Recycling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Victoria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Household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Chemical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Collection </w:t>
            </w:r>
            <w:r>
              <w:rPr>
                <w:sz w:val="19"/>
              </w:rPr>
              <w:t>Recycling Victoria - A New Economy: EPA High Risk Sites</w:t>
            </w:r>
          </w:p>
          <w:p w14:paraId="13E3BCFC" w14:textId="77777777" w:rsidR="00124EF8" w:rsidRDefault="00000000"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Supporting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Charities</w:t>
            </w:r>
          </w:p>
          <w:p w14:paraId="22D5BC0E" w14:textId="77777777" w:rsidR="00124EF8" w:rsidRDefault="00000000">
            <w:pPr>
              <w:pStyle w:val="TableParagraph"/>
              <w:spacing w:before="122" w:line="355" w:lineRule="auto"/>
              <w:ind w:left="57" w:right="1209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Circular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Communities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Fund Recycling Victoria - A New Economy: Circular Economy Oversight</w:t>
            </w:r>
          </w:p>
          <w:p w14:paraId="7C9C3AE0" w14:textId="77777777" w:rsidR="00124EF8" w:rsidRDefault="00000000">
            <w:pPr>
              <w:pStyle w:val="TableParagraph"/>
              <w:spacing w:before="1" w:line="355" w:lineRule="auto"/>
              <w:ind w:left="57" w:right="36"/>
              <w:rPr>
                <w:sz w:val="19"/>
              </w:rPr>
            </w:pPr>
            <w:r>
              <w:rPr>
                <w:sz w:val="19"/>
              </w:rPr>
              <w:t>Recycling Victoria - A New Economy: Expanding Victoria’s Waste Data Systems Recycling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Planning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Recycling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Infrastructure Recycling Victoria - A New Economy: High Risk Sites</w:t>
            </w:r>
          </w:p>
          <w:p w14:paraId="108BA2C2" w14:textId="77777777" w:rsidR="00124EF8" w:rsidRDefault="00000000">
            <w:pPr>
              <w:pStyle w:val="TableParagraph"/>
              <w:spacing w:before="2" w:line="355" w:lineRule="auto"/>
              <w:ind w:left="57" w:right="526"/>
              <w:rPr>
                <w:sz w:val="19"/>
              </w:rPr>
            </w:pPr>
            <w:r>
              <w:rPr>
                <w:sz w:val="19"/>
              </w:rPr>
              <w:t>Recycling Victoria - A New Economy: New Regulation to Improve Recycling Recycling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Recycling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Markets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Acceleration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Package Recycling Victoria - A New Economy: Victorian Container Deposit Scheme Recycling Victoria - A New Economy: Reducing Regulatory Barriers EPA</w:t>
            </w:r>
          </w:p>
          <w:p w14:paraId="57EF97DC" w14:textId="77777777" w:rsidR="00124EF8" w:rsidRDefault="00000000">
            <w:pPr>
              <w:pStyle w:val="TableParagraph"/>
              <w:spacing w:before="5" w:line="355" w:lineRule="auto"/>
              <w:ind w:left="57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Single-Use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Plastic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Government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Phase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Out Recycling Victoria - A New Economy: Asbestos Disposal Management Plan</w:t>
            </w:r>
          </w:p>
          <w:p w14:paraId="1DA1B348" w14:textId="77777777" w:rsidR="00124EF8" w:rsidRDefault="00000000"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Hazardous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Policy</w:t>
            </w:r>
          </w:p>
          <w:p w14:paraId="5F679B42" w14:textId="77777777" w:rsidR="00124EF8" w:rsidRDefault="00000000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Victoria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Economy: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Statewide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Behaviour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Change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C5ECFF"/>
          </w:tcPr>
          <w:p w14:paraId="24BC2578" w14:textId="77777777" w:rsidR="00124EF8" w:rsidRDefault="00000000">
            <w:pPr>
              <w:pStyle w:val="TableParagraph"/>
              <w:spacing w:before="57"/>
              <w:rPr>
                <w:sz w:val="19"/>
              </w:rPr>
            </w:pPr>
            <w:r>
              <w:rPr>
                <w:spacing w:val="-4"/>
                <w:sz w:val="19"/>
              </w:rPr>
              <w:t>10.46</w:t>
            </w:r>
          </w:p>
          <w:p w14:paraId="60F6350C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9.69</w:t>
            </w:r>
          </w:p>
          <w:p w14:paraId="605DFFFF" w14:textId="77777777" w:rsidR="00124EF8" w:rsidRDefault="00000000">
            <w:pPr>
              <w:pStyle w:val="TableParagraph"/>
              <w:spacing w:before="123"/>
              <w:rPr>
                <w:sz w:val="19"/>
              </w:rPr>
            </w:pPr>
            <w:r>
              <w:rPr>
                <w:spacing w:val="-4"/>
                <w:sz w:val="19"/>
              </w:rPr>
              <w:t>7.93</w:t>
            </w:r>
          </w:p>
          <w:p w14:paraId="1132D665" w14:textId="77777777" w:rsidR="00124EF8" w:rsidRDefault="00000000">
            <w:pPr>
              <w:pStyle w:val="TableParagraph"/>
              <w:spacing w:before="126"/>
              <w:rPr>
                <w:sz w:val="19"/>
              </w:rPr>
            </w:pPr>
            <w:r>
              <w:rPr>
                <w:spacing w:val="-4"/>
                <w:sz w:val="19"/>
              </w:rPr>
              <w:t>4.87</w:t>
            </w:r>
          </w:p>
          <w:p w14:paraId="6657A4B9" w14:textId="77777777" w:rsidR="00124EF8" w:rsidRDefault="00000000">
            <w:pPr>
              <w:pStyle w:val="TableParagraph"/>
              <w:spacing w:before="123"/>
              <w:rPr>
                <w:sz w:val="19"/>
              </w:rPr>
            </w:pPr>
            <w:r>
              <w:rPr>
                <w:spacing w:val="-4"/>
                <w:sz w:val="19"/>
              </w:rPr>
              <w:t>2.72</w:t>
            </w:r>
          </w:p>
          <w:p w14:paraId="4B574AB6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2.25</w:t>
            </w:r>
          </w:p>
          <w:p w14:paraId="6EDA0B78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2.04</w:t>
            </w:r>
          </w:p>
          <w:p w14:paraId="3DF6F540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1.74</w:t>
            </w:r>
          </w:p>
          <w:p w14:paraId="462B7F6D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1.70</w:t>
            </w:r>
          </w:p>
          <w:p w14:paraId="0DC45703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1.66</w:t>
            </w:r>
          </w:p>
          <w:p w14:paraId="404ABC79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1.22</w:t>
            </w:r>
          </w:p>
          <w:p w14:paraId="0E2D3225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1.16</w:t>
            </w:r>
          </w:p>
          <w:p w14:paraId="76E97427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1.04</w:t>
            </w:r>
          </w:p>
          <w:p w14:paraId="7519FDA4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0.88</w:t>
            </w:r>
          </w:p>
          <w:p w14:paraId="012477FD" w14:textId="77777777" w:rsidR="00124EF8" w:rsidRDefault="00000000">
            <w:pPr>
              <w:pStyle w:val="TableParagraph"/>
              <w:spacing w:before="123"/>
              <w:rPr>
                <w:sz w:val="19"/>
              </w:rPr>
            </w:pPr>
            <w:r>
              <w:rPr>
                <w:spacing w:val="-4"/>
                <w:sz w:val="19"/>
              </w:rPr>
              <w:t>0.58</w:t>
            </w:r>
          </w:p>
          <w:p w14:paraId="6F1BDEAD" w14:textId="77777777" w:rsidR="00124EF8" w:rsidRDefault="00000000">
            <w:pPr>
              <w:pStyle w:val="TableParagraph"/>
              <w:spacing w:before="126"/>
              <w:rPr>
                <w:sz w:val="19"/>
              </w:rPr>
            </w:pPr>
            <w:r>
              <w:rPr>
                <w:spacing w:val="-4"/>
                <w:sz w:val="19"/>
              </w:rPr>
              <w:t>0.56</w:t>
            </w:r>
          </w:p>
          <w:p w14:paraId="1B3A94C7" w14:textId="77777777" w:rsidR="00124EF8" w:rsidRDefault="00000000">
            <w:pPr>
              <w:pStyle w:val="TableParagraph"/>
              <w:spacing w:before="123"/>
              <w:rPr>
                <w:sz w:val="19"/>
              </w:rPr>
            </w:pPr>
            <w:r>
              <w:rPr>
                <w:spacing w:val="-4"/>
                <w:sz w:val="19"/>
              </w:rPr>
              <w:t>0.44</w:t>
            </w:r>
          </w:p>
          <w:p w14:paraId="316A53F6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0.37</w:t>
            </w:r>
          </w:p>
          <w:p w14:paraId="5723CAA6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0.30</w:t>
            </w:r>
          </w:p>
          <w:p w14:paraId="13222AAF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0.26</w:t>
            </w:r>
          </w:p>
          <w:p w14:paraId="20CC3007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0.10</w:t>
            </w:r>
          </w:p>
        </w:tc>
      </w:tr>
      <w:tr w:rsidR="00124EF8" w14:paraId="043FE31D" w14:textId="77777777">
        <w:trPr>
          <w:trHeight w:val="370"/>
        </w:trPr>
        <w:tc>
          <w:tcPr>
            <w:tcW w:w="8278" w:type="dxa"/>
            <w:tcBorders>
              <w:left w:val="nil"/>
            </w:tcBorders>
            <w:shd w:val="clear" w:color="auto" w:fill="8BD8FF"/>
          </w:tcPr>
          <w:p w14:paraId="4A2877A9" w14:textId="77777777" w:rsidR="00124EF8" w:rsidRDefault="00000000">
            <w:pPr>
              <w:pStyle w:val="TableParagraph"/>
              <w:spacing w:before="57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Recycling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Victoria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New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Economy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Subtotal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8BD8FF"/>
          </w:tcPr>
          <w:p w14:paraId="0D83617E" w14:textId="77777777" w:rsidR="00124EF8" w:rsidRDefault="00000000">
            <w:pPr>
              <w:pStyle w:val="TableParagraph"/>
              <w:spacing w:before="57"/>
              <w:ind w:left="5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51.97</w:t>
            </w:r>
          </w:p>
        </w:tc>
      </w:tr>
      <w:tr w:rsidR="00124EF8" w14:paraId="0163FEFA" w14:textId="77777777">
        <w:trPr>
          <w:trHeight w:val="370"/>
        </w:trPr>
        <w:tc>
          <w:tcPr>
            <w:tcW w:w="8278" w:type="dxa"/>
            <w:tcBorders>
              <w:left w:val="nil"/>
            </w:tcBorders>
            <w:shd w:val="clear" w:color="auto" w:fill="C5ECFF"/>
          </w:tcPr>
          <w:p w14:paraId="21F875D3" w14:textId="77777777" w:rsidR="00124EF8" w:rsidRDefault="00000000">
            <w:pPr>
              <w:pStyle w:val="TableParagraph"/>
              <w:spacing w:before="57"/>
              <w:ind w:left="57"/>
              <w:rPr>
                <w:sz w:val="19"/>
              </w:rPr>
            </w:pPr>
            <w:r>
              <w:rPr>
                <w:sz w:val="19"/>
              </w:rPr>
              <w:t>Plantation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Investment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Strategy: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Gippsland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Plantations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Investment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Program</w:t>
            </w:r>
          </w:p>
        </w:tc>
        <w:tc>
          <w:tcPr>
            <w:tcW w:w="1361" w:type="dxa"/>
            <w:vMerge w:val="restart"/>
            <w:tcBorders>
              <w:left w:val="nil"/>
              <w:right w:val="nil"/>
            </w:tcBorders>
            <w:shd w:val="clear" w:color="auto" w:fill="C5ECFF"/>
          </w:tcPr>
          <w:p w14:paraId="53CCF286" w14:textId="77777777" w:rsidR="00124EF8" w:rsidRDefault="00000000">
            <w:pPr>
              <w:pStyle w:val="TableParagraph"/>
              <w:spacing w:before="57"/>
              <w:rPr>
                <w:sz w:val="19"/>
              </w:rPr>
            </w:pPr>
            <w:r>
              <w:rPr>
                <w:spacing w:val="-2"/>
                <w:sz w:val="19"/>
              </w:rPr>
              <w:t>22.50</w:t>
            </w:r>
          </w:p>
          <w:p w14:paraId="7880D478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19.71</w:t>
            </w:r>
          </w:p>
        </w:tc>
      </w:tr>
      <w:tr w:rsidR="00124EF8" w14:paraId="3DD533E5" w14:textId="77777777">
        <w:trPr>
          <w:trHeight w:val="371"/>
        </w:trPr>
        <w:tc>
          <w:tcPr>
            <w:tcW w:w="8278" w:type="dxa"/>
            <w:tcBorders>
              <w:left w:val="nil"/>
            </w:tcBorders>
            <w:shd w:val="clear" w:color="auto" w:fill="C5ECFF"/>
          </w:tcPr>
          <w:p w14:paraId="74396833" w14:textId="77777777" w:rsidR="00124EF8" w:rsidRDefault="00000000">
            <w:pPr>
              <w:pStyle w:val="TableParagraph"/>
              <w:spacing w:before="57"/>
              <w:ind w:left="57"/>
              <w:rPr>
                <w:sz w:val="19"/>
              </w:rPr>
            </w:pPr>
            <w:r>
              <w:rPr>
                <w:sz w:val="19"/>
              </w:rPr>
              <w:t>Protecting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Victoria's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Environment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Biodiversity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2037: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Protecting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Biodiversity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2021-</w:t>
            </w:r>
            <w:r>
              <w:rPr>
                <w:spacing w:val="-5"/>
                <w:sz w:val="19"/>
              </w:rPr>
              <w:t>25</w:t>
            </w:r>
          </w:p>
        </w:tc>
        <w:tc>
          <w:tcPr>
            <w:tcW w:w="1361" w:type="dxa"/>
            <w:vMerge/>
            <w:tcBorders>
              <w:top w:val="nil"/>
              <w:left w:val="nil"/>
              <w:right w:val="nil"/>
            </w:tcBorders>
            <w:shd w:val="clear" w:color="auto" w:fill="C5ECFF"/>
          </w:tcPr>
          <w:p w14:paraId="595F7340" w14:textId="77777777" w:rsidR="00124EF8" w:rsidRDefault="00124EF8">
            <w:pPr>
              <w:rPr>
                <w:sz w:val="2"/>
                <w:szCs w:val="2"/>
              </w:rPr>
            </w:pPr>
          </w:p>
        </w:tc>
      </w:tr>
      <w:tr w:rsidR="00124EF8" w14:paraId="356CC0B2" w14:textId="77777777">
        <w:trPr>
          <w:trHeight w:val="627"/>
        </w:trPr>
        <w:tc>
          <w:tcPr>
            <w:tcW w:w="8278" w:type="dxa"/>
            <w:tcBorders>
              <w:left w:val="nil"/>
              <w:bottom w:val="nil"/>
            </w:tcBorders>
            <w:shd w:val="clear" w:color="auto" w:fill="C5ECFF"/>
          </w:tcPr>
          <w:p w14:paraId="3734A345" w14:textId="77777777" w:rsidR="00124EF8" w:rsidRDefault="00000000">
            <w:pPr>
              <w:pStyle w:val="TableParagraph"/>
              <w:spacing w:before="57"/>
              <w:ind w:left="57" w:right="126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Industry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Interim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Measures: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Industry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Infrastructure Development Package</w:t>
            </w:r>
          </w:p>
        </w:tc>
        <w:tc>
          <w:tcPr>
            <w:tcW w:w="1361" w:type="dxa"/>
            <w:tcBorders>
              <w:bottom w:val="nil"/>
              <w:right w:val="nil"/>
            </w:tcBorders>
            <w:shd w:val="clear" w:color="auto" w:fill="C5ECFF"/>
          </w:tcPr>
          <w:p w14:paraId="7968680D" w14:textId="77777777" w:rsidR="00124EF8" w:rsidRDefault="00000000">
            <w:pPr>
              <w:pStyle w:val="TableParagraph"/>
              <w:spacing w:before="57"/>
              <w:ind w:left="51"/>
              <w:rPr>
                <w:sz w:val="19"/>
              </w:rPr>
            </w:pPr>
            <w:r>
              <w:rPr>
                <w:spacing w:val="-2"/>
                <w:sz w:val="19"/>
              </w:rPr>
              <w:t>19.14</w:t>
            </w:r>
          </w:p>
        </w:tc>
      </w:tr>
    </w:tbl>
    <w:p w14:paraId="28293DD0" w14:textId="77777777" w:rsidR="00124EF8" w:rsidRDefault="00124EF8">
      <w:pPr>
        <w:rPr>
          <w:sz w:val="19"/>
        </w:rPr>
        <w:sectPr w:rsidR="00124EF8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360" w:right="720" w:bottom="540" w:left="1340" w:header="0" w:footer="346" w:gutter="0"/>
          <w:pgNumType w:start="1"/>
          <w:cols w:space="720"/>
        </w:sectPr>
      </w:pPr>
    </w:p>
    <w:p w14:paraId="51352389" w14:textId="77777777" w:rsidR="00124EF8" w:rsidRDefault="00124EF8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8"/>
        <w:gridCol w:w="1361"/>
      </w:tblGrid>
      <w:tr w:rsidR="00124EF8" w14:paraId="48C1A8ED" w14:textId="77777777">
        <w:trPr>
          <w:trHeight w:val="751"/>
        </w:trPr>
        <w:tc>
          <w:tcPr>
            <w:tcW w:w="8278" w:type="dxa"/>
            <w:tcBorders>
              <w:top w:val="nil"/>
              <w:left w:val="nil"/>
              <w:right w:val="nil"/>
            </w:tcBorders>
            <w:shd w:val="clear" w:color="auto" w:fill="C5ECFF"/>
          </w:tcPr>
          <w:p w14:paraId="7EA129D7" w14:textId="77777777" w:rsidR="00124EF8" w:rsidRDefault="00124EF8">
            <w:pPr>
              <w:pStyle w:val="TableParagraph"/>
              <w:spacing w:before="182"/>
              <w:ind w:left="0"/>
              <w:rPr>
                <w:b/>
                <w:sz w:val="19"/>
              </w:rPr>
            </w:pPr>
          </w:p>
          <w:p w14:paraId="07CF0C9A" w14:textId="77777777" w:rsidR="00124EF8" w:rsidRDefault="00000000"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Industry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Interim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Measures: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Minimisation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C5ECFF"/>
          </w:tcPr>
          <w:p w14:paraId="2D232E36" w14:textId="77777777" w:rsidR="00124EF8" w:rsidRDefault="00000000">
            <w:pPr>
              <w:pStyle w:val="TableParagraph"/>
              <w:spacing w:before="58"/>
              <w:rPr>
                <w:sz w:val="19"/>
              </w:rPr>
            </w:pPr>
            <w:r>
              <w:rPr>
                <w:sz w:val="19"/>
              </w:rPr>
              <w:t>($</w:t>
            </w:r>
            <w:r>
              <w:rPr>
                <w:spacing w:val="-2"/>
                <w:sz w:val="19"/>
              </w:rPr>
              <w:t xml:space="preserve"> million)</w:t>
            </w:r>
          </w:p>
          <w:p w14:paraId="39B0A549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0.04</w:t>
            </w:r>
          </w:p>
        </w:tc>
      </w:tr>
      <w:tr w:rsidR="00124EF8" w14:paraId="2DD4B285" w14:textId="77777777">
        <w:trPr>
          <w:trHeight w:val="370"/>
        </w:trPr>
        <w:tc>
          <w:tcPr>
            <w:tcW w:w="8278" w:type="dxa"/>
            <w:tcBorders>
              <w:left w:val="nil"/>
            </w:tcBorders>
            <w:shd w:val="clear" w:color="auto" w:fill="8BD8FF"/>
          </w:tcPr>
          <w:p w14:paraId="487A69E8" w14:textId="77777777" w:rsidR="00124EF8" w:rsidRDefault="00000000">
            <w:pPr>
              <w:pStyle w:val="TableParagraph"/>
              <w:spacing w:before="57"/>
              <w:ind w:lef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Recycling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Industry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Response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Interim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Measures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Subtotal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8BD8FF"/>
          </w:tcPr>
          <w:p w14:paraId="1B3DD302" w14:textId="77777777" w:rsidR="00124EF8" w:rsidRDefault="00000000">
            <w:pPr>
              <w:pStyle w:val="TableParagraph"/>
              <w:spacing w:before="57"/>
              <w:ind w:left="5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19.18</w:t>
            </w:r>
          </w:p>
        </w:tc>
      </w:tr>
      <w:tr w:rsidR="00124EF8" w14:paraId="32040B29" w14:textId="77777777">
        <w:trPr>
          <w:trHeight w:val="2661"/>
        </w:trPr>
        <w:tc>
          <w:tcPr>
            <w:tcW w:w="8278" w:type="dxa"/>
            <w:tcBorders>
              <w:left w:val="nil"/>
              <w:right w:val="nil"/>
            </w:tcBorders>
            <w:shd w:val="clear" w:color="auto" w:fill="C5ECFF"/>
          </w:tcPr>
          <w:p w14:paraId="53D15409" w14:textId="77777777" w:rsidR="00124EF8" w:rsidRDefault="00000000">
            <w:pPr>
              <w:pStyle w:val="TableParagraph"/>
              <w:spacing w:before="57"/>
              <w:ind w:left="57"/>
              <w:rPr>
                <w:sz w:val="19"/>
              </w:rPr>
            </w:pPr>
            <w:r>
              <w:rPr>
                <w:sz w:val="19"/>
              </w:rPr>
              <w:t>Maintaining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Essential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Functions: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Security</w:t>
            </w:r>
          </w:p>
          <w:p w14:paraId="2091AE32" w14:textId="77777777" w:rsidR="00124EF8" w:rsidRDefault="00000000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Maintaining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Essential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Functions: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Supporting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Victorians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Energy </w:t>
            </w:r>
            <w:r>
              <w:rPr>
                <w:spacing w:val="-2"/>
                <w:sz w:val="19"/>
              </w:rPr>
              <w:t>Transition</w:t>
            </w:r>
          </w:p>
          <w:p w14:paraId="0FD46E3D" w14:textId="77777777" w:rsidR="00124EF8" w:rsidRDefault="00000000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Maintaining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Essential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Functions: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Sector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Reform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Growth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 Renewables, Reducing Emissions and Improving Reliability</w:t>
            </w:r>
          </w:p>
          <w:p w14:paraId="6395C4DE" w14:textId="77777777" w:rsidR="00124EF8" w:rsidRDefault="00000000">
            <w:pPr>
              <w:pStyle w:val="TableParagraph"/>
              <w:spacing w:before="125"/>
              <w:ind w:left="57"/>
              <w:rPr>
                <w:sz w:val="19"/>
              </w:rPr>
            </w:pPr>
            <w:r>
              <w:rPr>
                <w:sz w:val="19"/>
              </w:rPr>
              <w:t>Maintaining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Essential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Functions: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Strategy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Division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Growth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>Renewables</w:t>
            </w:r>
          </w:p>
          <w:p w14:paraId="03AE6706" w14:textId="77777777" w:rsidR="00124EF8" w:rsidRDefault="00000000">
            <w:pPr>
              <w:pStyle w:val="TableParagraph"/>
              <w:spacing w:before="123"/>
              <w:ind w:left="57"/>
              <w:rPr>
                <w:sz w:val="19"/>
              </w:rPr>
            </w:pPr>
            <w:r>
              <w:rPr>
                <w:sz w:val="19"/>
              </w:rPr>
              <w:t>Maintaining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Essential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Functions: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Ensuring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Rights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Consumers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C5ECFF"/>
          </w:tcPr>
          <w:p w14:paraId="54B2F3A5" w14:textId="77777777" w:rsidR="00124EF8" w:rsidRDefault="00000000">
            <w:pPr>
              <w:pStyle w:val="TableParagraph"/>
              <w:spacing w:before="57"/>
              <w:rPr>
                <w:sz w:val="19"/>
              </w:rPr>
            </w:pPr>
            <w:r>
              <w:rPr>
                <w:spacing w:val="-4"/>
                <w:sz w:val="19"/>
              </w:rPr>
              <w:t>5.38</w:t>
            </w:r>
          </w:p>
          <w:p w14:paraId="7039F00F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2.49</w:t>
            </w:r>
          </w:p>
          <w:p w14:paraId="79BB5799" w14:textId="77777777" w:rsidR="00124EF8" w:rsidRDefault="00124EF8">
            <w:pPr>
              <w:pStyle w:val="TableParagraph"/>
              <w:ind w:left="0"/>
              <w:rPr>
                <w:b/>
                <w:sz w:val="19"/>
              </w:rPr>
            </w:pPr>
          </w:p>
          <w:p w14:paraId="231C7501" w14:textId="77777777" w:rsidR="00124EF8" w:rsidRDefault="00000000">
            <w:pPr>
              <w:pStyle w:val="TableParagraph"/>
              <w:spacing w:before="0"/>
              <w:rPr>
                <w:sz w:val="19"/>
              </w:rPr>
            </w:pPr>
            <w:r>
              <w:rPr>
                <w:spacing w:val="-4"/>
                <w:sz w:val="19"/>
              </w:rPr>
              <w:t>2.24</w:t>
            </w:r>
          </w:p>
          <w:p w14:paraId="15C17AE9" w14:textId="77777777" w:rsidR="00124EF8" w:rsidRDefault="00124EF8">
            <w:pPr>
              <w:pStyle w:val="TableParagraph"/>
              <w:ind w:left="0"/>
              <w:rPr>
                <w:b/>
                <w:sz w:val="19"/>
              </w:rPr>
            </w:pPr>
          </w:p>
          <w:p w14:paraId="3A95046D" w14:textId="77777777" w:rsidR="00124EF8" w:rsidRDefault="00000000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4"/>
                <w:sz w:val="19"/>
              </w:rPr>
              <w:t>1.95</w:t>
            </w:r>
          </w:p>
          <w:p w14:paraId="01D7A3E4" w14:textId="77777777" w:rsidR="00124EF8" w:rsidRDefault="00124EF8">
            <w:pPr>
              <w:pStyle w:val="TableParagraph"/>
              <w:spacing w:before="122"/>
              <w:ind w:left="0"/>
              <w:rPr>
                <w:b/>
                <w:sz w:val="19"/>
              </w:rPr>
            </w:pPr>
          </w:p>
          <w:p w14:paraId="48B71095" w14:textId="77777777" w:rsidR="00124EF8" w:rsidRDefault="00000000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4"/>
                <w:sz w:val="19"/>
              </w:rPr>
              <w:t>1.83</w:t>
            </w:r>
          </w:p>
        </w:tc>
      </w:tr>
      <w:tr w:rsidR="00124EF8" w14:paraId="64FB1190" w14:textId="77777777">
        <w:trPr>
          <w:trHeight w:val="370"/>
        </w:trPr>
        <w:tc>
          <w:tcPr>
            <w:tcW w:w="8278" w:type="dxa"/>
            <w:tcBorders>
              <w:left w:val="nil"/>
            </w:tcBorders>
            <w:shd w:val="clear" w:color="auto" w:fill="8BD8FF"/>
          </w:tcPr>
          <w:p w14:paraId="602CE501" w14:textId="77777777" w:rsidR="00124EF8" w:rsidRDefault="00000000">
            <w:pPr>
              <w:pStyle w:val="TableParagraph"/>
              <w:spacing w:before="58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Maintaining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Essential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Energy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Functions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Subtotal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8BD8FF"/>
          </w:tcPr>
          <w:p w14:paraId="355A51A6" w14:textId="77777777" w:rsidR="00124EF8" w:rsidRDefault="00000000">
            <w:pPr>
              <w:pStyle w:val="TableParagraph"/>
              <w:spacing w:before="58"/>
              <w:ind w:left="5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13.89</w:t>
            </w:r>
          </w:p>
        </w:tc>
      </w:tr>
      <w:tr w:rsidR="00124EF8" w14:paraId="51973B4E" w14:textId="77777777">
        <w:trPr>
          <w:trHeight w:val="4059"/>
        </w:trPr>
        <w:tc>
          <w:tcPr>
            <w:tcW w:w="8278" w:type="dxa"/>
            <w:tcBorders>
              <w:left w:val="nil"/>
              <w:right w:val="nil"/>
            </w:tcBorders>
            <w:shd w:val="clear" w:color="auto" w:fill="C5ECFF"/>
          </w:tcPr>
          <w:p w14:paraId="0EDDAD5D" w14:textId="77777777" w:rsidR="00124EF8" w:rsidRDefault="00000000">
            <w:pPr>
              <w:pStyle w:val="TableParagraph"/>
              <w:spacing w:before="57" w:line="355" w:lineRule="auto"/>
              <w:ind w:left="57"/>
              <w:rPr>
                <w:sz w:val="19"/>
              </w:rPr>
            </w:pPr>
            <w:r>
              <w:rPr>
                <w:sz w:val="19"/>
              </w:rPr>
              <w:t>Creating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Parkland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Growing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Suburbs: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Suburban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Parks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Program Delivering Climate Action</w:t>
            </w:r>
          </w:p>
          <w:p w14:paraId="69507969" w14:textId="77777777" w:rsidR="00124EF8" w:rsidRDefault="00000000">
            <w:pPr>
              <w:pStyle w:val="TableParagraph"/>
              <w:spacing w:before="2"/>
              <w:ind w:left="57"/>
              <w:rPr>
                <w:sz w:val="19"/>
              </w:rPr>
            </w:pPr>
            <w:r>
              <w:rPr>
                <w:sz w:val="19"/>
              </w:rPr>
              <w:t>Renewable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Securing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Our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Future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Solar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Trams: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Renewable Certificate Purchasing Initiative</w:t>
            </w:r>
          </w:p>
          <w:p w14:paraId="4F4EACED" w14:textId="77777777" w:rsidR="00124EF8" w:rsidRDefault="00000000"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2"/>
                <w:sz w:val="19"/>
              </w:rPr>
              <w:t>ResourceSmart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Schools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2023-</w:t>
            </w:r>
            <w:r>
              <w:rPr>
                <w:spacing w:val="-5"/>
                <w:sz w:val="19"/>
              </w:rPr>
              <w:t>24</w:t>
            </w:r>
          </w:p>
          <w:p w14:paraId="184CDCA3" w14:textId="77777777" w:rsidR="00124EF8" w:rsidRDefault="00000000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Maximising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Benefits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Reducing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Zero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Emission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Vehicles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Distributed Energy Resources</w:t>
            </w:r>
          </w:p>
          <w:p w14:paraId="57B91934" w14:textId="77777777" w:rsidR="00124EF8" w:rsidRDefault="00000000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Core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Environmental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Traditional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Owner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Wotjobaluk,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Wurrung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 Eastern Maar Recognition &amp; Settlement Agreements</w:t>
            </w:r>
          </w:p>
          <w:p w14:paraId="7308BE5F" w14:textId="77777777" w:rsidR="00124EF8" w:rsidRDefault="00000000">
            <w:pPr>
              <w:pStyle w:val="TableParagraph"/>
              <w:spacing w:before="123"/>
              <w:ind w:left="57"/>
              <w:rPr>
                <w:sz w:val="19"/>
              </w:rPr>
            </w:pPr>
            <w:r>
              <w:rPr>
                <w:sz w:val="19"/>
              </w:rPr>
              <w:t>Environment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Air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Quality: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Air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Quality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Improvement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Precincts</w:t>
            </w:r>
          </w:p>
          <w:p w14:paraId="317C4497" w14:textId="77777777" w:rsidR="00124EF8" w:rsidRDefault="00000000">
            <w:pPr>
              <w:pStyle w:val="TableParagraph"/>
              <w:ind w:left="57" w:right="36"/>
              <w:rPr>
                <w:sz w:val="19"/>
              </w:rPr>
            </w:pPr>
            <w:r>
              <w:rPr>
                <w:sz w:val="19"/>
              </w:rPr>
              <w:t>Environment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Air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Quality: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Expansion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Assurance </w:t>
            </w:r>
            <w:r>
              <w:rPr>
                <w:spacing w:val="-2"/>
                <w:sz w:val="19"/>
              </w:rPr>
              <w:t>Framework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C5ECFF"/>
          </w:tcPr>
          <w:p w14:paraId="076014EC" w14:textId="77777777" w:rsidR="00124EF8" w:rsidRDefault="00000000">
            <w:pPr>
              <w:pStyle w:val="TableParagraph"/>
              <w:spacing w:before="57"/>
              <w:rPr>
                <w:sz w:val="19"/>
              </w:rPr>
            </w:pPr>
            <w:r>
              <w:rPr>
                <w:spacing w:val="-4"/>
                <w:sz w:val="19"/>
              </w:rPr>
              <w:t>6.00</w:t>
            </w:r>
          </w:p>
          <w:p w14:paraId="0C0F60D4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5.00</w:t>
            </w:r>
          </w:p>
          <w:p w14:paraId="4502563E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4.69</w:t>
            </w:r>
          </w:p>
          <w:p w14:paraId="05B36F54" w14:textId="77777777" w:rsidR="00124EF8" w:rsidRDefault="00124EF8">
            <w:pPr>
              <w:pStyle w:val="TableParagraph"/>
              <w:ind w:left="0"/>
              <w:rPr>
                <w:b/>
                <w:sz w:val="19"/>
              </w:rPr>
            </w:pPr>
          </w:p>
          <w:p w14:paraId="4FC2A515" w14:textId="77777777" w:rsidR="00124EF8" w:rsidRDefault="00000000">
            <w:pPr>
              <w:pStyle w:val="TableParagraph"/>
              <w:spacing w:before="0"/>
              <w:rPr>
                <w:sz w:val="19"/>
              </w:rPr>
            </w:pPr>
            <w:r>
              <w:rPr>
                <w:spacing w:val="-4"/>
                <w:sz w:val="19"/>
              </w:rPr>
              <w:t>2.90</w:t>
            </w:r>
          </w:p>
          <w:p w14:paraId="7943FFFA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2.30</w:t>
            </w:r>
          </w:p>
          <w:p w14:paraId="40C0027F" w14:textId="77777777" w:rsidR="00124EF8" w:rsidRDefault="00124EF8">
            <w:pPr>
              <w:pStyle w:val="TableParagraph"/>
              <w:ind w:left="0"/>
              <w:rPr>
                <w:b/>
                <w:sz w:val="19"/>
              </w:rPr>
            </w:pPr>
          </w:p>
          <w:p w14:paraId="212C9289" w14:textId="77777777" w:rsidR="00124EF8" w:rsidRDefault="00000000">
            <w:pPr>
              <w:pStyle w:val="TableParagraph"/>
              <w:spacing w:before="0"/>
              <w:rPr>
                <w:sz w:val="19"/>
              </w:rPr>
            </w:pPr>
            <w:r>
              <w:rPr>
                <w:spacing w:val="-4"/>
                <w:sz w:val="19"/>
              </w:rPr>
              <w:t>1.59</w:t>
            </w:r>
          </w:p>
          <w:p w14:paraId="45FE67CA" w14:textId="77777777" w:rsidR="00124EF8" w:rsidRDefault="00124EF8">
            <w:pPr>
              <w:pStyle w:val="TableParagraph"/>
              <w:spacing w:before="123"/>
              <w:ind w:left="0"/>
              <w:rPr>
                <w:b/>
                <w:sz w:val="19"/>
              </w:rPr>
            </w:pPr>
          </w:p>
          <w:p w14:paraId="4BE077F0" w14:textId="77777777" w:rsidR="00124EF8" w:rsidRDefault="00000000">
            <w:pPr>
              <w:pStyle w:val="TableParagraph"/>
              <w:spacing w:before="0"/>
              <w:rPr>
                <w:sz w:val="19"/>
              </w:rPr>
            </w:pPr>
            <w:r>
              <w:rPr>
                <w:spacing w:val="-4"/>
                <w:sz w:val="19"/>
              </w:rPr>
              <w:t>1.21</w:t>
            </w:r>
          </w:p>
          <w:p w14:paraId="7D661DEE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0.25</w:t>
            </w:r>
          </w:p>
        </w:tc>
      </w:tr>
      <w:tr w:rsidR="00124EF8" w14:paraId="5A4A6C7E" w14:textId="77777777">
        <w:trPr>
          <w:trHeight w:val="370"/>
        </w:trPr>
        <w:tc>
          <w:tcPr>
            <w:tcW w:w="8278" w:type="dxa"/>
            <w:tcBorders>
              <w:left w:val="nil"/>
            </w:tcBorders>
            <w:shd w:val="clear" w:color="auto" w:fill="8BD8FF"/>
          </w:tcPr>
          <w:p w14:paraId="31CB0551" w14:textId="77777777" w:rsidR="00124EF8" w:rsidRDefault="00000000">
            <w:pPr>
              <w:pStyle w:val="TableParagraph"/>
              <w:spacing w:before="57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Environment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Protection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Air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Quality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Subtotal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8BD8FF"/>
          </w:tcPr>
          <w:p w14:paraId="5497B011" w14:textId="77777777" w:rsidR="00124EF8" w:rsidRDefault="00000000">
            <w:pPr>
              <w:pStyle w:val="TableParagraph"/>
              <w:spacing w:before="57"/>
              <w:ind w:left="5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1.46</w:t>
            </w:r>
          </w:p>
        </w:tc>
      </w:tr>
      <w:tr w:rsidR="00124EF8" w14:paraId="02DC9E59" w14:textId="77777777">
        <w:trPr>
          <w:trHeight w:val="2529"/>
        </w:trPr>
        <w:tc>
          <w:tcPr>
            <w:tcW w:w="8278" w:type="dxa"/>
            <w:tcBorders>
              <w:left w:val="nil"/>
              <w:right w:val="nil"/>
            </w:tcBorders>
            <w:shd w:val="clear" w:color="auto" w:fill="C5ECFF"/>
          </w:tcPr>
          <w:p w14:paraId="74310253" w14:textId="77777777" w:rsidR="00124EF8" w:rsidRDefault="00000000">
            <w:pPr>
              <w:pStyle w:val="TableParagraph"/>
              <w:spacing w:before="57"/>
              <w:ind w:left="57"/>
              <w:rPr>
                <w:sz w:val="19"/>
              </w:rPr>
            </w:pPr>
            <w:r>
              <w:rPr>
                <w:sz w:val="19"/>
              </w:rPr>
              <w:t>Renewable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Plan: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Pathway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People’s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Renewable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Transition</w:t>
            </w:r>
          </w:p>
          <w:p w14:paraId="17332137" w14:textId="77777777" w:rsidR="00124EF8" w:rsidRDefault="00000000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Securing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Environmental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Protection: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Maintaining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Environmental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Policy </w:t>
            </w:r>
            <w:r>
              <w:rPr>
                <w:spacing w:val="-2"/>
                <w:sz w:val="19"/>
              </w:rPr>
              <w:t>Services</w:t>
            </w:r>
          </w:p>
          <w:p w14:paraId="1F8E0696" w14:textId="77777777" w:rsidR="00124EF8" w:rsidRDefault="00000000">
            <w:pPr>
              <w:pStyle w:val="TableParagraph"/>
              <w:spacing w:line="355" w:lineRule="auto"/>
              <w:ind w:left="57" w:right="2826"/>
              <w:rPr>
                <w:sz w:val="19"/>
              </w:rPr>
            </w:pPr>
            <w:r>
              <w:rPr>
                <w:sz w:val="19"/>
              </w:rPr>
              <w:t>South-East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Metropolitan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Advanced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Processing 100% Renewable Electricity for Government</w:t>
            </w:r>
          </w:p>
          <w:p w14:paraId="269F6689" w14:textId="77777777" w:rsidR="00124EF8" w:rsidRDefault="00000000"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sz w:val="19"/>
              </w:rPr>
              <w:t>VicGrid’s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People’s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Partnership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Framework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Program</w:t>
            </w:r>
          </w:p>
          <w:p w14:paraId="4C2D5888" w14:textId="77777777" w:rsidR="00124EF8" w:rsidRDefault="00000000">
            <w:pPr>
              <w:pStyle w:val="TableParagraph"/>
              <w:spacing w:before="125"/>
              <w:ind w:left="57"/>
              <w:rPr>
                <w:sz w:val="19"/>
              </w:rPr>
            </w:pPr>
            <w:r>
              <w:rPr>
                <w:sz w:val="19"/>
              </w:rPr>
              <w:t>Sustainability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Operations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C5ECFF"/>
          </w:tcPr>
          <w:p w14:paraId="02AA2D2E" w14:textId="77777777" w:rsidR="00124EF8" w:rsidRDefault="00000000">
            <w:pPr>
              <w:pStyle w:val="TableParagraph"/>
              <w:spacing w:before="57"/>
              <w:rPr>
                <w:sz w:val="19"/>
              </w:rPr>
            </w:pPr>
            <w:r>
              <w:rPr>
                <w:spacing w:val="-4"/>
                <w:sz w:val="19"/>
              </w:rPr>
              <w:t>1.34</w:t>
            </w:r>
          </w:p>
          <w:p w14:paraId="5593F408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1.00</w:t>
            </w:r>
          </w:p>
          <w:p w14:paraId="2805CB33" w14:textId="77777777" w:rsidR="00124EF8" w:rsidRDefault="00124EF8">
            <w:pPr>
              <w:pStyle w:val="TableParagraph"/>
              <w:ind w:left="0"/>
              <w:rPr>
                <w:b/>
                <w:sz w:val="19"/>
              </w:rPr>
            </w:pPr>
          </w:p>
          <w:p w14:paraId="01512A6A" w14:textId="77777777" w:rsidR="00124EF8" w:rsidRDefault="00000000">
            <w:pPr>
              <w:pStyle w:val="TableParagraph"/>
              <w:spacing w:before="0"/>
              <w:rPr>
                <w:sz w:val="19"/>
              </w:rPr>
            </w:pPr>
            <w:r>
              <w:rPr>
                <w:spacing w:val="-4"/>
                <w:sz w:val="19"/>
              </w:rPr>
              <w:t>1.00</w:t>
            </w:r>
          </w:p>
          <w:p w14:paraId="21D4D18B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0.60</w:t>
            </w:r>
          </w:p>
          <w:p w14:paraId="7C777B57" w14:textId="77777777" w:rsidR="00124EF8" w:rsidRDefault="00000000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0.25</w:t>
            </w:r>
          </w:p>
          <w:p w14:paraId="0EC3A6A4" w14:textId="77777777" w:rsidR="00124EF8" w:rsidRDefault="00000000">
            <w:pPr>
              <w:pStyle w:val="TableParagraph"/>
              <w:spacing w:before="125"/>
              <w:rPr>
                <w:sz w:val="19"/>
              </w:rPr>
            </w:pPr>
            <w:r>
              <w:rPr>
                <w:spacing w:val="-4"/>
                <w:sz w:val="19"/>
              </w:rPr>
              <w:t>1.38</w:t>
            </w:r>
          </w:p>
        </w:tc>
      </w:tr>
      <w:tr w:rsidR="00124EF8" w14:paraId="2E859FCD" w14:textId="77777777">
        <w:trPr>
          <w:trHeight w:val="751"/>
        </w:trPr>
        <w:tc>
          <w:tcPr>
            <w:tcW w:w="8278" w:type="dxa"/>
            <w:tcBorders>
              <w:left w:val="nil"/>
              <w:bottom w:val="nil"/>
              <w:right w:val="nil"/>
            </w:tcBorders>
            <w:shd w:val="clear" w:color="auto" w:fill="8BD8FF"/>
          </w:tcPr>
          <w:p w14:paraId="64B37BB8" w14:textId="77777777" w:rsidR="00124EF8" w:rsidRDefault="00000000">
            <w:pPr>
              <w:pStyle w:val="TableParagraph"/>
              <w:spacing w:before="57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payments</w:t>
            </w:r>
          </w:p>
          <w:p w14:paraId="549E354F" w14:textId="77777777" w:rsidR="00124EF8" w:rsidRDefault="00000000">
            <w:pPr>
              <w:pStyle w:val="TableParagraph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Closing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Cash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Balance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8BD8FF"/>
          </w:tcPr>
          <w:p w14:paraId="54700505" w14:textId="77777777" w:rsidR="00124EF8" w:rsidRDefault="00000000">
            <w:pPr>
              <w:pStyle w:val="TableParagraph"/>
              <w:spacing w:before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156.76</w:t>
            </w:r>
          </w:p>
          <w:p w14:paraId="687D6B2E" w14:textId="77777777" w:rsidR="00124EF8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393.67</w:t>
            </w:r>
          </w:p>
        </w:tc>
      </w:tr>
    </w:tbl>
    <w:p w14:paraId="57503803" w14:textId="77777777" w:rsidR="00124EF8" w:rsidRDefault="00124EF8">
      <w:pPr>
        <w:pStyle w:val="BodyText"/>
        <w:spacing w:before="135"/>
        <w:rPr>
          <w:b/>
        </w:rPr>
      </w:pPr>
    </w:p>
    <w:p w14:paraId="3B81C24D" w14:textId="77777777" w:rsidR="00124EF8" w:rsidRDefault="00000000">
      <w:pPr>
        <w:pStyle w:val="ListParagraph"/>
        <w:numPr>
          <w:ilvl w:val="0"/>
          <w:numId w:val="1"/>
        </w:numPr>
        <w:tabs>
          <w:tab w:val="left" w:pos="460"/>
        </w:tabs>
        <w:jc w:val="both"/>
        <w:rPr>
          <w:sz w:val="16"/>
        </w:rPr>
      </w:pPr>
      <w:r>
        <w:rPr>
          <w:sz w:val="16"/>
        </w:rPr>
        <w:t>Any program expenditure that is unexpended by the date of program completion is required to be returned to the</w:t>
      </w:r>
      <w:r>
        <w:rPr>
          <w:spacing w:val="-8"/>
          <w:sz w:val="16"/>
        </w:rPr>
        <w:t xml:space="preserve"> </w:t>
      </w:r>
      <w:r>
        <w:rPr>
          <w:sz w:val="16"/>
        </w:rPr>
        <w:t>Sustainability</w:t>
      </w:r>
      <w:r>
        <w:rPr>
          <w:spacing w:val="-9"/>
          <w:sz w:val="16"/>
        </w:rPr>
        <w:t xml:space="preserve"> </w:t>
      </w:r>
      <w:r>
        <w:rPr>
          <w:sz w:val="16"/>
        </w:rPr>
        <w:t>Fund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z w:val="16"/>
        </w:rPr>
        <w:t>program</w:t>
      </w:r>
      <w:r>
        <w:rPr>
          <w:spacing w:val="-9"/>
          <w:sz w:val="16"/>
        </w:rPr>
        <w:t xml:space="preserve"> </w:t>
      </w:r>
      <w:r>
        <w:rPr>
          <w:sz w:val="16"/>
        </w:rPr>
        <w:t>recipients.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2023-24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total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$7,502,562.47</w:t>
      </w:r>
      <w:r>
        <w:rPr>
          <w:spacing w:val="-9"/>
          <w:sz w:val="16"/>
        </w:rPr>
        <w:t xml:space="preserve"> </w:t>
      </w:r>
      <w:r>
        <w:rPr>
          <w:sz w:val="16"/>
        </w:rPr>
        <w:t>was</w:t>
      </w:r>
      <w:r>
        <w:rPr>
          <w:spacing w:val="-9"/>
          <w:sz w:val="16"/>
        </w:rPr>
        <w:t xml:space="preserve"> </w:t>
      </w:r>
      <w:r>
        <w:rPr>
          <w:sz w:val="16"/>
        </w:rPr>
        <w:t>repaid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Sustainability </w:t>
      </w:r>
      <w:r>
        <w:rPr>
          <w:spacing w:val="-2"/>
          <w:sz w:val="16"/>
        </w:rPr>
        <w:t>Fund.</w:t>
      </w:r>
    </w:p>
    <w:p w14:paraId="7C07DD6F" w14:textId="77777777" w:rsidR="00124EF8" w:rsidRDefault="00000000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before="120"/>
        <w:jc w:val="both"/>
        <w:rPr>
          <w:sz w:val="16"/>
        </w:rPr>
      </w:pPr>
      <w:r>
        <w:rPr>
          <w:sz w:val="16"/>
        </w:rPr>
        <w:t>Further</w:t>
      </w:r>
      <w:r>
        <w:rPr>
          <w:spacing w:val="-7"/>
          <w:sz w:val="16"/>
        </w:rPr>
        <w:t xml:space="preserve"> </w:t>
      </w:r>
      <w:r>
        <w:rPr>
          <w:sz w:val="16"/>
        </w:rPr>
        <w:t>detail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2023-24</w:t>
      </w:r>
      <w:r>
        <w:rPr>
          <w:spacing w:val="-7"/>
          <w:sz w:val="16"/>
        </w:rPr>
        <w:t xml:space="preserve"> </w:t>
      </w:r>
      <w:r>
        <w:rPr>
          <w:sz w:val="16"/>
        </w:rPr>
        <w:t>Sustainability</w:t>
      </w:r>
      <w:r>
        <w:rPr>
          <w:spacing w:val="-7"/>
          <w:sz w:val="16"/>
        </w:rPr>
        <w:t xml:space="preserve"> </w:t>
      </w:r>
      <w:r>
        <w:rPr>
          <w:sz w:val="16"/>
        </w:rPr>
        <w:t>Fund</w:t>
      </w:r>
      <w:r>
        <w:rPr>
          <w:spacing w:val="-7"/>
          <w:sz w:val="16"/>
        </w:rPr>
        <w:t xml:space="preserve"> </w:t>
      </w:r>
      <w:r>
        <w:rPr>
          <w:sz w:val="16"/>
        </w:rPr>
        <w:t>Grants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available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2023-24</w:t>
      </w:r>
      <w:r>
        <w:rPr>
          <w:spacing w:val="-7"/>
          <w:sz w:val="16"/>
        </w:rPr>
        <w:t xml:space="preserve"> </w:t>
      </w:r>
      <w:r>
        <w:rPr>
          <w:sz w:val="16"/>
        </w:rPr>
        <w:t>Sustainability</w:t>
      </w:r>
      <w:r>
        <w:rPr>
          <w:spacing w:val="-7"/>
          <w:sz w:val="16"/>
        </w:rPr>
        <w:t xml:space="preserve"> </w:t>
      </w:r>
      <w:r>
        <w:rPr>
          <w:sz w:val="16"/>
        </w:rPr>
        <w:t>Fund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Activities </w:t>
      </w:r>
      <w:r>
        <w:rPr>
          <w:spacing w:val="-2"/>
          <w:sz w:val="16"/>
        </w:rPr>
        <w:t>Report.</w:t>
      </w:r>
    </w:p>
    <w:sectPr w:rsidR="00124EF8">
      <w:pgSz w:w="11910" w:h="16840"/>
      <w:pgMar w:top="1420" w:right="720" w:bottom="540" w:left="1340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2D6A" w14:textId="77777777" w:rsidR="00633EC2" w:rsidRDefault="00633EC2">
      <w:r>
        <w:separator/>
      </w:r>
    </w:p>
  </w:endnote>
  <w:endnote w:type="continuationSeparator" w:id="0">
    <w:p w14:paraId="674317BF" w14:textId="77777777" w:rsidR="00633EC2" w:rsidRDefault="0063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FAFF" w14:textId="48CD7347" w:rsidR="00911D9E" w:rsidRDefault="00911D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76736" behindDoc="0" locked="0" layoutInCell="1" allowOverlap="1" wp14:anchorId="0CCC520C" wp14:editId="7F494A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96862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B3710" w14:textId="7A6C1C01" w:rsidR="00911D9E" w:rsidRPr="00911D9E" w:rsidRDefault="00911D9E" w:rsidP="00911D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11D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C52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476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23AB3710" w14:textId="7A6C1C01" w:rsidR="00911D9E" w:rsidRPr="00911D9E" w:rsidRDefault="00911D9E" w:rsidP="00911D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11D9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6C86" w14:textId="69512C4B" w:rsidR="00124EF8" w:rsidRDefault="00911D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7760" behindDoc="0" locked="0" layoutInCell="1" allowOverlap="1" wp14:anchorId="6A1D1EB2" wp14:editId="4D75BC2E">
              <wp:simplePos x="854015" y="104638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4062963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E5A75" w14:textId="75E123DA" w:rsidR="00911D9E" w:rsidRPr="00911D9E" w:rsidRDefault="00911D9E" w:rsidP="00911D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11D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D1E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487477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1FE5A75" w14:textId="75E123DA" w:rsidR="00911D9E" w:rsidRPr="00911D9E" w:rsidRDefault="00911D9E" w:rsidP="00911D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11D9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0D9C7491" wp14:editId="4630A675">
              <wp:simplePos x="0" y="0"/>
              <wp:positionH relativeFrom="page">
                <wp:posOffset>3490976</wp:posOffset>
              </wp:positionH>
              <wp:positionV relativeFrom="page">
                <wp:posOffset>10333732</wp:posOffset>
              </wp:positionV>
              <wp:extent cx="57658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6EB0CB" w14:textId="77777777" w:rsidR="00124EF8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C7491" id="Textbox 1" o:spid="_x0000_s1028" type="#_x0000_t202" style="position:absolute;margin-left:274.9pt;margin-top:813.7pt;width:45.4pt;height:14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" filled="f" stroked="f">
              <v:textbox inset="0,0,0,0">
                <w:txbxContent>
                  <w:p w14:paraId="536EB0CB" w14:textId="77777777" w:rsidR="00124EF8" w:rsidRDefault="0000000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6D9B" w14:textId="07DC5D7E" w:rsidR="00911D9E" w:rsidRDefault="00911D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75712" behindDoc="0" locked="0" layoutInCell="1" allowOverlap="1" wp14:anchorId="2BFB69A4" wp14:editId="723A7A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327781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7B1AC" w14:textId="02F7E10A" w:rsidR="00911D9E" w:rsidRPr="00911D9E" w:rsidRDefault="00911D9E" w:rsidP="00911D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11D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B6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487475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7C7B1AC" w14:textId="02F7E10A" w:rsidR="00911D9E" w:rsidRPr="00911D9E" w:rsidRDefault="00911D9E" w:rsidP="00911D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11D9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1FC20" w14:textId="77777777" w:rsidR="00633EC2" w:rsidRDefault="00633EC2">
      <w:r>
        <w:separator/>
      </w:r>
    </w:p>
  </w:footnote>
  <w:footnote w:type="continuationSeparator" w:id="0">
    <w:p w14:paraId="352C33B3" w14:textId="77777777" w:rsidR="00633EC2" w:rsidRDefault="0063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472E3"/>
    <w:multiLevelType w:val="hybridMultilevel"/>
    <w:tmpl w:val="90521E8C"/>
    <w:lvl w:ilvl="0" w:tplc="68087B48">
      <w:start w:val="1"/>
      <w:numFmt w:val="lowerRoman"/>
      <w:lvlText w:val="(%1)"/>
      <w:lvlJc w:val="left"/>
      <w:pPr>
        <w:ind w:left="460" w:hanging="360"/>
        <w:jc w:val="left"/>
      </w:pPr>
      <w:rPr>
        <w:rFonts w:ascii="VIC" w:eastAsia="VIC" w:hAnsi="VIC" w:cs="V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1BB41C18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1060826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D0C259CA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F1D62B3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AE1ACEF2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9B2ED11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7" w:tplc="6E3A1C7A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8" w:tplc="F8FEA992"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</w:abstractNum>
  <w:num w:numId="1" w16cid:durableId="57458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EF8"/>
    <w:rsid w:val="00124EF8"/>
    <w:rsid w:val="00325716"/>
    <w:rsid w:val="00633EC2"/>
    <w:rsid w:val="009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AE7"/>
  <w15:docId w15:val="{8BE1EC6E-5E49-41F0-841C-D9AE9DEA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IC" w:eastAsia="VIC" w:hAnsi="VIC" w:cs="V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right="71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56"/>
    </w:pPr>
  </w:style>
  <w:style w:type="paragraph" w:styleId="Footer">
    <w:name w:val="footer"/>
    <w:basedOn w:val="Normal"/>
    <w:link w:val="FooterChar"/>
    <w:uiPriority w:val="99"/>
    <w:unhideWhenUsed/>
    <w:rsid w:val="00911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9E"/>
    <w:rPr>
      <w:rFonts w:ascii="VIC" w:eastAsia="VIC" w:hAnsi="VIC" w:cs="V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SF Cash Flow 2023-24.docx</dc:title>
  <dc:creator>er0x</dc:creator>
  <cp:lastModifiedBy>Eva Rampal (DEECA)</cp:lastModifiedBy>
  <cp:revision>2</cp:revision>
  <dcterms:created xsi:type="dcterms:W3CDTF">2024-10-25T04:12:00Z</dcterms:created>
  <dcterms:modified xsi:type="dcterms:W3CDTF">2025-03-28T01:02:00Z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2024-10-25T00:00:00Z</vt:filetime>
  </property>
  <property fmtid="{D5CDD505-2E9C-101B-9397-08002B2CF9AE}" pid="5" name="Producer">
    <vt:lpwstr>Acrobat Distiller 22.0 (Windows)</vt:lpwstr>
  </property>
  <property fmtid="{D5CDD505-2E9C-101B-9397-08002B2CF9AE}" pid="6" name="ClassificationContentMarkingFooterShapeIds">
    <vt:lpwstr>25b76d87,357507f0,3e06bf7f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2025-03-28T01:02:30Z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2e627f6d-25dd-407c-a6df-4603594cb6f9</vt:lpwstr>
  </property>
  <property fmtid="{D5CDD505-2E9C-101B-9397-08002B2CF9AE}" pid="15" name="MSIP_Label_4257e2ab-f512-40e2-9c9a-c64247360765_ContentBits">
    <vt:lpwstr>2</vt:lpwstr>
  </property>
  <property fmtid="{D5CDD505-2E9C-101B-9397-08002B2CF9AE}" pid="16" name="MSIP_Label_4257e2ab-f512-40e2-9c9a-c64247360765_Tag">
    <vt:lpwstr>10, 0, 1, 1</vt:lpwstr>
  </property>
</Properties>
</file>