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707AD1" w14:paraId="5ED86BA3" w14:textId="77777777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p w14:paraId="36FB3977" w14:textId="645ACC74" w:rsidR="006B0EA2" w:rsidRPr="00707AD1" w:rsidRDefault="006B0EA2" w:rsidP="00DB4178">
            <w:pPr>
              <w:pStyle w:val="CertHBWhite"/>
              <w:spacing w:before="240" w:after="240"/>
              <w:rPr>
                <w:rFonts w:ascii="Arial" w:hAnsi="Arial"/>
                <w:sz w:val="68"/>
                <w:szCs w:val="68"/>
              </w:rPr>
            </w:pPr>
            <w:bookmarkStart w:id="0" w:name="Here"/>
            <w:bookmarkEnd w:id="0"/>
            <w:r w:rsidRPr="00707AD1">
              <w:rPr>
                <w:rFonts w:ascii="Arial" w:hAnsi="Arial"/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68F2B7" wp14:editId="423428E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1348740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6CC99C" w14:textId="119DED1E" w:rsidR="00DE5634" w:rsidRPr="00707AD1" w:rsidRDefault="00DE5634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Meeting </w:t>
                                  </w:r>
                                  <w:r w:rsidR="00DC3AE8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8F2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106.2pt;width:440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" filled="f" stroked="f">
                      <v:textbox>
                        <w:txbxContent>
                          <w:p w14:paraId="7F6CC99C" w14:textId="119DED1E" w:rsidR="00DE5634" w:rsidRPr="00707AD1" w:rsidRDefault="00DE5634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Meeting </w:t>
                            </w:r>
                            <w:r w:rsidR="00DC3AE8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5F" w:rsidRPr="00707AD1">
              <w:rPr>
                <w:rFonts w:ascii="Arial" w:hAnsi="Arial"/>
                <w:sz w:val="68"/>
                <w:szCs w:val="68"/>
              </w:rPr>
              <w:t>Inner West Air Quality Community Reference Group</w:t>
            </w:r>
          </w:p>
        </w:tc>
      </w:tr>
    </w:tbl>
    <w:p w14:paraId="2FA62B26" w14:textId="77777777" w:rsidR="00DB4178" w:rsidRDefault="00DB4178" w:rsidP="00556367">
      <w:pPr>
        <w:pStyle w:val="Body"/>
        <w:spacing w:after="120"/>
        <w:rPr>
          <w:rFonts w:ascii="Arial" w:eastAsia="Calibri" w:hAnsi="Arial"/>
        </w:rPr>
      </w:pPr>
    </w:p>
    <w:p w14:paraId="14D22FF7" w14:textId="77777777" w:rsidR="00E2394C" w:rsidRPr="00707AD1" w:rsidRDefault="009030B5" w:rsidP="00912929">
      <w:pPr>
        <w:pStyle w:val="HA"/>
        <w:spacing w:after="120"/>
        <w:ind w:left="-567"/>
        <w:rPr>
          <w:rFonts w:ascii="Arial" w:eastAsia="Calibri" w:hAnsi="Arial"/>
          <w:sz w:val="36"/>
          <w:szCs w:val="36"/>
        </w:rPr>
      </w:pPr>
      <w:r w:rsidRPr="00707AD1">
        <w:rPr>
          <w:rFonts w:ascii="Arial" w:eastAsia="Calibri" w:hAnsi="Arial"/>
          <w:sz w:val="36"/>
          <w:szCs w:val="36"/>
        </w:rPr>
        <w:t>Minutes</w:t>
      </w:r>
      <w:r w:rsidR="00562653" w:rsidRPr="00707AD1">
        <w:rPr>
          <w:rFonts w:ascii="Arial" w:eastAsia="Calibri" w:hAnsi="Arial"/>
          <w:sz w:val="36"/>
          <w:szCs w:val="36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97"/>
        <w:gridCol w:w="4989"/>
        <w:gridCol w:w="3579"/>
      </w:tblGrid>
      <w:tr w:rsidR="00AC7C5F" w:rsidRPr="00707AD1" w14:paraId="3BC23738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5E86E46E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568" w:type="dxa"/>
            <w:gridSpan w:val="2"/>
          </w:tcPr>
          <w:p w14:paraId="77F637A9" w14:textId="5B2BB2CF" w:rsidR="00AC7C5F" w:rsidRPr="00707AD1" w:rsidRDefault="00AC7C5F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Monday </w:t>
            </w:r>
            <w:r w:rsidR="00513EE4">
              <w:rPr>
                <w:rFonts w:ascii="Arial" w:hAnsi="Arial"/>
                <w:b/>
                <w:sz w:val="20"/>
                <w:szCs w:val="20"/>
              </w:rPr>
              <w:t>29</w:t>
            </w:r>
            <w:r w:rsidR="00B0279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513EE4">
              <w:rPr>
                <w:rFonts w:ascii="Arial" w:hAnsi="Arial"/>
                <w:b/>
                <w:sz w:val="20"/>
                <w:szCs w:val="20"/>
              </w:rPr>
              <w:t>April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201</w:t>
            </w:r>
            <w:r w:rsidR="00220634"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 w:rsidR="00AC7C5F" w:rsidRPr="00707AD1" w14:paraId="2BBFF738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24CD3DAE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8568" w:type="dxa"/>
            <w:gridSpan w:val="2"/>
          </w:tcPr>
          <w:p w14:paraId="70C409FC" w14:textId="19AA9469" w:rsidR="00AC7C5F" w:rsidRPr="00707AD1" w:rsidRDefault="00513EE4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6pm</w:t>
            </w:r>
            <w:r w:rsidR="00AC7C5F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–</w:t>
            </w:r>
            <w:r w:rsidR="00AC7C5F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8.45pm</w:t>
            </w:r>
          </w:p>
        </w:tc>
      </w:tr>
      <w:tr w:rsidR="00AC7C5F" w:rsidRPr="00707AD1" w14:paraId="588881CB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7E7BDDC1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8568" w:type="dxa"/>
            <w:gridSpan w:val="2"/>
          </w:tcPr>
          <w:p w14:paraId="70F74114" w14:textId="1FACDC5B" w:rsidR="00AC7C5F" w:rsidRPr="00707AD1" w:rsidRDefault="00513EE4" w:rsidP="00B0279B">
            <w:pPr>
              <w:pStyle w:val="TblBdy"/>
              <w:spacing w:before="60" w:after="60"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Footscray Town Hall, Footscray</w:t>
            </w:r>
          </w:p>
        </w:tc>
      </w:tr>
      <w:tr w:rsidR="00AC7C5F" w:rsidRPr="00707AD1" w14:paraId="3A24EBA7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07E82762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Chair</w:t>
            </w:r>
          </w:p>
        </w:tc>
        <w:tc>
          <w:tcPr>
            <w:tcW w:w="8568" w:type="dxa"/>
            <w:gridSpan w:val="2"/>
          </w:tcPr>
          <w:p w14:paraId="703B9DE2" w14:textId="77777777" w:rsidR="00AC7C5F" w:rsidRPr="00B0279B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Patsy Toop OAM</w:t>
            </w:r>
            <w:r w:rsidR="00B0279B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B0279B">
              <w:rPr>
                <w:rFonts w:ascii="Arial" w:eastAsia="Calibri" w:hAnsi="Arial"/>
                <w:sz w:val="20"/>
                <w:szCs w:val="20"/>
                <w:lang w:val="en-US"/>
              </w:rPr>
              <w:t>(PT)</w:t>
            </w:r>
          </w:p>
        </w:tc>
      </w:tr>
      <w:tr w:rsidR="00AC7C5F" w:rsidRPr="00707AD1" w14:paraId="77111C82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35712595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Members</w:t>
            </w:r>
          </w:p>
        </w:tc>
        <w:tc>
          <w:tcPr>
            <w:tcW w:w="4989" w:type="dxa"/>
          </w:tcPr>
          <w:p w14:paraId="50BB9CA5" w14:textId="77777777" w:rsidR="00135039" w:rsidRPr="00707AD1" w:rsidRDefault="00135039" w:rsidP="00A81041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Adam Fletcher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(AF)</w:t>
            </w:r>
          </w:p>
          <w:p w14:paraId="487545C6" w14:textId="77777777" w:rsidR="00135039" w:rsidRPr="00707AD1" w:rsidRDefault="00135039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Alexandra Damasoliotis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(AD)</w:t>
            </w:r>
          </w:p>
          <w:p w14:paraId="5602A2FB" w14:textId="77777777" w:rsidR="00A81041" w:rsidRDefault="00A81041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Bert Boere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(BB)</w:t>
            </w:r>
          </w:p>
          <w:p w14:paraId="3E336029" w14:textId="77777777" w:rsidR="00A81041" w:rsidRPr="00A81041" w:rsidRDefault="00A81041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Christine Harris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(CH)</w:t>
            </w:r>
          </w:p>
          <w:p w14:paraId="53FCCABA" w14:textId="77777777" w:rsidR="002F3698" w:rsidRDefault="00135039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Clare Sheppard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(CS)</w:t>
            </w:r>
          </w:p>
          <w:p w14:paraId="7B2C4257" w14:textId="77777777" w:rsidR="00A81041" w:rsidRDefault="00A81041" w:rsidP="000A63D4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Geoffrey Mitchelmore OAM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(GM)</w:t>
            </w:r>
          </w:p>
          <w:p w14:paraId="23FA2680" w14:textId="6BF9F8DE" w:rsidR="000A63D4" w:rsidRPr="00707AD1" w:rsidRDefault="000A63D4" w:rsidP="000A63D4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Ian Butterworth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(IB)</w:t>
            </w:r>
          </w:p>
        </w:tc>
        <w:tc>
          <w:tcPr>
            <w:tcW w:w="3579" w:type="dxa"/>
          </w:tcPr>
          <w:p w14:paraId="7C7CCF21" w14:textId="77777777" w:rsidR="00135039" w:rsidRDefault="00135039" w:rsidP="000A63D4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Keith Loveridge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(KL)</w:t>
            </w:r>
          </w:p>
          <w:p w14:paraId="5B232AA9" w14:textId="77777777" w:rsidR="00A81041" w:rsidRPr="00707AD1" w:rsidRDefault="00A81041" w:rsidP="00A81041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Kristen Gilbert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(KG)</w:t>
            </w:r>
          </w:p>
          <w:p w14:paraId="6F287107" w14:textId="77777777" w:rsidR="00AC7C5F" w:rsidRPr="00707AD1" w:rsidRDefault="00AC7C5F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Louise Keramaris</w:t>
            </w:r>
            <w:r w:rsidR="00602C68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(LK</w:t>
            </w:r>
            <w:r w:rsidR="002F3698">
              <w:rPr>
                <w:rFonts w:ascii="Arial" w:eastAsia="Calibri" w:hAnsi="Arial"/>
                <w:sz w:val="20"/>
                <w:szCs w:val="20"/>
                <w:lang w:val="en-US"/>
              </w:rPr>
              <w:t>e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14:paraId="12D5BE85" w14:textId="77777777" w:rsidR="00AC7C5F" w:rsidRDefault="00135039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Narelle Wilson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(NW)</w:t>
            </w:r>
          </w:p>
          <w:p w14:paraId="59951E84" w14:textId="77777777" w:rsidR="000A63D4" w:rsidRDefault="000A63D4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Steven Curry </w:t>
            </w:r>
            <w:r w:rsidRPr="00B0279B">
              <w:rPr>
                <w:rFonts w:ascii="Arial" w:eastAsia="Calibri" w:hAnsi="Arial"/>
                <w:sz w:val="20"/>
                <w:szCs w:val="20"/>
                <w:lang w:val="en-US"/>
              </w:rPr>
              <w:t>(SC)</w:t>
            </w:r>
          </w:p>
          <w:p w14:paraId="7D851F5D" w14:textId="48C094FB" w:rsidR="000A63D4" w:rsidRPr="00707AD1" w:rsidRDefault="000A63D4" w:rsidP="00A81041">
            <w:pPr>
              <w:pStyle w:val="Body"/>
              <w:spacing w:after="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Valerie Dripps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(VD)</w:t>
            </w:r>
          </w:p>
        </w:tc>
      </w:tr>
      <w:tr w:rsidR="00AC7C5F" w:rsidRPr="00707AD1" w14:paraId="50C6B4DE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667F8C74" w14:textId="77777777" w:rsidR="00AC7C5F" w:rsidRPr="00B0279B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B0279B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4989" w:type="dxa"/>
          </w:tcPr>
          <w:p w14:paraId="0CBB2F7A" w14:textId="7FE2BF53" w:rsidR="00A81041" w:rsidRPr="00707AD1" w:rsidRDefault="00A81041" w:rsidP="000A63D4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Chris Dunlevy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(CD)</w:t>
            </w:r>
          </w:p>
        </w:tc>
        <w:tc>
          <w:tcPr>
            <w:tcW w:w="3579" w:type="dxa"/>
          </w:tcPr>
          <w:p w14:paraId="041911A6" w14:textId="147C4EAB" w:rsidR="00A81041" w:rsidRPr="00B0279B" w:rsidRDefault="000A63D4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Monika Pilekic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(MP)</w:t>
            </w:r>
          </w:p>
        </w:tc>
      </w:tr>
      <w:tr w:rsidR="00B0279B" w:rsidRPr="00707AD1" w14:paraId="2948260D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72157EE3" w14:textId="77777777" w:rsidR="00B0279B" w:rsidRPr="00B0279B" w:rsidRDefault="00B0279B" w:rsidP="00A81041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Absent</w:t>
            </w:r>
          </w:p>
        </w:tc>
        <w:tc>
          <w:tcPr>
            <w:tcW w:w="4989" w:type="dxa"/>
          </w:tcPr>
          <w:p w14:paraId="3DB1CD4A" w14:textId="77777777" w:rsidR="00B0279B" w:rsidRDefault="00B0279B" w:rsidP="00A81041">
            <w:pPr>
              <w:pStyle w:val="Body"/>
              <w:spacing w:before="60" w:after="6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Rod Boyd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(RB)</w:t>
            </w:r>
          </w:p>
        </w:tc>
        <w:tc>
          <w:tcPr>
            <w:tcW w:w="3579" w:type="dxa"/>
          </w:tcPr>
          <w:p w14:paraId="691D6F6A" w14:textId="1BA7EE65" w:rsidR="00B0279B" w:rsidRDefault="00B0279B" w:rsidP="00A81041">
            <w:pPr>
              <w:pStyle w:val="Body"/>
              <w:spacing w:before="60" w:after="6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</w:p>
        </w:tc>
      </w:tr>
      <w:tr w:rsidR="0066158C" w:rsidRPr="00707AD1" w14:paraId="38DEB70D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4FE893D1" w14:textId="77777777" w:rsidR="0066158C" w:rsidRPr="00707AD1" w:rsidRDefault="0066158C" w:rsidP="00B0279B">
            <w:pPr>
              <w:pStyle w:val="Body"/>
              <w:spacing w:before="18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Guest speakers</w:t>
            </w:r>
          </w:p>
        </w:tc>
        <w:tc>
          <w:tcPr>
            <w:tcW w:w="8568" w:type="dxa"/>
            <w:gridSpan w:val="2"/>
          </w:tcPr>
          <w:p w14:paraId="6A85B0B1" w14:textId="6DEB4162" w:rsidR="0066158C" w:rsidRDefault="000A63D4" w:rsidP="00F80513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Dr Cathy Wilkinson</w:t>
            </w:r>
            <w:r w:rsidR="0066158C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–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CEO, EPA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(CW)</w:t>
            </w:r>
          </w:p>
          <w:p w14:paraId="25D86127" w14:textId="452EB509" w:rsidR="0066158C" w:rsidRDefault="000A63D4" w:rsidP="00F80513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Dan Hunt</w:t>
            </w:r>
            <w:r w:rsidR="0066158C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–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Regional Manager, EPA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DH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14:paraId="287BA3A0" w14:textId="3B5777D2" w:rsidR="0066158C" w:rsidRPr="00B0279B" w:rsidRDefault="000A63D4" w:rsidP="00F80513">
            <w:pPr>
              <w:pStyle w:val="Body"/>
              <w:spacing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Tim Eaton</w:t>
            </w:r>
            <w:r w:rsidR="0066158C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–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Executive Director, EPA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TE</w:t>
            </w:r>
            <w:r w:rsidR="00F80513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</w:tr>
      <w:tr w:rsidR="00A55295" w:rsidRPr="00707AD1" w14:paraId="4CDBA7A0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49D6B835" w14:textId="43BE875A" w:rsidR="00A55295" w:rsidRDefault="00A55295" w:rsidP="00B0279B">
            <w:pPr>
              <w:pStyle w:val="Body"/>
              <w:spacing w:before="18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Guest MPs</w:t>
            </w:r>
          </w:p>
        </w:tc>
        <w:tc>
          <w:tcPr>
            <w:tcW w:w="8568" w:type="dxa"/>
            <w:gridSpan w:val="2"/>
          </w:tcPr>
          <w:p w14:paraId="053ABA69" w14:textId="7B0E7EC5" w:rsidR="00A55295" w:rsidRDefault="00A55295" w:rsidP="00A55295">
            <w:pPr>
              <w:pStyle w:val="Body"/>
              <w:spacing w:before="60"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The Hon Melissa Horne,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Member for Williamstown</w:t>
            </w:r>
          </w:p>
          <w:p w14:paraId="29575039" w14:textId="0ED1CCD9" w:rsidR="00A55295" w:rsidRDefault="00A55295" w:rsidP="00A55295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Katie Hall,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Member for Footscray</w:t>
            </w:r>
          </w:p>
          <w:p w14:paraId="4D659395" w14:textId="4E435426" w:rsidR="00A55295" w:rsidRPr="00A55295" w:rsidRDefault="00A55295" w:rsidP="00A55295">
            <w:pPr>
              <w:pStyle w:val="Body"/>
              <w:spacing w:after="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Jessica </w:t>
            </w:r>
            <w:proofErr w:type="spellStart"/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Bartik</w:t>
            </w:r>
            <w:proofErr w:type="spellEnd"/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Advisor to Tim Watts, Federal Member for </w:t>
            </w:r>
            <w:r w:rsidR="00DD6F49">
              <w:rPr>
                <w:rFonts w:ascii="Arial" w:eastAsia="Calibri" w:hAnsi="Arial"/>
                <w:sz w:val="20"/>
                <w:szCs w:val="20"/>
                <w:lang w:val="en-US"/>
              </w:rPr>
              <w:t>Gellibrand</w:t>
            </w:r>
          </w:p>
        </w:tc>
      </w:tr>
      <w:tr w:rsidR="00AC7C5F" w:rsidRPr="00707AD1" w14:paraId="0D24AF30" w14:textId="77777777" w:rsidTr="00F80513">
        <w:tc>
          <w:tcPr>
            <w:tcW w:w="2097" w:type="dxa"/>
            <w:shd w:val="clear" w:color="auto" w:fill="31849B" w:themeFill="accent5" w:themeFillShade="BF"/>
          </w:tcPr>
          <w:p w14:paraId="532146BD" w14:textId="77777777" w:rsidR="00AC7C5F" w:rsidRPr="00707AD1" w:rsidRDefault="00AC7C5F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Secretariat</w:t>
            </w:r>
            <w:r w:rsidR="00602C68"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 (DELWP)</w:t>
            </w:r>
          </w:p>
        </w:tc>
        <w:tc>
          <w:tcPr>
            <w:tcW w:w="4989" w:type="dxa"/>
          </w:tcPr>
          <w:p w14:paraId="3EA39268" w14:textId="77777777" w:rsidR="00AC7C5F" w:rsidRPr="00B0279B" w:rsidRDefault="002F3698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B0279B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Lana Kovac</w:t>
            </w:r>
            <w:r w:rsidR="009B47C6" w:rsidRPr="00B0279B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</w:t>
            </w:r>
            <w:r w:rsidRPr="00B0279B">
              <w:rPr>
                <w:rFonts w:ascii="Arial" w:eastAsia="Calibri" w:hAnsi="Arial"/>
                <w:sz w:val="20"/>
                <w:szCs w:val="20"/>
                <w:lang w:val="en-US"/>
              </w:rPr>
              <w:t>LKo</w:t>
            </w:r>
            <w:r w:rsidR="009B47C6" w:rsidRPr="00B0279B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579" w:type="dxa"/>
          </w:tcPr>
          <w:p w14:paraId="24348024" w14:textId="77777777" w:rsidR="00AC7C5F" w:rsidRPr="00B0279B" w:rsidRDefault="00B0279B" w:rsidP="00B0279B">
            <w:pPr>
              <w:pStyle w:val="Body"/>
              <w:spacing w:before="60" w:after="6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Kim Daly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(KD)</w:t>
            </w:r>
          </w:p>
        </w:tc>
      </w:tr>
    </w:tbl>
    <w:p w14:paraId="53616A33" w14:textId="77777777" w:rsidR="00556367" w:rsidRPr="00707AD1" w:rsidRDefault="00556367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lang w:val="en-US"/>
        </w:rPr>
      </w:pPr>
    </w:p>
    <w:tbl>
      <w:tblPr>
        <w:tblW w:w="10739" w:type="dxa"/>
        <w:tblInd w:w="-425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647"/>
        <w:gridCol w:w="24"/>
        <w:gridCol w:w="1677"/>
      </w:tblGrid>
      <w:tr w:rsidR="009B47C6" w:rsidRPr="00707AD1" w14:paraId="7823C39B" w14:textId="77777777" w:rsidTr="00E15250">
        <w:trPr>
          <w:trHeight w:val="192"/>
        </w:trPr>
        <w:tc>
          <w:tcPr>
            <w:tcW w:w="10739" w:type="dxa"/>
            <w:gridSpan w:val="4"/>
            <w:shd w:val="clear" w:color="auto" w:fill="B6DDE8" w:themeFill="accent5" w:themeFillTint="66"/>
          </w:tcPr>
          <w:p w14:paraId="5B341558" w14:textId="77777777" w:rsidR="009B47C6" w:rsidRPr="00707AD1" w:rsidRDefault="009B47C6" w:rsidP="00B5387D">
            <w:pPr>
              <w:pStyle w:val="HB"/>
              <w:spacing w:before="120" w:after="120" w:line="240" w:lineRule="auto"/>
              <w:rPr>
                <w:rFonts w:ascii="Arial" w:hAnsi="Arial"/>
                <w:sz w:val="22"/>
                <w:szCs w:val="22"/>
              </w:rPr>
            </w:pPr>
            <w:r w:rsidRPr="00F914A8">
              <w:rPr>
                <w:rFonts w:ascii="Arial" w:hAnsi="Arial"/>
                <w:color w:val="auto"/>
                <w:sz w:val="22"/>
                <w:szCs w:val="22"/>
              </w:rPr>
              <w:t>Agenda items, minutes, and actions</w:t>
            </w:r>
          </w:p>
        </w:tc>
      </w:tr>
      <w:tr w:rsidR="009B47C6" w:rsidRPr="00707AD1" w14:paraId="4C9CDCA1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0F140E11" w14:textId="77777777"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F6C664A" w14:textId="0D2E1F41" w:rsidR="00513EE4" w:rsidRPr="00310FD8" w:rsidRDefault="009B47C6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Welcome</w:t>
            </w:r>
            <w:r w:rsidR="008355F3">
              <w:rPr>
                <w:rFonts w:ascii="Arial" w:hAnsi="Arial"/>
                <w:b/>
                <w:sz w:val="20"/>
                <w:szCs w:val="20"/>
              </w:rPr>
              <w:t>,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309DB">
              <w:rPr>
                <w:rFonts w:ascii="Arial" w:hAnsi="Arial"/>
                <w:b/>
                <w:sz w:val="20"/>
                <w:szCs w:val="20"/>
              </w:rPr>
              <w:t>a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>cknowledgement of Traditional Owners</w:t>
            </w:r>
            <w:r w:rsidR="008355F3">
              <w:rPr>
                <w:rFonts w:ascii="Arial" w:hAnsi="Arial"/>
                <w:b/>
                <w:sz w:val="20"/>
                <w:szCs w:val="20"/>
              </w:rPr>
              <w:t>, and introduction of MPs</w:t>
            </w:r>
          </w:p>
        </w:tc>
      </w:tr>
      <w:tr w:rsidR="009B47C6" w:rsidRPr="00707AD1" w14:paraId="1ABDE9D8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38C8EBB9" w14:textId="77777777"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0F07ECE1" w14:textId="55B75D6A" w:rsidR="0048658A" w:rsidRDefault="008355F3" w:rsidP="00B35DEC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Meet &amp; Greet session with MPs</w:t>
            </w:r>
          </w:p>
          <w:p w14:paraId="3E1730F5" w14:textId="75142110" w:rsidR="00B35DEC" w:rsidRPr="00B35DEC" w:rsidRDefault="004C72AA" w:rsidP="00B35DEC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="00310FD8">
              <w:rPr>
                <w:rFonts w:ascii="Arial" w:hAnsi="Arial"/>
                <w:sz w:val="20"/>
                <w:szCs w:val="20"/>
              </w:rPr>
              <w:t>nformal meet &amp; greet</w:t>
            </w:r>
            <w:r w:rsidR="00A40602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7052A6" w:rsidRPr="00707AD1" w14:paraId="2280B5FC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02C0B7D9" w14:textId="77777777" w:rsidR="007052A6" w:rsidRPr="00707AD1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3659B209" w14:textId="49B6CEAD" w:rsidR="007052A6" w:rsidRPr="00707AD1" w:rsidRDefault="008355F3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Group discussion</w:t>
            </w:r>
          </w:p>
          <w:p w14:paraId="3EE3967E" w14:textId="30C26BB9" w:rsidR="00310FD8" w:rsidRDefault="00310FD8" w:rsidP="008355F3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GM advised the group that he had compiled a list of issues that have arisen so far, as a starting point for identifying recommendations that can then be </w:t>
            </w:r>
            <w:r w:rsidRPr="00321D1B">
              <w:rPr>
                <w:rFonts w:ascii="Arial" w:hAnsi="Arial"/>
                <w:sz w:val="20"/>
                <w:szCs w:val="20"/>
                <w:lang w:val="en-AU"/>
              </w:rPr>
              <w:t>prioritised</w:t>
            </w:r>
            <w:r>
              <w:rPr>
                <w:rFonts w:ascii="Arial" w:hAnsi="Arial"/>
                <w:sz w:val="20"/>
                <w:szCs w:val="20"/>
              </w:rPr>
              <w:t>. KD to circulate digital copy to group.</w:t>
            </w:r>
          </w:p>
          <w:p w14:paraId="2DAB592C" w14:textId="77777777" w:rsidR="00310FD8" w:rsidRDefault="00310FD8" w:rsidP="008355F3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26D0E9D1" w14:textId="424772D3" w:rsidR="0022487A" w:rsidRDefault="004C72AA" w:rsidP="008355F3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group discussed</w:t>
            </w:r>
            <w:r w:rsidR="008355F3">
              <w:rPr>
                <w:rFonts w:ascii="Arial" w:hAnsi="Arial"/>
                <w:sz w:val="20"/>
                <w:szCs w:val="20"/>
              </w:rPr>
              <w:t>:</w:t>
            </w:r>
          </w:p>
          <w:p w14:paraId="7BB12373" w14:textId="69010879" w:rsidR="008355F3" w:rsidRDefault="004C72AA" w:rsidP="00E35708">
            <w:pPr>
              <w:pStyle w:val="TblBdy"/>
              <w:numPr>
                <w:ilvl w:val="0"/>
                <w:numId w:val="17"/>
              </w:numPr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Methodologies for the writing of the report, including progressive drafting of chapters over coming months </w:t>
            </w:r>
          </w:p>
          <w:p w14:paraId="7E9BF2A6" w14:textId="77777777" w:rsidR="004C72AA" w:rsidRDefault="004C72AA" w:rsidP="00E35708">
            <w:pPr>
              <w:pStyle w:val="TblBdy"/>
              <w:numPr>
                <w:ilvl w:val="0"/>
                <w:numId w:val="17"/>
              </w:numPr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Methodologies for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prioritising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recommendations.</w:t>
            </w:r>
          </w:p>
          <w:p w14:paraId="405C51F3" w14:textId="30FC9573" w:rsidR="00321D1B" w:rsidRDefault="00321D1B" w:rsidP="00E35708">
            <w:pPr>
              <w:pStyle w:val="TblBdy"/>
              <w:numPr>
                <w:ilvl w:val="0"/>
                <w:numId w:val="17"/>
              </w:numPr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CS suggested putting together</w:t>
            </w:r>
            <w:r w:rsidR="004C72AA">
              <w:rPr>
                <w:rFonts w:ascii="Arial" w:hAnsi="Arial"/>
                <w:sz w:val="20"/>
                <w:szCs w:val="20"/>
              </w:rPr>
              <w:t xml:space="preserve"> communications materials such as</w:t>
            </w:r>
            <w:r>
              <w:rPr>
                <w:rFonts w:ascii="Arial" w:hAnsi="Arial"/>
                <w:sz w:val="20"/>
                <w:szCs w:val="20"/>
              </w:rPr>
              <w:t xml:space="preserve"> a presentation for delivering the recommendations as well as the report.</w:t>
            </w:r>
          </w:p>
          <w:p w14:paraId="4B038EED" w14:textId="67AEF4A7" w:rsidR="00321D1B" w:rsidRDefault="00321D1B" w:rsidP="00925E05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03F422B1" w14:textId="4441DA86" w:rsidR="00321D1B" w:rsidRDefault="00321D1B" w:rsidP="00321D1B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AF expressed desire to speak to the West Gate Tunnel Authority (WGTA) regarding the timescales </w:t>
            </w:r>
            <w:r w:rsidR="004C72AA">
              <w:rPr>
                <w:rFonts w:ascii="Arial" w:hAnsi="Arial"/>
                <w:sz w:val="20"/>
                <w:szCs w:val="20"/>
              </w:rPr>
              <w:t xml:space="preserve">and costs </w:t>
            </w:r>
            <w:r>
              <w:rPr>
                <w:rFonts w:ascii="Arial" w:hAnsi="Arial"/>
                <w:sz w:val="20"/>
                <w:szCs w:val="20"/>
              </w:rPr>
              <w:t>involved with adding filtration to the tunnel stacks.</w:t>
            </w:r>
          </w:p>
          <w:p w14:paraId="01A8DF75" w14:textId="77777777" w:rsidR="00321D1B" w:rsidRDefault="00321D1B" w:rsidP="00321D1B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5DD72A5A" w14:textId="3DEC9DAF" w:rsidR="00321D1B" w:rsidRPr="009A1C8E" w:rsidRDefault="00321D1B" w:rsidP="00321D1B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LKe suggested the group consider engaging with the community (e.g. community forum) once there is a draft report, before it’s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finalised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  <w:r w:rsidR="00624E1E">
              <w:rPr>
                <w:rFonts w:ascii="Arial" w:hAnsi="Arial"/>
                <w:sz w:val="20"/>
                <w:szCs w:val="20"/>
              </w:rPr>
              <w:t xml:space="preserve"> This is in</w:t>
            </w:r>
            <w:r w:rsidR="004C72AA">
              <w:rPr>
                <w:rFonts w:ascii="Arial" w:hAnsi="Arial"/>
                <w:sz w:val="20"/>
                <w:szCs w:val="20"/>
              </w:rPr>
              <w:t xml:space="preserve"> </w:t>
            </w:r>
            <w:r w:rsidR="00624E1E">
              <w:rPr>
                <w:rFonts w:ascii="Arial" w:hAnsi="Arial"/>
                <w:sz w:val="20"/>
                <w:szCs w:val="20"/>
              </w:rPr>
              <w:t>line with the principl</w:t>
            </w:r>
            <w:r w:rsidR="004C72AA">
              <w:rPr>
                <w:rFonts w:ascii="Arial" w:hAnsi="Arial"/>
                <w:sz w:val="20"/>
                <w:szCs w:val="20"/>
              </w:rPr>
              <w:t>e</w:t>
            </w:r>
            <w:r w:rsidR="00624E1E">
              <w:rPr>
                <w:rFonts w:ascii="Arial" w:hAnsi="Arial"/>
                <w:sz w:val="20"/>
                <w:szCs w:val="20"/>
              </w:rPr>
              <w:t>s of co-design and Environmental Justice.</w:t>
            </w:r>
          </w:p>
        </w:tc>
      </w:tr>
      <w:tr w:rsidR="007052A6" w:rsidRPr="00707AD1" w14:paraId="2EED5DF7" w14:textId="77777777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3ED23E9E" w14:textId="21CE6ED6" w:rsidR="007052A6" w:rsidRPr="00310FD8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Action</w:t>
            </w:r>
            <w:r w:rsidR="000C47BA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897FB9" w:rsidRPr="00897FB9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310FD8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310FD8">
              <w:rPr>
                <w:rFonts w:ascii="Arial" w:hAnsi="Arial"/>
                <w:bCs/>
                <w:sz w:val="20"/>
                <w:szCs w:val="20"/>
              </w:rPr>
              <w:t>Secretariat to circulate document that has been put together by GM.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2B90479" w14:textId="26E6623B" w:rsidR="007052A6" w:rsidRPr="00707AD1" w:rsidRDefault="007052A6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10FD8">
              <w:rPr>
                <w:rFonts w:ascii="Arial" w:hAnsi="Arial"/>
                <w:sz w:val="20"/>
                <w:szCs w:val="20"/>
              </w:rPr>
              <w:t>KD</w:t>
            </w:r>
          </w:p>
        </w:tc>
      </w:tr>
      <w:tr w:rsidR="00A52CB8" w:rsidRPr="00707AD1" w14:paraId="64593A53" w14:textId="77777777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633A958F" w14:textId="483BC579" w:rsidR="00A52CB8" w:rsidRPr="00310FD8" w:rsidRDefault="00A52CB8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Action 2:</w:t>
            </w:r>
            <w:r w:rsidR="00310FD8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310FD8">
              <w:rPr>
                <w:rFonts w:ascii="Arial" w:hAnsi="Arial"/>
                <w:bCs/>
                <w:sz w:val="20"/>
                <w:szCs w:val="20"/>
              </w:rPr>
              <w:t>Secretariat to draft methodologies for further discussion at next meeting.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9887E11" w14:textId="61CDD71D" w:rsidR="00A52CB8" w:rsidRPr="00707AD1" w:rsidRDefault="00A52CB8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Owner: </w:t>
            </w:r>
            <w:r w:rsidR="00310FD8">
              <w:rPr>
                <w:rFonts w:ascii="Arial" w:hAnsi="Arial"/>
                <w:sz w:val="20"/>
                <w:szCs w:val="20"/>
              </w:rPr>
              <w:t>KD</w:t>
            </w:r>
          </w:p>
        </w:tc>
      </w:tr>
      <w:tr w:rsidR="00321D1B" w:rsidRPr="00707AD1" w14:paraId="619CD9B8" w14:textId="77777777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4C727BBC" w14:textId="6BAD5DD3" w:rsidR="00321D1B" w:rsidRPr="00321D1B" w:rsidRDefault="00321D1B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3: </w:t>
            </w:r>
            <w:r>
              <w:rPr>
                <w:rFonts w:ascii="Arial" w:hAnsi="Arial"/>
                <w:bCs/>
                <w:sz w:val="20"/>
                <w:szCs w:val="20"/>
              </w:rPr>
              <w:t>Secretariat to speak to WGTA about speaking to the group at a future meeting.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F01C2D9" w14:textId="110C6402" w:rsidR="00321D1B" w:rsidRDefault="00321D1B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KD</w:t>
            </w:r>
          </w:p>
        </w:tc>
      </w:tr>
      <w:tr w:rsidR="007052A6" w:rsidRPr="00707AD1" w14:paraId="42578971" w14:textId="77777777" w:rsidTr="00FF6180">
        <w:trPr>
          <w:trHeight w:val="705"/>
        </w:trPr>
        <w:tc>
          <w:tcPr>
            <w:tcW w:w="391" w:type="dxa"/>
            <w:shd w:val="clear" w:color="auto" w:fill="FFFFFF"/>
          </w:tcPr>
          <w:p w14:paraId="4E1F6E6C" w14:textId="77777777" w:rsidR="007052A6" w:rsidRPr="00707AD1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26DC1122" w14:textId="1B90B22C" w:rsidR="007052A6" w:rsidRPr="00707AD1" w:rsidRDefault="000A63D4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EPA presentations and Q&amp;As</w:t>
            </w:r>
          </w:p>
          <w:p w14:paraId="4816ED78" w14:textId="71148A45" w:rsidR="00B03B3F" w:rsidRDefault="00624E1E" w:rsidP="00553413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CW presented on the </w:t>
            </w:r>
            <w:r w:rsidR="00C545DF">
              <w:rPr>
                <w:rFonts w:ascii="Arial" w:hAnsi="Arial"/>
                <w:sz w:val="20"/>
                <w:szCs w:val="20"/>
              </w:rPr>
              <w:t xml:space="preserve">role of the Environment Protection Authority (EPA), the </w:t>
            </w:r>
            <w:r>
              <w:rPr>
                <w:rFonts w:ascii="Arial" w:hAnsi="Arial"/>
                <w:sz w:val="20"/>
                <w:szCs w:val="20"/>
              </w:rPr>
              <w:t>new Environment Protection Amendment Act 2018</w:t>
            </w:r>
            <w:r w:rsidR="00B03B3F">
              <w:rPr>
                <w:rFonts w:ascii="Arial" w:hAnsi="Arial"/>
                <w:sz w:val="20"/>
                <w:szCs w:val="20"/>
              </w:rPr>
              <w:t xml:space="preserve"> (legislation that will come into effect on 1 July 2020)</w:t>
            </w:r>
            <w:r w:rsidR="00C545DF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and the EPA’s shift </w:t>
            </w:r>
            <w:r w:rsidR="00CF0831">
              <w:rPr>
                <w:rFonts w:ascii="Arial" w:hAnsi="Arial"/>
                <w:sz w:val="20"/>
                <w:szCs w:val="20"/>
              </w:rPr>
              <w:t xml:space="preserve">in paradigm </w:t>
            </w:r>
            <w:r w:rsidR="00C545DF">
              <w:rPr>
                <w:rFonts w:ascii="Arial" w:hAnsi="Arial"/>
                <w:sz w:val="20"/>
                <w:szCs w:val="20"/>
              </w:rPr>
              <w:t xml:space="preserve">to a more preventative model that seeks to </w:t>
            </w:r>
            <w:r w:rsidR="004C72AA">
              <w:rPr>
                <w:rFonts w:ascii="Arial" w:hAnsi="Arial"/>
                <w:sz w:val="20"/>
                <w:szCs w:val="20"/>
              </w:rPr>
              <w:t xml:space="preserve">prevent </w:t>
            </w:r>
            <w:r w:rsidR="00C545DF">
              <w:rPr>
                <w:rFonts w:ascii="Arial" w:hAnsi="Arial"/>
                <w:sz w:val="20"/>
                <w:szCs w:val="20"/>
              </w:rPr>
              <w:t>pollution before it occurs.</w:t>
            </w:r>
            <w:r w:rsidR="004C72AA">
              <w:rPr>
                <w:rFonts w:ascii="Arial" w:hAnsi="Arial"/>
                <w:sz w:val="20"/>
                <w:szCs w:val="20"/>
              </w:rPr>
              <w:t xml:space="preserve"> CW noted that the subordinate legislation, including regulations and Environmental Reference</w:t>
            </w:r>
            <w:r w:rsidR="00C545DF">
              <w:rPr>
                <w:rFonts w:ascii="Arial" w:hAnsi="Arial"/>
                <w:sz w:val="20"/>
                <w:szCs w:val="20"/>
              </w:rPr>
              <w:t xml:space="preserve"> </w:t>
            </w:r>
            <w:r w:rsidR="004C72AA">
              <w:rPr>
                <w:rFonts w:ascii="Arial" w:hAnsi="Arial"/>
                <w:sz w:val="20"/>
                <w:szCs w:val="20"/>
              </w:rPr>
              <w:t>Standards, are currently under development and will be released for public consultation</w:t>
            </w:r>
            <w:r w:rsidR="00F60814">
              <w:rPr>
                <w:rFonts w:ascii="Arial" w:hAnsi="Arial"/>
                <w:sz w:val="20"/>
                <w:szCs w:val="20"/>
              </w:rPr>
              <w:t xml:space="preserve"> mid-2019. </w:t>
            </w:r>
          </w:p>
          <w:p w14:paraId="6149FC9E" w14:textId="77777777" w:rsidR="009C3622" w:rsidRDefault="009C3622" w:rsidP="009C3622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44B6996F" w14:textId="52084331" w:rsidR="009C3622" w:rsidRDefault="009C3622" w:rsidP="009C3622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DH presented on the number and types of </w:t>
            </w:r>
            <w:r w:rsidR="00F60814">
              <w:rPr>
                <w:rFonts w:ascii="Arial" w:hAnsi="Arial"/>
                <w:sz w:val="20"/>
                <w:szCs w:val="20"/>
              </w:rPr>
              <w:t xml:space="preserve">pollution </w:t>
            </w:r>
            <w:r>
              <w:rPr>
                <w:rFonts w:ascii="Arial" w:hAnsi="Arial"/>
                <w:sz w:val="20"/>
                <w:szCs w:val="20"/>
              </w:rPr>
              <w:t xml:space="preserve">reports the EPA </w:t>
            </w:r>
            <w:r w:rsidR="00F60814">
              <w:rPr>
                <w:rFonts w:ascii="Arial" w:hAnsi="Arial"/>
                <w:sz w:val="20"/>
                <w:szCs w:val="20"/>
              </w:rPr>
              <w:t xml:space="preserve">has </w:t>
            </w:r>
            <w:r>
              <w:rPr>
                <w:rFonts w:ascii="Arial" w:hAnsi="Arial"/>
                <w:sz w:val="20"/>
                <w:szCs w:val="20"/>
              </w:rPr>
              <w:t>receive</w:t>
            </w:r>
            <w:r w:rsidR="00F60814"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 xml:space="preserve"> from the in</w:t>
            </w:r>
            <w:bookmarkStart w:id="1" w:name="_GoBack"/>
            <w:bookmarkEnd w:id="1"/>
            <w:r>
              <w:rPr>
                <w:rFonts w:ascii="Arial" w:hAnsi="Arial"/>
                <w:sz w:val="20"/>
                <w:szCs w:val="20"/>
              </w:rPr>
              <w:t>ner west in 2018 and 2019</w:t>
            </w:r>
            <w:r w:rsidR="006923FF">
              <w:rPr>
                <w:rFonts w:ascii="Arial" w:hAnsi="Arial"/>
                <w:sz w:val="20"/>
                <w:szCs w:val="20"/>
              </w:rPr>
              <w:t xml:space="preserve">, as well as </w:t>
            </w:r>
            <w:r w:rsidR="00F60814">
              <w:rPr>
                <w:rFonts w:ascii="Arial" w:hAnsi="Arial"/>
                <w:sz w:val="20"/>
                <w:szCs w:val="20"/>
              </w:rPr>
              <w:t xml:space="preserve">EPA </w:t>
            </w:r>
            <w:r w:rsidR="006923FF">
              <w:rPr>
                <w:rFonts w:ascii="Arial" w:hAnsi="Arial"/>
                <w:sz w:val="20"/>
                <w:szCs w:val="20"/>
              </w:rPr>
              <w:t>inspection and investigation activities in the area. The presentation also covered:</w:t>
            </w:r>
          </w:p>
          <w:p w14:paraId="7AB030B8" w14:textId="77777777" w:rsidR="006923FF" w:rsidRDefault="006923FF" w:rsidP="00E35708">
            <w:pPr>
              <w:pStyle w:val="TblBdy"/>
              <w:numPr>
                <w:ilvl w:val="0"/>
                <w:numId w:val="18"/>
              </w:numPr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Brooklyn Dust Action Plan</w:t>
            </w:r>
          </w:p>
          <w:p w14:paraId="201E9AF1" w14:textId="22067F47" w:rsidR="006923FF" w:rsidRDefault="00F60814" w:rsidP="00E35708">
            <w:pPr>
              <w:pStyle w:val="TblBdy"/>
              <w:numPr>
                <w:ilvl w:val="0"/>
                <w:numId w:val="18"/>
              </w:numPr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Resource Recovery Audit Taskforce</w:t>
            </w:r>
          </w:p>
          <w:p w14:paraId="7B7CF4FB" w14:textId="77777777" w:rsidR="006923FF" w:rsidRDefault="006923FF" w:rsidP="00E35708">
            <w:pPr>
              <w:pStyle w:val="TblBdy"/>
              <w:numPr>
                <w:ilvl w:val="0"/>
                <w:numId w:val="18"/>
              </w:numPr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West Footscray/Tottenham fire recovery</w:t>
            </w:r>
          </w:p>
          <w:p w14:paraId="2860898A" w14:textId="77777777" w:rsidR="006923FF" w:rsidRDefault="006923FF" w:rsidP="00E35708">
            <w:pPr>
              <w:pStyle w:val="TblBdy"/>
              <w:numPr>
                <w:ilvl w:val="0"/>
                <w:numId w:val="18"/>
              </w:numPr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Compliance priorities for FY19-20</w:t>
            </w:r>
          </w:p>
          <w:p w14:paraId="6F4A3F69" w14:textId="77777777" w:rsidR="006923FF" w:rsidRDefault="006923FF" w:rsidP="006923FF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336CA1D4" w14:textId="290D432E" w:rsidR="006923FF" w:rsidRDefault="006923FF" w:rsidP="006923FF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 presented on the EPA’s approach to infrastructure, including the West Gate Tunnel Project (WGTP), and:</w:t>
            </w:r>
          </w:p>
          <w:p w14:paraId="7E2213D0" w14:textId="77777777" w:rsidR="006923FF" w:rsidRDefault="006923FF" w:rsidP="00E35708">
            <w:pPr>
              <w:pStyle w:val="TblBdy"/>
              <w:numPr>
                <w:ilvl w:val="0"/>
                <w:numId w:val="19"/>
              </w:numPr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EPA’s involvement with the Environmental Effects Statement for the WGTP</w:t>
            </w:r>
          </w:p>
          <w:p w14:paraId="1F5E1054" w14:textId="77777777" w:rsidR="006923FF" w:rsidRDefault="006923FF" w:rsidP="00E35708">
            <w:pPr>
              <w:pStyle w:val="TblBdy"/>
              <w:numPr>
                <w:ilvl w:val="0"/>
                <w:numId w:val="19"/>
              </w:numPr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reasoning behind the decision to not include tunnel filtration, which included the height of the stacks as well as the velocity the gases will be leaving them</w:t>
            </w:r>
          </w:p>
          <w:p w14:paraId="3A836D2C" w14:textId="77777777" w:rsidR="006923FF" w:rsidRDefault="006923FF" w:rsidP="006923FF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638A0E68" w14:textId="2DD1354F" w:rsidR="006923FF" w:rsidRPr="00897FB9" w:rsidRDefault="006923FF" w:rsidP="006923FF">
            <w:pPr>
              <w:pStyle w:val="TblBdy"/>
              <w:spacing w:before="6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Group members put questions to each of the guest speakers throughout the course of their presentations. The EPA also welcomed follow up questions that the group may have.</w:t>
            </w:r>
          </w:p>
        </w:tc>
      </w:tr>
      <w:tr w:rsidR="006923FF" w:rsidRPr="00707AD1" w14:paraId="72E05E06" w14:textId="77777777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04D40B04" w14:textId="202A39EC" w:rsidR="006923FF" w:rsidRPr="006923FF" w:rsidRDefault="006923FF" w:rsidP="00B5387D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A40602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Cs/>
                <w:sz w:val="20"/>
                <w:szCs w:val="20"/>
              </w:rPr>
              <w:t>CRG members to send further questions to the Secretariat for follow up with the EPA.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5B74509" w14:textId="404DD67A" w:rsidR="006923FF" w:rsidRDefault="006923FF" w:rsidP="002949F8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All</w:t>
            </w:r>
          </w:p>
        </w:tc>
      </w:tr>
      <w:tr w:rsidR="00C20127" w:rsidRPr="00707AD1" w14:paraId="7501C15D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2BF4C16F" w14:textId="77777777" w:rsidR="00C20127" w:rsidRPr="00707AD1" w:rsidRDefault="00C20127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67AD8CA6" w14:textId="0E5798B2" w:rsidR="00C20127" w:rsidRDefault="000A63D4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Group discussion of EPA presentation</w:t>
            </w:r>
          </w:p>
          <w:p w14:paraId="0B0FB790" w14:textId="264849B1" w:rsidR="00F80513" w:rsidRPr="00EE18C2" w:rsidRDefault="006923FF" w:rsidP="00B03B3F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Due to time constraints</w:t>
            </w:r>
            <w:r w:rsidR="00E35708">
              <w:rPr>
                <w:rFonts w:ascii="Arial" w:hAnsi="Arial"/>
                <w:sz w:val="20"/>
                <w:szCs w:val="20"/>
              </w:rPr>
              <w:t xml:space="preserve"> and the depth of discussion had during the EPA’s presentations and Q&amp;As session, further group discussion was not required.</w:t>
            </w:r>
          </w:p>
        </w:tc>
      </w:tr>
      <w:tr w:rsidR="000C47BA" w:rsidRPr="00707AD1" w14:paraId="43C2183D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7ABA097D" w14:textId="77777777" w:rsidR="000C47BA" w:rsidRPr="00707AD1" w:rsidRDefault="000C47BA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4E0AFAFE" w14:textId="62ACB184" w:rsidR="000C47BA" w:rsidRDefault="000A63D4" w:rsidP="000C47BA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Forward plan</w:t>
            </w:r>
          </w:p>
          <w:p w14:paraId="6D8FE145" w14:textId="579A2E18" w:rsidR="00E369F0" w:rsidRPr="00235865" w:rsidRDefault="00E35708" w:rsidP="000A63D4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Members submitted their notes from the meeting to be collated and circulated by the Secretariat.</w:t>
            </w:r>
          </w:p>
        </w:tc>
      </w:tr>
      <w:tr w:rsidR="000C47BA" w:rsidRPr="00707AD1" w14:paraId="687923B1" w14:textId="77777777" w:rsidTr="000C47BA">
        <w:trPr>
          <w:trHeight w:val="27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0828C5E3" w14:textId="15BF4F97" w:rsidR="000C47BA" w:rsidRPr="00AA3078" w:rsidRDefault="000C47BA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Action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A40602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 w:rsidRPr="00897FB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E35708">
              <w:rPr>
                <w:rFonts w:ascii="Arial" w:hAnsi="Arial"/>
                <w:bCs/>
                <w:sz w:val="20"/>
                <w:szCs w:val="20"/>
              </w:rPr>
              <w:t>Secretariat to collate and circulate meeting notes from members.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1F3C5442" w14:textId="2C2D15E8" w:rsidR="000C47BA" w:rsidRPr="00707AD1" w:rsidRDefault="000C47BA" w:rsidP="000C47BA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E35708">
              <w:rPr>
                <w:rFonts w:ascii="Arial" w:hAnsi="Arial"/>
                <w:sz w:val="20"/>
                <w:szCs w:val="20"/>
              </w:rPr>
              <w:t>KD</w:t>
            </w:r>
          </w:p>
        </w:tc>
      </w:tr>
      <w:tr w:rsidR="000C47BA" w:rsidRPr="00707AD1" w14:paraId="06DBEEFF" w14:textId="77777777" w:rsidTr="00E15250">
        <w:trPr>
          <w:trHeight w:val="277"/>
        </w:trPr>
        <w:tc>
          <w:tcPr>
            <w:tcW w:w="391" w:type="dxa"/>
            <w:shd w:val="clear" w:color="auto" w:fill="FFFFFF"/>
          </w:tcPr>
          <w:p w14:paraId="0A5B3497" w14:textId="77777777" w:rsidR="000C47BA" w:rsidRDefault="000C47BA" w:rsidP="000C47BA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48" w:type="dxa"/>
            <w:gridSpan w:val="3"/>
            <w:shd w:val="clear" w:color="auto" w:fill="DAEEF3" w:themeFill="accent5" w:themeFillTint="33"/>
          </w:tcPr>
          <w:p w14:paraId="67FD3EEC" w14:textId="0D02FBCA" w:rsidR="000A63D4" w:rsidRDefault="000A63D4" w:rsidP="000A63D4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other business</w:t>
            </w:r>
          </w:p>
          <w:p w14:paraId="498A2FDC" w14:textId="1E69AE1A" w:rsidR="00E35708" w:rsidRDefault="00E35708" w:rsidP="00E35708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 outlined an opportunity to acquire some wearable air quality monitors that members could use to gather some data from high-risk</w:t>
            </w:r>
            <w:r w:rsidR="00285A41">
              <w:rPr>
                <w:rFonts w:ascii="Arial" w:hAnsi="Arial"/>
                <w:sz w:val="20"/>
                <w:szCs w:val="20"/>
              </w:rPr>
              <w:t xml:space="preserve"> (</w:t>
            </w:r>
            <w:proofErr w:type="gramStart"/>
            <w:r w:rsidR="00285A41">
              <w:rPr>
                <w:rFonts w:ascii="Arial" w:hAnsi="Arial"/>
                <w:sz w:val="20"/>
                <w:szCs w:val="20"/>
              </w:rPr>
              <w:t>with regard to</w:t>
            </w:r>
            <w:proofErr w:type="gramEnd"/>
            <w:r w:rsidR="00285A41">
              <w:rPr>
                <w:rFonts w:ascii="Arial" w:hAnsi="Arial"/>
                <w:sz w:val="20"/>
                <w:szCs w:val="20"/>
              </w:rPr>
              <w:t xml:space="preserve"> air quality)</w:t>
            </w:r>
            <w:r>
              <w:rPr>
                <w:rFonts w:ascii="Arial" w:hAnsi="Arial"/>
                <w:sz w:val="20"/>
                <w:szCs w:val="20"/>
              </w:rPr>
              <w:t xml:space="preserve"> spots</w:t>
            </w:r>
            <w:r w:rsidR="00285A41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 xml:space="preserve">e.g. childcare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centres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on main roads.</w:t>
            </w:r>
          </w:p>
          <w:p w14:paraId="1BCA55B8" w14:textId="77777777" w:rsidR="00E35708" w:rsidRDefault="00E35708" w:rsidP="00E35708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7963DB2B" w14:textId="450BEDE2" w:rsidR="00E35708" w:rsidRPr="00B35DEC" w:rsidRDefault="00E35708" w:rsidP="00E35708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 identified a desire to </w:t>
            </w:r>
            <w:r w:rsidR="00285A41">
              <w:rPr>
                <w:rFonts w:ascii="Arial" w:hAnsi="Arial"/>
                <w:sz w:val="20"/>
                <w:szCs w:val="20"/>
              </w:rPr>
              <w:t>have better understanding of world’s best practice in improving air quality in cities to inform the CRG final report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="00285A41">
              <w:rPr>
                <w:rFonts w:ascii="Arial" w:hAnsi="Arial"/>
                <w:sz w:val="20"/>
                <w:szCs w:val="20"/>
              </w:rPr>
              <w:t xml:space="preserve"> This may be through a relevant speaker on the topic or by another means.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0C47BA" w:rsidRPr="00707AD1" w14:paraId="63E9F657" w14:textId="77777777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14:paraId="3E6C4F2E" w14:textId="76FD78E7" w:rsidR="000C47BA" w:rsidRPr="00E35708" w:rsidRDefault="000C47BA" w:rsidP="000C47BA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Action </w:t>
            </w:r>
            <w:r w:rsidR="00A40602">
              <w:rPr>
                <w:rFonts w:ascii="Arial" w:hAnsi="Arial"/>
                <w:b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  <w:r w:rsidR="00E3570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E35708">
              <w:rPr>
                <w:rFonts w:ascii="Arial" w:hAnsi="Arial"/>
                <w:sz w:val="20"/>
                <w:szCs w:val="20"/>
              </w:rPr>
              <w:t xml:space="preserve">CH to contact group offering the air quality monitors to confirm interest. 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85AF15A" w14:textId="5F2C21C3" w:rsidR="000C47BA" w:rsidRPr="00707AD1" w:rsidRDefault="000C47BA" w:rsidP="002949F8">
            <w:pPr>
              <w:pStyle w:val="TblBdy"/>
              <w:spacing w:before="120" w:after="12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</w:t>
            </w:r>
            <w:r w:rsidR="00E35708">
              <w:rPr>
                <w:rFonts w:ascii="Arial" w:hAnsi="Arial"/>
                <w:sz w:val="20"/>
                <w:szCs w:val="20"/>
              </w:rPr>
              <w:t xml:space="preserve"> CH</w:t>
            </w:r>
          </w:p>
        </w:tc>
      </w:tr>
    </w:tbl>
    <w:p w14:paraId="642097B5" w14:textId="77777777" w:rsidR="009C20B0" w:rsidRPr="00707AD1" w:rsidRDefault="009C20B0" w:rsidP="00E35708">
      <w:pPr>
        <w:pStyle w:val="Pullout"/>
        <w:rPr>
          <w:rFonts w:ascii="Arial" w:eastAsia="Calibri" w:hAnsi="Arial"/>
        </w:rPr>
      </w:pPr>
    </w:p>
    <w:sectPr w:rsidR="009C20B0" w:rsidRPr="00707AD1" w:rsidSect="002C414B">
      <w:footerReference w:type="default" r:id="rId13"/>
      <w:headerReference w:type="first" r:id="rId14"/>
      <w:footerReference w:type="first" r:id="rId15"/>
      <w:pgSz w:w="11907" w:h="16840" w:code="9"/>
      <w:pgMar w:top="1077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AB4A8" w14:textId="77777777" w:rsidR="00F528D9" w:rsidRDefault="00F528D9">
      <w:r>
        <w:separator/>
      </w:r>
    </w:p>
  </w:endnote>
  <w:endnote w:type="continuationSeparator" w:id="0">
    <w:p w14:paraId="3B872B9E" w14:textId="77777777" w:rsidR="00F528D9" w:rsidRDefault="00F5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5E3B" w14:textId="074635EA" w:rsidR="00DE5634" w:rsidRPr="00AB7866" w:rsidRDefault="00707AD1" w:rsidP="009C20B0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</w:t>
    </w:r>
    <w:r w:rsidR="00DE5634">
      <w:rPr>
        <w:rStyle w:val="zRptPgNum"/>
        <w:rFonts w:ascii="Calibri" w:hAnsi="Calibri" w:cs="Calibri"/>
        <w:b/>
        <w:color w:val="auto"/>
        <w:sz w:val="16"/>
        <w:szCs w:val="16"/>
      </w:rPr>
      <w:t>inutes</w:t>
    </w:r>
    <w:r w:rsidR="00DE5634"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DC3AE8">
      <w:rPr>
        <w:rStyle w:val="zRptPgNum"/>
        <w:rFonts w:ascii="Calibri" w:hAnsi="Calibri" w:cs="Calibri"/>
        <w:color w:val="auto"/>
        <w:sz w:val="16"/>
        <w:szCs w:val="16"/>
      </w:rPr>
      <w:t>4</w:t>
    </w:r>
  </w:p>
  <w:p w14:paraId="5151D5B3" w14:textId="77777777" w:rsidR="00DE5634" w:rsidRDefault="00DE5634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08E1A" w14:textId="5ED4E02A" w:rsidR="00707AD1" w:rsidRPr="00AB7866" w:rsidRDefault="00707AD1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DC3AE8">
      <w:rPr>
        <w:rStyle w:val="zRptPgNum"/>
        <w:rFonts w:ascii="Calibri" w:hAnsi="Calibri" w:cs="Calibri"/>
        <w:color w:val="auto"/>
        <w:sz w:val="16"/>
        <w:szCs w:val="16"/>
      </w:rPr>
      <w:t>4</w:t>
    </w:r>
  </w:p>
  <w:p w14:paraId="67682BC6" w14:textId="77777777" w:rsidR="00DE5634" w:rsidRDefault="00DE5634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3B133" w14:textId="77777777" w:rsidR="00F528D9" w:rsidRDefault="00F528D9">
      <w:r>
        <w:separator/>
      </w:r>
    </w:p>
  </w:footnote>
  <w:footnote w:type="continuationSeparator" w:id="0">
    <w:p w14:paraId="23199C7A" w14:textId="77777777" w:rsidR="00F528D9" w:rsidRDefault="00F5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89122" w14:textId="77777777" w:rsidR="00DE5634" w:rsidRDefault="00DE5634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54FD5FD" wp14:editId="12D13862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C283D98"/>
    <w:multiLevelType w:val="hybridMultilevel"/>
    <w:tmpl w:val="430CAF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7A61281"/>
    <w:multiLevelType w:val="hybridMultilevel"/>
    <w:tmpl w:val="2EDAD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847A2"/>
    <w:multiLevelType w:val="hybridMultilevel"/>
    <w:tmpl w:val="B16E7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8"/>
  </w:num>
  <w:num w:numId="13">
    <w:abstractNumId w:val="14"/>
  </w:num>
  <w:num w:numId="14">
    <w:abstractNumId w:val="11"/>
  </w:num>
  <w:num w:numId="15">
    <w:abstractNumId w:val="17"/>
  </w:num>
  <w:num w:numId="16">
    <w:abstractNumId w:val="10"/>
  </w:num>
  <w:num w:numId="17">
    <w:abstractNumId w:val="15"/>
  </w:num>
  <w:num w:numId="18">
    <w:abstractNumId w:val="13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7C1"/>
    <w:rsid w:val="00012793"/>
    <w:rsid w:val="00013D7A"/>
    <w:rsid w:val="00015AC0"/>
    <w:rsid w:val="0003050C"/>
    <w:rsid w:val="00034D96"/>
    <w:rsid w:val="0003535F"/>
    <w:rsid w:val="00041363"/>
    <w:rsid w:val="00041D41"/>
    <w:rsid w:val="00055FEF"/>
    <w:rsid w:val="00063E31"/>
    <w:rsid w:val="00077758"/>
    <w:rsid w:val="0008754B"/>
    <w:rsid w:val="0009699E"/>
    <w:rsid w:val="000A6027"/>
    <w:rsid w:val="000A63D4"/>
    <w:rsid w:val="000B1586"/>
    <w:rsid w:val="000B2952"/>
    <w:rsid w:val="000B50F4"/>
    <w:rsid w:val="000C136B"/>
    <w:rsid w:val="000C1E27"/>
    <w:rsid w:val="000C3259"/>
    <w:rsid w:val="000C39E4"/>
    <w:rsid w:val="000C47BA"/>
    <w:rsid w:val="000E0334"/>
    <w:rsid w:val="000E370F"/>
    <w:rsid w:val="000E69CE"/>
    <w:rsid w:val="000E79E9"/>
    <w:rsid w:val="000F3D9A"/>
    <w:rsid w:val="001010BA"/>
    <w:rsid w:val="00101625"/>
    <w:rsid w:val="0011204F"/>
    <w:rsid w:val="001157D6"/>
    <w:rsid w:val="00117F64"/>
    <w:rsid w:val="00120C40"/>
    <w:rsid w:val="00120F3F"/>
    <w:rsid w:val="00125376"/>
    <w:rsid w:val="00135039"/>
    <w:rsid w:val="00135491"/>
    <w:rsid w:val="0014130B"/>
    <w:rsid w:val="001454BE"/>
    <w:rsid w:val="001534BA"/>
    <w:rsid w:val="00154577"/>
    <w:rsid w:val="0015546E"/>
    <w:rsid w:val="0016422B"/>
    <w:rsid w:val="00174641"/>
    <w:rsid w:val="00175123"/>
    <w:rsid w:val="00177115"/>
    <w:rsid w:val="00181CC8"/>
    <w:rsid w:val="00181FBC"/>
    <w:rsid w:val="00183DDD"/>
    <w:rsid w:val="0019512C"/>
    <w:rsid w:val="00197414"/>
    <w:rsid w:val="001A243B"/>
    <w:rsid w:val="001A6E57"/>
    <w:rsid w:val="001B29F9"/>
    <w:rsid w:val="001B3EB8"/>
    <w:rsid w:val="001C14C3"/>
    <w:rsid w:val="001C3014"/>
    <w:rsid w:val="001C43A0"/>
    <w:rsid w:val="001C47C7"/>
    <w:rsid w:val="001C4B97"/>
    <w:rsid w:val="001E0624"/>
    <w:rsid w:val="001E2024"/>
    <w:rsid w:val="001E72B8"/>
    <w:rsid w:val="001F3608"/>
    <w:rsid w:val="001F7BE3"/>
    <w:rsid w:val="002015AD"/>
    <w:rsid w:val="0020255B"/>
    <w:rsid w:val="00211EEE"/>
    <w:rsid w:val="002122D2"/>
    <w:rsid w:val="00214F91"/>
    <w:rsid w:val="00217D52"/>
    <w:rsid w:val="00220634"/>
    <w:rsid w:val="00222C27"/>
    <w:rsid w:val="0022487A"/>
    <w:rsid w:val="00231E51"/>
    <w:rsid w:val="00235865"/>
    <w:rsid w:val="00236DA4"/>
    <w:rsid w:val="0024424F"/>
    <w:rsid w:val="00246D68"/>
    <w:rsid w:val="002526EA"/>
    <w:rsid w:val="00255E80"/>
    <w:rsid w:val="00261DCB"/>
    <w:rsid w:val="00271B91"/>
    <w:rsid w:val="00272845"/>
    <w:rsid w:val="0027481D"/>
    <w:rsid w:val="00285925"/>
    <w:rsid w:val="00285A41"/>
    <w:rsid w:val="002949F8"/>
    <w:rsid w:val="002B6194"/>
    <w:rsid w:val="002C414B"/>
    <w:rsid w:val="002C4BC3"/>
    <w:rsid w:val="002C5BA2"/>
    <w:rsid w:val="002D2478"/>
    <w:rsid w:val="002D3CC8"/>
    <w:rsid w:val="002D680B"/>
    <w:rsid w:val="002E0F21"/>
    <w:rsid w:val="002E2EC1"/>
    <w:rsid w:val="002F3698"/>
    <w:rsid w:val="003006D5"/>
    <w:rsid w:val="003047C5"/>
    <w:rsid w:val="00307E51"/>
    <w:rsid w:val="00310FD8"/>
    <w:rsid w:val="0031595D"/>
    <w:rsid w:val="00321D1B"/>
    <w:rsid w:val="00321F9E"/>
    <w:rsid w:val="00324151"/>
    <w:rsid w:val="00330679"/>
    <w:rsid w:val="00331A18"/>
    <w:rsid w:val="00351066"/>
    <w:rsid w:val="00361402"/>
    <w:rsid w:val="0037050C"/>
    <w:rsid w:val="00370ACB"/>
    <w:rsid w:val="003776E5"/>
    <w:rsid w:val="003A07D2"/>
    <w:rsid w:val="003B43DE"/>
    <w:rsid w:val="003C2962"/>
    <w:rsid w:val="003C692E"/>
    <w:rsid w:val="003D2648"/>
    <w:rsid w:val="003E0B9A"/>
    <w:rsid w:val="003E2446"/>
    <w:rsid w:val="003E3422"/>
    <w:rsid w:val="003F354F"/>
    <w:rsid w:val="003F437F"/>
    <w:rsid w:val="003F5A5C"/>
    <w:rsid w:val="003F75B7"/>
    <w:rsid w:val="00401198"/>
    <w:rsid w:val="00404EF3"/>
    <w:rsid w:val="004302D2"/>
    <w:rsid w:val="0043348E"/>
    <w:rsid w:val="004426E1"/>
    <w:rsid w:val="00455AC0"/>
    <w:rsid w:val="0047538B"/>
    <w:rsid w:val="0048658A"/>
    <w:rsid w:val="00496564"/>
    <w:rsid w:val="004969C1"/>
    <w:rsid w:val="004A4DAB"/>
    <w:rsid w:val="004A7856"/>
    <w:rsid w:val="004C72AA"/>
    <w:rsid w:val="004D554A"/>
    <w:rsid w:val="004D6D32"/>
    <w:rsid w:val="004E3CAC"/>
    <w:rsid w:val="004E4BDF"/>
    <w:rsid w:val="004E6888"/>
    <w:rsid w:val="004F56A2"/>
    <w:rsid w:val="004F5A88"/>
    <w:rsid w:val="0050769F"/>
    <w:rsid w:val="00512102"/>
    <w:rsid w:val="00513EE4"/>
    <w:rsid w:val="005148F5"/>
    <w:rsid w:val="00520024"/>
    <w:rsid w:val="005229C6"/>
    <w:rsid w:val="00524C52"/>
    <w:rsid w:val="005304F7"/>
    <w:rsid w:val="00534B38"/>
    <w:rsid w:val="00540762"/>
    <w:rsid w:val="00544B68"/>
    <w:rsid w:val="00552E17"/>
    <w:rsid w:val="00553413"/>
    <w:rsid w:val="00556367"/>
    <w:rsid w:val="00557B17"/>
    <w:rsid w:val="00562653"/>
    <w:rsid w:val="00573E23"/>
    <w:rsid w:val="00575BBF"/>
    <w:rsid w:val="00575F3A"/>
    <w:rsid w:val="00582724"/>
    <w:rsid w:val="00582B40"/>
    <w:rsid w:val="005966FE"/>
    <w:rsid w:val="005A61D9"/>
    <w:rsid w:val="005A7E53"/>
    <w:rsid w:val="005B3CE8"/>
    <w:rsid w:val="005C70F5"/>
    <w:rsid w:val="005D6A40"/>
    <w:rsid w:val="005E3CC6"/>
    <w:rsid w:val="00601818"/>
    <w:rsid w:val="00602C68"/>
    <w:rsid w:val="00603134"/>
    <w:rsid w:val="00606451"/>
    <w:rsid w:val="00616F5F"/>
    <w:rsid w:val="006172D1"/>
    <w:rsid w:val="00623482"/>
    <w:rsid w:val="00624CDB"/>
    <w:rsid w:val="00624E1E"/>
    <w:rsid w:val="00625928"/>
    <w:rsid w:val="0062669A"/>
    <w:rsid w:val="006309DB"/>
    <w:rsid w:val="00632914"/>
    <w:rsid w:val="00653641"/>
    <w:rsid w:val="00656186"/>
    <w:rsid w:val="0066158C"/>
    <w:rsid w:val="006643F2"/>
    <w:rsid w:val="006741C5"/>
    <w:rsid w:val="00675636"/>
    <w:rsid w:val="006921BA"/>
    <w:rsid w:val="006923FF"/>
    <w:rsid w:val="0069559B"/>
    <w:rsid w:val="006B0EA2"/>
    <w:rsid w:val="006B4688"/>
    <w:rsid w:val="006D3CAB"/>
    <w:rsid w:val="006D542C"/>
    <w:rsid w:val="006E157A"/>
    <w:rsid w:val="006E1A6C"/>
    <w:rsid w:val="006E3810"/>
    <w:rsid w:val="006E7A35"/>
    <w:rsid w:val="006F1563"/>
    <w:rsid w:val="006F53DB"/>
    <w:rsid w:val="006F707D"/>
    <w:rsid w:val="0070362A"/>
    <w:rsid w:val="007052A6"/>
    <w:rsid w:val="00705440"/>
    <w:rsid w:val="00707AD1"/>
    <w:rsid w:val="00711940"/>
    <w:rsid w:val="007247BB"/>
    <w:rsid w:val="00731631"/>
    <w:rsid w:val="00731F6C"/>
    <w:rsid w:val="00752E36"/>
    <w:rsid w:val="00756A07"/>
    <w:rsid w:val="007702BD"/>
    <w:rsid w:val="00782E62"/>
    <w:rsid w:val="0079411E"/>
    <w:rsid w:val="0079728C"/>
    <w:rsid w:val="007B0E45"/>
    <w:rsid w:val="007B1469"/>
    <w:rsid w:val="007B27EE"/>
    <w:rsid w:val="007B62F8"/>
    <w:rsid w:val="007B6E26"/>
    <w:rsid w:val="007C3AE1"/>
    <w:rsid w:val="007D06DC"/>
    <w:rsid w:val="007E1ABB"/>
    <w:rsid w:val="007E3A08"/>
    <w:rsid w:val="007E3E33"/>
    <w:rsid w:val="007E6A3A"/>
    <w:rsid w:val="007F5211"/>
    <w:rsid w:val="008110B2"/>
    <w:rsid w:val="008118F3"/>
    <w:rsid w:val="00811F9A"/>
    <w:rsid w:val="00834943"/>
    <w:rsid w:val="00834D17"/>
    <w:rsid w:val="0083541B"/>
    <w:rsid w:val="008355F3"/>
    <w:rsid w:val="008436D3"/>
    <w:rsid w:val="00855278"/>
    <w:rsid w:val="00865A63"/>
    <w:rsid w:val="00872BAF"/>
    <w:rsid w:val="008732EE"/>
    <w:rsid w:val="008832F9"/>
    <w:rsid w:val="00887805"/>
    <w:rsid w:val="00894E3C"/>
    <w:rsid w:val="008979EB"/>
    <w:rsid w:val="00897FB9"/>
    <w:rsid w:val="008A3B87"/>
    <w:rsid w:val="008A6BBA"/>
    <w:rsid w:val="008A76EA"/>
    <w:rsid w:val="008B40B3"/>
    <w:rsid w:val="008B5DC8"/>
    <w:rsid w:val="008B61B5"/>
    <w:rsid w:val="008C1B1D"/>
    <w:rsid w:val="008E39E1"/>
    <w:rsid w:val="008E5F51"/>
    <w:rsid w:val="008F4932"/>
    <w:rsid w:val="009030B5"/>
    <w:rsid w:val="009065E5"/>
    <w:rsid w:val="00912929"/>
    <w:rsid w:val="0091431B"/>
    <w:rsid w:val="00925E05"/>
    <w:rsid w:val="00926BDE"/>
    <w:rsid w:val="00927E6A"/>
    <w:rsid w:val="0093425F"/>
    <w:rsid w:val="00942CDF"/>
    <w:rsid w:val="00953344"/>
    <w:rsid w:val="00957478"/>
    <w:rsid w:val="00962D3B"/>
    <w:rsid w:val="00972191"/>
    <w:rsid w:val="00981EA2"/>
    <w:rsid w:val="00982DCE"/>
    <w:rsid w:val="009872FB"/>
    <w:rsid w:val="0098790B"/>
    <w:rsid w:val="009913B3"/>
    <w:rsid w:val="009A1C8E"/>
    <w:rsid w:val="009A4875"/>
    <w:rsid w:val="009B35C2"/>
    <w:rsid w:val="009B47C6"/>
    <w:rsid w:val="009C20B0"/>
    <w:rsid w:val="009C29DE"/>
    <w:rsid w:val="009C3454"/>
    <w:rsid w:val="009C3622"/>
    <w:rsid w:val="009C3B5A"/>
    <w:rsid w:val="009D6E3E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27F14"/>
    <w:rsid w:val="00A313B8"/>
    <w:rsid w:val="00A357C2"/>
    <w:rsid w:val="00A36BC9"/>
    <w:rsid w:val="00A37BFA"/>
    <w:rsid w:val="00A40602"/>
    <w:rsid w:val="00A52CB8"/>
    <w:rsid w:val="00A52CC4"/>
    <w:rsid w:val="00A55295"/>
    <w:rsid w:val="00A56AF7"/>
    <w:rsid w:val="00A56C4D"/>
    <w:rsid w:val="00A633E3"/>
    <w:rsid w:val="00A6450E"/>
    <w:rsid w:val="00A67D11"/>
    <w:rsid w:val="00A7133B"/>
    <w:rsid w:val="00A71378"/>
    <w:rsid w:val="00A72375"/>
    <w:rsid w:val="00A730A4"/>
    <w:rsid w:val="00A80E1B"/>
    <w:rsid w:val="00A81041"/>
    <w:rsid w:val="00A81772"/>
    <w:rsid w:val="00A83A7C"/>
    <w:rsid w:val="00A85593"/>
    <w:rsid w:val="00AA3078"/>
    <w:rsid w:val="00AA6401"/>
    <w:rsid w:val="00AB446A"/>
    <w:rsid w:val="00AC0ECF"/>
    <w:rsid w:val="00AC372B"/>
    <w:rsid w:val="00AC7C5F"/>
    <w:rsid w:val="00AD03E4"/>
    <w:rsid w:val="00AD3CD3"/>
    <w:rsid w:val="00AD6460"/>
    <w:rsid w:val="00AE6BC2"/>
    <w:rsid w:val="00AF199A"/>
    <w:rsid w:val="00AF4DB4"/>
    <w:rsid w:val="00B0279B"/>
    <w:rsid w:val="00B03B3F"/>
    <w:rsid w:val="00B068DA"/>
    <w:rsid w:val="00B077CF"/>
    <w:rsid w:val="00B137B4"/>
    <w:rsid w:val="00B24A07"/>
    <w:rsid w:val="00B35DEC"/>
    <w:rsid w:val="00B37D5F"/>
    <w:rsid w:val="00B42684"/>
    <w:rsid w:val="00B475BF"/>
    <w:rsid w:val="00B5387D"/>
    <w:rsid w:val="00B54277"/>
    <w:rsid w:val="00B612DC"/>
    <w:rsid w:val="00B61ABB"/>
    <w:rsid w:val="00B67A6A"/>
    <w:rsid w:val="00B905CE"/>
    <w:rsid w:val="00B95745"/>
    <w:rsid w:val="00BB12FB"/>
    <w:rsid w:val="00BB37E4"/>
    <w:rsid w:val="00BB3A83"/>
    <w:rsid w:val="00BB453D"/>
    <w:rsid w:val="00BC7BFB"/>
    <w:rsid w:val="00BD4BC3"/>
    <w:rsid w:val="00BD716C"/>
    <w:rsid w:val="00BE2F75"/>
    <w:rsid w:val="00BE5AB2"/>
    <w:rsid w:val="00BF2B2A"/>
    <w:rsid w:val="00BF62F9"/>
    <w:rsid w:val="00C045EE"/>
    <w:rsid w:val="00C061DD"/>
    <w:rsid w:val="00C10745"/>
    <w:rsid w:val="00C12A10"/>
    <w:rsid w:val="00C20127"/>
    <w:rsid w:val="00C34D8B"/>
    <w:rsid w:val="00C36059"/>
    <w:rsid w:val="00C403BA"/>
    <w:rsid w:val="00C46B5E"/>
    <w:rsid w:val="00C545DF"/>
    <w:rsid w:val="00C651CE"/>
    <w:rsid w:val="00C73267"/>
    <w:rsid w:val="00C73FAF"/>
    <w:rsid w:val="00C772CA"/>
    <w:rsid w:val="00C8645D"/>
    <w:rsid w:val="00C86652"/>
    <w:rsid w:val="00C86B17"/>
    <w:rsid w:val="00C94517"/>
    <w:rsid w:val="00C945AD"/>
    <w:rsid w:val="00CA19B7"/>
    <w:rsid w:val="00CB3DDF"/>
    <w:rsid w:val="00CC710B"/>
    <w:rsid w:val="00CC7402"/>
    <w:rsid w:val="00CD7F37"/>
    <w:rsid w:val="00CE10A1"/>
    <w:rsid w:val="00CE6471"/>
    <w:rsid w:val="00CF0831"/>
    <w:rsid w:val="00CF5E50"/>
    <w:rsid w:val="00CF7587"/>
    <w:rsid w:val="00D031F0"/>
    <w:rsid w:val="00D033C6"/>
    <w:rsid w:val="00D053C5"/>
    <w:rsid w:val="00D114E4"/>
    <w:rsid w:val="00D11924"/>
    <w:rsid w:val="00D13102"/>
    <w:rsid w:val="00D219B6"/>
    <w:rsid w:val="00D33BE6"/>
    <w:rsid w:val="00D35F9F"/>
    <w:rsid w:val="00D408CF"/>
    <w:rsid w:val="00D51C2D"/>
    <w:rsid w:val="00D54DE0"/>
    <w:rsid w:val="00D57FF0"/>
    <w:rsid w:val="00D624B8"/>
    <w:rsid w:val="00D634D8"/>
    <w:rsid w:val="00D74EC9"/>
    <w:rsid w:val="00D840DE"/>
    <w:rsid w:val="00D91558"/>
    <w:rsid w:val="00D96969"/>
    <w:rsid w:val="00DA0042"/>
    <w:rsid w:val="00DB4178"/>
    <w:rsid w:val="00DC3AE8"/>
    <w:rsid w:val="00DC68CE"/>
    <w:rsid w:val="00DC68E1"/>
    <w:rsid w:val="00DC7266"/>
    <w:rsid w:val="00DD0AB3"/>
    <w:rsid w:val="00DD3436"/>
    <w:rsid w:val="00DD546C"/>
    <w:rsid w:val="00DD6F49"/>
    <w:rsid w:val="00DE2624"/>
    <w:rsid w:val="00DE5117"/>
    <w:rsid w:val="00DE5634"/>
    <w:rsid w:val="00DE5C6F"/>
    <w:rsid w:val="00DF6665"/>
    <w:rsid w:val="00E07718"/>
    <w:rsid w:val="00E12094"/>
    <w:rsid w:val="00E15250"/>
    <w:rsid w:val="00E15BD0"/>
    <w:rsid w:val="00E16025"/>
    <w:rsid w:val="00E20959"/>
    <w:rsid w:val="00E2394C"/>
    <w:rsid w:val="00E30FFD"/>
    <w:rsid w:val="00E325A1"/>
    <w:rsid w:val="00E35708"/>
    <w:rsid w:val="00E369F0"/>
    <w:rsid w:val="00E41F96"/>
    <w:rsid w:val="00E51072"/>
    <w:rsid w:val="00E56D27"/>
    <w:rsid w:val="00E6278D"/>
    <w:rsid w:val="00E768A6"/>
    <w:rsid w:val="00E8448C"/>
    <w:rsid w:val="00E9178F"/>
    <w:rsid w:val="00E91A99"/>
    <w:rsid w:val="00EA0A50"/>
    <w:rsid w:val="00EA0E29"/>
    <w:rsid w:val="00EA31C2"/>
    <w:rsid w:val="00EA70F6"/>
    <w:rsid w:val="00EB1A8A"/>
    <w:rsid w:val="00EB2BB2"/>
    <w:rsid w:val="00EB75EA"/>
    <w:rsid w:val="00EC4DCD"/>
    <w:rsid w:val="00EC6F19"/>
    <w:rsid w:val="00EE18C2"/>
    <w:rsid w:val="00EF64EE"/>
    <w:rsid w:val="00F0013D"/>
    <w:rsid w:val="00F0413F"/>
    <w:rsid w:val="00F13B95"/>
    <w:rsid w:val="00F15CF7"/>
    <w:rsid w:val="00F27E16"/>
    <w:rsid w:val="00F32313"/>
    <w:rsid w:val="00F37860"/>
    <w:rsid w:val="00F46148"/>
    <w:rsid w:val="00F528D9"/>
    <w:rsid w:val="00F54CCE"/>
    <w:rsid w:val="00F60814"/>
    <w:rsid w:val="00F67782"/>
    <w:rsid w:val="00F708A6"/>
    <w:rsid w:val="00F74678"/>
    <w:rsid w:val="00F80513"/>
    <w:rsid w:val="00F82708"/>
    <w:rsid w:val="00F83A6F"/>
    <w:rsid w:val="00F845F4"/>
    <w:rsid w:val="00F910D5"/>
    <w:rsid w:val="00F914A8"/>
    <w:rsid w:val="00F930FD"/>
    <w:rsid w:val="00F931A5"/>
    <w:rsid w:val="00FA2BC8"/>
    <w:rsid w:val="00FA52CC"/>
    <w:rsid w:val="00FC01F8"/>
    <w:rsid w:val="00FC4E61"/>
    <w:rsid w:val="00FC6C92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9C14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1863B-7B46-4FA0-9F5E-63276983AA67}">
  <ds:schemaRefs>
    <ds:schemaRef ds:uri="http://schemas.microsoft.com/office/2006/metadata/properties"/>
    <ds:schemaRef ds:uri="http://schemas.openxmlformats.org/package/2006/metadata/core-properties"/>
    <ds:schemaRef ds:uri="9fd47c19-1c4a-4d7d-b342-c10cef269344"/>
    <ds:schemaRef ds:uri="http://schemas.microsoft.com/office/infopath/2007/PartnerControls"/>
    <ds:schemaRef ds:uri="http://schemas.microsoft.com/office/2006/documentManagement/types"/>
    <ds:schemaRef ds:uri="http://purl.org/dc/dcmitype/"/>
    <ds:schemaRef ds:uri="5f4f3df2-3c6c-4b20-bbe6-23860e366fa2"/>
    <ds:schemaRef ds:uri="http://schemas.microsoft.com/sharepoint/v4"/>
    <ds:schemaRef ds:uri="http://purl.org/dc/elements/1.1/"/>
    <ds:schemaRef ds:uri="59d12b91-b74f-4b49-b03f-48db312c8174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AEE868-6F34-4668-8113-CF49C320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724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2019-05-02T00:16:00Z</dcterms:created>
  <dcterms:modified xsi:type="dcterms:W3CDTF">2019-05-08T01:34:00Z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