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38"/>
      </w:tblGrid>
      <w:tr w:rsidR="00F74678" w:rsidRPr="00F74678" w:rsidTr="00F22905">
        <w:trPr>
          <w:trHeight w:hRule="exact" w:val="3830"/>
        </w:trPr>
        <w:tc>
          <w:tcPr>
            <w:tcW w:w="9438" w:type="dxa"/>
            <w:shd w:val="clear" w:color="auto" w:fill="auto"/>
          </w:tcPr>
          <w:p w:rsidR="00F74678" w:rsidRPr="00F74678" w:rsidRDefault="000A5CFD" w:rsidP="00D033C6">
            <w:pPr>
              <w:pStyle w:val="CertHBWhite"/>
            </w:pPr>
            <w:r>
              <w:t>Preparing for bushfire</w:t>
            </w:r>
          </w:p>
          <w:p w:rsidR="00B475BF" w:rsidRDefault="00B475BF" w:rsidP="00D033C6">
            <w:pPr>
              <w:pStyle w:val="CertHDWhite"/>
            </w:pPr>
          </w:p>
          <w:p w:rsidR="00F74678" w:rsidRPr="00DE5117" w:rsidRDefault="000A5CFD" w:rsidP="00D033C6">
            <w:pPr>
              <w:pStyle w:val="CertHDWhite"/>
            </w:pPr>
            <w:r>
              <w:t>10/30 rule, 10/50 rule and fence line clearing</w:t>
            </w:r>
          </w:p>
        </w:tc>
      </w:tr>
    </w:tbl>
    <w:p w:rsidR="00E2394C" w:rsidRDefault="00574046" w:rsidP="00574046">
      <w:pPr>
        <w:pStyle w:val="HC"/>
      </w:pPr>
      <w:r>
        <w:t>Planning permit exemptions are provided for in Victoria’s planning schemes to enable residents to manage vegetation for bushfire protection around their property, and adjacent to fences on property boundaries. Permit exemptions for vegetation removal only apply to existing buildings and fences built or approved before certain dates.</w:t>
      </w:r>
    </w:p>
    <w:p w:rsidR="0099149F" w:rsidRDefault="0099149F" w:rsidP="00F930FD">
      <w:pPr>
        <w:sectPr w:rsidR="0099149F" w:rsidSect="000C39E4">
          <w:headerReference w:type="default" r:id="rId8"/>
          <w:footerReference w:type="default" r:id="rId9"/>
          <w:headerReference w:type="first" r:id="rId10"/>
          <w:footerReference w:type="first" r:id="rId11"/>
          <w:pgSz w:w="11907" w:h="16840" w:code="9"/>
          <w:pgMar w:top="1843" w:right="567" w:bottom="567" w:left="1134" w:header="284" w:footer="362" w:gutter="0"/>
          <w:cols w:space="708"/>
          <w:titlePg/>
          <w:docGrid w:linePitch="360"/>
        </w:sectPr>
      </w:pPr>
    </w:p>
    <w:p w:rsidR="000A5CFD" w:rsidRDefault="000A5CFD" w:rsidP="00574046">
      <w:pPr>
        <w:pStyle w:val="HB"/>
        <w:spacing w:after="80"/>
      </w:pPr>
      <w:r>
        <w:lastRenderedPageBreak/>
        <w:t>Protecting homes against bushfire — clearing of native vegetation</w:t>
      </w:r>
    </w:p>
    <w:p w:rsidR="000A5CFD" w:rsidRDefault="000A5CFD" w:rsidP="00574046">
      <w:pPr>
        <w:pStyle w:val="Body"/>
        <w:spacing w:after="80"/>
      </w:pPr>
      <w:r>
        <w:t>After the February 2009 Black Saturday bushfires the Victorian Government introduced temporary planning controls for bushfire protection including the 10/30 rule. The 10/30 rule simplified residents’ entitlements to clear native vegetation around their property for bushfire protection.</w:t>
      </w:r>
    </w:p>
    <w:p w:rsidR="000A5CFD" w:rsidRDefault="000A5CFD" w:rsidP="00574046">
      <w:pPr>
        <w:pStyle w:val="Body"/>
        <w:spacing w:after="80"/>
      </w:pPr>
      <w:r>
        <w:t>In November 2011, the Victorian Government introduced permanent planning controls as part of implementing the recommendations of the Victorian Bushfire Royal Commission.</w:t>
      </w:r>
    </w:p>
    <w:p w:rsidR="000A5CFD" w:rsidRDefault="000A5CFD" w:rsidP="00574046">
      <w:pPr>
        <w:pStyle w:val="Body"/>
        <w:spacing w:after="80"/>
      </w:pPr>
      <w:r>
        <w:t>These changes include new exemptions from the need for a planning permit to remove native vegetation to help reduce fuel load around existing homes.</w:t>
      </w:r>
    </w:p>
    <w:p w:rsidR="000A5CFD" w:rsidRDefault="000A5CFD" w:rsidP="00574046">
      <w:pPr>
        <w:pStyle w:val="Body"/>
        <w:spacing w:after="80"/>
      </w:pPr>
      <w:r>
        <w:t xml:space="preserve">These new exemptions are in keeping with the Commission’s view that the right to remove vegetation for fire protection should be more closely aligned with risk. </w:t>
      </w:r>
    </w:p>
    <w:p w:rsidR="000A5CFD" w:rsidRDefault="000A5CFD" w:rsidP="00574046">
      <w:pPr>
        <w:pStyle w:val="Body"/>
        <w:spacing w:after="80"/>
      </w:pPr>
      <w:r>
        <w:t>This fact sheet explains the new exemptions for fire protection and where they apply.</w:t>
      </w:r>
    </w:p>
    <w:p w:rsidR="000A5CFD" w:rsidRDefault="000A5CFD" w:rsidP="00574046">
      <w:pPr>
        <w:pStyle w:val="HB"/>
        <w:spacing w:after="80"/>
      </w:pPr>
      <w:r>
        <w:t xml:space="preserve">Preparing your property </w:t>
      </w:r>
    </w:p>
    <w:p w:rsidR="000A5CFD" w:rsidRDefault="000A5CFD" w:rsidP="00574046">
      <w:pPr>
        <w:pStyle w:val="Body"/>
        <w:spacing w:after="80"/>
      </w:pPr>
      <w:r>
        <w:t>Bushfires rely on fine fuels including leaf litter, twigs and shrubs on the surface to develop speed and intensity.</w:t>
      </w:r>
    </w:p>
    <w:p w:rsidR="000A5CFD" w:rsidRDefault="000A5CFD" w:rsidP="00574046">
      <w:pPr>
        <w:pStyle w:val="Body"/>
        <w:spacing w:after="80"/>
      </w:pPr>
      <w:r>
        <w:t>The new exemptions are intended to enable residents to reduce the amount and availability of fine fuels, without the need for a planning permit.</w:t>
      </w:r>
    </w:p>
    <w:p w:rsidR="000A5CFD" w:rsidRDefault="000A5CFD" w:rsidP="00574046">
      <w:pPr>
        <w:pStyle w:val="Body"/>
        <w:spacing w:after="80"/>
      </w:pPr>
      <w:r>
        <w:t>In addition to vegetation management, the ability to defend your house and property from a bushfire can be influenced by a number of factors including:</w:t>
      </w:r>
    </w:p>
    <w:p w:rsidR="000A5CFD" w:rsidRDefault="000A5CFD" w:rsidP="00574046">
      <w:pPr>
        <w:pStyle w:val="Bullet"/>
        <w:tabs>
          <w:tab w:val="clear" w:pos="720"/>
        </w:tabs>
        <w:ind w:left="284" w:right="-213" w:hanging="284"/>
      </w:pPr>
      <w:r>
        <w:t>the preparation of your household’s bushfire survival plan</w:t>
      </w:r>
    </w:p>
    <w:p w:rsidR="000A5CFD" w:rsidRDefault="000A5CFD" w:rsidP="00574046">
      <w:pPr>
        <w:pStyle w:val="Bullet"/>
        <w:tabs>
          <w:tab w:val="clear" w:pos="720"/>
        </w:tabs>
        <w:ind w:left="284" w:right="-213" w:hanging="284"/>
      </w:pPr>
      <w:r>
        <w:t>house location, including aspect and surrounding land form</w:t>
      </w:r>
    </w:p>
    <w:p w:rsidR="000A5CFD" w:rsidRDefault="000A5CFD" w:rsidP="00574046">
      <w:pPr>
        <w:pStyle w:val="Bullet"/>
        <w:tabs>
          <w:tab w:val="clear" w:pos="720"/>
        </w:tabs>
        <w:ind w:left="284" w:right="-213" w:hanging="284"/>
      </w:pPr>
      <w:r>
        <w:t>the building structure and materials, and</w:t>
      </w:r>
    </w:p>
    <w:p w:rsidR="000A5CFD" w:rsidRDefault="000A5CFD" w:rsidP="00574046">
      <w:pPr>
        <w:pStyle w:val="Bullet"/>
        <w:tabs>
          <w:tab w:val="clear" w:pos="720"/>
        </w:tabs>
        <w:ind w:left="284" w:right="-213" w:hanging="284"/>
      </w:pPr>
      <w:r>
        <w:t>available water supply, including tanks and swimming pools, pumps or sprinkler systems.</w:t>
      </w:r>
    </w:p>
    <w:p w:rsidR="000A5CFD" w:rsidRDefault="00294B08" w:rsidP="000A5CFD">
      <w:pPr>
        <w:pStyle w:val="Subheadstart"/>
      </w:pPr>
      <w:r>
        <w:lastRenderedPageBreak/>
        <w:pict>
          <v:shapetype id="_x0000_t202" coordsize="21600,21600" o:spt="202" path="m,l,21600r21600,l21600,xe">
            <v:stroke joinstyle="miter"/>
            <v:path gradientshapeok="t" o:connecttype="rect"/>
          </v:shapetype>
          <v:shape id="_x0000_s1029" type="#_x0000_t202" style="position:absolute;margin-left:.1pt;margin-top:3.7pt;width:234.85pt;height:64.7pt;z-index:251658240" fillcolor="#fef3e9" strokecolor="#f58426">
            <v:textbox style="mso-next-textbox:#_x0000_s1029" inset=",2.5mm,,2.5mm">
              <w:txbxContent>
                <w:p w:rsidR="000A5CFD" w:rsidRDefault="000A5CFD" w:rsidP="000A5CFD">
                  <w:pPr>
                    <w:pStyle w:val="Body"/>
                  </w:pPr>
                  <w:r>
                    <w:t>The 10/30 and 10/50 rules enable clearing around buildings built or approved before 10 September 2009 only. For new buildings, clearing for bushfire protection will be considered through the planning permit process.</w:t>
                  </w:r>
                </w:p>
              </w:txbxContent>
            </v:textbox>
          </v:shape>
        </w:pict>
      </w:r>
    </w:p>
    <w:p w:rsidR="000A5CFD" w:rsidRDefault="000A5CFD" w:rsidP="000A5CFD">
      <w:pPr>
        <w:pStyle w:val="Subheadstart"/>
      </w:pPr>
    </w:p>
    <w:p w:rsidR="000A5CFD" w:rsidRDefault="000A5CFD" w:rsidP="000A5CFD">
      <w:pPr>
        <w:pStyle w:val="Subheadstart"/>
      </w:pPr>
      <w:r>
        <w:br/>
      </w:r>
    </w:p>
    <w:p w:rsidR="000A5CFD" w:rsidRDefault="000A5CFD" w:rsidP="000A5CFD">
      <w:pPr>
        <w:pStyle w:val="Subheadstart"/>
      </w:pPr>
    </w:p>
    <w:p w:rsidR="000A5CFD" w:rsidRDefault="000A5CFD" w:rsidP="00574046">
      <w:pPr>
        <w:pStyle w:val="HB"/>
        <w:spacing w:after="80"/>
      </w:pPr>
      <w:r>
        <w:t>10/30 rule for existing dwellings</w:t>
      </w:r>
    </w:p>
    <w:p w:rsidR="000A5CFD" w:rsidRDefault="000A5CFD" w:rsidP="00574046">
      <w:pPr>
        <w:pStyle w:val="Body"/>
        <w:spacing w:after="80"/>
      </w:pPr>
      <w:r>
        <w:t>The 10/30 rule applies state-wide except for in 21 metropolitan municipalities listed on page 2 of this fact sheet.  It allows landowners to clear without a planning permit:</w:t>
      </w:r>
    </w:p>
    <w:p w:rsidR="000A5CFD" w:rsidRDefault="000A5CFD" w:rsidP="000A5CFD">
      <w:pPr>
        <w:pStyle w:val="Bullet"/>
        <w:numPr>
          <w:ilvl w:val="0"/>
          <w:numId w:val="27"/>
        </w:numPr>
        <w:tabs>
          <w:tab w:val="clear" w:pos="720"/>
        </w:tabs>
        <w:ind w:left="284" w:hanging="284"/>
      </w:pPr>
      <w:r>
        <w:t xml:space="preserve">any vegetation, including trees, within </w:t>
      </w:r>
      <w:r>
        <w:br/>
      </w:r>
      <w:r>
        <w:rPr>
          <w:b/>
          <w:u w:val="single"/>
        </w:rPr>
        <w:t>10</w:t>
      </w:r>
      <w:r>
        <w:t xml:space="preserve"> metres of your house</w:t>
      </w:r>
    </w:p>
    <w:p w:rsidR="000A5CFD" w:rsidRDefault="000A5CFD" w:rsidP="000A5CFD">
      <w:pPr>
        <w:pStyle w:val="Bullet"/>
        <w:numPr>
          <w:ilvl w:val="0"/>
          <w:numId w:val="27"/>
        </w:numPr>
        <w:tabs>
          <w:tab w:val="clear" w:pos="720"/>
        </w:tabs>
        <w:ind w:left="284" w:hanging="284"/>
      </w:pPr>
      <w:r>
        <w:t xml:space="preserve">any vegetation (except for trees) within </w:t>
      </w:r>
      <w:r>
        <w:br/>
      </w:r>
      <w:r>
        <w:rPr>
          <w:b/>
          <w:u w:val="single"/>
        </w:rPr>
        <w:t>30</w:t>
      </w:r>
      <w:r>
        <w:t xml:space="preserve"> metres of your house.</w:t>
      </w:r>
    </w:p>
    <w:p w:rsidR="000A5CFD" w:rsidRDefault="000A5CFD" w:rsidP="00574046">
      <w:pPr>
        <w:pStyle w:val="HB"/>
        <w:spacing w:after="80"/>
      </w:pPr>
      <w:r>
        <w:t>10/50 rule for existing dwellings</w:t>
      </w:r>
    </w:p>
    <w:p w:rsidR="000A5CFD" w:rsidRDefault="000A5CFD" w:rsidP="00574046">
      <w:pPr>
        <w:pStyle w:val="Body"/>
        <w:spacing w:after="80"/>
      </w:pPr>
      <w:r>
        <w:t xml:space="preserve">In all areas in </w:t>
      </w:r>
      <w:smartTag w:uri="urn:schemas-microsoft-com:office:smarttags" w:element="place">
        <w:smartTag w:uri="urn:schemas-microsoft-com:office:smarttags" w:element="State">
          <w:r>
            <w:t>Victoria</w:t>
          </w:r>
        </w:smartTag>
      </w:smartTag>
      <w:r>
        <w:t xml:space="preserve"> within the Bushfire Management Overlay*, including where it applies in metropolitan municipalities, landowners can clear without a permit:</w:t>
      </w:r>
    </w:p>
    <w:p w:rsidR="000A5CFD" w:rsidRDefault="000A5CFD" w:rsidP="000A5CFD">
      <w:pPr>
        <w:pStyle w:val="Bullet"/>
        <w:numPr>
          <w:ilvl w:val="0"/>
          <w:numId w:val="28"/>
        </w:numPr>
        <w:tabs>
          <w:tab w:val="clear" w:pos="720"/>
        </w:tabs>
        <w:ind w:left="284" w:hanging="284"/>
      </w:pPr>
      <w:r>
        <w:t xml:space="preserve">any vegetation, including trees, within </w:t>
      </w:r>
      <w:r>
        <w:br/>
      </w:r>
      <w:r>
        <w:rPr>
          <w:b/>
          <w:u w:val="single"/>
        </w:rPr>
        <w:t>10</w:t>
      </w:r>
      <w:r>
        <w:rPr>
          <w:b/>
        </w:rPr>
        <w:t xml:space="preserve"> </w:t>
      </w:r>
      <w:r>
        <w:t>metres of your house</w:t>
      </w:r>
    </w:p>
    <w:p w:rsidR="000A5CFD" w:rsidRDefault="000A5CFD" w:rsidP="000A5CFD">
      <w:pPr>
        <w:pStyle w:val="Bullet"/>
        <w:numPr>
          <w:ilvl w:val="0"/>
          <w:numId w:val="28"/>
        </w:numPr>
        <w:tabs>
          <w:tab w:val="clear" w:pos="720"/>
        </w:tabs>
        <w:ind w:left="284" w:hanging="284"/>
      </w:pPr>
      <w:r>
        <w:t xml:space="preserve">any vegetation (except for trees) within </w:t>
      </w:r>
      <w:r>
        <w:br/>
      </w:r>
      <w:r>
        <w:rPr>
          <w:b/>
          <w:u w:val="single"/>
        </w:rPr>
        <w:t>50</w:t>
      </w:r>
      <w:r>
        <w:t xml:space="preserve"> metres of your house.</w:t>
      </w:r>
    </w:p>
    <w:p w:rsidR="000A5CFD" w:rsidRPr="000A5CFD" w:rsidRDefault="000A5CFD" w:rsidP="000A5CFD">
      <w:pPr>
        <w:pStyle w:val="Body"/>
      </w:pPr>
      <w:r w:rsidRPr="000A5CFD">
        <w:t xml:space="preserve">*To determine if your property is within the Bushfire Management Overlay, visit </w:t>
      </w:r>
      <w:hyperlink r:id="rId12" w:history="1">
        <w:r w:rsidRPr="000A5CFD">
          <w:rPr>
            <w:rStyle w:val="Hyperlink"/>
            <w:color w:val="auto"/>
            <w:u w:val="none"/>
          </w:rPr>
          <w:t>www.land.vic.gov.au</w:t>
        </w:r>
      </w:hyperlink>
      <w:r w:rsidRPr="000A5CFD">
        <w:t>.</w:t>
      </w:r>
    </w:p>
    <w:p w:rsidR="000A5CFD" w:rsidRDefault="000A5CFD" w:rsidP="00574046">
      <w:pPr>
        <w:pStyle w:val="HB"/>
        <w:spacing w:after="80"/>
        <w:rPr>
          <w:rFonts w:ascii="Tahoma" w:hAnsi="Tahoma"/>
          <w:sz w:val="20"/>
          <w:szCs w:val="20"/>
        </w:rPr>
      </w:pPr>
      <w:r>
        <w:t>Metropolitan municipalities</w:t>
      </w:r>
    </w:p>
    <w:p w:rsidR="000A5CFD" w:rsidRDefault="000A5CFD" w:rsidP="00574046">
      <w:pPr>
        <w:pStyle w:val="Body"/>
        <w:spacing w:after="80"/>
      </w:pPr>
      <w:r>
        <w:t>In the metropolitan municipalities listed on page 2, the 10/30 rule does not apply. However, in the future, some councils may identify specific areas of bushfire risk where the 10/30 rule can apply. Affected residents will be notified.</w:t>
      </w:r>
    </w:p>
    <w:p w:rsidR="00574046" w:rsidRDefault="000A5CFD" w:rsidP="00574046">
      <w:pPr>
        <w:pStyle w:val="Body"/>
        <w:spacing w:after="80"/>
      </w:pPr>
      <w:r>
        <w:t xml:space="preserve">If you live in one of the metropolitan municipalities listed in page 2 of this fact sheet and wish to undertake clearing for </w:t>
      </w:r>
    </w:p>
    <w:p w:rsidR="00574046" w:rsidRDefault="00574046" w:rsidP="00574046">
      <w:pPr>
        <w:pStyle w:val="Body"/>
        <w:spacing w:after="80"/>
      </w:pPr>
    </w:p>
    <w:p w:rsidR="000A5CFD" w:rsidRDefault="000A5CFD" w:rsidP="00574046">
      <w:pPr>
        <w:pStyle w:val="Body"/>
        <w:spacing w:after="80"/>
      </w:pPr>
      <w:r>
        <w:lastRenderedPageBreak/>
        <w:t xml:space="preserve">bushfire protection, contact your local council to check if the 10/30 rule applies in your area. </w:t>
      </w:r>
    </w:p>
    <w:p w:rsidR="000A5CFD" w:rsidRDefault="000A5CFD" w:rsidP="000A5CFD">
      <w:pPr>
        <w:pStyle w:val="Body"/>
      </w:pPr>
      <w:r>
        <w:t>Where the Bushfire Management Overlay applies in areas of metropolitan municipalities, the 10/50 rule will also apply.</w:t>
      </w:r>
    </w:p>
    <w:p w:rsidR="000A5CFD" w:rsidRDefault="000A5CFD" w:rsidP="000A5CFD">
      <w:pPr>
        <w:pStyle w:val="Body"/>
      </w:pPr>
      <w:r>
        <w:t>* BMO – Bushfire Management Overlay</w:t>
      </w:r>
    </w:p>
    <w:p w:rsidR="000A5CFD" w:rsidRDefault="000A5CFD" w:rsidP="000A5CFD">
      <w:pPr>
        <w:pStyle w:val="Subheadstart"/>
      </w:pPr>
    </w:p>
    <w:p w:rsidR="000A5CFD" w:rsidRDefault="000A5CFD" w:rsidP="000A5CFD">
      <w:pPr>
        <w:pStyle w:val="Body"/>
      </w:pPr>
      <w:r>
        <w:t>The Bushfire Management Overlay</w:t>
      </w:r>
    </w:p>
    <w:p w:rsidR="000A5CFD" w:rsidRDefault="000A5CFD" w:rsidP="000A5CFD">
      <w:pPr>
        <w:pStyle w:val="Body"/>
      </w:pPr>
      <w:r>
        <w:t xml:space="preserve">As well as identifying areas where the 10/50 rule applies, the Bushfire Management Overlay (BMO) implements planning requirements for building in areas of identified bushfire risk. </w:t>
      </w:r>
    </w:p>
    <w:p w:rsidR="000A5CFD" w:rsidRDefault="000A5CFD" w:rsidP="000A5CFD">
      <w:pPr>
        <w:pStyle w:val="Body"/>
      </w:pPr>
      <w:r>
        <w:t xml:space="preserve">You can find out if your property is within the Bushfire Management Overlay by contacting your local council’s planning department, or visiting planning maps online at </w:t>
      </w:r>
      <w:hyperlink r:id="rId13" w:history="1">
        <w:r>
          <w:rPr>
            <w:rStyle w:val="Hyperlink"/>
          </w:rPr>
          <w:t>www.land.vic.gov.au</w:t>
        </w:r>
      </w:hyperlink>
      <w:r>
        <w:t xml:space="preserve"> or by entering “Victorian Planning Maps Online” into your favourite internet search e</w:t>
      </w:r>
      <w:bookmarkStart w:id="0" w:name="_GoBack"/>
      <w:bookmarkEnd w:id="0"/>
      <w:r>
        <w:t>ngine.</w:t>
      </w:r>
    </w:p>
    <w:p w:rsidR="000A5CFD" w:rsidRDefault="000A5CFD" w:rsidP="000A5CFD">
      <w:pPr>
        <w:pStyle w:val="Body"/>
      </w:pPr>
    </w:p>
    <w:p w:rsidR="000A5CFD" w:rsidRDefault="000A5CFD" w:rsidP="000A5CFD">
      <w:pPr>
        <w:pStyle w:val="HB"/>
      </w:pPr>
      <w:r>
        <w:lastRenderedPageBreak/>
        <w:t>Clearing along boundary fences</w:t>
      </w:r>
    </w:p>
    <w:p w:rsidR="000A5CFD" w:rsidRDefault="00294B08" w:rsidP="000A5CFD">
      <w:pPr>
        <w:pStyle w:val="Body"/>
      </w:pPr>
      <w:r>
        <w:pict>
          <v:group id="_x0000_s1064" editas="canvas" style="position:absolute;margin-left:1.75pt;margin-top:-228.4pt;width:226pt;height:177.65pt;z-index:251663360" coordorigin="4311,2819" coordsize="4520,35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4311;top:2819;width:4520;height:3553" o:preferrelative="f" stroked="t">
              <v:fill o:detectmouseclick="t"/>
              <v:path o:extrusionok="t" o:connecttype="none"/>
            </v:shape>
            <v:roundrect id="_x0000_s1066" style="position:absolute;left:5136;top:3240;width:1643;height:598" arcsize="10923f">
              <v:textbox style="mso-next-textbox:#_x0000_s1066">
                <w:txbxContent>
                  <w:p w:rsidR="000A5CFD" w:rsidRDefault="000A5CFD" w:rsidP="000A5CFD">
                    <w:pPr>
                      <w:jc w:val="center"/>
                      <w:rPr>
                        <w:rFonts w:ascii="Tahoma" w:hAnsi="Tahoma" w:cs="Tahoma"/>
                        <w:sz w:val="16"/>
                        <w:szCs w:val="16"/>
                      </w:rPr>
                    </w:pPr>
                    <w:r>
                      <w:rPr>
                        <w:rFonts w:ascii="Tahoma" w:hAnsi="Tahoma" w:cs="Tahoma"/>
                        <w:sz w:val="16"/>
                        <w:szCs w:val="16"/>
                      </w:rPr>
                      <w:t>Are you within the BMO*?</w:t>
                    </w:r>
                  </w:p>
                </w:txbxContent>
              </v:textbox>
            </v:roundrect>
            <v:roundrect id="_x0000_s1067" style="position:absolute;left:4379;top:4553;width:1235;height:392" arcsize="10923f" filled="f" fillcolor="#fc9">
              <v:textbox style="mso-next-textbox:#_x0000_s1067">
                <w:txbxContent>
                  <w:p w:rsidR="000A5CFD" w:rsidRDefault="000A5CFD" w:rsidP="000A5CFD">
                    <w:pPr>
                      <w:jc w:val="center"/>
                      <w:rPr>
                        <w:rFonts w:ascii="Tahoma" w:hAnsi="Tahoma" w:cs="Tahoma"/>
                        <w:sz w:val="16"/>
                        <w:szCs w:val="16"/>
                      </w:rPr>
                    </w:pPr>
                    <w:r>
                      <w:rPr>
                        <w:rFonts w:ascii="Tahoma" w:hAnsi="Tahoma" w:cs="Tahoma"/>
                        <w:sz w:val="16"/>
                        <w:szCs w:val="16"/>
                      </w:rPr>
                      <w:t>10/50 rule</w:t>
                    </w:r>
                  </w:p>
                </w:txbxContent>
              </v:textbox>
            </v:roundrect>
            <v:roundrect id="_x0000_s1068" style="position:absolute;left:5903;top:4556;width:2624;height:597" arcsize="10923f">
              <v:textbox style="mso-next-textbox:#_x0000_s1068">
                <w:txbxContent>
                  <w:p w:rsidR="000A5CFD" w:rsidRDefault="000A5CFD" w:rsidP="000A5CFD">
                    <w:pPr>
                      <w:jc w:val="center"/>
                      <w:rPr>
                        <w:rFonts w:ascii="Tahoma" w:hAnsi="Tahoma" w:cs="Tahoma"/>
                        <w:sz w:val="16"/>
                        <w:szCs w:val="16"/>
                      </w:rPr>
                    </w:pPr>
                    <w:r>
                      <w:rPr>
                        <w:rFonts w:ascii="Tahoma" w:hAnsi="Tahoma" w:cs="Tahoma"/>
                        <w:sz w:val="16"/>
                        <w:szCs w:val="16"/>
                      </w:rPr>
                      <w:t>Are you in one of the listed metropolitan municipalities?</w:t>
                    </w:r>
                  </w:p>
                </w:txbxContent>
              </v:textbox>
            </v:roundrect>
            <v:roundrect id="_x0000_s1069" style="position:absolute;left:5425;top:5755;width:1653;height:568" arcsize="10923f">
              <v:textbox style="mso-next-textbox:#_x0000_s1069">
                <w:txbxContent>
                  <w:p w:rsidR="000A5CFD" w:rsidRDefault="000A5CFD" w:rsidP="000A5CFD">
                    <w:pPr>
                      <w:jc w:val="center"/>
                      <w:rPr>
                        <w:rFonts w:ascii="Tahoma" w:hAnsi="Tahoma" w:cs="Tahoma"/>
                        <w:sz w:val="16"/>
                        <w:szCs w:val="16"/>
                      </w:rPr>
                    </w:pPr>
                    <w:r>
                      <w:rPr>
                        <w:rFonts w:ascii="Tahoma" w:hAnsi="Tahoma" w:cs="Tahoma"/>
                        <w:sz w:val="16"/>
                        <w:szCs w:val="16"/>
                      </w:rPr>
                      <w:t>Check with your local council</w:t>
                    </w:r>
                  </w:p>
                </w:txbxContent>
              </v:textbox>
            </v:roundrect>
            <v:roundrect id="_x0000_s1070" style="position:absolute;left:7435;top:5748;width:1276;height:391" arcsize="10923f" filled="f" fillcolor="#fc9">
              <v:textbox style="mso-next-textbox:#_x0000_s1070">
                <w:txbxContent>
                  <w:p w:rsidR="000A5CFD" w:rsidRDefault="000A5CFD" w:rsidP="000A5CFD">
                    <w:pPr>
                      <w:jc w:val="center"/>
                      <w:rPr>
                        <w:rFonts w:ascii="Tahoma" w:hAnsi="Tahoma" w:cs="Tahoma"/>
                        <w:sz w:val="16"/>
                        <w:szCs w:val="16"/>
                      </w:rPr>
                    </w:pPr>
                    <w:r>
                      <w:rPr>
                        <w:rFonts w:ascii="Tahoma" w:hAnsi="Tahoma" w:cs="Tahoma"/>
                        <w:sz w:val="16"/>
                        <w:szCs w:val="16"/>
                      </w:rPr>
                      <w:t>10/30 rule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1" type="#_x0000_t34" style="position:absolute;left:5120;top:3715;width:715;height:961;rotation:90" o:connectortype="elbow" adj="10785,-80466,-85071">
              <v:stroke endarrow="block"/>
            </v:shape>
            <v:shape id="_x0000_s1072" type="#_x0000_t34" style="position:absolute;left:6228;top:3568;width:718;height:1257;rotation:90;flip:x" o:connectortype="elbow" adj=",61518,-84715">
              <v:stroke endarrow="block"/>
            </v:shape>
            <v:shape id="_x0000_s1073" type="#_x0000_t34" style="position:absolute;left:6433;top:4972;width:602;height:963;rotation:90" o:connectortype="elbow" adj="10764,-109794,-146141">
              <v:stroke endarrow="block"/>
            </v:shape>
            <v:shape id="_x0000_s1074" type="#_x0000_t34" style="position:absolute;left:7346;top:5022;width:595;height:858;rotation:90;flip:x" o:connectortype="elbow" adj="10782,123231,-147860">
              <v:stroke endarrow="block"/>
            </v:shape>
            <v:shape id="_x0000_s1075" type="#_x0000_t202" style="position:absolute;left:6537;top:5214;width:326;height:258" filled="f" stroked="f">
              <v:textbox style="mso-next-textbox:#_x0000_s1075" inset="0,0,0,0">
                <w:txbxContent>
                  <w:p w:rsidR="000A5CFD" w:rsidRDefault="000A5CFD" w:rsidP="000A5CFD">
                    <w:pPr>
                      <w:rPr>
                        <w:rFonts w:ascii="Tahoma" w:hAnsi="Tahoma" w:cs="Tahoma"/>
                        <w:sz w:val="16"/>
                        <w:szCs w:val="16"/>
                      </w:rPr>
                    </w:pPr>
                    <w:r>
                      <w:rPr>
                        <w:rFonts w:ascii="Tahoma" w:hAnsi="Tahoma" w:cs="Tahoma"/>
                        <w:sz w:val="16"/>
                        <w:szCs w:val="16"/>
                      </w:rPr>
                      <w:t>yes</w:t>
                    </w:r>
                  </w:p>
                </w:txbxContent>
              </v:textbox>
            </v:shape>
            <v:shape id="_x0000_s1076" type="#_x0000_t202" style="position:absolute;left:5280;top:3947;width:326;height:258" filled="f" stroked="f">
              <v:textbox style="mso-next-textbox:#_x0000_s1076" inset="0,0,0,0">
                <w:txbxContent>
                  <w:p w:rsidR="000A5CFD" w:rsidRDefault="000A5CFD" w:rsidP="000A5CFD">
                    <w:pPr>
                      <w:rPr>
                        <w:rFonts w:ascii="Tahoma" w:hAnsi="Tahoma" w:cs="Tahoma"/>
                        <w:sz w:val="16"/>
                        <w:szCs w:val="16"/>
                      </w:rPr>
                    </w:pPr>
                    <w:r>
                      <w:rPr>
                        <w:rFonts w:ascii="Tahoma" w:hAnsi="Tahoma" w:cs="Tahoma"/>
                        <w:sz w:val="16"/>
                        <w:szCs w:val="16"/>
                      </w:rPr>
                      <w:t>yes</w:t>
                    </w:r>
                  </w:p>
                </w:txbxContent>
              </v:textbox>
            </v:shape>
            <v:shape id="_x0000_s1077" type="#_x0000_t202" style="position:absolute;left:6349;top:3959;width:231;height:204" filled="f" stroked="f">
              <v:textbox style="mso-next-textbox:#_x0000_s1077" inset="0,0,0,0">
                <w:txbxContent>
                  <w:p w:rsidR="000A5CFD" w:rsidRDefault="000A5CFD" w:rsidP="000A5CFD">
                    <w:pPr>
                      <w:rPr>
                        <w:rFonts w:ascii="Tahoma" w:hAnsi="Tahoma" w:cs="Tahoma"/>
                        <w:sz w:val="16"/>
                        <w:szCs w:val="16"/>
                      </w:rPr>
                    </w:pPr>
                    <w:r>
                      <w:rPr>
                        <w:rFonts w:ascii="Tahoma" w:hAnsi="Tahoma" w:cs="Tahoma"/>
                        <w:sz w:val="16"/>
                        <w:szCs w:val="16"/>
                      </w:rPr>
                      <w:t>no</w:t>
                    </w:r>
                  </w:p>
                </w:txbxContent>
              </v:textbox>
            </v:shape>
            <v:shape id="_x0000_s1078" type="#_x0000_t202" style="position:absolute;left:7768;top:5229;width:231;height:204" filled="f" stroked="f">
              <v:textbox style="mso-next-textbox:#_x0000_s1078" inset="0,0,0,0">
                <w:txbxContent>
                  <w:p w:rsidR="000A5CFD" w:rsidRDefault="000A5CFD" w:rsidP="000A5CFD">
                    <w:pPr>
                      <w:rPr>
                        <w:rFonts w:ascii="Tahoma" w:hAnsi="Tahoma" w:cs="Tahoma"/>
                        <w:sz w:val="16"/>
                        <w:szCs w:val="16"/>
                      </w:rPr>
                    </w:pPr>
                    <w:r>
                      <w:rPr>
                        <w:rFonts w:ascii="Tahoma" w:hAnsi="Tahoma" w:cs="Tahoma"/>
                        <w:sz w:val="16"/>
                        <w:szCs w:val="16"/>
                      </w:rPr>
                      <w:t>no</w:t>
                    </w:r>
                  </w:p>
                </w:txbxContent>
              </v:textbox>
            </v:shape>
            <v:shape id="_x0000_s1079" type="#_x0000_t202" style="position:absolute;left:4389;top:2890;width:4129;height:234" filled="f" stroked="f">
              <v:textbox style="mso-next-textbox:#_x0000_s1079" inset="0,0,0,0">
                <w:txbxContent>
                  <w:p w:rsidR="000A5CFD" w:rsidRDefault="000A5CFD" w:rsidP="000A5CFD">
                    <w:pPr>
                      <w:pStyle w:val="Body"/>
                    </w:pPr>
                    <w:r>
                      <w:t>Figure 1: Determining clearing entitlement</w:t>
                    </w:r>
                  </w:p>
                  <w:p w:rsidR="000A5CFD" w:rsidRDefault="000A5CFD" w:rsidP="000A5CFD">
                    <w:pPr>
                      <w:rPr>
                        <w:szCs w:val="20"/>
                      </w:rPr>
                    </w:pPr>
                  </w:p>
                </w:txbxContent>
              </v:textbox>
            </v:shape>
            <w10:wrap type="square"/>
          </v:group>
        </w:pict>
      </w:r>
      <w:r w:rsidR="000A5CFD">
        <w:t xml:space="preserve">In areas where the 10/30 rule applies you can also clear any vegetation for a combined maximum width of 4 metres across existing boundary fences. </w:t>
      </w:r>
    </w:p>
    <w:p w:rsidR="000A5CFD" w:rsidRDefault="000A5CFD" w:rsidP="000A5CFD">
      <w:pPr>
        <w:pStyle w:val="HB"/>
      </w:pPr>
      <w:r>
        <w:t>Fire prevention notice</w:t>
      </w:r>
    </w:p>
    <w:p w:rsidR="000A5CFD" w:rsidRDefault="000A5CFD" w:rsidP="000A5CFD">
      <w:pPr>
        <w:pStyle w:val="Body"/>
      </w:pPr>
      <w:r>
        <w:t>You can still remove native vegetation without a permit to comply with a fire prevention notice issued by the Country Fire Authority (</w:t>
      </w:r>
      <w:proofErr w:type="spellStart"/>
      <w:r>
        <w:t>CFA</w:t>
      </w:r>
      <w:proofErr w:type="spellEnd"/>
      <w:r>
        <w:t>) or Department of Environment and Primary Industries (</w:t>
      </w:r>
      <w:proofErr w:type="spellStart"/>
      <w:r>
        <w:t>DEPI</w:t>
      </w:r>
      <w:proofErr w:type="spellEnd"/>
      <w:r>
        <w:t>).</w:t>
      </w:r>
    </w:p>
    <w:p w:rsidR="000A5CFD" w:rsidRDefault="000A5CFD" w:rsidP="000A5CFD">
      <w:pPr>
        <w:pStyle w:val="HB"/>
      </w:pPr>
      <w:r>
        <w:t>Fuel reduction burns</w:t>
      </w:r>
    </w:p>
    <w:p w:rsidR="000A5CFD" w:rsidRDefault="000A5CFD" w:rsidP="000A5CFD">
      <w:pPr>
        <w:pStyle w:val="Body"/>
      </w:pPr>
      <w:r>
        <w:t xml:space="preserve">You need a permit from </w:t>
      </w:r>
      <w:proofErr w:type="spellStart"/>
      <w:r>
        <w:t>DEPI</w:t>
      </w:r>
      <w:proofErr w:type="spellEnd"/>
      <w:r>
        <w:t xml:space="preserve"> or </w:t>
      </w:r>
      <w:proofErr w:type="spellStart"/>
      <w:r>
        <w:t>CFA</w:t>
      </w:r>
      <w:proofErr w:type="spellEnd"/>
      <w:r>
        <w:t xml:space="preserve"> to carry out fuel reduction burning on your property. You should also be aware of fire restrictions in your area before lighting any fire. If in doubt, please check the </w:t>
      </w:r>
      <w:proofErr w:type="spellStart"/>
      <w:r>
        <w:t>CFA</w:t>
      </w:r>
      <w:proofErr w:type="spellEnd"/>
      <w:r>
        <w:t xml:space="preserve"> website at </w:t>
      </w:r>
      <w:hyperlink r:id="rId14" w:history="1">
        <w:r>
          <w:rPr>
            <w:rStyle w:val="Hyperlink"/>
            <w:szCs w:val="22"/>
          </w:rPr>
          <w:t>www.cfa.vic.gov.au</w:t>
        </w:r>
      </w:hyperlink>
      <w:r>
        <w:t>.</w:t>
      </w:r>
    </w:p>
    <w:p w:rsidR="000A5CFD" w:rsidRDefault="00294B08" w:rsidP="000A5CFD">
      <w:pPr>
        <w:pStyle w:val="Bodycopy"/>
      </w:pPr>
      <w:r>
        <w:pict>
          <v:shape id="_x0000_s1063" type="#_x0000_t202" style="position:absolute;margin-left:-2.35pt;margin-top:5.25pt;width:237.1pt;height:62.5pt;z-index:251662336" fillcolor="#fef3e9" strokecolor="#f58426">
            <v:textbox style="mso-next-textbox:#_x0000_s1063" inset=",2.5mm,,2.5mm">
              <w:txbxContent>
                <w:p w:rsidR="000A5CFD" w:rsidRDefault="000A5CFD" w:rsidP="000A5CFD">
                  <w:pPr>
                    <w:pStyle w:val="Body"/>
                  </w:pPr>
                  <w:r>
                    <w:t>You can only clear vegetation on your property if you own it.  If you are renting or want to clear vegetation on other properties including neighbouring public land, you need the written permission of the landowner.</w:t>
                  </w:r>
                </w:p>
                <w:p w:rsidR="000A5CFD" w:rsidRDefault="000A5CFD" w:rsidP="000A5CFD">
                  <w:pPr>
                    <w:pStyle w:val="Body"/>
                  </w:pPr>
                </w:p>
              </w:txbxContent>
            </v:textbox>
          </v:shape>
        </w:pict>
      </w:r>
    </w:p>
    <w:p w:rsidR="000A5CFD" w:rsidRDefault="000A5CFD" w:rsidP="000A5CFD">
      <w:pPr>
        <w:pStyle w:val="Bodycopy"/>
      </w:pPr>
    </w:p>
    <w:p w:rsidR="000A5CFD" w:rsidRDefault="000A5CFD" w:rsidP="000A5CFD">
      <w:pPr>
        <w:pStyle w:val="Subhead"/>
      </w:pPr>
    </w:p>
    <w:p w:rsidR="000A5CFD" w:rsidRDefault="000A5CFD" w:rsidP="000A5CFD">
      <w:pPr>
        <w:pStyle w:val="Subhead"/>
      </w:pPr>
    </w:p>
    <w:p w:rsidR="00574046" w:rsidRDefault="00574046" w:rsidP="00574046">
      <w:pPr>
        <w:pStyle w:val="HB"/>
        <w:spacing w:after="80"/>
      </w:pPr>
      <w:r>
        <w:t>Further information</w:t>
      </w:r>
    </w:p>
    <w:p w:rsidR="00574046" w:rsidRPr="00944F68" w:rsidRDefault="00574046" w:rsidP="00574046">
      <w:pPr>
        <w:pStyle w:val="Bullet"/>
        <w:numPr>
          <w:ilvl w:val="0"/>
          <w:numId w:val="1"/>
        </w:numPr>
        <w:tabs>
          <w:tab w:val="clear" w:pos="720"/>
        </w:tabs>
        <w:spacing w:after="0"/>
        <w:ind w:left="284" w:hanging="284"/>
        <w:rPr>
          <w:u w:val="single"/>
        </w:rPr>
      </w:pPr>
      <w:r w:rsidRPr="00944F68">
        <w:t>For further information contact: your local council</w:t>
      </w:r>
    </w:p>
    <w:p w:rsidR="00574046" w:rsidRPr="00944F68" w:rsidRDefault="00574046" w:rsidP="00574046">
      <w:pPr>
        <w:pStyle w:val="Bullet"/>
        <w:numPr>
          <w:ilvl w:val="0"/>
          <w:numId w:val="1"/>
        </w:numPr>
        <w:tabs>
          <w:tab w:val="clear" w:pos="720"/>
        </w:tabs>
        <w:spacing w:after="0"/>
        <w:ind w:left="284" w:hanging="284"/>
        <w:rPr>
          <w:rStyle w:val="Hyperlink"/>
          <w:color w:val="auto"/>
        </w:rPr>
      </w:pPr>
      <w:r w:rsidRPr="00944F68">
        <w:t>Department of Environment and Primary Industries (</w:t>
      </w:r>
      <w:proofErr w:type="spellStart"/>
      <w:r w:rsidRPr="00944F68">
        <w:t>DEPI</w:t>
      </w:r>
      <w:proofErr w:type="spellEnd"/>
      <w:r w:rsidRPr="00944F68">
        <w:t>) Customer Service Centre on 136 186 or visit www.depi.vic.gov.au</w:t>
      </w:r>
    </w:p>
    <w:p w:rsidR="00574046" w:rsidRDefault="00574046" w:rsidP="00574046">
      <w:pPr>
        <w:pStyle w:val="Bullet"/>
        <w:numPr>
          <w:ilvl w:val="0"/>
          <w:numId w:val="1"/>
        </w:numPr>
        <w:tabs>
          <w:tab w:val="clear" w:pos="720"/>
        </w:tabs>
        <w:spacing w:after="0"/>
        <w:ind w:left="284" w:hanging="284"/>
      </w:pPr>
      <w:r>
        <w:t>Victorian Bushfire Information Line on 1800 240 667</w:t>
      </w:r>
    </w:p>
    <w:p w:rsidR="00574046" w:rsidRDefault="00574046" w:rsidP="00574046">
      <w:pPr>
        <w:pStyle w:val="Bullet"/>
        <w:numPr>
          <w:ilvl w:val="0"/>
          <w:numId w:val="1"/>
        </w:numPr>
        <w:tabs>
          <w:tab w:val="clear" w:pos="720"/>
        </w:tabs>
        <w:spacing w:after="0"/>
        <w:ind w:left="284" w:hanging="284"/>
      </w:pPr>
      <w:r>
        <w:t xml:space="preserve">Or visit </w:t>
      </w:r>
      <w:r w:rsidRPr="00944F68">
        <w:t>http://www.dpcd.vic.gov.au/planning/plansandpolicies/bushfire-planning-and-building-resource/building-for-bushfire-protection</w:t>
      </w:r>
      <w:r>
        <w:t>.</w:t>
      </w:r>
    </w:p>
    <w:p w:rsidR="0099149F" w:rsidRDefault="0099149F" w:rsidP="00C061DD">
      <w:pPr>
        <w:sectPr w:rsidR="0099149F" w:rsidSect="0099149F">
          <w:type w:val="continuous"/>
          <w:pgSz w:w="11907" w:h="16840" w:code="9"/>
          <w:pgMar w:top="1843" w:right="567" w:bottom="567" w:left="1134" w:header="284" w:footer="362" w:gutter="0"/>
          <w:cols w:num="2" w:space="708"/>
          <w:titlePg/>
          <w:docGrid w:linePitch="360"/>
        </w:sectPr>
      </w:pPr>
    </w:p>
    <w:p w:rsidR="000A5CFD" w:rsidRDefault="000A5CFD" w:rsidP="000A5CFD">
      <w:pPr>
        <w:pStyle w:val="HC"/>
      </w:pPr>
      <w:r>
        <w:lastRenderedPageBreak/>
        <w:t>Metropolitan municipalities where the state-wide 10/30 rule does not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1"/>
        <w:gridCol w:w="2537"/>
        <w:gridCol w:w="2624"/>
        <w:gridCol w:w="3020"/>
      </w:tblGrid>
      <w:tr w:rsidR="000A5CFD" w:rsidTr="000A5CFD">
        <w:tc>
          <w:tcPr>
            <w:tcW w:w="1075" w:type="pct"/>
            <w:vAlign w:val="bottom"/>
            <w:hideMark/>
          </w:tcPr>
          <w:p w:rsidR="000A5CFD" w:rsidRPr="000A5CFD" w:rsidRDefault="000A5CFD" w:rsidP="00294B08">
            <w:pPr>
              <w:pStyle w:val="TblBdy"/>
              <w:spacing w:before="60" w:after="20"/>
            </w:pPr>
            <w:r w:rsidRPr="000A5CFD">
              <w:t>Banyule City</w:t>
            </w:r>
          </w:p>
        </w:tc>
        <w:tc>
          <w:tcPr>
            <w:tcW w:w="1217" w:type="pct"/>
            <w:vAlign w:val="bottom"/>
            <w:hideMark/>
          </w:tcPr>
          <w:p w:rsidR="000A5CFD" w:rsidRPr="000A5CFD" w:rsidRDefault="000A5CFD" w:rsidP="00294B08">
            <w:pPr>
              <w:pStyle w:val="TblBdy"/>
              <w:spacing w:before="60" w:after="20"/>
            </w:pPr>
            <w:r w:rsidRPr="000A5CFD">
              <w:t>Greater Dandenong City</w:t>
            </w:r>
          </w:p>
        </w:tc>
        <w:tc>
          <w:tcPr>
            <w:tcW w:w="1259" w:type="pct"/>
            <w:vAlign w:val="bottom"/>
            <w:hideMark/>
          </w:tcPr>
          <w:p w:rsidR="000A5CFD" w:rsidRPr="000A5CFD" w:rsidRDefault="000A5CFD" w:rsidP="00294B08">
            <w:pPr>
              <w:pStyle w:val="TblBdy"/>
              <w:spacing w:before="60" w:after="20"/>
            </w:pPr>
            <w:r w:rsidRPr="000A5CFD">
              <w:t>Melbourne City</w:t>
            </w:r>
          </w:p>
        </w:tc>
        <w:tc>
          <w:tcPr>
            <w:tcW w:w="1449" w:type="pct"/>
            <w:vAlign w:val="bottom"/>
            <w:hideMark/>
          </w:tcPr>
          <w:p w:rsidR="000A5CFD" w:rsidRPr="000A5CFD" w:rsidRDefault="000A5CFD" w:rsidP="00294B08">
            <w:pPr>
              <w:pStyle w:val="TblBdy"/>
              <w:spacing w:before="60" w:after="20"/>
            </w:pPr>
            <w:proofErr w:type="spellStart"/>
            <w:r w:rsidRPr="000A5CFD">
              <w:t>Stonnington</w:t>
            </w:r>
            <w:proofErr w:type="spellEnd"/>
            <w:r w:rsidRPr="000A5CFD">
              <w:t xml:space="preserve"> City</w:t>
            </w:r>
          </w:p>
        </w:tc>
      </w:tr>
      <w:tr w:rsidR="000A5CFD" w:rsidTr="000A5CFD">
        <w:tc>
          <w:tcPr>
            <w:tcW w:w="1075" w:type="pct"/>
            <w:vAlign w:val="bottom"/>
            <w:hideMark/>
          </w:tcPr>
          <w:p w:rsidR="000A5CFD" w:rsidRPr="000A5CFD" w:rsidRDefault="000A5CFD" w:rsidP="00294B08">
            <w:pPr>
              <w:pStyle w:val="TblBdy"/>
              <w:spacing w:before="60" w:after="20"/>
            </w:pPr>
            <w:proofErr w:type="spellStart"/>
            <w:r w:rsidRPr="000A5CFD">
              <w:t>Bayside</w:t>
            </w:r>
            <w:proofErr w:type="spellEnd"/>
            <w:r w:rsidRPr="000A5CFD">
              <w:t xml:space="preserve"> City</w:t>
            </w:r>
          </w:p>
        </w:tc>
        <w:tc>
          <w:tcPr>
            <w:tcW w:w="1217" w:type="pct"/>
            <w:vAlign w:val="bottom"/>
            <w:hideMark/>
          </w:tcPr>
          <w:p w:rsidR="000A5CFD" w:rsidRPr="000A5CFD" w:rsidRDefault="000A5CFD" w:rsidP="00294B08">
            <w:pPr>
              <w:pStyle w:val="TblBdy"/>
              <w:spacing w:before="60" w:after="20"/>
            </w:pPr>
            <w:proofErr w:type="spellStart"/>
            <w:r w:rsidRPr="000A5CFD">
              <w:t>Hobsons</w:t>
            </w:r>
            <w:proofErr w:type="spellEnd"/>
            <w:r w:rsidRPr="000A5CFD">
              <w:t xml:space="preserve"> Bay City</w:t>
            </w:r>
          </w:p>
        </w:tc>
        <w:tc>
          <w:tcPr>
            <w:tcW w:w="1259" w:type="pct"/>
            <w:vAlign w:val="bottom"/>
            <w:hideMark/>
          </w:tcPr>
          <w:p w:rsidR="000A5CFD" w:rsidRPr="000A5CFD" w:rsidRDefault="000A5CFD" w:rsidP="00294B08">
            <w:pPr>
              <w:pStyle w:val="TblBdy"/>
              <w:spacing w:before="60" w:after="20"/>
            </w:pPr>
            <w:r w:rsidRPr="000A5CFD">
              <w:t>Monash City</w:t>
            </w:r>
          </w:p>
        </w:tc>
        <w:tc>
          <w:tcPr>
            <w:tcW w:w="1449" w:type="pct"/>
            <w:vAlign w:val="bottom"/>
            <w:hideMark/>
          </w:tcPr>
          <w:p w:rsidR="000A5CFD" w:rsidRPr="000A5CFD" w:rsidRDefault="000A5CFD" w:rsidP="00294B08">
            <w:pPr>
              <w:pStyle w:val="TblBdy"/>
              <w:spacing w:before="60" w:after="20"/>
            </w:pPr>
            <w:r w:rsidRPr="000A5CFD">
              <w:t>Whitehorse City</w:t>
            </w:r>
          </w:p>
        </w:tc>
      </w:tr>
      <w:tr w:rsidR="000A5CFD" w:rsidTr="000A5CFD">
        <w:tc>
          <w:tcPr>
            <w:tcW w:w="1075" w:type="pct"/>
            <w:vAlign w:val="bottom"/>
            <w:hideMark/>
          </w:tcPr>
          <w:p w:rsidR="000A5CFD" w:rsidRPr="000A5CFD" w:rsidRDefault="000A5CFD" w:rsidP="00294B08">
            <w:pPr>
              <w:pStyle w:val="TblBdy"/>
              <w:spacing w:before="60" w:after="20"/>
            </w:pPr>
            <w:proofErr w:type="spellStart"/>
            <w:r w:rsidRPr="000A5CFD">
              <w:t>Boroondara</w:t>
            </w:r>
            <w:proofErr w:type="spellEnd"/>
            <w:r w:rsidRPr="000A5CFD">
              <w:t xml:space="preserve"> City</w:t>
            </w:r>
          </w:p>
        </w:tc>
        <w:tc>
          <w:tcPr>
            <w:tcW w:w="1217" w:type="pct"/>
            <w:vAlign w:val="bottom"/>
            <w:hideMark/>
          </w:tcPr>
          <w:p w:rsidR="000A5CFD" w:rsidRPr="000A5CFD" w:rsidRDefault="000A5CFD" w:rsidP="00294B08">
            <w:pPr>
              <w:pStyle w:val="TblBdy"/>
              <w:spacing w:before="60" w:after="20"/>
            </w:pPr>
            <w:r w:rsidRPr="000A5CFD">
              <w:t>Kingston City</w:t>
            </w:r>
          </w:p>
        </w:tc>
        <w:tc>
          <w:tcPr>
            <w:tcW w:w="1259" w:type="pct"/>
            <w:vAlign w:val="bottom"/>
            <w:hideMark/>
          </w:tcPr>
          <w:p w:rsidR="000A5CFD" w:rsidRPr="000A5CFD" w:rsidRDefault="000A5CFD" w:rsidP="00294B08">
            <w:pPr>
              <w:pStyle w:val="TblBdy"/>
              <w:spacing w:before="60" w:after="20"/>
            </w:pPr>
            <w:r w:rsidRPr="000A5CFD">
              <w:t>Moonee Valley City</w:t>
            </w:r>
          </w:p>
        </w:tc>
        <w:tc>
          <w:tcPr>
            <w:tcW w:w="1449" w:type="pct"/>
            <w:vAlign w:val="bottom"/>
            <w:hideMark/>
          </w:tcPr>
          <w:p w:rsidR="000A5CFD" w:rsidRPr="000A5CFD" w:rsidRDefault="000A5CFD" w:rsidP="00294B08">
            <w:pPr>
              <w:pStyle w:val="TblBdy"/>
              <w:spacing w:before="60" w:after="20"/>
            </w:pPr>
            <w:r w:rsidRPr="000A5CFD">
              <w:t>Yarra City</w:t>
            </w:r>
          </w:p>
        </w:tc>
      </w:tr>
      <w:tr w:rsidR="000A5CFD" w:rsidTr="000A5CFD">
        <w:tc>
          <w:tcPr>
            <w:tcW w:w="1075" w:type="pct"/>
            <w:vAlign w:val="bottom"/>
            <w:hideMark/>
          </w:tcPr>
          <w:p w:rsidR="000A5CFD" w:rsidRPr="000A5CFD" w:rsidRDefault="000A5CFD" w:rsidP="00294B08">
            <w:pPr>
              <w:pStyle w:val="TblBdy"/>
              <w:spacing w:before="60" w:after="20"/>
            </w:pPr>
            <w:proofErr w:type="spellStart"/>
            <w:r w:rsidRPr="000A5CFD">
              <w:t>Brimbank</w:t>
            </w:r>
            <w:proofErr w:type="spellEnd"/>
            <w:r w:rsidRPr="000A5CFD">
              <w:t xml:space="preserve"> City</w:t>
            </w:r>
          </w:p>
        </w:tc>
        <w:tc>
          <w:tcPr>
            <w:tcW w:w="1217" w:type="pct"/>
            <w:vAlign w:val="bottom"/>
            <w:hideMark/>
          </w:tcPr>
          <w:p w:rsidR="000A5CFD" w:rsidRPr="000A5CFD" w:rsidRDefault="000A5CFD" w:rsidP="00294B08">
            <w:pPr>
              <w:pStyle w:val="TblBdy"/>
              <w:spacing w:before="60" w:after="20"/>
            </w:pPr>
            <w:r w:rsidRPr="000A5CFD">
              <w:t>Knox City</w:t>
            </w:r>
          </w:p>
        </w:tc>
        <w:tc>
          <w:tcPr>
            <w:tcW w:w="1259" w:type="pct"/>
            <w:vAlign w:val="bottom"/>
            <w:hideMark/>
          </w:tcPr>
          <w:p w:rsidR="000A5CFD" w:rsidRPr="000A5CFD" w:rsidRDefault="000A5CFD" w:rsidP="00294B08">
            <w:pPr>
              <w:pStyle w:val="TblBdy"/>
              <w:spacing w:before="60" w:after="20"/>
            </w:pPr>
            <w:r w:rsidRPr="000A5CFD">
              <w:t>Moreland City</w:t>
            </w:r>
          </w:p>
        </w:tc>
        <w:tc>
          <w:tcPr>
            <w:tcW w:w="1449" w:type="pct"/>
            <w:vAlign w:val="bottom"/>
          </w:tcPr>
          <w:p w:rsidR="000A5CFD" w:rsidRPr="000A5CFD" w:rsidRDefault="000A5CFD" w:rsidP="00294B08">
            <w:pPr>
              <w:pStyle w:val="TblBdy"/>
              <w:spacing w:before="60" w:after="20"/>
            </w:pPr>
          </w:p>
        </w:tc>
      </w:tr>
      <w:tr w:rsidR="000A5CFD" w:rsidTr="000A5CFD">
        <w:tc>
          <w:tcPr>
            <w:tcW w:w="1075" w:type="pct"/>
            <w:vAlign w:val="bottom"/>
            <w:hideMark/>
          </w:tcPr>
          <w:p w:rsidR="000A5CFD" w:rsidRPr="000A5CFD" w:rsidRDefault="000A5CFD" w:rsidP="00294B08">
            <w:pPr>
              <w:pStyle w:val="TblBdy"/>
              <w:spacing w:before="60" w:after="20"/>
            </w:pPr>
            <w:r w:rsidRPr="000A5CFD">
              <w:t>Darebin City</w:t>
            </w:r>
          </w:p>
        </w:tc>
        <w:tc>
          <w:tcPr>
            <w:tcW w:w="1217" w:type="pct"/>
            <w:vAlign w:val="bottom"/>
            <w:hideMark/>
          </w:tcPr>
          <w:p w:rsidR="000A5CFD" w:rsidRPr="000A5CFD" w:rsidRDefault="000A5CFD" w:rsidP="00294B08">
            <w:pPr>
              <w:pStyle w:val="TblBdy"/>
              <w:spacing w:before="60" w:after="20"/>
            </w:pPr>
            <w:r w:rsidRPr="000A5CFD">
              <w:t>Maribyrnong City</w:t>
            </w:r>
          </w:p>
        </w:tc>
        <w:tc>
          <w:tcPr>
            <w:tcW w:w="1259" w:type="pct"/>
            <w:vAlign w:val="bottom"/>
            <w:hideMark/>
          </w:tcPr>
          <w:p w:rsidR="000A5CFD" w:rsidRPr="000A5CFD" w:rsidRDefault="000A5CFD" w:rsidP="00294B08">
            <w:pPr>
              <w:pStyle w:val="TblBdy"/>
              <w:spacing w:before="60" w:after="20"/>
            </w:pPr>
            <w:r w:rsidRPr="000A5CFD">
              <w:t>Port Phillip City</w:t>
            </w:r>
          </w:p>
        </w:tc>
        <w:tc>
          <w:tcPr>
            <w:tcW w:w="1449" w:type="pct"/>
            <w:vAlign w:val="bottom"/>
          </w:tcPr>
          <w:p w:rsidR="000A5CFD" w:rsidRPr="000A5CFD" w:rsidRDefault="000A5CFD" w:rsidP="00294B08">
            <w:pPr>
              <w:pStyle w:val="TblBdy"/>
              <w:spacing w:before="60" w:after="20"/>
            </w:pPr>
          </w:p>
        </w:tc>
      </w:tr>
      <w:tr w:rsidR="000A5CFD" w:rsidTr="000A5CFD">
        <w:tc>
          <w:tcPr>
            <w:tcW w:w="1075" w:type="pct"/>
            <w:vAlign w:val="bottom"/>
            <w:hideMark/>
          </w:tcPr>
          <w:p w:rsidR="000A5CFD" w:rsidRPr="000A5CFD" w:rsidRDefault="000A5CFD" w:rsidP="00294B08">
            <w:pPr>
              <w:pStyle w:val="TblBdy"/>
              <w:spacing w:before="60" w:after="20"/>
            </w:pPr>
            <w:r w:rsidRPr="000A5CFD">
              <w:t xml:space="preserve">Glen </w:t>
            </w:r>
            <w:proofErr w:type="spellStart"/>
            <w:r w:rsidRPr="000A5CFD">
              <w:t>Eira</w:t>
            </w:r>
            <w:proofErr w:type="spellEnd"/>
            <w:r w:rsidRPr="000A5CFD">
              <w:t xml:space="preserve"> City</w:t>
            </w:r>
          </w:p>
        </w:tc>
        <w:tc>
          <w:tcPr>
            <w:tcW w:w="1217" w:type="pct"/>
            <w:vAlign w:val="center"/>
            <w:hideMark/>
          </w:tcPr>
          <w:p w:rsidR="000A5CFD" w:rsidRPr="000A5CFD" w:rsidRDefault="000A5CFD" w:rsidP="00294B08">
            <w:pPr>
              <w:pStyle w:val="TblBdy"/>
              <w:spacing w:before="60" w:after="20"/>
            </w:pPr>
            <w:r w:rsidRPr="000A5CFD">
              <w:t>Maroondah City</w:t>
            </w:r>
          </w:p>
        </w:tc>
        <w:tc>
          <w:tcPr>
            <w:tcW w:w="1259" w:type="pct"/>
            <w:vAlign w:val="bottom"/>
            <w:hideMark/>
          </w:tcPr>
          <w:p w:rsidR="000A5CFD" w:rsidRPr="000A5CFD" w:rsidRDefault="000A5CFD" w:rsidP="00294B08">
            <w:pPr>
              <w:pStyle w:val="TblBdy"/>
              <w:spacing w:before="60" w:after="20"/>
            </w:pPr>
            <w:r w:rsidRPr="000A5CFD">
              <w:t>Port of Melbourne</w:t>
            </w:r>
          </w:p>
        </w:tc>
        <w:tc>
          <w:tcPr>
            <w:tcW w:w="1449" w:type="pct"/>
            <w:vAlign w:val="center"/>
          </w:tcPr>
          <w:p w:rsidR="000A5CFD" w:rsidRPr="000A5CFD" w:rsidRDefault="000A5CFD" w:rsidP="00294B08">
            <w:pPr>
              <w:pStyle w:val="TblBdy"/>
              <w:spacing w:before="60" w:after="20"/>
            </w:pPr>
          </w:p>
        </w:tc>
      </w:tr>
    </w:tbl>
    <w:p w:rsidR="00865A63" w:rsidRDefault="00865A63" w:rsidP="000A5CFD">
      <w:pPr>
        <w:pStyle w:val="Body"/>
      </w:pPr>
    </w:p>
    <w:sectPr w:rsidR="00865A63" w:rsidSect="0099149F">
      <w:type w:val="continuous"/>
      <w:pgSz w:w="11907" w:h="16840" w:code="9"/>
      <w:pgMar w:top="1843" w:right="567" w:bottom="567" w:left="1134" w:header="284"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F" w:rsidRDefault="00B5634F">
      <w:r>
        <w:separator/>
      </w:r>
    </w:p>
  </w:endnote>
  <w:endnote w:type="continuationSeparator" w:id="0">
    <w:p w:rsidR="00B5634F" w:rsidRDefault="00B5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E4" w:rsidRDefault="000C39E4" w:rsidP="00B3689A">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0C39E4" w:rsidTr="00B3689A">
      <w:trPr>
        <w:trHeight w:val="2241"/>
      </w:trPr>
      <w:tc>
        <w:tcPr>
          <w:tcW w:w="5228" w:type="dxa"/>
          <w:shd w:val="clear" w:color="auto" w:fill="auto"/>
        </w:tcPr>
        <w:p w:rsidR="003F5A5C" w:rsidRPr="000A7B82" w:rsidRDefault="003F5A5C" w:rsidP="003F5A5C">
          <w:pPr>
            <w:pStyle w:val="ImprintText"/>
          </w:pPr>
          <w:r>
            <w:t xml:space="preserve">Published by the Victorian Government Department of Environment and Primary Industries </w:t>
          </w:r>
          <w:r w:rsidRPr="000A7B82">
            <w:t xml:space="preserve">Melbourne, </w:t>
          </w:r>
          <w:r w:rsidR="00CD350A" w:rsidRPr="000A7B82">
            <w:t>October 2013</w:t>
          </w:r>
        </w:p>
        <w:p w:rsidR="003F5A5C" w:rsidRPr="000A7B82" w:rsidRDefault="003F5A5C" w:rsidP="003F5A5C">
          <w:pPr>
            <w:pStyle w:val="ImprintText"/>
          </w:pPr>
          <w:r w:rsidRPr="000A7B82">
            <w:t>© The State of Victoria Department of Environment and Primary Industries Melbourne 2013</w:t>
          </w:r>
        </w:p>
        <w:p w:rsidR="003F5A5C" w:rsidRDefault="003F5A5C" w:rsidP="003F5A5C">
          <w:pPr>
            <w:pStyle w:val="ImprintText"/>
          </w:pPr>
          <w:r>
            <w:t xml:space="preserve">This publication is copyright. No part may be reproduced by any process except in accordance with the provisions of the </w:t>
          </w:r>
          <w:r w:rsidRPr="00B3689A">
            <w:rPr>
              <w:i/>
            </w:rPr>
            <w:t>Copyright Act 1968</w:t>
          </w:r>
          <w:r>
            <w:t>.</w:t>
          </w:r>
        </w:p>
        <w:p w:rsidR="00CD350A" w:rsidRPr="00027B45" w:rsidRDefault="00CD350A" w:rsidP="00CB00C9">
          <w:pPr>
            <w:pStyle w:val="ImprintText"/>
          </w:pPr>
        </w:p>
        <w:p w:rsidR="00027B45" w:rsidRPr="00027B45" w:rsidRDefault="00027B45" w:rsidP="00027B45">
          <w:pPr>
            <w:outlineLvl w:val="0"/>
            <w:rPr>
              <w:rFonts w:ascii="Arial" w:hAnsi="Arial" w:cs="Arial"/>
              <w:sz w:val="14"/>
              <w:szCs w:val="14"/>
            </w:rPr>
          </w:pPr>
          <w:r w:rsidRPr="00027B45">
            <w:rPr>
              <w:rFonts w:ascii="Arial" w:hAnsi="Arial" w:cs="Arial"/>
              <w:snapToGrid w:val="0"/>
              <w:sz w:val="14"/>
              <w:szCs w:val="14"/>
            </w:rPr>
            <w:t xml:space="preserve">ISBN </w:t>
          </w:r>
          <w:r w:rsidRPr="00027B45">
            <w:rPr>
              <w:rFonts w:ascii="Arial" w:hAnsi="Arial" w:cs="Arial"/>
              <w:bCs/>
              <w:sz w:val="14"/>
              <w:szCs w:val="14"/>
            </w:rPr>
            <w:t>978-1-74287-24</w:t>
          </w:r>
          <w:r w:rsidR="000A5CFD">
            <w:rPr>
              <w:rFonts w:ascii="Arial" w:hAnsi="Arial" w:cs="Arial"/>
              <w:bCs/>
              <w:sz w:val="14"/>
              <w:szCs w:val="14"/>
            </w:rPr>
            <w:t>8</w:t>
          </w:r>
          <w:r w:rsidRPr="00027B45">
            <w:rPr>
              <w:rFonts w:ascii="Arial" w:hAnsi="Arial" w:cs="Arial"/>
              <w:bCs/>
              <w:sz w:val="14"/>
              <w:szCs w:val="14"/>
            </w:rPr>
            <w:t>-</w:t>
          </w:r>
          <w:r w:rsidR="000A5CFD">
            <w:rPr>
              <w:rFonts w:ascii="Arial" w:hAnsi="Arial" w:cs="Arial"/>
              <w:bCs/>
              <w:sz w:val="14"/>
              <w:szCs w:val="14"/>
            </w:rPr>
            <w:t>3</w:t>
          </w:r>
          <w:r w:rsidRPr="00027B45">
            <w:rPr>
              <w:rFonts w:ascii="Arial" w:hAnsi="Arial" w:cs="Arial"/>
              <w:sz w:val="14"/>
              <w:szCs w:val="14"/>
            </w:rPr>
            <w:t xml:space="preserve"> (online)</w:t>
          </w:r>
        </w:p>
        <w:p w:rsidR="00027B45" w:rsidRPr="00027B45" w:rsidRDefault="00027B45" w:rsidP="00027B45">
          <w:pPr>
            <w:rPr>
              <w:rFonts w:ascii="Arial" w:hAnsi="Arial" w:cs="Arial"/>
              <w:snapToGrid w:val="0"/>
              <w:sz w:val="14"/>
              <w:szCs w:val="14"/>
            </w:rPr>
          </w:pPr>
        </w:p>
        <w:p w:rsidR="000C39E4" w:rsidRDefault="000C39E4" w:rsidP="00CB00C9">
          <w:pPr>
            <w:pStyle w:val="ImprintText"/>
          </w:pPr>
        </w:p>
      </w:tc>
      <w:tc>
        <w:tcPr>
          <w:tcW w:w="5228" w:type="dxa"/>
          <w:shd w:val="clear" w:color="auto" w:fill="auto"/>
        </w:tcPr>
        <w:p w:rsidR="000C39E4" w:rsidRDefault="000C39E4" w:rsidP="00CB00C9">
          <w:pPr>
            <w:pStyle w:val="ImprintTxtBold"/>
          </w:pPr>
          <w:r>
            <w:t>Accessibility</w:t>
          </w:r>
        </w:p>
        <w:p w:rsidR="000C39E4" w:rsidRDefault="000C39E4" w:rsidP="00CB00C9">
          <w:pPr>
            <w:pStyle w:val="ImprintText"/>
          </w:pPr>
          <w:r>
            <w:t>If you would like to receive this publication in an alternative format,</w:t>
          </w:r>
          <w:r>
            <w:br/>
            <w:t xml:space="preserve">please telephone </w:t>
          </w:r>
          <w:proofErr w:type="spellStart"/>
          <w:r>
            <w:t>DEPI</w:t>
          </w:r>
          <w:proofErr w:type="spellEnd"/>
          <w:r>
            <w:t xml:space="preserve"> Customer Service Centre 13</w:t>
          </w:r>
          <w:r w:rsidR="00CD350A">
            <w:t>6 186, email</w:t>
          </w:r>
          <w:r w:rsidR="00CD350A">
            <w:br/>
            <w:t>customer.service@d</w:t>
          </w:r>
          <w:r>
            <w:t>e</w:t>
          </w:r>
          <w:r w:rsidR="00CD350A">
            <w:t>pi</w:t>
          </w:r>
          <w:r>
            <w:t>.vic.gov.au (or relevant address), via the National</w:t>
          </w:r>
          <w:r>
            <w:br/>
            <w:t>Relay Service on 133 677 www.relayservice.com.au This document is</w:t>
          </w:r>
          <w:r>
            <w:br/>
            <w:t>also available in on the internet at www.depi.vic.gov.au</w:t>
          </w:r>
        </w:p>
        <w:p w:rsidR="000C39E4" w:rsidRDefault="000C39E4" w:rsidP="00CB00C9">
          <w:pPr>
            <w:pStyle w:val="ImprintTxtBold"/>
          </w:pPr>
          <w:r>
            <w:t>Disclaimer</w:t>
          </w:r>
        </w:p>
        <w:p w:rsidR="000C39E4" w:rsidRDefault="000C39E4" w:rsidP="003F5A5C">
          <w:pPr>
            <w:pStyle w:val="ImprintText"/>
          </w:pPr>
          <w:r>
            <w:t>This publication may be of assistance to you but the State of Victoria and its</w:t>
          </w:r>
          <w:r>
            <w:br/>
            <w:t xml:space="preserve">employees do not guarantee that the publication is without flaw of any kind </w:t>
          </w:r>
          <w:r w:rsidR="003F5A5C">
            <w:br/>
          </w:r>
          <w:r>
            <w:t>or</w:t>
          </w:r>
          <w:r w:rsidR="003F5A5C">
            <w:t xml:space="preserve"> </w:t>
          </w:r>
          <w:r>
            <w:t>is</w:t>
          </w:r>
          <w:r w:rsidR="003F5A5C">
            <w:t xml:space="preserve"> </w:t>
          </w:r>
          <w:r>
            <w:t xml:space="preserve">wholly appropriate for your particular purposes and therefore disclaims </w:t>
          </w:r>
          <w:r w:rsidR="003F5A5C">
            <w:br/>
          </w:r>
          <w:r>
            <w:t>all liability</w:t>
          </w:r>
          <w:r w:rsidR="003F5A5C">
            <w:t xml:space="preserve"> </w:t>
          </w:r>
          <w:r>
            <w:t>for any error, loss or other consequence which may arise from you relying on any information in this publication.</w:t>
          </w:r>
        </w:p>
      </w:tc>
    </w:tr>
  </w:tbl>
  <w:p w:rsidR="002015AD" w:rsidRPr="000C39E4" w:rsidRDefault="00294B08" w:rsidP="000C39E4">
    <w:pPr>
      <w:pStyle w:val="zFooterURL"/>
      <w:spacing w:before="480"/>
      <w:ind w:left="0" w:firstLine="0"/>
      <w:rPr>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2.4pt;margin-top:787.3pt;width:145.7pt;height:38pt;z-index:251659264;visibility:visible;mso-position-horizontal-relative:page;mso-position-vertical-relative:page;mso-width-relative:margin;mso-height-relative:margin">
          <v:imagedata r:id="rId1" o:title="DEPI_RGB_right"/>
          <w10:wrap anchorx="page" anchory="page"/>
        </v:shape>
      </w:pict>
    </w:r>
    <w:r w:rsidR="000C39E4" w:rsidRPr="000C39E4">
      <w:rPr>
        <w:sz w:val="26"/>
      </w:rPr>
      <w:t>www.depi.vic.gov.au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294B08" w:rsidP="002015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PI/VicBrick" o:spid="_x0000_s2049" type="#_x0000_t75" style="position:absolute;margin-left:422.3pt;margin-top:787.3pt;width:145.7pt;height:38pt;z-index:251658240;visibility:visible;mso-position-horizontal-relative:page;mso-position-vertical-relative:page;mso-width-relative:margin;mso-height-relative:margin">
          <v:imagedata r:id="rId1" o:title="DEPI_RGB_righ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F" w:rsidRDefault="00B5634F">
      <w:r>
        <w:separator/>
      </w:r>
    </w:p>
  </w:footnote>
  <w:footnote w:type="continuationSeparator" w:id="0">
    <w:p w:rsidR="00B5634F" w:rsidRDefault="00B5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294B08" w:rsidP="00F83A6F">
    <w:pPr>
      <w:rPr>
        <w:lang w:val="en-US"/>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5" type="#_x0000_t75" style="position:absolute;margin-left:-32.9pt;margin-top:10.9pt;width:546.55pt;height:68.8pt;z-index:-251660288;visibility:visible">
          <v:imagedata r:id="rId1" o:title="Landscape invitation header"/>
        </v:shape>
      </w:pict>
    </w:r>
  </w:p>
  <w:tbl>
    <w:tblPr>
      <w:tblW w:w="0" w:type="auto"/>
      <w:tblLook w:val="01E0" w:firstRow="1" w:lastRow="1" w:firstColumn="1" w:lastColumn="1" w:noHBand="0" w:noVBand="0"/>
    </w:tblPr>
    <w:tblGrid>
      <w:gridCol w:w="9747"/>
    </w:tblGrid>
    <w:tr w:rsidR="00865A63" w:rsidRPr="00F83A6F" w:rsidTr="00B3689A">
      <w:trPr>
        <w:trHeight w:val="1286"/>
      </w:trPr>
      <w:tc>
        <w:tcPr>
          <w:tcW w:w="9747" w:type="dxa"/>
          <w:shd w:val="clear" w:color="auto" w:fill="auto"/>
          <w:vAlign w:val="center"/>
        </w:tcPr>
        <w:p w:rsidR="00865A63" w:rsidRPr="000A5CFD" w:rsidRDefault="000A5CFD" w:rsidP="0099149F">
          <w:pPr>
            <w:pStyle w:val="CertHDWhite"/>
            <w:rPr>
              <w:sz w:val="32"/>
              <w:szCs w:val="32"/>
            </w:rPr>
          </w:pPr>
          <w:r w:rsidRPr="000A5CFD">
            <w:rPr>
              <w:sz w:val="32"/>
              <w:szCs w:val="32"/>
            </w:rPr>
            <w:t>10/30 rule, 10/50 rule and fence line clearing</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294B08" w:rsidP="000305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0" type="#_x0000_t75" style="position:absolute;margin-left:0;margin-top:.5pt;width:595.3pt;height:278.65pt;z-index:-251659264;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7D5FA1"/>
    <w:multiLevelType w:val="hybridMultilevel"/>
    <w:tmpl w:val="FAD678FC"/>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F5190"/>
    <w:multiLevelType w:val="hybridMultilevel"/>
    <w:tmpl w:val="053E6964"/>
    <w:lvl w:ilvl="0" w:tplc="FFFFFFFF">
      <w:start w:val="1"/>
      <w:numFmt w:val="bullet"/>
      <w:pStyle w:val="Bodycopy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081956F9"/>
    <w:multiLevelType w:val="hybridMultilevel"/>
    <w:tmpl w:val="76B45CDC"/>
    <w:lvl w:ilvl="0" w:tplc="C3AAF360">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017645"/>
    <w:multiLevelType w:val="hybridMultilevel"/>
    <w:tmpl w:val="2B30494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nsid w:val="20CF6084"/>
    <w:multiLevelType w:val="hybridMultilevel"/>
    <w:tmpl w:val="F112C10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FE406C"/>
    <w:multiLevelType w:val="hybridMultilevel"/>
    <w:tmpl w:val="793C7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3A30CA"/>
    <w:multiLevelType w:val="hybridMultilevel"/>
    <w:tmpl w:val="E6AC02A6"/>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0"/>
  </w:num>
  <w:num w:numId="14">
    <w:abstractNumId w:val="17"/>
  </w:num>
  <w:num w:numId="15">
    <w:abstractNumId w:val="19"/>
  </w:num>
  <w:num w:numId="16">
    <w:abstractNumId w:val="13"/>
  </w:num>
  <w:num w:numId="17">
    <w:abstractNumId w:val="19"/>
  </w:num>
  <w:num w:numId="18">
    <w:abstractNumId w:val="19"/>
  </w:num>
  <w:num w:numId="19">
    <w:abstractNumId w:val="19"/>
  </w:num>
  <w:num w:numId="20">
    <w:abstractNumId w:val="10"/>
  </w:num>
  <w:num w:numId="21">
    <w:abstractNumId w:val="12"/>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11"/>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D5E"/>
    <w:rsid w:val="00012793"/>
    <w:rsid w:val="00013D7A"/>
    <w:rsid w:val="00027B45"/>
    <w:rsid w:val="0003050C"/>
    <w:rsid w:val="00034D96"/>
    <w:rsid w:val="0003535F"/>
    <w:rsid w:val="00055FEF"/>
    <w:rsid w:val="00063E31"/>
    <w:rsid w:val="0008754B"/>
    <w:rsid w:val="0009699E"/>
    <w:rsid w:val="000A5CFD"/>
    <w:rsid w:val="000A7B82"/>
    <w:rsid w:val="000C3259"/>
    <w:rsid w:val="000C39E4"/>
    <w:rsid w:val="00120C40"/>
    <w:rsid w:val="00120F3F"/>
    <w:rsid w:val="00135491"/>
    <w:rsid w:val="00154577"/>
    <w:rsid w:val="00177115"/>
    <w:rsid w:val="001A243B"/>
    <w:rsid w:val="001E2024"/>
    <w:rsid w:val="002015AD"/>
    <w:rsid w:val="002122D2"/>
    <w:rsid w:val="00217D52"/>
    <w:rsid w:val="00223D5E"/>
    <w:rsid w:val="002526EA"/>
    <w:rsid w:val="00285925"/>
    <w:rsid w:val="00294B08"/>
    <w:rsid w:val="002C4BC3"/>
    <w:rsid w:val="002C5BA2"/>
    <w:rsid w:val="002D3CC8"/>
    <w:rsid w:val="002D680B"/>
    <w:rsid w:val="002E2EC1"/>
    <w:rsid w:val="00321F9E"/>
    <w:rsid w:val="00330679"/>
    <w:rsid w:val="003F437F"/>
    <w:rsid w:val="003F5A5C"/>
    <w:rsid w:val="00404EF3"/>
    <w:rsid w:val="0043348E"/>
    <w:rsid w:val="00455AC0"/>
    <w:rsid w:val="0047538B"/>
    <w:rsid w:val="004969C1"/>
    <w:rsid w:val="004C2BC3"/>
    <w:rsid w:val="004E4BDF"/>
    <w:rsid w:val="004E6888"/>
    <w:rsid w:val="0050769F"/>
    <w:rsid w:val="00512102"/>
    <w:rsid w:val="005229C6"/>
    <w:rsid w:val="005304F7"/>
    <w:rsid w:val="00540762"/>
    <w:rsid w:val="00544B68"/>
    <w:rsid w:val="00557B17"/>
    <w:rsid w:val="00574046"/>
    <w:rsid w:val="00575F3A"/>
    <w:rsid w:val="00582724"/>
    <w:rsid w:val="005B3CE8"/>
    <w:rsid w:val="00606451"/>
    <w:rsid w:val="00623482"/>
    <w:rsid w:val="00656186"/>
    <w:rsid w:val="006741C5"/>
    <w:rsid w:val="00675636"/>
    <w:rsid w:val="006B4688"/>
    <w:rsid w:val="006F707D"/>
    <w:rsid w:val="00731631"/>
    <w:rsid w:val="00756A07"/>
    <w:rsid w:val="007702BD"/>
    <w:rsid w:val="007B0E45"/>
    <w:rsid w:val="007B1469"/>
    <w:rsid w:val="007B62F8"/>
    <w:rsid w:val="007B6E26"/>
    <w:rsid w:val="007E3E33"/>
    <w:rsid w:val="007F5211"/>
    <w:rsid w:val="0083541B"/>
    <w:rsid w:val="00862A04"/>
    <w:rsid w:val="00865A63"/>
    <w:rsid w:val="008732EE"/>
    <w:rsid w:val="008A3B87"/>
    <w:rsid w:val="008A6BBA"/>
    <w:rsid w:val="008B61B5"/>
    <w:rsid w:val="008C1B1D"/>
    <w:rsid w:val="008F4932"/>
    <w:rsid w:val="00926BDE"/>
    <w:rsid w:val="00953344"/>
    <w:rsid w:val="00962D3B"/>
    <w:rsid w:val="00972191"/>
    <w:rsid w:val="00981EA2"/>
    <w:rsid w:val="009872FB"/>
    <w:rsid w:val="0099149F"/>
    <w:rsid w:val="009C3B5A"/>
    <w:rsid w:val="009D65B5"/>
    <w:rsid w:val="009E666D"/>
    <w:rsid w:val="009E66AE"/>
    <w:rsid w:val="009F2D92"/>
    <w:rsid w:val="00A0021E"/>
    <w:rsid w:val="00A03F08"/>
    <w:rsid w:val="00A04614"/>
    <w:rsid w:val="00A11FE6"/>
    <w:rsid w:val="00A37BFA"/>
    <w:rsid w:val="00A56C4D"/>
    <w:rsid w:val="00A67D11"/>
    <w:rsid w:val="00A730A4"/>
    <w:rsid w:val="00A80B5A"/>
    <w:rsid w:val="00A83A7C"/>
    <w:rsid w:val="00A85593"/>
    <w:rsid w:val="00AF4DB4"/>
    <w:rsid w:val="00B137B4"/>
    <w:rsid w:val="00B24A07"/>
    <w:rsid w:val="00B3689A"/>
    <w:rsid w:val="00B475BF"/>
    <w:rsid w:val="00B5634F"/>
    <w:rsid w:val="00B95745"/>
    <w:rsid w:val="00BB37E4"/>
    <w:rsid w:val="00BD4BC3"/>
    <w:rsid w:val="00C061DD"/>
    <w:rsid w:val="00C12A10"/>
    <w:rsid w:val="00C46B5E"/>
    <w:rsid w:val="00C651CE"/>
    <w:rsid w:val="00C73267"/>
    <w:rsid w:val="00C772CA"/>
    <w:rsid w:val="00C7777E"/>
    <w:rsid w:val="00C86B17"/>
    <w:rsid w:val="00CA19B7"/>
    <w:rsid w:val="00CB00C9"/>
    <w:rsid w:val="00CD350A"/>
    <w:rsid w:val="00CE10A1"/>
    <w:rsid w:val="00D031F0"/>
    <w:rsid w:val="00D033C6"/>
    <w:rsid w:val="00D11924"/>
    <w:rsid w:val="00D13102"/>
    <w:rsid w:val="00D54DE0"/>
    <w:rsid w:val="00D57FF0"/>
    <w:rsid w:val="00DA0042"/>
    <w:rsid w:val="00DD0AB3"/>
    <w:rsid w:val="00DE5117"/>
    <w:rsid w:val="00DF6665"/>
    <w:rsid w:val="00E07718"/>
    <w:rsid w:val="00E2394C"/>
    <w:rsid w:val="00E30FFD"/>
    <w:rsid w:val="00E325A1"/>
    <w:rsid w:val="00E51072"/>
    <w:rsid w:val="00E56D27"/>
    <w:rsid w:val="00E6278D"/>
    <w:rsid w:val="00E8448C"/>
    <w:rsid w:val="00E9178F"/>
    <w:rsid w:val="00EA31C2"/>
    <w:rsid w:val="00EB2BB2"/>
    <w:rsid w:val="00EB75EA"/>
    <w:rsid w:val="00EC6F19"/>
    <w:rsid w:val="00ED713B"/>
    <w:rsid w:val="00F0013D"/>
    <w:rsid w:val="00F15CF7"/>
    <w:rsid w:val="00F22905"/>
    <w:rsid w:val="00F46148"/>
    <w:rsid w:val="00F67782"/>
    <w:rsid w:val="00F74678"/>
    <w:rsid w:val="00F83A6F"/>
    <w:rsid w:val="00F910D5"/>
    <w:rsid w:val="00F930FD"/>
    <w:rsid w:val="00FA2BC8"/>
    <w:rsid w:val="00FB6261"/>
    <w:rsid w:val="00FD34FA"/>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6"/>
    <o:shapelayout v:ext="edit">
      <o:idmap v:ext="edit" data="1"/>
      <o:rules v:ext="edit">
        <o:r id="V:Rule5" type="connector" idref="#_x0000_s1074">
          <o:proxy start="" idref="#_x0000_s1068" connectloc="2"/>
          <o:proxy end="" idref="#_x0000_s1070" connectloc="0"/>
        </o:r>
        <o:r id="V:Rule6" type="connector" idref="#_x0000_s1072">
          <o:proxy start="" idref="#_x0000_s1066" connectloc="2"/>
          <o:proxy end="" idref="#_x0000_s1068" connectloc="0"/>
        </o:r>
        <o:r id="V:Rule7" type="connector" idref="#_x0000_s1073">
          <o:proxy start="" idref="#_x0000_s1068" connectloc="2"/>
          <o:proxy end="" idref="#_x0000_s1069" connectloc="0"/>
        </o:r>
        <o:r id="V:Rule8" type="connector" idref="#_x0000_s1071">
          <o:proxy start="" idref="#_x0000_s1066" connectloc="2"/>
          <o:proxy end="" idref="#_x0000_s1067"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9"/>
    <w:qFormat/>
    <w:rsid w:val="000C39E4"/>
    <w:rPr>
      <w:sz w:val="24"/>
      <w:szCs w:val="24"/>
      <w:lang w:eastAsia="en-US"/>
    </w:rPr>
  </w:style>
  <w:style w:type="paragraph" w:styleId="Heading1">
    <w:name w:val="heading 1"/>
    <w:basedOn w:val="Normal"/>
    <w:next w:val="Normal"/>
    <w:semiHidden/>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D033C6"/>
    <w:pPr>
      <w:spacing w:after="113" w:line="240" w:lineRule="atLeast"/>
    </w:pPr>
    <w:rPr>
      <w:rFonts w:ascii="Arial" w:hAnsi="Arial" w:cs="Arial"/>
      <w:sz w:val="18"/>
      <w:szCs w:val="24"/>
      <w:lang w:eastAsia="en-US"/>
    </w:rPr>
  </w:style>
  <w:style w:type="paragraph" w:customStyle="1" w:styleId="Bullet">
    <w:name w:val="_Bullet"/>
    <w:link w:val="BulletChar"/>
    <w:autoRedefine/>
    <w:qFormat/>
    <w:rsid w:val="00F22905"/>
    <w:pPr>
      <w:numPr>
        <w:numId w:val="16"/>
      </w:numPr>
      <w:spacing w:after="113" w:line="220" w:lineRule="atLeast"/>
    </w:pPr>
    <w:rPr>
      <w:rFonts w:ascii="Arial" w:hAnsi="Arial" w:cs="Arial"/>
      <w:sz w:val="18"/>
      <w:szCs w:val="24"/>
      <w:lang w:eastAsia="en-US"/>
    </w:rPr>
  </w:style>
  <w:style w:type="character" w:customStyle="1" w:styleId="BulletChar">
    <w:name w:val="_Bullet Char"/>
    <w:link w:val="Bullet"/>
    <w:rsid w:val="00F22905"/>
    <w:rPr>
      <w:rFonts w:ascii="Arial" w:hAnsi="Arial" w:cs="Arial"/>
      <w:sz w:val="18"/>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D033C6"/>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D033C6"/>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033C6"/>
    <w:pPr>
      <w:spacing w:after="600" w:line="460" w:lineRule="atLeast"/>
      <w:outlineLvl w:val="0"/>
    </w:pPr>
    <w:rPr>
      <w:rFonts w:ascii="Arial" w:hAnsi="Arial" w:cs="Arial"/>
      <w:color w:val="F58426"/>
      <w:sz w:val="40"/>
      <w:szCs w:val="24"/>
      <w:lang w:val="en-US" w:eastAsia="en-US"/>
    </w:rPr>
  </w:style>
  <w:style w:type="paragraph" w:customStyle="1" w:styleId="HB">
    <w:name w:val="_HB"/>
    <w:next w:val="Body"/>
    <w:uiPriority w:val="2"/>
    <w:qFormat/>
    <w:rsid w:val="00D033C6"/>
    <w:pPr>
      <w:spacing w:before="180" w:after="113" w:line="300" w:lineRule="atLeast"/>
      <w:outlineLvl w:val="0"/>
    </w:pPr>
    <w:rPr>
      <w:rFonts w:ascii="Arial" w:hAnsi="Arial" w:cs="Arial"/>
      <w:b/>
      <w:color w:val="F5842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D11924"/>
    <w:pPr>
      <w:spacing w:before="85" w:after="170" w:line="300" w:lineRule="atLeast"/>
    </w:pPr>
    <w:rPr>
      <w:rFonts w:ascii="Arial" w:hAnsi="Arial" w:cs="Arial"/>
      <w:color w:val="FFFFFF"/>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rsid w:val="00F7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uiPriority w:val="9"/>
    <w:rsid w:val="0047538B"/>
    <w:pPr>
      <w:spacing w:after="85" w:line="170" w:lineRule="atLeast"/>
    </w:pPr>
    <w:rPr>
      <w:rFonts w:ascii="Arial" w:hAnsi="Arial" w:cs="Arial"/>
      <w:sz w:val="14"/>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 w:val="20"/>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 w:val="20"/>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 w:val="20"/>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04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rFonts w:ascii="Arial" w:hAnsi="Arial" w:cs="Arial"/>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character" w:customStyle="1" w:styleId="SubheadChar">
    <w:name w:val="Sub head Char"/>
    <w:link w:val="Subhead"/>
    <w:locked/>
    <w:rsid w:val="00F22905"/>
    <w:rPr>
      <w:rFonts w:ascii="Tahoma" w:hAnsi="Tahoma" w:cs="Tahoma"/>
      <w:b/>
      <w:noProof/>
    </w:rPr>
  </w:style>
  <w:style w:type="paragraph" w:customStyle="1" w:styleId="Subhead">
    <w:name w:val="Sub head"/>
    <w:link w:val="SubheadChar"/>
    <w:rsid w:val="00F22905"/>
    <w:pPr>
      <w:spacing w:before="180" w:after="60" w:line="260" w:lineRule="exact"/>
    </w:pPr>
    <w:rPr>
      <w:rFonts w:ascii="Tahoma" w:hAnsi="Tahoma" w:cs="Tahoma"/>
      <w:b/>
      <w:noProof/>
    </w:rPr>
  </w:style>
  <w:style w:type="paragraph" w:customStyle="1" w:styleId="Bodycopy">
    <w:name w:val="Body copy"/>
    <w:rsid w:val="00F22905"/>
    <w:pPr>
      <w:spacing w:after="120" w:line="240" w:lineRule="exact"/>
    </w:pPr>
    <w:rPr>
      <w:rFonts w:ascii="Lucida Bright" w:eastAsia="Times" w:hAnsi="Lucida Bright"/>
      <w:sz w:val="17"/>
    </w:rPr>
  </w:style>
  <w:style w:type="paragraph" w:customStyle="1" w:styleId="Bodycopybullets">
    <w:name w:val="Body copy bullets"/>
    <w:basedOn w:val="Bodycopy"/>
    <w:rsid w:val="00F22905"/>
    <w:pPr>
      <w:numPr>
        <w:numId w:val="21"/>
      </w:numPr>
      <w:spacing w:after="60"/>
      <w:ind w:left="284" w:hanging="284"/>
    </w:pPr>
  </w:style>
  <w:style w:type="character" w:customStyle="1" w:styleId="SubheadstartChar">
    <w:name w:val="Sub head start Char"/>
    <w:link w:val="Subheadstart"/>
    <w:locked/>
    <w:rsid w:val="00F22905"/>
    <w:rPr>
      <w:rFonts w:ascii="Tahoma" w:hAnsi="Tahoma" w:cs="Tahoma"/>
      <w:b/>
    </w:rPr>
  </w:style>
  <w:style w:type="paragraph" w:customStyle="1" w:styleId="Subheadstart">
    <w:name w:val="Sub head start"/>
    <w:basedOn w:val="Subhead"/>
    <w:link w:val="SubheadstartChar"/>
    <w:rsid w:val="00F22905"/>
    <w:pPr>
      <w:spacing w:before="0"/>
    </w:pPr>
    <w:rPr>
      <w:noProof w:val="0"/>
    </w:rPr>
  </w:style>
  <w:style w:type="character" w:styleId="FootnoteReference">
    <w:name w:val="footnote reference"/>
    <w:semiHidden/>
    <w:unhideWhenUsed/>
    <w:rsid w:val="00F22905"/>
    <w:rPr>
      <w:vertAlign w:val="superscript"/>
    </w:rPr>
  </w:style>
  <w:style w:type="paragraph" w:customStyle="1" w:styleId="16pt">
    <w:name w:val="16pt"/>
    <w:rsid w:val="00F22905"/>
    <w:pPr>
      <w:spacing w:after="60" w:line="720" w:lineRule="exact"/>
    </w:pPr>
    <w:rPr>
      <w:rFonts w:ascii="Tahoma" w:eastAsia="Times" w:hAnsi="Tahoma"/>
      <w:noProo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
    <w:name w:val="111111"/>
    <w:pPr>
      <w:numPr>
        <w:numId w:val="12"/>
      </w:numPr>
    </w:pPr>
  </w:style>
  <w:style w:type="numbering" w:customStyle="1" w:styleId="Bullet">
    <w:name w:val="ArticleSection"/>
    <w:pPr>
      <w:numPr>
        <w:numId w:val="14"/>
      </w:numPr>
    </w:pPr>
  </w:style>
  <w:style w:type="numbering" w:customStyle="1" w:styleId="Bullet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2971">
      <w:bodyDiv w:val="1"/>
      <w:marLeft w:val="0"/>
      <w:marRight w:val="0"/>
      <w:marTop w:val="0"/>
      <w:marBottom w:val="0"/>
      <w:divBdr>
        <w:top w:val="none" w:sz="0" w:space="0" w:color="auto"/>
        <w:left w:val="none" w:sz="0" w:space="0" w:color="auto"/>
        <w:bottom w:val="none" w:sz="0" w:space="0" w:color="auto"/>
        <w:right w:val="none" w:sz="0" w:space="0" w:color="auto"/>
      </w:divBdr>
    </w:div>
    <w:div w:id="417488199">
      <w:bodyDiv w:val="1"/>
      <w:marLeft w:val="0"/>
      <w:marRight w:val="0"/>
      <w:marTop w:val="0"/>
      <w:marBottom w:val="0"/>
      <w:divBdr>
        <w:top w:val="none" w:sz="0" w:space="0" w:color="auto"/>
        <w:left w:val="none" w:sz="0" w:space="0" w:color="auto"/>
        <w:bottom w:val="none" w:sz="0" w:space="0" w:color="auto"/>
        <w:right w:val="none" w:sz="0" w:space="0" w:color="auto"/>
      </w:divBdr>
    </w:div>
    <w:div w:id="692222528">
      <w:bodyDiv w:val="1"/>
      <w:marLeft w:val="0"/>
      <w:marRight w:val="0"/>
      <w:marTop w:val="0"/>
      <w:marBottom w:val="0"/>
      <w:divBdr>
        <w:top w:val="none" w:sz="0" w:space="0" w:color="auto"/>
        <w:left w:val="none" w:sz="0" w:space="0" w:color="auto"/>
        <w:bottom w:val="none" w:sz="0" w:space="0" w:color="auto"/>
        <w:right w:val="none" w:sz="0" w:space="0" w:color="auto"/>
      </w:divBdr>
    </w:div>
    <w:div w:id="949049912">
      <w:bodyDiv w:val="1"/>
      <w:marLeft w:val="0"/>
      <w:marRight w:val="0"/>
      <w:marTop w:val="0"/>
      <w:marBottom w:val="0"/>
      <w:divBdr>
        <w:top w:val="none" w:sz="0" w:space="0" w:color="auto"/>
        <w:left w:val="none" w:sz="0" w:space="0" w:color="auto"/>
        <w:bottom w:val="none" w:sz="0" w:space="0" w:color="auto"/>
        <w:right w:val="none" w:sz="0" w:space="0" w:color="auto"/>
      </w:divBdr>
    </w:div>
    <w:div w:id="1175730191">
      <w:bodyDiv w:val="1"/>
      <w:marLeft w:val="0"/>
      <w:marRight w:val="0"/>
      <w:marTop w:val="0"/>
      <w:marBottom w:val="0"/>
      <w:divBdr>
        <w:top w:val="none" w:sz="0" w:space="0" w:color="auto"/>
        <w:left w:val="none" w:sz="0" w:space="0" w:color="auto"/>
        <w:bottom w:val="none" w:sz="0" w:space="0" w:color="auto"/>
        <w:right w:val="none" w:sz="0" w:space="0" w:color="auto"/>
      </w:divBdr>
    </w:div>
    <w:div w:id="1665353291">
      <w:bodyDiv w:val="1"/>
      <w:marLeft w:val="0"/>
      <w:marRight w:val="0"/>
      <w:marTop w:val="0"/>
      <w:marBottom w:val="0"/>
      <w:divBdr>
        <w:top w:val="none" w:sz="0" w:space="0" w:color="auto"/>
        <w:left w:val="none" w:sz="0" w:space="0" w:color="auto"/>
        <w:bottom w:val="none" w:sz="0" w:space="0" w:color="auto"/>
        <w:right w:val="none" w:sz="0" w:space="0" w:color="auto"/>
      </w:divBdr>
    </w:div>
    <w:div w:id="1752702688">
      <w:bodyDiv w:val="1"/>
      <w:marLeft w:val="0"/>
      <w:marRight w:val="0"/>
      <w:marTop w:val="0"/>
      <w:marBottom w:val="0"/>
      <w:divBdr>
        <w:top w:val="none" w:sz="0" w:space="0" w:color="auto"/>
        <w:left w:val="none" w:sz="0" w:space="0" w:color="auto"/>
        <w:bottom w:val="none" w:sz="0" w:space="0" w:color="auto"/>
        <w:right w:val="none" w:sz="0" w:space="0" w:color="auto"/>
      </w:divBdr>
    </w:div>
    <w:div w:id="19099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d.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d.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DEPI.dotx</Template>
  <TotalTime>0</TotalTime>
  <Pages>2</Pages>
  <Words>889</Words>
  <Characters>4625</Characters>
  <Application>Microsoft Office Word</Application>
  <DocSecurity>0</DocSecurity>
  <Lines>136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2013-10-04T02:38:00Z</dcterms:created>
  <dcterms:modified xsi:type="dcterms:W3CDTF">2013-10-11T04:10:00Z</dcterms:modified>
</cp:coreProperties>
</file>