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53EE3" w14:textId="77777777" w:rsidR="00CA4ACE" w:rsidRDefault="00CA4ACE" w:rsidP="00BF3797">
      <w:pPr>
        <w:pStyle w:val="ListBullet"/>
      </w:pPr>
    </w:p>
    <w:p w14:paraId="770B391D" w14:textId="77777777" w:rsidR="00113957" w:rsidRDefault="007C1D7E" w:rsidP="00206C37">
      <w:pPr>
        <w:pStyle w:val="CoverAdress"/>
        <w:framePr w:wrap="around"/>
        <w:spacing w:before="60" w:after="60"/>
        <w:rPr>
          <w:rFonts w:cs="Arial"/>
          <w:color w:val="000000"/>
        </w:rPr>
      </w:pPr>
      <w:r>
        <w:rPr>
          <w:rFonts w:cs="Arial"/>
          <w:b/>
          <w:bCs/>
          <w:color w:val="000000"/>
        </w:rPr>
        <w:t xml:space="preserve">ISBN </w:t>
      </w:r>
      <w:r>
        <w:rPr>
          <w:rFonts w:cs="Arial"/>
          <w:color w:val="000000"/>
        </w:rPr>
        <w:t xml:space="preserve">978-1-76136-246-0 </w:t>
      </w:r>
      <w:r>
        <w:rPr>
          <w:rFonts w:cs="Arial"/>
          <w:b/>
          <w:bCs/>
          <w:color w:val="000000"/>
        </w:rPr>
        <w:t>(pdf/online/MS word)</w:t>
      </w:r>
      <w:r>
        <w:rPr>
          <w:rFonts w:cs="Arial"/>
          <w:color w:val="000000"/>
        </w:rPr>
        <w:t xml:space="preserve"> </w:t>
      </w:r>
    </w:p>
    <w:p w14:paraId="332A8071" w14:textId="692978C6" w:rsidR="0040572D" w:rsidRDefault="00263AEC" w:rsidP="00206C37">
      <w:pPr>
        <w:pStyle w:val="CoverAdress"/>
        <w:framePr w:wrap="around"/>
        <w:spacing w:before="60" w:after="60"/>
      </w:pPr>
      <w:r>
        <w:t>Level 1 East, 1100-1102 Toorak Road, Camberwell Victoria 3124</w:t>
      </w:r>
    </w:p>
    <w:p w14:paraId="008E357D" w14:textId="77777777" w:rsidR="00584AEA" w:rsidRDefault="00F84C03" w:rsidP="00206C37">
      <w:pPr>
        <w:pStyle w:val="CoverAdress"/>
        <w:framePr w:wrap="around"/>
        <w:spacing w:before="60" w:after="60"/>
      </w:pPr>
      <w:proofErr w:type="gramStart"/>
      <w:r w:rsidRPr="0030186C">
        <w:t>rmcg.com.au</w:t>
      </w:r>
      <w:r w:rsidR="0030186C" w:rsidRPr="0030186C">
        <w:t xml:space="preserve"> </w:t>
      </w:r>
      <w:r w:rsidR="0030186C">
        <w:t xml:space="preserve"> </w:t>
      </w:r>
      <w:r w:rsidR="0030186C" w:rsidRPr="0030186C">
        <w:t>—</w:t>
      </w:r>
      <w:proofErr w:type="gramEnd"/>
      <w:r w:rsidR="0030186C" w:rsidRPr="0030186C">
        <w:t xml:space="preserve">  ABN  73 613 135 247  —  RM Consulting Group Pty Ltd</w:t>
      </w:r>
    </w:p>
    <w:p w14:paraId="6AA6A5FE" w14:textId="77777777" w:rsidR="0030186C" w:rsidRPr="0030186C" w:rsidRDefault="0030186C" w:rsidP="00206C37">
      <w:pPr>
        <w:pStyle w:val="CoverAdress"/>
        <w:framePr w:wrap="around"/>
        <w:spacing w:before="60" w:after="60"/>
      </w:pPr>
      <w:proofErr w:type="gramStart"/>
      <w:r>
        <w:t xml:space="preserve">Victoria  </w:t>
      </w:r>
      <w:r w:rsidRPr="0030186C">
        <w:t>—</w:t>
      </w:r>
      <w:proofErr w:type="gramEnd"/>
      <w:r>
        <w:t xml:space="preserve">  Tasmania  </w:t>
      </w:r>
      <w:r w:rsidRPr="0030186C">
        <w:t>—</w:t>
      </w:r>
      <w:r>
        <w:t xml:space="preserve">  ACT  </w:t>
      </w:r>
      <w:r w:rsidRPr="0030186C">
        <w:t>—</w:t>
      </w:r>
      <w:r>
        <w:t xml:space="preserve">  NSW</w:t>
      </w:r>
    </w:p>
    <w:p w14:paraId="163AFA36" w14:textId="77777777" w:rsidR="00A464D0" w:rsidRDefault="00A464D0"/>
    <w:sdt>
      <w:sdtPr>
        <w:id w:val="-552474324"/>
        <w:placeholder>
          <w:docPart w:val="CAAE7AE54157814B8F1FD57DDC0D9BCF"/>
        </w:placeholder>
      </w:sdtPr>
      <w:sdtContent>
        <w:p w14:paraId="6F9DAF00" w14:textId="76CBEFD0" w:rsidR="002F192F" w:rsidRDefault="00D74F7D" w:rsidP="002F192F">
          <w:pPr>
            <w:pStyle w:val="CoverVersionDate"/>
            <w:rPr>
              <w:b w:val="0"/>
              <w:caps w:val="0"/>
              <w:color w:val="auto"/>
              <w:spacing w:val="0"/>
              <w:sz w:val="20"/>
            </w:rPr>
          </w:pPr>
          <w:r>
            <w:t>5</w:t>
          </w:r>
          <w:r w:rsidR="007B3E1F">
            <w:t xml:space="preserve"> december</w:t>
          </w:r>
          <w:r w:rsidR="0012632B">
            <w:t xml:space="preserve"> </w:t>
          </w:r>
          <w:r w:rsidR="00355ECC">
            <w:t>2022</w:t>
          </w:r>
        </w:p>
      </w:sdtContent>
    </w:sdt>
    <w:p w14:paraId="0F4F747C" w14:textId="494251D6" w:rsidR="002F192F" w:rsidRDefault="0012632B" w:rsidP="00B12354">
      <w:pPr>
        <w:pStyle w:val="Title"/>
        <w:framePr w:w="8359" w:wrap="notBeside" w:hAnchor="page" w:x="2422" w:y="8"/>
        <w:ind w:left="142"/>
      </w:pPr>
      <w:r>
        <w:t xml:space="preserve">Review of Legislative Protections for the </w:t>
      </w:r>
      <w:r w:rsidR="00B25085">
        <w:t xml:space="preserve">Threatened Species and Communities </w:t>
      </w:r>
      <w:r>
        <w:t>of Victoria’s Forests</w:t>
      </w:r>
    </w:p>
    <w:sdt>
      <w:sdtPr>
        <w:id w:val="1265267376"/>
        <w:placeholder>
          <w:docPart w:val="D09BD25DCA97C54CBFD2A64914114CCE"/>
        </w:placeholder>
      </w:sdtPr>
      <w:sdtContent>
        <w:p w14:paraId="763478A8" w14:textId="406C01D9" w:rsidR="00B12354" w:rsidRDefault="007B3E1F" w:rsidP="00B12354">
          <w:pPr>
            <w:pStyle w:val="CoverSubtitle"/>
            <w:rPr>
              <w:sz w:val="18"/>
            </w:rPr>
          </w:pPr>
          <w:r>
            <w:t>Final</w:t>
          </w:r>
          <w:r w:rsidR="00B25085">
            <w:t xml:space="preserve"> </w:t>
          </w:r>
          <w:r w:rsidR="00D92F68">
            <w:t>Report</w:t>
          </w:r>
          <w:r w:rsidR="00B25085">
            <w:t xml:space="preserve"> </w:t>
          </w:r>
        </w:p>
        <w:p w14:paraId="5605CD66" w14:textId="66F532A0" w:rsidR="002F192F" w:rsidRDefault="00B25085" w:rsidP="00B12354">
          <w:pPr>
            <w:pStyle w:val="CoverSubtitle"/>
            <w:rPr>
              <w:rFonts w:ascii="Arial" w:hAnsi="Arial" w:cstheme="minorBidi"/>
              <w:color w:val="auto"/>
              <w:sz w:val="20"/>
              <w:szCs w:val="20"/>
              <w:lang w:val="en-AU"/>
            </w:rPr>
          </w:pPr>
          <w:r>
            <w:t>Department of Environment, Land, Water and Planning (DELWP)</w:t>
          </w:r>
        </w:p>
      </w:sdtContent>
    </w:sdt>
    <w:p w14:paraId="37A5B25F" w14:textId="77777777" w:rsidR="009F5209" w:rsidRDefault="009F5209">
      <w:pPr>
        <w:sectPr w:rsidR="009F5209" w:rsidSect="00A0218E">
          <w:headerReference w:type="even" r:id="rId14"/>
          <w:headerReference w:type="default" r:id="rId15"/>
          <w:footerReference w:type="even" r:id="rId16"/>
          <w:footerReference w:type="default" r:id="rId17"/>
          <w:headerReference w:type="first" r:id="rId18"/>
          <w:footerReference w:type="first" r:id="rId19"/>
          <w:pgSz w:w="11906" w:h="16838" w:code="9"/>
          <w:pgMar w:top="974" w:right="1134" w:bottom="2268" w:left="1134" w:header="246" w:footer="680" w:gutter="0"/>
          <w:pgNumType w:start="1"/>
          <w:cols w:space="708"/>
          <w:docGrid w:linePitch="360"/>
        </w:sectPr>
      </w:pPr>
    </w:p>
    <w:p w14:paraId="6AB8CB10" w14:textId="77777777" w:rsidR="00AB44C2" w:rsidRDefault="00AB44C2" w:rsidP="00AB44C2">
      <w:pPr>
        <w:pStyle w:val="TOCHeading"/>
      </w:pPr>
      <w:r w:rsidRPr="00AB44C2">
        <w:lastRenderedPageBreak/>
        <w:t>Table of Contents</w:t>
      </w:r>
    </w:p>
    <w:p w14:paraId="4539ACEC" w14:textId="1AFA1495" w:rsidR="006904F6" w:rsidRDefault="006E33CD" w:rsidP="006904F6">
      <w:pPr>
        <w:pStyle w:val="TOC1"/>
        <w:rPr>
          <w:rFonts w:asciiTheme="minorHAnsi" w:eastAsiaTheme="minorEastAsia" w:hAnsiTheme="minorHAnsi"/>
          <w:noProof/>
          <w:color w:val="auto"/>
          <w:szCs w:val="24"/>
          <w:lang w:eastAsia="en-GB"/>
        </w:rPr>
      </w:pPr>
      <w:r>
        <w:fldChar w:fldCharType="begin"/>
      </w:r>
      <w:r>
        <w:instrText xml:space="preserve"> TOC \o "1-1" </w:instrText>
      </w:r>
      <w:r w:rsidR="006E728E">
        <w:instrText xml:space="preserve">\h </w:instrText>
      </w:r>
      <w:r>
        <w:instrText xml:space="preserve">\t "Heading 2,2,Heading 1 No Numbers,1,Heading 2 no Numbers,2" </w:instrText>
      </w:r>
      <w:r>
        <w:fldChar w:fldCharType="separate"/>
      </w:r>
      <w:hyperlink w:anchor="_Toc121258692" w:history="1">
        <w:r w:rsidR="006904F6" w:rsidRPr="00FA2B98">
          <w:rPr>
            <w:rStyle w:val="Hyperlink"/>
            <w:noProof/>
          </w:rPr>
          <w:t>Executive Summary</w:t>
        </w:r>
        <w:r w:rsidR="006904F6">
          <w:rPr>
            <w:noProof/>
          </w:rPr>
          <w:tab/>
        </w:r>
        <w:r w:rsidR="006904F6">
          <w:rPr>
            <w:noProof/>
          </w:rPr>
          <w:fldChar w:fldCharType="begin"/>
        </w:r>
        <w:r w:rsidR="006904F6">
          <w:rPr>
            <w:noProof/>
          </w:rPr>
          <w:instrText xml:space="preserve"> PAGEREF _Toc121258692 \h </w:instrText>
        </w:r>
        <w:r w:rsidR="006904F6">
          <w:rPr>
            <w:noProof/>
          </w:rPr>
        </w:r>
        <w:r w:rsidR="006904F6">
          <w:rPr>
            <w:noProof/>
          </w:rPr>
          <w:fldChar w:fldCharType="separate"/>
        </w:r>
        <w:r w:rsidR="00A63971">
          <w:rPr>
            <w:noProof/>
          </w:rPr>
          <w:t>2</w:t>
        </w:r>
        <w:r w:rsidR="006904F6">
          <w:rPr>
            <w:noProof/>
          </w:rPr>
          <w:fldChar w:fldCharType="end"/>
        </w:r>
      </w:hyperlink>
    </w:p>
    <w:p w14:paraId="50ABA26A" w14:textId="39336A9C" w:rsidR="006904F6" w:rsidRDefault="00000000">
      <w:pPr>
        <w:pStyle w:val="TOC2"/>
        <w:rPr>
          <w:rFonts w:asciiTheme="minorHAnsi" w:eastAsiaTheme="minorEastAsia" w:hAnsiTheme="minorHAnsi"/>
          <w:caps w:val="0"/>
          <w:noProof/>
          <w:color w:val="auto"/>
          <w:sz w:val="24"/>
          <w:szCs w:val="24"/>
          <w:lang w:eastAsia="en-GB"/>
        </w:rPr>
      </w:pPr>
      <w:hyperlink w:anchor="_Toc121258693" w:history="1">
        <w:r w:rsidR="006904F6" w:rsidRPr="00FA2B98">
          <w:rPr>
            <w:rStyle w:val="Hyperlink"/>
            <w:noProof/>
          </w:rPr>
          <w:t>acronyms and Abbreviation</w:t>
        </w:r>
        <w:r w:rsidR="006904F6">
          <w:t>s</w:t>
        </w:r>
        <w:r w:rsidR="006904F6">
          <w:rPr>
            <w:noProof/>
          </w:rPr>
          <w:tab/>
        </w:r>
        <w:r w:rsidR="006904F6">
          <w:rPr>
            <w:noProof/>
          </w:rPr>
          <w:fldChar w:fldCharType="begin"/>
        </w:r>
        <w:r w:rsidR="006904F6">
          <w:rPr>
            <w:noProof/>
          </w:rPr>
          <w:instrText xml:space="preserve"> PAGEREF _Toc121258693 \h </w:instrText>
        </w:r>
        <w:r w:rsidR="006904F6">
          <w:rPr>
            <w:noProof/>
          </w:rPr>
          <w:fldChar w:fldCharType="separate"/>
        </w:r>
        <w:r w:rsidR="00A63971">
          <w:rPr>
            <w:b/>
            <w:bCs/>
            <w:noProof/>
            <w:lang w:val="en-US"/>
          </w:rPr>
          <w:t>Error! Bookmark not defined.</w:t>
        </w:r>
        <w:r w:rsidR="006904F6">
          <w:rPr>
            <w:noProof/>
          </w:rPr>
          <w:fldChar w:fldCharType="end"/>
        </w:r>
      </w:hyperlink>
    </w:p>
    <w:p w14:paraId="63829DB0" w14:textId="4DF5AEB5" w:rsidR="006904F6" w:rsidRDefault="00000000" w:rsidP="006904F6">
      <w:pPr>
        <w:pStyle w:val="TOC1"/>
        <w:rPr>
          <w:rFonts w:asciiTheme="minorHAnsi" w:eastAsiaTheme="minorEastAsia" w:hAnsiTheme="minorHAnsi"/>
          <w:noProof/>
          <w:color w:val="auto"/>
          <w:szCs w:val="24"/>
          <w:lang w:eastAsia="en-GB"/>
        </w:rPr>
      </w:pPr>
      <w:hyperlink w:anchor="_Toc121258694" w:history="1">
        <w:r w:rsidR="006904F6" w:rsidRPr="00FA2B98">
          <w:rPr>
            <w:rStyle w:val="Hyperlink"/>
            <w:noProof/>
          </w:rPr>
          <w:t>1</w:t>
        </w:r>
        <w:r w:rsidR="006904F6">
          <w:rPr>
            <w:rFonts w:asciiTheme="minorHAnsi" w:eastAsiaTheme="minorEastAsia" w:hAnsiTheme="minorHAnsi"/>
            <w:noProof/>
            <w:color w:val="auto"/>
            <w:szCs w:val="24"/>
            <w:lang w:eastAsia="en-GB"/>
          </w:rPr>
          <w:tab/>
        </w:r>
        <w:r w:rsidR="006904F6" w:rsidRPr="00FA2B98">
          <w:rPr>
            <w:rStyle w:val="Hyperlink"/>
            <w:noProof/>
          </w:rPr>
          <w:t>Introduction</w:t>
        </w:r>
        <w:r w:rsidR="006904F6">
          <w:rPr>
            <w:noProof/>
          </w:rPr>
          <w:tab/>
        </w:r>
        <w:r w:rsidR="006904F6">
          <w:rPr>
            <w:noProof/>
          </w:rPr>
          <w:fldChar w:fldCharType="begin"/>
        </w:r>
        <w:r w:rsidR="006904F6">
          <w:rPr>
            <w:noProof/>
          </w:rPr>
          <w:instrText xml:space="preserve"> PAGEREF _Toc121258694 \h </w:instrText>
        </w:r>
        <w:r w:rsidR="006904F6">
          <w:rPr>
            <w:noProof/>
          </w:rPr>
        </w:r>
        <w:r w:rsidR="006904F6">
          <w:rPr>
            <w:noProof/>
          </w:rPr>
          <w:fldChar w:fldCharType="separate"/>
        </w:r>
        <w:r w:rsidR="00A63971">
          <w:rPr>
            <w:noProof/>
          </w:rPr>
          <w:t>8</w:t>
        </w:r>
        <w:r w:rsidR="006904F6">
          <w:rPr>
            <w:noProof/>
          </w:rPr>
          <w:fldChar w:fldCharType="end"/>
        </w:r>
      </w:hyperlink>
    </w:p>
    <w:p w14:paraId="24E85955" w14:textId="52595C1D" w:rsidR="006904F6" w:rsidRDefault="00000000">
      <w:pPr>
        <w:pStyle w:val="TOC2"/>
        <w:rPr>
          <w:rFonts w:asciiTheme="minorHAnsi" w:eastAsiaTheme="minorEastAsia" w:hAnsiTheme="minorHAnsi"/>
          <w:caps w:val="0"/>
          <w:noProof/>
          <w:color w:val="auto"/>
          <w:sz w:val="24"/>
          <w:szCs w:val="24"/>
          <w:lang w:eastAsia="en-GB"/>
        </w:rPr>
      </w:pPr>
      <w:hyperlink w:anchor="_Toc121258695" w:history="1">
        <w:r w:rsidR="006904F6" w:rsidRPr="00FA2B98">
          <w:rPr>
            <w:rStyle w:val="Hyperlink"/>
            <w:noProof/>
          </w:rPr>
          <w:t>1.1</w:t>
        </w:r>
        <w:r w:rsidR="006904F6">
          <w:rPr>
            <w:rFonts w:asciiTheme="minorHAnsi" w:eastAsiaTheme="minorEastAsia" w:hAnsiTheme="minorHAnsi"/>
            <w:caps w:val="0"/>
            <w:noProof/>
            <w:color w:val="auto"/>
            <w:sz w:val="24"/>
            <w:szCs w:val="24"/>
            <w:lang w:eastAsia="en-GB"/>
          </w:rPr>
          <w:tab/>
        </w:r>
        <w:r w:rsidR="006904F6" w:rsidRPr="00FA2B98">
          <w:rPr>
            <w:rStyle w:val="Hyperlink"/>
            <w:noProof/>
          </w:rPr>
          <w:t>background</w:t>
        </w:r>
        <w:r w:rsidR="006904F6">
          <w:rPr>
            <w:noProof/>
          </w:rPr>
          <w:tab/>
        </w:r>
        <w:r w:rsidR="006904F6">
          <w:rPr>
            <w:noProof/>
          </w:rPr>
          <w:fldChar w:fldCharType="begin"/>
        </w:r>
        <w:r w:rsidR="006904F6">
          <w:rPr>
            <w:noProof/>
          </w:rPr>
          <w:instrText xml:space="preserve"> PAGEREF _Toc121258695 \h </w:instrText>
        </w:r>
        <w:r w:rsidR="006904F6">
          <w:rPr>
            <w:noProof/>
          </w:rPr>
        </w:r>
        <w:r w:rsidR="006904F6">
          <w:rPr>
            <w:noProof/>
          </w:rPr>
          <w:fldChar w:fldCharType="separate"/>
        </w:r>
        <w:r w:rsidR="00A63971">
          <w:rPr>
            <w:noProof/>
          </w:rPr>
          <w:t>8</w:t>
        </w:r>
        <w:r w:rsidR="006904F6">
          <w:rPr>
            <w:noProof/>
          </w:rPr>
          <w:fldChar w:fldCharType="end"/>
        </w:r>
      </w:hyperlink>
    </w:p>
    <w:p w14:paraId="00B7D70B" w14:textId="422F224E" w:rsidR="006904F6" w:rsidRDefault="00000000">
      <w:pPr>
        <w:pStyle w:val="TOC2"/>
        <w:rPr>
          <w:rFonts w:asciiTheme="minorHAnsi" w:eastAsiaTheme="minorEastAsia" w:hAnsiTheme="minorHAnsi"/>
          <w:caps w:val="0"/>
          <w:noProof/>
          <w:color w:val="auto"/>
          <w:sz w:val="24"/>
          <w:szCs w:val="24"/>
          <w:lang w:eastAsia="en-GB"/>
        </w:rPr>
      </w:pPr>
      <w:hyperlink w:anchor="_Toc121258696" w:history="1">
        <w:r w:rsidR="006904F6" w:rsidRPr="00FA2B98">
          <w:rPr>
            <w:rStyle w:val="Hyperlink"/>
            <w:noProof/>
          </w:rPr>
          <w:t>1.2</w:t>
        </w:r>
        <w:r w:rsidR="006904F6">
          <w:rPr>
            <w:rFonts w:asciiTheme="minorHAnsi" w:eastAsiaTheme="minorEastAsia" w:hAnsiTheme="minorHAnsi"/>
            <w:caps w:val="0"/>
            <w:noProof/>
            <w:color w:val="auto"/>
            <w:sz w:val="24"/>
            <w:szCs w:val="24"/>
            <w:lang w:eastAsia="en-GB"/>
          </w:rPr>
          <w:tab/>
        </w:r>
        <w:r w:rsidR="006904F6" w:rsidRPr="00FA2B98">
          <w:rPr>
            <w:rStyle w:val="Hyperlink"/>
            <w:noProof/>
          </w:rPr>
          <w:t>scope</w:t>
        </w:r>
        <w:r w:rsidR="006904F6">
          <w:rPr>
            <w:noProof/>
          </w:rPr>
          <w:tab/>
        </w:r>
        <w:r w:rsidR="006904F6">
          <w:rPr>
            <w:noProof/>
          </w:rPr>
          <w:fldChar w:fldCharType="begin"/>
        </w:r>
        <w:r w:rsidR="006904F6">
          <w:rPr>
            <w:noProof/>
          </w:rPr>
          <w:instrText xml:space="preserve"> PAGEREF _Toc121258696 \h </w:instrText>
        </w:r>
        <w:r w:rsidR="006904F6">
          <w:rPr>
            <w:noProof/>
          </w:rPr>
        </w:r>
        <w:r w:rsidR="006904F6">
          <w:rPr>
            <w:noProof/>
          </w:rPr>
          <w:fldChar w:fldCharType="separate"/>
        </w:r>
        <w:r w:rsidR="00A63971">
          <w:rPr>
            <w:noProof/>
          </w:rPr>
          <w:t>8</w:t>
        </w:r>
        <w:r w:rsidR="006904F6">
          <w:rPr>
            <w:noProof/>
          </w:rPr>
          <w:fldChar w:fldCharType="end"/>
        </w:r>
      </w:hyperlink>
    </w:p>
    <w:p w14:paraId="27C16736" w14:textId="3B13874F" w:rsidR="006904F6" w:rsidRDefault="00000000">
      <w:pPr>
        <w:pStyle w:val="TOC2"/>
        <w:rPr>
          <w:rFonts w:asciiTheme="minorHAnsi" w:eastAsiaTheme="minorEastAsia" w:hAnsiTheme="minorHAnsi"/>
          <w:caps w:val="0"/>
          <w:noProof/>
          <w:color w:val="auto"/>
          <w:sz w:val="24"/>
          <w:szCs w:val="24"/>
          <w:lang w:eastAsia="en-GB"/>
        </w:rPr>
      </w:pPr>
      <w:hyperlink w:anchor="_Toc121258697" w:history="1">
        <w:r w:rsidR="006904F6" w:rsidRPr="00FA2B98">
          <w:rPr>
            <w:rStyle w:val="Hyperlink"/>
            <w:noProof/>
          </w:rPr>
          <w:t>1.3</w:t>
        </w:r>
        <w:r w:rsidR="006904F6">
          <w:rPr>
            <w:rFonts w:asciiTheme="minorHAnsi" w:eastAsiaTheme="minorEastAsia" w:hAnsiTheme="minorHAnsi"/>
            <w:caps w:val="0"/>
            <w:noProof/>
            <w:color w:val="auto"/>
            <w:sz w:val="24"/>
            <w:szCs w:val="24"/>
            <w:lang w:eastAsia="en-GB"/>
          </w:rPr>
          <w:tab/>
        </w:r>
        <w:r w:rsidR="006904F6" w:rsidRPr="00FA2B98">
          <w:rPr>
            <w:rStyle w:val="Hyperlink"/>
            <w:noProof/>
          </w:rPr>
          <w:t>victorian policy context</w:t>
        </w:r>
        <w:r w:rsidR="006904F6">
          <w:rPr>
            <w:noProof/>
          </w:rPr>
          <w:tab/>
        </w:r>
        <w:r w:rsidR="006904F6">
          <w:rPr>
            <w:noProof/>
          </w:rPr>
          <w:fldChar w:fldCharType="begin"/>
        </w:r>
        <w:r w:rsidR="006904F6">
          <w:rPr>
            <w:noProof/>
          </w:rPr>
          <w:instrText xml:space="preserve"> PAGEREF _Toc121258697 \h </w:instrText>
        </w:r>
        <w:r w:rsidR="006904F6">
          <w:rPr>
            <w:noProof/>
          </w:rPr>
        </w:r>
        <w:r w:rsidR="006904F6">
          <w:rPr>
            <w:noProof/>
          </w:rPr>
          <w:fldChar w:fldCharType="separate"/>
        </w:r>
        <w:r w:rsidR="00A63971">
          <w:rPr>
            <w:noProof/>
          </w:rPr>
          <w:t>11</w:t>
        </w:r>
        <w:r w:rsidR="006904F6">
          <w:rPr>
            <w:noProof/>
          </w:rPr>
          <w:fldChar w:fldCharType="end"/>
        </w:r>
      </w:hyperlink>
    </w:p>
    <w:p w14:paraId="41A14E85" w14:textId="2408657F" w:rsidR="006904F6" w:rsidRDefault="00000000">
      <w:pPr>
        <w:pStyle w:val="TOC2"/>
        <w:rPr>
          <w:rFonts w:asciiTheme="minorHAnsi" w:eastAsiaTheme="minorEastAsia" w:hAnsiTheme="minorHAnsi"/>
          <w:caps w:val="0"/>
          <w:noProof/>
          <w:color w:val="auto"/>
          <w:sz w:val="24"/>
          <w:szCs w:val="24"/>
          <w:lang w:eastAsia="en-GB"/>
        </w:rPr>
      </w:pPr>
      <w:hyperlink w:anchor="_Toc121258698" w:history="1">
        <w:r w:rsidR="006904F6" w:rsidRPr="00FA2B98">
          <w:rPr>
            <w:rStyle w:val="Hyperlink"/>
            <w:noProof/>
          </w:rPr>
          <w:t>1.4</w:t>
        </w:r>
        <w:r w:rsidR="006904F6">
          <w:rPr>
            <w:rFonts w:asciiTheme="minorHAnsi" w:eastAsiaTheme="minorEastAsia" w:hAnsiTheme="minorHAnsi"/>
            <w:caps w:val="0"/>
            <w:noProof/>
            <w:color w:val="auto"/>
            <w:sz w:val="24"/>
            <w:szCs w:val="24"/>
            <w:lang w:eastAsia="en-GB"/>
          </w:rPr>
          <w:tab/>
        </w:r>
        <w:r w:rsidR="006904F6" w:rsidRPr="00FA2B98">
          <w:rPr>
            <w:rStyle w:val="Hyperlink"/>
            <w:noProof/>
          </w:rPr>
          <w:t>Report structure</w:t>
        </w:r>
        <w:r w:rsidR="006904F6">
          <w:rPr>
            <w:noProof/>
          </w:rPr>
          <w:tab/>
        </w:r>
        <w:r w:rsidR="006904F6">
          <w:rPr>
            <w:noProof/>
          </w:rPr>
          <w:fldChar w:fldCharType="begin"/>
        </w:r>
        <w:r w:rsidR="006904F6">
          <w:rPr>
            <w:noProof/>
          </w:rPr>
          <w:instrText xml:space="preserve"> PAGEREF _Toc121258698 \h </w:instrText>
        </w:r>
        <w:r w:rsidR="006904F6">
          <w:rPr>
            <w:noProof/>
          </w:rPr>
        </w:r>
        <w:r w:rsidR="006904F6">
          <w:rPr>
            <w:noProof/>
          </w:rPr>
          <w:fldChar w:fldCharType="separate"/>
        </w:r>
        <w:r w:rsidR="00A63971">
          <w:rPr>
            <w:noProof/>
          </w:rPr>
          <w:t>12</w:t>
        </w:r>
        <w:r w:rsidR="006904F6">
          <w:rPr>
            <w:noProof/>
          </w:rPr>
          <w:fldChar w:fldCharType="end"/>
        </w:r>
      </w:hyperlink>
    </w:p>
    <w:p w14:paraId="644E29BB" w14:textId="051103A4" w:rsidR="006904F6" w:rsidRDefault="00000000" w:rsidP="006904F6">
      <w:pPr>
        <w:pStyle w:val="TOC1"/>
        <w:rPr>
          <w:rFonts w:asciiTheme="minorHAnsi" w:eastAsiaTheme="minorEastAsia" w:hAnsiTheme="minorHAnsi"/>
          <w:noProof/>
          <w:color w:val="auto"/>
          <w:szCs w:val="24"/>
          <w:lang w:eastAsia="en-GB"/>
        </w:rPr>
      </w:pPr>
      <w:hyperlink w:anchor="_Toc121258699" w:history="1">
        <w:r w:rsidR="006904F6" w:rsidRPr="00FA2B98">
          <w:rPr>
            <w:rStyle w:val="Hyperlink"/>
            <w:noProof/>
          </w:rPr>
          <w:t>2</w:t>
        </w:r>
        <w:r w:rsidR="006904F6">
          <w:rPr>
            <w:rFonts w:asciiTheme="minorHAnsi" w:eastAsiaTheme="minorEastAsia" w:hAnsiTheme="minorHAnsi"/>
            <w:noProof/>
            <w:color w:val="auto"/>
            <w:szCs w:val="24"/>
            <w:lang w:eastAsia="en-GB"/>
          </w:rPr>
          <w:tab/>
        </w:r>
        <w:r w:rsidR="006904F6" w:rsidRPr="00FA2B98">
          <w:rPr>
            <w:rStyle w:val="Hyperlink"/>
            <w:noProof/>
          </w:rPr>
          <w:t>Methodology for review</w:t>
        </w:r>
        <w:r w:rsidR="006904F6">
          <w:rPr>
            <w:noProof/>
          </w:rPr>
          <w:tab/>
        </w:r>
        <w:r w:rsidR="006904F6">
          <w:rPr>
            <w:noProof/>
          </w:rPr>
          <w:fldChar w:fldCharType="begin"/>
        </w:r>
        <w:r w:rsidR="006904F6">
          <w:rPr>
            <w:noProof/>
          </w:rPr>
          <w:instrText xml:space="preserve"> PAGEREF _Toc121258699 \h </w:instrText>
        </w:r>
        <w:r w:rsidR="006904F6">
          <w:rPr>
            <w:noProof/>
          </w:rPr>
        </w:r>
        <w:r w:rsidR="006904F6">
          <w:rPr>
            <w:noProof/>
          </w:rPr>
          <w:fldChar w:fldCharType="separate"/>
        </w:r>
        <w:r w:rsidR="00A63971">
          <w:rPr>
            <w:noProof/>
          </w:rPr>
          <w:t>14</w:t>
        </w:r>
        <w:r w:rsidR="006904F6">
          <w:rPr>
            <w:noProof/>
          </w:rPr>
          <w:fldChar w:fldCharType="end"/>
        </w:r>
      </w:hyperlink>
    </w:p>
    <w:p w14:paraId="25A3D230" w14:textId="45A21D2C" w:rsidR="006904F6" w:rsidRDefault="00000000">
      <w:pPr>
        <w:pStyle w:val="TOC2"/>
        <w:rPr>
          <w:rFonts w:asciiTheme="minorHAnsi" w:eastAsiaTheme="minorEastAsia" w:hAnsiTheme="minorHAnsi"/>
          <w:caps w:val="0"/>
          <w:noProof/>
          <w:color w:val="auto"/>
          <w:sz w:val="24"/>
          <w:szCs w:val="24"/>
          <w:lang w:eastAsia="en-GB"/>
        </w:rPr>
      </w:pPr>
      <w:hyperlink w:anchor="_Toc121258700" w:history="1">
        <w:r w:rsidR="006904F6" w:rsidRPr="00FA2B98">
          <w:rPr>
            <w:rStyle w:val="Hyperlink"/>
            <w:noProof/>
          </w:rPr>
          <w:t>2.1</w:t>
        </w:r>
        <w:r w:rsidR="006904F6">
          <w:rPr>
            <w:rFonts w:asciiTheme="minorHAnsi" w:eastAsiaTheme="minorEastAsia" w:hAnsiTheme="minorHAnsi"/>
            <w:caps w:val="0"/>
            <w:noProof/>
            <w:color w:val="auto"/>
            <w:sz w:val="24"/>
            <w:szCs w:val="24"/>
            <w:lang w:eastAsia="en-GB"/>
          </w:rPr>
          <w:tab/>
        </w:r>
        <w:r w:rsidR="006904F6" w:rsidRPr="00FA2B98">
          <w:rPr>
            <w:rStyle w:val="Hyperlink"/>
            <w:noProof/>
          </w:rPr>
          <w:t>overview</w:t>
        </w:r>
        <w:r w:rsidR="006904F6">
          <w:rPr>
            <w:noProof/>
          </w:rPr>
          <w:tab/>
        </w:r>
        <w:r w:rsidR="006904F6">
          <w:rPr>
            <w:noProof/>
          </w:rPr>
          <w:fldChar w:fldCharType="begin"/>
        </w:r>
        <w:r w:rsidR="006904F6">
          <w:rPr>
            <w:noProof/>
          </w:rPr>
          <w:instrText xml:space="preserve"> PAGEREF _Toc121258700 \h </w:instrText>
        </w:r>
        <w:r w:rsidR="006904F6">
          <w:rPr>
            <w:noProof/>
          </w:rPr>
        </w:r>
        <w:r w:rsidR="006904F6">
          <w:rPr>
            <w:noProof/>
          </w:rPr>
          <w:fldChar w:fldCharType="separate"/>
        </w:r>
        <w:r w:rsidR="00A63971">
          <w:rPr>
            <w:noProof/>
          </w:rPr>
          <w:t>14</w:t>
        </w:r>
        <w:r w:rsidR="006904F6">
          <w:rPr>
            <w:noProof/>
          </w:rPr>
          <w:fldChar w:fldCharType="end"/>
        </w:r>
      </w:hyperlink>
    </w:p>
    <w:p w14:paraId="18C33A74" w14:textId="5474AE26" w:rsidR="006904F6" w:rsidRDefault="00000000">
      <w:pPr>
        <w:pStyle w:val="TOC2"/>
        <w:rPr>
          <w:rFonts w:asciiTheme="minorHAnsi" w:eastAsiaTheme="minorEastAsia" w:hAnsiTheme="minorHAnsi"/>
          <w:caps w:val="0"/>
          <w:noProof/>
          <w:color w:val="auto"/>
          <w:sz w:val="24"/>
          <w:szCs w:val="24"/>
          <w:lang w:eastAsia="en-GB"/>
        </w:rPr>
      </w:pPr>
      <w:hyperlink w:anchor="_Toc121258701" w:history="1">
        <w:r w:rsidR="006904F6" w:rsidRPr="00FA2B98">
          <w:rPr>
            <w:rStyle w:val="Hyperlink"/>
            <w:noProof/>
          </w:rPr>
          <w:t>2.2</w:t>
        </w:r>
        <w:r w:rsidR="006904F6">
          <w:rPr>
            <w:rFonts w:asciiTheme="minorHAnsi" w:eastAsiaTheme="minorEastAsia" w:hAnsiTheme="minorHAnsi"/>
            <w:caps w:val="0"/>
            <w:noProof/>
            <w:color w:val="auto"/>
            <w:sz w:val="24"/>
            <w:szCs w:val="24"/>
            <w:lang w:eastAsia="en-GB"/>
          </w:rPr>
          <w:tab/>
        </w:r>
        <w:r w:rsidR="006904F6" w:rsidRPr="00FA2B98">
          <w:rPr>
            <w:rStyle w:val="Hyperlink"/>
            <w:noProof/>
          </w:rPr>
          <w:t>role and input of the working group</w:t>
        </w:r>
        <w:r w:rsidR="006904F6">
          <w:rPr>
            <w:noProof/>
          </w:rPr>
          <w:tab/>
        </w:r>
        <w:r w:rsidR="006904F6">
          <w:rPr>
            <w:noProof/>
          </w:rPr>
          <w:fldChar w:fldCharType="begin"/>
        </w:r>
        <w:r w:rsidR="006904F6">
          <w:rPr>
            <w:noProof/>
          </w:rPr>
          <w:instrText xml:space="preserve"> PAGEREF _Toc121258701 \h </w:instrText>
        </w:r>
        <w:r w:rsidR="006904F6">
          <w:rPr>
            <w:noProof/>
          </w:rPr>
        </w:r>
        <w:r w:rsidR="006904F6">
          <w:rPr>
            <w:noProof/>
          </w:rPr>
          <w:fldChar w:fldCharType="separate"/>
        </w:r>
        <w:r w:rsidR="00A63971">
          <w:rPr>
            <w:noProof/>
          </w:rPr>
          <w:t>14</w:t>
        </w:r>
        <w:r w:rsidR="006904F6">
          <w:rPr>
            <w:noProof/>
          </w:rPr>
          <w:fldChar w:fldCharType="end"/>
        </w:r>
      </w:hyperlink>
    </w:p>
    <w:p w14:paraId="14A644C4" w14:textId="78EF9917" w:rsidR="006904F6" w:rsidRDefault="00000000" w:rsidP="006904F6">
      <w:pPr>
        <w:pStyle w:val="TOC1"/>
        <w:rPr>
          <w:rFonts w:asciiTheme="minorHAnsi" w:eastAsiaTheme="minorEastAsia" w:hAnsiTheme="minorHAnsi"/>
          <w:noProof/>
          <w:color w:val="auto"/>
          <w:szCs w:val="24"/>
          <w:lang w:eastAsia="en-GB"/>
        </w:rPr>
      </w:pPr>
      <w:hyperlink w:anchor="_Toc121258702" w:history="1">
        <w:r w:rsidR="006904F6" w:rsidRPr="00FA2B98">
          <w:rPr>
            <w:rStyle w:val="Hyperlink"/>
            <w:noProof/>
          </w:rPr>
          <w:t>3</w:t>
        </w:r>
        <w:r w:rsidR="006904F6">
          <w:rPr>
            <w:rFonts w:asciiTheme="minorHAnsi" w:eastAsiaTheme="minorEastAsia" w:hAnsiTheme="minorHAnsi"/>
            <w:noProof/>
            <w:color w:val="auto"/>
            <w:szCs w:val="24"/>
            <w:lang w:eastAsia="en-GB"/>
          </w:rPr>
          <w:tab/>
        </w:r>
        <w:r w:rsidR="006904F6" w:rsidRPr="00FA2B98">
          <w:rPr>
            <w:rStyle w:val="Hyperlink"/>
            <w:noProof/>
          </w:rPr>
          <w:t>Insights from relevant reviews and projects</w:t>
        </w:r>
        <w:r w:rsidR="006904F6">
          <w:rPr>
            <w:noProof/>
          </w:rPr>
          <w:tab/>
        </w:r>
        <w:r w:rsidR="006904F6">
          <w:rPr>
            <w:noProof/>
          </w:rPr>
          <w:fldChar w:fldCharType="begin"/>
        </w:r>
        <w:r w:rsidR="006904F6">
          <w:rPr>
            <w:noProof/>
          </w:rPr>
          <w:instrText xml:space="preserve"> PAGEREF _Toc121258702 \h </w:instrText>
        </w:r>
        <w:r w:rsidR="006904F6">
          <w:rPr>
            <w:noProof/>
          </w:rPr>
        </w:r>
        <w:r w:rsidR="006904F6">
          <w:rPr>
            <w:noProof/>
          </w:rPr>
          <w:fldChar w:fldCharType="separate"/>
        </w:r>
        <w:r w:rsidR="00A63971">
          <w:rPr>
            <w:noProof/>
          </w:rPr>
          <w:t>15</w:t>
        </w:r>
        <w:r w:rsidR="006904F6">
          <w:rPr>
            <w:noProof/>
          </w:rPr>
          <w:fldChar w:fldCharType="end"/>
        </w:r>
      </w:hyperlink>
    </w:p>
    <w:p w14:paraId="49A8D7C3" w14:textId="60AB843A" w:rsidR="006904F6" w:rsidRDefault="00000000" w:rsidP="006904F6">
      <w:pPr>
        <w:pStyle w:val="TOC1"/>
        <w:rPr>
          <w:rFonts w:asciiTheme="minorHAnsi" w:eastAsiaTheme="minorEastAsia" w:hAnsiTheme="minorHAnsi"/>
          <w:noProof/>
          <w:color w:val="auto"/>
          <w:szCs w:val="24"/>
          <w:lang w:eastAsia="en-GB"/>
        </w:rPr>
      </w:pPr>
      <w:hyperlink w:anchor="_Toc121258703" w:history="1">
        <w:r w:rsidR="006904F6" w:rsidRPr="00FA2B98">
          <w:rPr>
            <w:rStyle w:val="Hyperlink"/>
            <w:noProof/>
          </w:rPr>
          <w:t>4</w:t>
        </w:r>
        <w:r w:rsidR="006904F6">
          <w:rPr>
            <w:rFonts w:asciiTheme="minorHAnsi" w:eastAsiaTheme="minorEastAsia" w:hAnsiTheme="minorHAnsi"/>
            <w:noProof/>
            <w:color w:val="auto"/>
            <w:szCs w:val="24"/>
            <w:lang w:eastAsia="en-GB"/>
          </w:rPr>
          <w:tab/>
        </w:r>
        <w:r w:rsidR="006904F6" w:rsidRPr="00FA2B98">
          <w:rPr>
            <w:rStyle w:val="Hyperlink"/>
            <w:noProof/>
          </w:rPr>
          <w:t>Analysis of legislation in scope</w:t>
        </w:r>
        <w:r w:rsidR="006904F6">
          <w:rPr>
            <w:noProof/>
          </w:rPr>
          <w:tab/>
        </w:r>
        <w:r w:rsidR="006904F6">
          <w:rPr>
            <w:noProof/>
          </w:rPr>
          <w:fldChar w:fldCharType="begin"/>
        </w:r>
        <w:r w:rsidR="006904F6">
          <w:rPr>
            <w:noProof/>
          </w:rPr>
          <w:instrText xml:space="preserve"> PAGEREF _Toc121258703 \h </w:instrText>
        </w:r>
        <w:r w:rsidR="006904F6">
          <w:rPr>
            <w:noProof/>
          </w:rPr>
        </w:r>
        <w:r w:rsidR="006904F6">
          <w:rPr>
            <w:noProof/>
          </w:rPr>
          <w:fldChar w:fldCharType="separate"/>
        </w:r>
        <w:r w:rsidR="00A63971">
          <w:rPr>
            <w:noProof/>
          </w:rPr>
          <w:t>19</w:t>
        </w:r>
        <w:r w:rsidR="006904F6">
          <w:rPr>
            <w:noProof/>
          </w:rPr>
          <w:fldChar w:fldCharType="end"/>
        </w:r>
      </w:hyperlink>
    </w:p>
    <w:p w14:paraId="6D6A3565" w14:textId="2C352D6C" w:rsidR="006904F6" w:rsidRDefault="00000000">
      <w:pPr>
        <w:pStyle w:val="TOC2"/>
        <w:rPr>
          <w:rFonts w:asciiTheme="minorHAnsi" w:eastAsiaTheme="minorEastAsia" w:hAnsiTheme="minorHAnsi"/>
          <w:caps w:val="0"/>
          <w:noProof/>
          <w:color w:val="auto"/>
          <w:sz w:val="24"/>
          <w:szCs w:val="24"/>
          <w:lang w:eastAsia="en-GB"/>
        </w:rPr>
      </w:pPr>
      <w:hyperlink w:anchor="_Toc121258704" w:history="1">
        <w:r w:rsidR="006904F6" w:rsidRPr="00FA2B98">
          <w:rPr>
            <w:rStyle w:val="Hyperlink"/>
            <w:noProof/>
          </w:rPr>
          <w:t>4.1</w:t>
        </w:r>
        <w:r w:rsidR="006904F6">
          <w:rPr>
            <w:rFonts w:asciiTheme="minorHAnsi" w:eastAsiaTheme="minorEastAsia" w:hAnsiTheme="minorHAnsi"/>
            <w:caps w:val="0"/>
            <w:noProof/>
            <w:color w:val="auto"/>
            <w:sz w:val="24"/>
            <w:szCs w:val="24"/>
            <w:lang w:eastAsia="en-GB"/>
          </w:rPr>
          <w:tab/>
        </w:r>
        <w:r w:rsidR="006904F6" w:rsidRPr="00FA2B98">
          <w:rPr>
            <w:rStyle w:val="Hyperlink"/>
            <w:noProof/>
          </w:rPr>
          <w:t>The framework for this review</w:t>
        </w:r>
        <w:r w:rsidR="006904F6">
          <w:rPr>
            <w:noProof/>
          </w:rPr>
          <w:tab/>
        </w:r>
        <w:r w:rsidR="006904F6">
          <w:rPr>
            <w:noProof/>
          </w:rPr>
          <w:fldChar w:fldCharType="begin"/>
        </w:r>
        <w:r w:rsidR="006904F6">
          <w:rPr>
            <w:noProof/>
          </w:rPr>
          <w:instrText xml:space="preserve"> PAGEREF _Toc121258704 \h </w:instrText>
        </w:r>
        <w:r w:rsidR="006904F6">
          <w:rPr>
            <w:noProof/>
          </w:rPr>
        </w:r>
        <w:r w:rsidR="006904F6">
          <w:rPr>
            <w:noProof/>
          </w:rPr>
          <w:fldChar w:fldCharType="separate"/>
        </w:r>
        <w:r w:rsidR="00A63971">
          <w:rPr>
            <w:noProof/>
          </w:rPr>
          <w:t>19</w:t>
        </w:r>
        <w:r w:rsidR="006904F6">
          <w:rPr>
            <w:noProof/>
          </w:rPr>
          <w:fldChar w:fldCharType="end"/>
        </w:r>
      </w:hyperlink>
    </w:p>
    <w:p w14:paraId="1E8F5091" w14:textId="4F38E115" w:rsidR="006904F6" w:rsidRDefault="00000000">
      <w:pPr>
        <w:pStyle w:val="TOC2"/>
        <w:rPr>
          <w:rFonts w:asciiTheme="minorHAnsi" w:eastAsiaTheme="minorEastAsia" w:hAnsiTheme="minorHAnsi"/>
          <w:caps w:val="0"/>
          <w:noProof/>
          <w:color w:val="auto"/>
          <w:sz w:val="24"/>
          <w:szCs w:val="24"/>
          <w:lang w:eastAsia="en-GB"/>
        </w:rPr>
      </w:pPr>
      <w:hyperlink w:anchor="_Toc121258705" w:history="1">
        <w:r w:rsidR="006904F6" w:rsidRPr="00FA2B98">
          <w:rPr>
            <w:rStyle w:val="Hyperlink"/>
            <w:noProof/>
          </w:rPr>
          <w:t>4.2</w:t>
        </w:r>
        <w:r w:rsidR="006904F6">
          <w:rPr>
            <w:rFonts w:asciiTheme="minorHAnsi" w:eastAsiaTheme="minorEastAsia" w:hAnsiTheme="minorHAnsi"/>
            <w:caps w:val="0"/>
            <w:noProof/>
            <w:color w:val="auto"/>
            <w:sz w:val="24"/>
            <w:szCs w:val="24"/>
            <w:lang w:eastAsia="en-GB"/>
          </w:rPr>
          <w:tab/>
        </w:r>
        <w:r w:rsidR="006904F6" w:rsidRPr="00FA2B98">
          <w:rPr>
            <w:rStyle w:val="Hyperlink"/>
            <w:noProof/>
          </w:rPr>
          <w:t>Findings – desktop review and consultation</w:t>
        </w:r>
        <w:r w:rsidR="006904F6">
          <w:rPr>
            <w:noProof/>
          </w:rPr>
          <w:tab/>
        </w:r>
        <w:r w:rsidR="006904F6">
          <w:rPr>
            <w:noProof/>
          </w:rPr>
          <w:fldChar w:fldCharType="begin"/>
        </w:r>
        <w:r w:rsidR="006904F6">
          <w:rPr>
            <w:noProof/>
          </w:rPr>
          <w:instrText xml:space="preserve"> PAGEREF _Toc121258705 \h </w:instrText>
        </w:r>
        <w:r w:rsidR="006904F6">
          <w:rPr>
            <w:noProof/>
          </w:rPr>
        </w:r>
        <w:r w:rsidR="006904F6">
          <w:rPr>
            <w:noProof/>
          </w:rPr>
          <w:fldChar w:fldCharType="separate"/>
        </w:r>
        <w:r w:rsidR="00A63971">
          <w:rPr>
            <w:noProof/>
          </w:rPr>
          <w:t>20</w:t>
        </w:r>
        <w:r w:rsidR="006904F6">
          <w:rPr>
            <w:noProof/>
          </w:rPr>
          <w:fldChar w:fldCharType="end"/>
        </w:r>
      </w:hyperlink>
    </w:p>
    <w:p w14:paraId="7B127B4D" w14:textId="610F7372" w:rsidR="006904F6" w:rsidRDefault="00000000">
      <w:pPr>
        <w:pStyle w:val="TOC2"/>
        <w:rPr>
          <w:rFonts w:asciiTheme="minorHAnsi" w:eastAsiaTheme="minorEastAsia" w:hAnsiTheme="minorHAnsi"/>
          <w:caps w:val="0"/>
          <w:noProof/>
          <w:color w:val="auto"/>
          <w:sz w:val="24"/>
          <w:szCs w:val="24"/>
          <w:lang w:eastAsia="en-GB"/>
        </w:rPr>
      </w:pPr>
      <w:hyperlink w:anchor="_Toc121258706" w:history="1">
        <w:r w:rsidR="006904F6" w:rsidRPr="00FA2B98">
          <w:rPr>
            <w:rStyle w:val="Hyperlink"/>
            <w:noProof/>
          </w:rPr>
          <w:t>4.3</w:t>
        </w:r>
        <w:r w:rsidR="006904F6">
          <w:rPr>
            <w:rFonts w:asciiTheme="minorHAnsi" w:eastAsiaTheme="minorEastAsia" w:hAnsiTheme="minorHAnsi"/>
            <w:caps w:val="0"/>
            <w:noProof/>
            <w:color w:val="auto"/>
            <w:sz w:val="24"/>
            <w:szCs w:val="24"/>
            <w:lang w:eastAsia="en-GB"/>
          </w:rPr>
          <w:tab/>
        </w:r>
        <w:r w:rsidR="006904F6" w:rsidRPr="00FA2B98">
          <w:rPr>
            <w:rStyle w:val="Hyperlink"/>
            <w:noProof/>
          </w:rPr>
          <w:t>key observations from review process</w:t>
        </w:r>
        <w:r w:rsidR="006904F6">
          <w:rPr>
            <w:noProof/>
          </w:rPr>
          <w:tab/>
        </w:r>
        <w:r w:rsidR="006904F6">
          <w:rPr>
            <w:noProof/>
          </w:rPr>
          <w:fldChar w:fldCharType="begin"/>
        </w:r>
        <w:r w:rsidR="006904F6">
          <w:rPr>
            <w:noProof/>
          </w:rPr>
          <w:instrText xml:space="preserve"> PAGEREF _Toc121258706 \h </w:instrText>
        </w:r>
        <w:r w:rsidR="006904F6">
          <w:rPr>
            <w:noProof/>
          </w:rPr>
        </w:r>
        <w:r w:rsidR="006904F6">
          <w:rPr>
            <w:noProof/>
          </w:rPr>
          <w:fldChar w:fldCharType="separate"/>
        </w:r>
        <w:r w:rsidR="00A63971">
          <w:rPr>
            <w:noProof/>
          </w:rPr>
          <w:t>30</w:t>
        </w:r>
        <w:r w:rsidR="006904F6">
          <w:rPr>
            <w:noProof/>
          </w:rPr>
          <w:fldChar w:fldCharType="end"/>
        </w:r>
      </w:hyperlink>
    </w:p>
    <w:p w14:paraId="0F1134C2" w14:textId="515BC311" w:rsidR="006904F6" w:rsidRDefault="00000000" w:rsidP="006904F6">
      <w:pPr>
        <w:pStyle w:val="TOC1"/>
        <w:rPr>
          <w:rFonts w:asciiTheme="minorHAnsi" w:eastAsiaTheme="minorEastAsia" w:hAnsiTheme="minorHAnsi"/>
          <w:noProof/>
          <w:color w:val="auto"/>
          <w:szCs w:val="24"/>
          <w:lang w:eastAsia="en-GB"/>
        </w:rPr>
      </w:pPr>
      <w:hyperlink w:anchor="_Toc121258707" w:history="1">
        <w:r w:rsidR="006904F6" w:rsidRPr="00FA2B98">
          <w:rPr>
            <w:rStyle w:val="Hyperlink"/>
            <w:noProof/>
          </w:rPr>
          <w:t>5</w:t>
        </w:r>
        <w:r w:rsidR="006904F6">
          <w:rPr>
            <w:rFonts w:asciiTheme="minorHAnsi" w:eastAsiaTheme="minorEastAsia" w:hAnsiTheme="minorHAnsi"/>
            <w:noProof/>
            <w:color w:val="auto"/>
            <w:szCs w:val="24"/>
            <w:lang w:eastAsia="en-GB"/>
          </w:rPr>
          <w:tab/>
        </w:r>
        <w:r w:rsidR="006904F6" w:rsidRPr="00FA2B98">
          <w:rPr>
            <w:rStyle w:val="Hyperlink"/>
            <w:noProof/>
          </w:rPr>
          <w:t>Conclusions and recommendations</w:t>
        </w:r>
        <w:r w:rsidR="006904F6">
          <w:rPr>
            <w:noProof/>
          </w:rPr>
          <w:tab/>
        </w:r>
        <w:r w:rsidR="006904F6">
          <w:rPr>
            <w:noProof/>
          </w:rPr>
          <w:fldChar w:fldCharType="begin"/>
        </w:r>
        <w:r w:rsidR="006904F6">
          <w:rPr>
            <w:noProof/>
          </w:rPr>
          <w:instrText xml:space="preserve"> PAGEREF _Toc121258707 \h </w:instrText>
        </w:r>
        <w:r w:rsidR="006904F6">
          <w:rPr>
            <w:noProof/>
          </w:rPr>
        </w:r>
        <w:r w:rsidR="006904F6">
          <w:rPr>
            <w:noProof/>
          </w:rPr>
          <w:fldChar w:fldCharType="separate"/>
        </w:r>
        <w:r w:rsidR="00A63971">
          <w:rPr>
            <w:noProof/>
          </w:rPr>
          <w:t>32</w:t>
        </w:r>
        <w:r w:rsidR="006904F6">
          <w:rPr>
            <w:noProof/>
          </w:rPr>
          <w:fldChar w:fldCharType="end"/>
        </w:r>
      </w:hyperlink>
    </w:p>
    <w:p w14:paraId="2221ACA7" w14:textId="58AF52E3" w:rsidR="006904F6" w:rsidRDefault="00000000" w:rsidP="006904F6">
      <w:pPr>
        <w:pStyle w:val="TOC1"/>
        <w:rPr>
          <w:rFonts w:asciiTheme="minorHAnsi" w:eastAsiaTheme="minorEastAsia" w:hAnsiTheme="minorHAnsi"/>
          <w:noProof/>
          <w:color w:val="auto"/>
          <w:szCs w:val="24"/>
          <w:lang w:eastAsia="en-GB"/>
        </w:rPr>
      </w:pPr>
      <w:hyperlink w:anchor="_Toc121258708" w:history="1">
        <w:r w:rsidR="006904F6" w:rsidRPr="00FA2B98">
          <w:rPr>
            <w:rStyle w:val="Hyperlink"/>
            <w:noProof/>
          </w:rPr>
          <w:t>Appendix 1: Overview of legislation in scope</w:t>
        </w:r>
        <w:r w:rsidR="006904F6">
          <w:rPr>
            <w:noProof/>
          </w:rPr>
          <w:tab/>
        </w:r>
        <w:r w:rsidR="006904F6">
          <w:rPr>
            <w:noProof/>
          </w:rPr>
          <w:fldChar w:fldCharType="begin"/>
        </w:r>
        <w:r w:rsidR="006904F6">
          <w:rPr>
            <w:noProof/>
          </w:rPr>
          <w:instrText xml:space="preserve"> PAGEREF _Toc121258708 \h </w:instrText>
        </w:r>
        <w:r w:rsidR="006904F6">
          <w:rPr>
            <w:noProof/>
          </w:rPr>
        </w:r>
        <w:r w:rsidR="006904F6">
          <w:rPr>
            <w:noProof/>
          </w:rPr>
          <w:fldChar w:fldCharType="separate"/>
        </w:r>
        <w:r w:rsidR="00A63971">
          <w:rPr>
            <w:noProof/>
          </w:rPr>
          <w:t>33</w:t>
        </w:r>
        <w:r w:rsidR="006904F6">
          <w:rPr>
            <w:noProof/>
          </w:rPr>
          <w:fldChar w:fldCharType="end"/>
        </w:r>
      </w:hyperlink>
    </w:p>
    <w:p w14:paraId="00E942A9" w14:textId="317510CA" w:rsidR="006904F6" w:rsidRDefault="00000000" w:rsidP="006904F6">
      <w:pPr>
        <w:pStyle w:val="TOC1"/>
        <w:rPr>
          <w:rFonts w:asciiTheme="minorHAnsi" w:eastAsiaTheme="minorEastAsia" w:hAnsiTheme="minorHAnsi"/>
          <w:noProof/>
          <w:color w:val="auto"/>
          <w:szCs w:val="24"/>
          <w:lang w:eastAsia="en-GB"/>
        </w:rPr>
      </w:pPr>
      <w:hyperlink w:anchor="_Toc121258709" w:history="1">
        <w:r w:rsidR="006904F6" w:rsidRPr="00FA2B98">
          <w:rPr>
            <w:rStyle w:val="Hyperlink"/>
            <w:noProof/>
          </w:rPr>
          <w:t>Appendix 2: Working Group members</w:t>
        </w:r>
        <w:r w:rsidR="006904F6">
          <w:rPr>
            <w:noProof/>
          </w:rPr>
          <w:tab/>
        </w:r>
        <w:r w:rsidR="006904F6">
          <w:rPr>
            <w:noProof/>
          </w:rPr>
          <w:fldChar w:fldCharType="begin"/>
        </w:r>
        <w:r w:rsidR="006904F6">
          <w:rPr>
            <w:noProof/>
          </w:rPr>
          <w:instrText xml:space="preserve"> PAGEREF _Toc121258709 \h </w:instrText>
        </w:r>
        <w:r w:rsidR="006904F6">
          <w:rPr>
            <w:noProof/>
          </w:rPr>
        </w:r>
        <w:r w:rsidR="006904F6">
          <w:rPr>
            <w:noProof/>
          </w:rPr>
          <w:fldChar w:fldCharType="separate"/>
        </w:r>
        <w:r w:rsidR="00A63971">
          <w:rPr>
            <w:noProof/>
          </w:rPr>
          <w:t>35</w:t>
        </w:r>
        <w:r w:rsidR="006904F6">
          <w:rPr>
            <w:noProof/>
          </w:rPr>
          <w:fldChar w:fldCharType="end"/>
        </w:r>
      </w:hyperlink>
    </w:p>
    <w:p w14:paraId="0FAF0585" w14:textId="124F8CAB" w:rsidR="006904F6" w:rsidRDefault="00000000" w:rsidP="006904F6">
      <w:pPr>
        <w:pStyle w:val="TOC1"/>
        <w:rPr>
          <w:rFonts w:asciiTheme="minorHAnsi" w:eastAsiaTheme="minorEastAsia" w:hAnsiTheme="minorHAnsi"/>
          <w:noProof/>
          <w:color w:val="auto"/>
          <w:szCs w:val="24"/>
          <w:lang w:eastAsia="en-GB"/>
        </w:rPr>
      </w:pPr>
      <w:hyperlink w:anchor="_Toc121258710" w:history="1">
        <w:r w:rsidR="006904F6" w:rsidRPr="00FA2B98">
          <w:rPr>
            <w:rStyle w:val="Hyperlink"/>
            <w:noProof/>
          </w:rPr>
          <w:t>Appendix 3: Summary of reviews</w:t>
        </w:r>
        <w:r w:rsidR="006904F6">
          <w:rPr>
            <w:noProof/>
          </w:rPr>
          <w:tab/>
        </w:r>
        <w:r w:rsidR="006904F6">
          <w:rPr>
            <w:noProof/>
          </w:rPr>
          <w:fldChar w:fldCharType="begin"/>
        </w:r>
        <w:r w:rsidR="006904F6">
          <w:rPr>
            <w:noProof/>
          </w:rPr>
          <w:instrText xml:space="preserve"> PAGEREF _Toc121258710 \h </w:instrText>
        </w:r>
        <w:r w:rsidR="006904F6">
          <w:rPr>
            <w:noProof/>
          </w:rPr>
        </w:r>
        <w:r w:rsidR="006904F6">
          <w:rPr>
            <w:noProof/>
          </w:rPr>
          <w:fldChar w:fldCharType="separate"/>
        </w:r>
        <w:r w:rsidR="00A63971">
          <w:rPr>
            <w:noProof/>
          </w:rPr>
          <w:t>36</w:t>
        </w:r>
        <w:r w:rsidR="006904F6">
          <w:rPr>
            <w:noProof/>
          </w:rPr>
          <w:fldChar w:fldCharType="end"/>
        </w:r>
      </w:hyperlink>
    </w:p>
    <w:p w14:paraId="3DFC7402" w14:textId="18563E50" w:rsidR="00705927" w:rsidRDefault="006E33CD" w:rsidP="0049743E">
      <w:pPr>
        <w:rPr>
          <w:b/>
        </w:rPr>
        <w:sectPr w:rsidR="00705927" w:rsidSect="00BB7E62">
          <w:headerReference w:type="default" r:id="rId20"/>
          <w:footerReference w:type="default" r:id="rId21"/>
          <w:headerReference w:type="first" r:id="rId22"/>
          <w:footerReference w:type="first" r:id="rId23"/>
          <w:pgSz w:w="11906" w:h="16838" w:code="9"/>
          <w:pgMar w:top="1134" w:right="1134" w:bottom="1463" w:left="1134" w:header="680" w:footer="456" w:gutter="0"/>
          <w:pgNumType w:start="1"/>
          <w:cols w:space="708"/>
          <w:titlePg/>
          <w:docGrid w:linePitch="360"/>
        </w:sectPr>
      </w:pPr>
      <w:r>
        <w:rPr>
          <w:rFonts w:cstheme="minorBidi"/>
          <w:color w:val="203145" w:themeColor="text2"/>
          <w:sz w:val="24"/>
        </w:rPr>
        <w:fldChar w:fldCharType="end"/>
      </w:r>
    </w:p>
    <w:p w14:paraId="18FB38CF" w14:textId="34FD41B7" w:rsidR="00362ADA" w:rsidRDefault="00FD0BAD" w:rsidP="000F3990">
      <w:pPr>
        <w:pStyle w:val="Heading1NoNumbers"/>
      </w:pPr>
      <w:bookmarkStart w:id="0" w:name="_Toc121258692"/>
      <w:r>
        <w:lastRenderedPageBreak/>
        <w:t>Executive Summary</w:t>
      </w:r>
      <w:bookmarkEnd w:id="0"/>
    </w:p>
    <w:p w14:paraId="0068ABC5" w14:textId="271F82B1" w:rsidR="00334FEE" w:rsidRDefault="002E40AC" w:rsidP="002E40AC">
      <w:pPr>
        <w:pStyle w:val="BodyNormal"/>
      </w:pPr>
      <w:r>
        <w:t xml:space="preserve">The Victorian Regional Forest Agreements (RFAs) are agreements between the State of Victoria and the Australian Government that provide for sustainable management and use of Victoria’s forests. </w:t>
      </w:r>
      <w:r w:rsidR="0067302E">
        <w:t>As part of the</w:t>
      </w:r>
      <w:r w:rsidR="0017536B">
        <w:t xml:space="preserve"> Victorian Government commitments </w:t>
      </w:r>
      <w:r w:rsidR="0067302E">
        <w:t xml:space="preserve">under </w:t>
      </w:r>
      <w:r w:rsidR="0017536B">
        <w:t xml:space="preserve">the modernised RFAs, </w:t>
      </w:r>
      <w:r w:rsidR="008816CD">
        <w:t xml:space="preserve">the </w:t>
      </w:r>
      <w:r>
        <w:t>D</w:t>
      </w:r>
      <w:r w:rsidR="008816CD">
        <w:t xml:space="preserve">epartment of </w:t>
      </w:r>
      <w:r>
        <w:t>E</w:t>
      </w:r>
      <w:r w:rsidR="008816CD">
        <w:t>nvironment</w:t>
      </w:r>
      <w:r w:rsidR="000C797C">
        <w:t>,</w:t>
      </w:r>
      <w:r w:rsidR="008816CD">
        <w:t xml:space="preserve"> </w:t>
      </w:r>
      <w:r>
        <w:t>L</w:t>
      </w:r>
      <w:r w:rsidR="008816CD">
        <w:t xml:space="preserve">and </w:t>
      </w:r>
      <w:r>
        <w:t>W</w:t>
      </w:r>
      <w:r w:rsidR="008816CD">
        <w:t xml:space="preserve">ater and </w:t>
      </w:r>
      <w:r>
        <w:t>P</w:t>
      </w:r>
      <w:r w:rsidR="008816CD">
        <w:t>lanning (DELWP)</w:t>
      </w:r>
      <w:r>
        <w:t xml:space="preserve"> commissioned a review of relevant Victorian legislation to identify if any measures or improvements could be made to strengthen protections for listed species and communities</w:t>
      </w:r>
      <w:r w:rsidR="0017536B">
        <w:t>.</w:t>
      </w:r>
    </w:p>
    <w:p w14:paraId="5F00C33F" w14:textId="7A5F2D84" w:rsidR="00A7600C" w:rsidRDefault="00756377" w:rsidP="002E40AC">
      <w:pPr>
        <w:pStyle w:val="BodyNormal"/>
      </w:pPr>
      <w:r>
        <w:t>This report is the outcome of the commissioned review. Notably,</w:t>
      </w:r>
      <w:r w:rsidR="00A7600C">
        <w:t xml:space="preserve"> numerous reviews and </w:t>
      </w:r>
      <w:r>
        <w:t>amendments to relevant legislation and other policy instruments have been conducted prior to</w:t>
      </w:r>
      <w:r w:rsidR="0067302E">
        <w:t>,</w:t>
      </w:r>
      <w:r>
        <w:t xml:space="preserve"> and concurrent</w:t>
      </w:r>
      <w:r w:rsidR="0067302E">
        <w:t xml:space="preserve"> with,</w:t>
      </w:r>
      <w:r>
        <w:t xml:space="preserve"> this review. In addition,</w:t>
      </w:r>
      <w:r w:rsidRPr="00756377">
        <w:t xml:space="preserve"> </w:t>
      </w:r>
      <w:r>
        <w:t xml:space="preserve">native forest timber harvesting will cease by 2030 as part of the Victorian Forestry Plan. </w:t>
      </w:r>
      <w:r w:rsidR="0067302E">
        <w:t>This report complements that work</w:t>
      </w:r>
      <w:r>
        <w:t xml:space="preserve">, </w:t>
      </w:r>
      <w:r w:rsidR="0067302E">
        <w:t xml:space="preserve">providing </w:t>
      </w:r>
      <w:r>
        <w:t>recommendations</w:t>
      </w:r>
      <w:r w:rsidRPr="00756377">
        <w:t xml:space="preserve"> </w:t>
      </w:r>
      <w:r>
        <w:t xml:space="preserve">that focus on </w:t>
      </w:r>
      <w:r w:rsidR="0067302E">
        <w:t>improvement</w:t>
      </w:r>
      <w:r>
        <w:t xml:space="preserve"> opportunit</w:t>
      </w:r>
      <w:r w:rsidR="0067302E">
        <w:t>ies</w:t>
      </w:r>
      <w:r>
        <w:t xml:space="preserve"> and </w:t>
      </w:r>
      <w:r w:rsidR="00F411D3">
        <w:t>options</w:t>
      </w:r>
      <w:r w:rsidR="0067302E">
        <w:t xml:space="preserve"> to </w:t>
      </w:r>
      <w:r>
        <w:t xml:space="preserve">support the use of </w:t>
      </w:r>
      <w:r w:rsidR="00F411D3">
        <w:t xml:space="preserve">legislative </w:t>
      </w:r>
      <w:r>
        <w:t>provisions or instruments that have yet to be implemented or fully utilised to date.</w:t>
      </w:r>
    </w:p>
    <w:p w14:paraId="75B47CDC" w14:textId="0F08D049" w:rsidR="00C02234" w:rsidRDefault="00C02234" w:rsidP="00C02234">
      <w:pPr>
        <w:pStyle w:val="BodyBold"/>
      </w:pPr>
      <w:r>
        <w:t>Scope</w:t>
      </w:r>
      <w:r w:rsidR="009E738A">
        <w:t xml:space="preserve"> and background</w:t>
      </w:r>
    </w:p>
    <w:p w14:paraId="0532ED84" w14:textId="1696BBB2" w:rsidR="00C02234" w:rsidRPr="00E120D8" w:rsidRDefault="00C02234" w:rsidP="00C02234">
      <w:pPr>
        <w:pStyle w:val="BodyNormal"/>
      </w:pPr>
      <w:r>
        <w:t>Consistent with the relevant RFA commitment, the following legislation</w:t>
      </w:r>
      <w:r w:rsidR="00F411D3">
        <w:t>,</w:t>
      </w:r>
      <w:r>
        <w:t xml:space="preserve"> </w:t>
      </w:r>
      <w:r w:rsidR="00F411D3">
        <w:t xml:space="preserve">along with the </w:t>
      </w:r>
      <w:r w:rsidR="004B390D">
        <w:t>relevant provisions and subordinate instruments</w:t>
      </w:r>
      <w:r w:rsidR="00F411D3">
        <w:t>,</w:t>
      </w:r>
      <w:r w:rsidR="004B390D">
        <w:t xml:space="preserve"> </w:t>
      </w:r>
      <w:r w:rsidR="00A7600C">
        <w:t xml:space="preserve">were </w:t>
      </w:r>
      <w:r>
        <w:t>considered in this review:</w:t>
      </w:r>
    </w:p>
    <w:p w14:paraId="0DCEA0B9" w14:textId="77777777" w:rsidR="00C02234" w:rsidRPr="00D92F68" w:rsidRDefault="00C02234" w:rsidP="00C02234">
      <w:pPr>
        <w:pStyle w:val="ListBullet"/>
        <w:numPr>
          <w:ilvl w:val="0"/>
          <w:numId w:val="20"/>
        </w:numPr>
        <w:tabs>
          <w:tab w:val="left" w:pos="340"/>
        </w:tabs>
        <w:ind w:right="0"/>
        <w:contextualSpacing/>
        <w:jc w:val="both"/>
        <w:rPr>
          <w:i/>
          <w:iCs/>
        </w:rPr>
      </w:pPr>
      <w:r w:rsidRPr="00D92F68">
        <w:rPr>
          <w:i/>
          <w:iCs/>
        </w:rPr>
        <w:t>Flora and Fauna Guarantee Act 1988</w:t>
      </w:r>
      <w:r w:rsidRPr="005F6476">
        <w:t xml:space="preserve"> (</w:t>
      </w:r>
      <w:r w:rsidRPr="00D92F68">
        <w:rPr>
          <w:i/>
          <w:iCs/>
        </w:rPr>
        <w:t>FFG Act</w:t>
      </w:r>
      <w:r w:rsidRPr="005F6476">
        <w:t xml:space="preserve">) including the </w:t>
      </w:r>
      <w:r w:rsidRPr="00D92F68">
        <w:rPr>
          <w:i/>
          <w:iCs/>
        </w:rPr>
        <w:t>Flora and Fauna Guarantee Amendment Act 2019</w:t>
      </w:r>
      <w:r w:rsidRPr="00D92F68" w:rsidDel="00F23B99">
        <w:rPr>
          <w:i/>
          <w:iCs/>
        </w:rPr>
        <w:t xml:space="preserve"> </w:t>
      </w:r>
    </w:p>
    <w:p w14:paraId="4AF8936B" w14:textId="77777777" w:rsidR="00C02234" w:rsidRPr="00D92F68" w:rsidRDefault="00C02234" w:rsidP="00C02234">
      <w:pPr>
        <w:pStyle w:val="ListBullet"/>
        <w:numPr>
          <w:ilvl w:val="0"/>
          <w:numId w:val="20"/>
        </w:numPr>
        <w:tabs>
          <w:tab w:val="left" w:pos="340"/>
        </w:tabs>
        <w:ind w:right="0"/>
        <w:contextualSpacing/>
        <w:jc w:val="both"/>
        <w:rPr>
          <w:i/>
          <w:iCs/>
          <w:szCs w:val="16"/>
        </w:rPr>
      </w:pPr>
      <w:r w:rsidRPr="00D92F68">
        <w:rPr>
          <w:i/>
          <w:iCs/>
          <w:lang w:val="en-US"/>
        </w:rPr>
        <w:t>Forests Act 1958</w:t>
      </w:r>
      <w:r>
        <w:rPr>
          <w:i/>
          <w:iCs/>
          <w:lang w:val="en-US"/>
        </w:rPr>
        <w:t xml:space="preserve"> (Forests Act)</w:t>
      </w:r>
    </w:p>
    <w:p w14:paraId="3D3C3FA2" w14:textId="77777777" w:rsidR="00C02234" w:rsidRPr="00D92F68" w:rsidRDefault="00C02234" w:rsidP="00C02234">
      <w:pPr>
        <w:pStyle w:val="ListBullet"/>
        <w:numPr>
          <w:ilvl w:val="0"/>
          <w:numId w:val="20"/>
        </w:numPr>
        <w:tabs>
          <w:tab w:val="left" w:pos="340"/>
        </w:tabs>
        <w:ind w:right="0"/>
        <w:contextualSpacing/>
        <w:jc w:val="both"/>
        <w:rPr>
          <w:i/>
          <w:iCs/>
        </w:rPr>
      </w:pPr>
      <w:r w:rsidRPr="00D92F68">
        <w:rPr>
          <w:i/>
          <w:iCs/>
        </w:rPr>
        <w:t>Sustainable Forests (Timber) Act 2004</w:t>
      </w:r>
      <w:r>
        <w:rPr>
          <w:i/>
          <w:iCs/>
        </w:rPr>
        <w:t xml:space="preserve"> (SFT Act)</w:t>
      </w:r>
    </w:p>
    <w:p w14:paraId="4B61FE38" w14:textId="77777777" w:rsidR="00C02234" w:rsidRDefault="00C02234" w:rsidP="00C02234">
      <w:pPr>
        <w:pStyle w:val="ListBullet"/>
        <w:numPr>
          <w:ilvl w:val="0"/>
          <w:numId w:val="20"/>
        </w:numPr>
        <w:tabs>
          <w:tab w:val="left" w:pos="340"/>
        </w:tabs>
        <w:ind w:right="0"/>
        <w:contextualSpacing/>
      </w:pPr>
      <w:r>
        <w:t xml:space="preserve">Code of Practice for Timber Production 2014 (‘Code of Practice’), a subordinate instrument under the </w:t>
      </w:r>
      <w:r w:rsidRPr="3DAA379F">
        <w:rPr>
          <w:i/>
          <w:iCs/>
        </w:rPr>
        <w:t>Conservation Forests and Lands Act 1987</w:t>
      </w:r>
      <w:r>
        <w:t xml:space="preserve"> (</w:t>
      </w:r>
      <w:r w:rsidRPr="3DAA379F">
        <w:rPr>
          <w:i/>
          <w:iCs/>
        </w:rPr>
        <w:t>CFL Act</w:t>
      </w:r>
      <w:r>
        <w:t xml:space="preserve">) </w:t>
      </w:r>
    </w:p>
    <w:p w14:paraId="267DEDD4" w14:textId="486DDEDC" w:rsidR="00C02234" w:rsidRDefault="00275EA0" w:rsidP="00C02234">
      <w:pPr>
        <w:pStyle w:val="BodyNormal"/>
      </w:pPr>
      <w:r>
        <w:t>O</w:t>
      </w:r>
      <w:r w:rsidR="00C02234">
        <w:t xml:space="preserve">ther provisions and subordinate instruments of the </w:t>
      </w:r>
      <w:r w:rsidR="00C02234" w:rsidRPr="3DAA379F">
        <w:rPr>
          <w:i/>
          <w:iCs/>
        </w:rPr>
        <w:t>CFL Act</w:t>
      </w:r>
      <w:r w:rsidR="00C02234">
        <w:t xml:space="preserve"> </w:t>
      </w:r>
      <w:r>
        <w:t>have not been considered in scope for this review</w:t>
      </w:r>
      <w:r w:rsidR="00C02234">
        <w:t>.</w:t>
      </w:r>
      <w:r w:rsidR="00A7600C">
        <w:t xml:space="preserve"> </w:t>
      </w:r>
      <w:r w:rsidR="001E6934">
        <w:t>T</w:t>
      </w:r>
      <w:r w:rsidR="00A7600C">
        <w:t xml:space="preserve">he </w:t>
      </w:r>
      <w:r w:rsidR="00C02234" w:rsidRPr="0086178C">
        <w:rPr>
          <w:i/>
          <w:iCs/>
        </w:rPr>
        <w:t xml:space="preserve">Forest Legislation Amendment (Compliance and Enforcement) Act 2019 </w:t>
      </w:r>
      <w:r w:rsidR="00C02234" w:rsidRPr="0086178C">
        <w:t>was briefly referred to</w:t>
      </w:r>
      <w:r w:rsidR="00553A3E">
        <w:t xml:space="preserve"> in the review,</w:t>
      </w:r>
      <w:r w:rsidR="00C02234" w:rsidRPr="0086178C">
        <w:t xml:space="preserve"> </w:t>
      </w:r>
      <w:r w:rsidR="00553A3E">
        <w:t>because</w:t>
      </w:r>
      <w:r w:rsidR="00553A3E" w:rsidRPr="0086178C">
        <w:t xml:space="preserve"> </w:t>
      </w:r>
      <w:r w:rsidR="00C02234" w:rsidRPr="0086178C">
        <w:t xml:space="preserve">it </w:t>
      </w:r>
      <w:r w:rsidR="00553A3E">
        <w:t>included</w:t>
      </w:r>
      <w:r w:rsidR="00553A3E" w:rsidRPr="0086178C">
        <w:t xml:space="preserve"> </w:t>
      </w:r>
      <w:r w:rsidR="00C02234" w:rsidRPr="0086178C">
        <w:t>amend</w:t>
      </w:r>
      <w:r w:rsidR="00553A3E">
        <w:t>ments to</w:t>
      </w:r>
      <w:r w:rsidR="00C02234" w:rsidRPr="0086178C">
        <w:t xml:space="preserve"> the </w:t>
      </w:r>
      <w:r w:rsidR="00C02234" w:rsidRPr="0086178C">
        <w:rPr>
          <w:i/>
          <w:iCs/>
        </w:rPr>
        <w:t>SFT Act</w:t>
      </w:r>
      <w:r w:rsidR="00C02234" w:rsidRPr="0086178C">
        <w:t xml:space="preserve">, </w:t>
      </w:r>
      <w:r w:rsidR="00C02234" w:rsidRPr="0086178C">
        <w:rPr>
          <w:i/>
          <w:iCs/>
        </w:rPr>
        <w:t>Forests Act</w:t>
      </w:r>
      <w:r w:rsidR="00C02234" w:rsidRPr="0086178C">
        <w:t xml:space="preserve"> (and </w:t>
      </w:r>
      <w:r w:rsidR="00C02234" w:rsidRPr="0086178C">
        <w:rPr>
          <w:i/>
          <w:iCs/>
        </w:rPr>
        <w:t>CFL Act</w:t>
      </w:r>
      <w:r w:rsidR="00C02234" w:rsidRPr="0086178C">
        <w:t>) with respect to improving regulation of timber harvesting and firewood collection.</w:t>
      </w:r>
      <w:r w:rsidR="00C02234" w:rsidRPr="007B3E1F">
        <w:t xml:space="preserve"> </w:t>
      </w:r>
    </w:p>
    <w:p w14:paraId="29948B57" w14:textId="53756E32" w:rsidR="009E738A" w:rsidRPr="000138A2" w:rsidRDefault="009E738A" w:rsidP="009E738A">
      <w:pPr>
        <w:pStyle w:val="BodyNormal"/>
      </w:pPr>
      <w:r>
        <w:t xml:space="preserve">This review has been conducted in the context of existing legislative and policy frameworks for protection of </w:t>
      </w:r>
      <w:r w:rsidR="00BE7EFC">
        <w:t>T</w:t>
      </w:r>
      <w:r>
        <w:t xml:space="preserve">hreatened </w:t>
      </w:r>
      <w:r w:rsidR="00BE7EFC">
        <w:t>S</w:t>
      </w:r>
      <w:r>
        <w:t xml:space="preserve">pecies and </w:t>
      </w:r>
      <w:r w:rsidR="00BE7EFC">
        <w:t>C</w:t>
      </w:r>
      <w:r>
        <w:t>ommunities, namely the Victorian Forest Management System</w:t>
      </w:r>
      <w:r w:rsidR="000B730F">
        <w:t>.</w:t>
      </w:r>
      <w:r>
        <w:t xml:space="preserve"> </w:t>
      </w:r>
      <w:r w:rsidR="00275EA0">
        <w:t>C</w:t>
      </w:r>
      <w:r w:rsidR="000B730F">
        <w:t xml:space="preserve">onsideration </w:t>
      </w:r>
      <w:r w:rsidR="00275EA0">
        <w:t xml:space="preserve">has been given </w:t>
      </w:r>
      <w:r w:rsidR="000B730F">
        <w:t xml:space="preserve">to </w:t>
      </w:r>
      <w:r w:rsidR="00A552A3">
        <w:t xml:space="preserve">previous and current reviews </w:t>
      </w:r>
      <w:r>
        <w:t>of legislation</w:t>
      </w:r>
      <w:r w:rsidR="00275EA0">
        <w:t xml:space="preserve"> and other policy mechanisms, with insights drawn from these where possible. These reviews include:</w:t>
      </w:r>
    </w:p>
    <w:p w14:paraId="50EB9419" w14:textId="77777777" w:rsidR="00A552A3" w:rsidRPr="00A552A3" w:rsidRDefault="00A552A3" w:rsidP="00A552A3">
      <w:pPr>
        <w:pStyle w:val="ListBullet"/>
        <w:numPr>
          <w:ilvl w:val="0"/>
          <w:numId w:val="20"/>
        </w:numPr>
        <w:tabs>
          <w:tab w:val="left" w:pos="340"/>
        </w:tabs>
        <w:ind w:right="0"/>
        <w:contextualSpacing/>
        <w:jc w:val="both"/>
      </w:pPr>
      <w:r w:rsidRPr="00A552A3">
        <w:t>Independent Review of Timber Harvesting Regulation (2018)</w:t>
      </w:r>
    </w:p>
    <w:p w14:paraId="789D53A0" w14:textId="77777777" w:rsidR="00A552A3" w:rsidRPr="00A552A3" w:rsidRDefault="00A552A3" w:rsidP="00A552A3">
      <w:pPr>
        <w:pStyle w:val="ListBullet"/>
        <w:numPr>
          <w:ilvl w:val="0"/>
          <w:numId w:val="20"/>
        </w:numPr>
        <w:tabs>
          <w:tab w:val="left" w:pos="340"/>
        </w:tabs>
        <w:ind w:right="0"/>
        <w:contextualSpacing/>
        <w:jc w:val="both"/>
      </w:pPr>
      <w:r w:rsidRPr="00A552A3">
        <w:t xml:space="preserve">Review of the </w:t>
      </w:r>
      <w:r w:rsidRPr="00275EA0">
        <w:rPr>
          <w:i/>
          <w:iCs/>
        </w:rPr>
        <w:t>Flora and Fauna Guarantee Act 1988</w:t>
      </w:r>
    </w:p>
    <w:p w14:paraId="469E2B71" w14:textId="77777777" w:rsidR="00A552A3" w:rsidRPr="00275EA0" w:rsidRDefault="00A552A3" w:rsidP="00A552A3">
      <w:pPr>
        <w:pStyle w:val="ListBullet"/>
        <w:numPr>
          <w:ilvl w:val="0"/>
          <w:numId w:val="20"/>
        </w:numPr>
        <w:tabs>
          <w:tab w:val="left" w:pos="340"/>
        </w:tabs>
        <w:ind w:right="0"/>
        <w:contextualSpacing/>
        <w:jc w:val="both"/>
        <w:rPr>
          <w:i/>
          <w:iCs/>
        </w:rPr>
      </w:pPr>
      <w:r w:rsidRPr="00275EA0">
        <w:rPr>
          <w:i/>
          <w:iCs/>
        </w:rPr>
        <w:t>Forests Legislation Amendment (Compliance and Enforcement) Act 2021</w:t>
      </w:r>
    </w:p>
    <w:p w14:paraId="3CF573E1" w14:textId="77777777" w:rsidR="00A552A3" w:rsidRPr="00A552A3" w:rsidRDefault="00A552A3" w:rsidP="00A552A3">
      <w:pPr>
        <w:pStyle w:val="ListBullet"/>
        <w:numPr>
          <w:ilvl w:val="0"/>
          <w:numId w:val="20"/>
        </w:numPr>
        <w:tabs>
          <w:tab w:val="left" w:pos="340"/>
        </w:tabs>
        <w:ind w:right="0"/>
        <w:contextualSpacing/>
        <w:jc w:val="both"/>
      </w:pPr>
      <w:r w:rsidRPr="00A552A3">
        <w:t>2021 and 2022 Variation of the Code of Practice for Timber Production 2014</w:t>
      </w:r>
    </w:p>
    <w:p w14:paraId="2F6B52CF" w14:textId="77777777" w:rsidR="00A552A3" w:rsidRPr="00A552A3" w:rsidRDefault="00A552A3" w:rsidP="00A552A3">
      <w:pPr>
        <w:pStyle w:val="ListBullet"/>
        <w:numPr>
          <w:ilvl w:val="0"/>
          <w:numId w:val="20"/>
        </w:numPr>
        <w:tabs>
          <w:tab w:val="left" w:pos="340"/>
        </w:tabs>
        <w:ind w:right="0"/>
        <w:contextualSpacing/>
        <w:jc w:val="both"/>
      </w:pPr>
      <w:r w:rsidRPr="00A552A3">
        <w:t>CAR Reserve Review</w:t>
      </w:r>
    </w:p>
    <w:p w14:paraId="4354A165" w14:textId="77777777" w:rsidR="00A552A3" w:rsidRPr="00A552A3" w:rsidRDefault="00A552A3" w:rsidP="00A552A3">
      <w:pPr>
        <w:pStyle w:val="ListBullet"/>
        <w:numPr>
          <w:ilvl w:val="0"/>
          <w:numId w:val="20"/>
        </w:numPr>
        <w:tabs>
          <w:tab w:val="left" w:pos="340"/>
        </w:tabs>
        <w:ind w:right="0"/>
        <w:contextualSpacing/>
        <w:jc w:val="both"/>
      </w:pPr>
      <w:r w:rsidRPr="00A552A3">
        <w:t>Victorian RFA Major Event Review of the 2019/20 bushfires</w:t>
      </w:r>
    </w:p>
    <w:p w14:paraId="20C08380" w14:textId="7250391D" w:rsidR="00A552A3" w:rsidRPr="00A552A3" w:rsidRDefault="00A552A3" w:rsidP="00A552A3">
      <w:pPr>
        <w:pStyle w:val="ListBullet"/>
        <w:numPr>
          <w:ilvl w:val="0"/>
          <w:numId w:val="20"/>
        </w:numPr>
        <w:tabs>
          <w:tab w:val="left" w:pos="340"/>
        </w:tabs>
        <w:ind w:right="0"/>
        <w:contextualSpacing/>
        <w:jc w:val="both"/>
      </w:pPr>
      <w:r w:rsidRPr="00A552A3">
        <w:t xml:space="preserve">Threatened Species and Communities </w:t>
      </w:r>
      <w:r w:rsidR="00BE7EFC">
        <w:t>R</w:t>
      </w:r>
      <w:r w:rsidRPr="00A552A3">
        <w:t xml:space="preserve">isk </w:t>
      </w:r>
      <w:r w:rsidR="00BE7EFC">
        <w:t>A</w:t>
      </w:r>
      <w:r w:rsidRPr="00A552A3">
        <w:t>ssessments – interim and permanent protections</w:t>
      </w:r>
    </w:p>
    <w:p w14:paraId="148176E1" w14:textId="77777777" w:rsidR="00A552A3" w:rsidRPr="00A552A3" w:rsidRDefault="00A552A3" w:rsidP="00A552A3">
      <w:pPr>
        <w:pStyle w:val="ListBullet"/>
        <w:numPr>
          <w:ilvl w:val="0"/>
          <w:numId w:val="20"/>
        </w:numPr>
        <w:tabs>
          <w:tab w:val="left" w:pos="340"/>
        </w:tabs>
        <w:ind w:right="0"/>
        <w:contextualSpacing/>
        <w:jc w:val="both"/>
      </w:pPr>
      <w:r w:rsidRPr="00A552A3">
        <w:t xml:space="preserve">Review of the </w:t>
      </w:r>
      <w:r w:rsidRPr="00275EA0">
        <w:rPr>
          <w:i/>
          <w:iCs/>
        </w:rPr>
        <w:t>Wildlife Act 1975</w:t>
      </w:r>
    </w:p>
    <w:p w14:paraId="19419268" w14:textId="1A9F863A" w:rsidR="002E40AC" w:rsidRDefault="00A552A3" w:rsidP="00A552A3">
      <w:pPr>
        <w:pStyle w:val="ListBullet"/>
        <w:numPr>
          <w:ilvl w:val="0"/>
          <w:numId w:val="20"/>
        </w:numPr>
        <w:tabs>
          <w:tab w:val="left" w:pos="340"/>
        </w:tabs>
        <w:ind w:right="0"/>
        <w:contextualSpacing/>
        <w:jc w:val="both"/>
      </w:pPr>
      <w:r w:rsidRPr="00A552A3">
        <w:t>Comprehensive Review</w:t>
      </w:r>
      <w:r>
        <w:t xml:space="preserve"> of the Code of Practice for Timber Production 2014</w:t>
      </w:r>
    </w:p>
    <w:p w14:paraId="78155EAE" w14:textId="77777777" w:rsidR="00AF4528" w:rsidRDefault="00AF4528" w:rsidP="00A552A3">
      <w:pPr>
        <w:pStyle w:val="BodyBold"/>
      </w:pPr>
    </w:p>
    <w:p w14:paraId="60076F05" w14:textId="77777777" w:rsidR="00AF4528" w:rsidRDefault="00AF4528" w:rsidP="00A552A3">
      <w:pPr>
        <w:pStyle w:val="BodyBold"/>
      </w:pPr>
    </w:p>
    <w:p w14:paraId="3593C13C" w14:textId="68DF77E5" w:rsidR="00A552A3" w:rsidRDefault="003851AC" w:rsidP="00A552A3">
      <w:pPr>
        <w:pStyle w:val="BodyBold"/>
      </w:pPr>
      <w:r>
        <w:lastRenderedPageBreak/>
        <w:t>Review approach</w:t>
      </w:r>
    </w:p>
    <w:p w14:paraId="585CFC67" w14:textId="6305B18A" w:rsidR="00B66947" w:rsidRDefault="003851AC" w:rsidP="003851AC">
      <w:pPr>
        <w:pStyle w:val="BodyNormal"/>
      </w:pPr>
      <w:r>
        <w:t xml:space="preserve">A Working Group was established with representatives from key groups across DELWP and the </w:t>
      </w:r>
      <w:r w:rsidRPr="00F801D2">
        <w:t>Department of Jobs, Precincts and Regions</w:t>
      </w:r>
      <w:r>
        <w:t xml:space="preserve"> (DJPR), </w:t>
      </w:r>
      <w:r w:rsidRPr="007B3E1F">
        <w:t xml:space="preserve">to provide both expert and operational insights to support </w:t>
      </w:r>
      <w:r w:rsidR="000D2221">
        <w:t>the review</w:t>
      </w:r>
      <w:r w:rsidRPr="007B3E1F">
        <w:t xml:space="preserve">. </w:t>
      </w:r>
      <w:r w:rsidR="000D2221">
        <w:t xml:space="preserve">A series of online workshops </w:t>
      </w:r>
      <w:r w:rsidR="00405FB0">
        <w:t xml:space="preserve">with the Working Group </w:t>
      </w:r>
      <w:r w:rsidR="000D2221">
        <w:t xml:space="preserve">and interviews </w:t>
      </w:r>
      <w:r w:rsidR="00405FB0">
        <w:t xml:space="preserve">with </w:t>
      </w:r>
      <w:r w:rsidR="00275EA0">
        <w:t>individual</w:t>
      </w:r>
      <w:r w:rsidR="000D2221">
        <w:t xml:space="preserve"> members</w:t>
      </w:r>
      <w:r w:rsidR="00B66947">
        <w:t xml:space="preserve"> were conducted to: </w:t>
      </w:r>
    </w:p>
    <w:p w14:paraId="4AFB410F" w14:textId="77C305D7" w:rsidR="00B66947" w:rsidRDefault="00B66947" w:rsidP="00B66947">
      <w:pPr>
        <w:pStyle w:val="ListBullet"/>
        <w:numPr>
          <w:ilvl w:val="0"/>
          <w:numId w:val="20"/>
        </w:numPr>
        <w:tabs>
          <w:tab w:val="left" w:pos="340"/>
        </w:tabs>
        <w:ind w:right="0"/>
        <w:contextualSpacing/>
        <w:jc w:val="both"/>
      </w:pPr>
      <w:r>
        <w:t xml:space="preserve">Initially identify and confirm a framework </w:t>
      </w:r>
      <w:r w:rsidR="00893126">
        <w:t>(</w:t>
      </w:r>
      <w:proofErr w:type="gramStart"/>
      <w:r w:rsidR="00893126">
        <w:t>i.e.</w:t>
      </w:r>
      <w:proofErr w:type="gramEnd"/>
      <w:r w:rsidR="00893126">
        <w:t xml:space="preserve"> ‘Pathway to Protection’) </w:t>
      </w:r>
      <w:r>
        <w:t>to support analysis of relevant legislative provisions and subordinate instruments</w:t>
      </w:r>
      <w:r w:rsidRPr="00B66947">
        <w:t xml:space="preserve"> </w:t>
      </w:r>
    </w:p>
    <w:p w14:paraId="39112AB0" w14:textId="6FCDD704" w:rsidR="00B66947" w:rsidRDefault="00B66947" w:rsidP="00B66947">
      <w:pPr>
        <w:pStyle w:val="ListBullet"/>
        <w:numPr>
          <w:ilvl w:val="0"/>
          <w:numId w:val="20"/>
        </w:numPr>
        <w:tabs>
          <w:tab w:val="left" w:pos="340"/>
        </w:tabs>
        <w:ind w:right="0"/>
        <w:contextualSpacing/>
        <w:jc w:val="both"/>
      </w:pPr>
      <w:r>
        <w:t xml:space="preserve">Identify legislative provisions or instruments that are currently effective, have the potential to be more effective and where there is opportunity to improve </w:t>
      </w:r>
    </w:p>
    <w:p w14:paraId="1F420C4D" w14:textId="397B8F7C" w:rsidR="00B66947" w:rsidRDefault="00B66947" w:rsidP="00B66947">
      <w:pPr>
        <w:pStyle w:val="ListBullet"/>
        <w:numPr>
          <w:ilvl w:val="0"/>
          <w:numId w:val="20"/>
        </w:numPr>
        <w:tabs>
          <w:tab w:val="left" w:pos="340"/>
        </w:tabs>
        <w:ind w:right="0"/>
        <w:contextualSpacing/>
        <w:jc w:val="both"/>
      </w:pPr>
      <w:r>
        <w:t>Provide clarification on previous and current projects with implications for this review</w:t>
      </w:r>
    </w:p>
    <w:p w14:paraId="3066331F" w14:textId="243D69B3" w:rsidR="009F16B4" w:rsidRDefault="00B66947" w:rsidP="00B25085">
      <w:pPr>
        <w:pStyle w:val="BodyNormal"/>
      </w:pPr>
      <w:r>
        <w:t xml:space="preserve">The </w:t>
      </w:r>
      <w:r w:rsidR="00893126">
        <w:t>‘</w:t>
      </w:r>
      <w:r>
        <w:t>Pathway to Protection</w:t>
      </w:r>
      <w:r w:rsidR="00893126">
        <w:t xml:space="preserve">’ </w:t>
      </w:r>
      <w:r>
        <w:t xml:space="preserve">framework </w:t>
      </w:r>
      <w:r w:rsidR="00D25372">
        <w:t xml:space="preserve">was created to assist </w:t>
      </w:r>
      <w:r>
        <w:t>th</w:t>
      </w:r>
      <w:r w:rsidR="00D25372">
        <w:t>is</w:t>
      </w:r>
      <w:r>
        <w:t xml:space="preserve"> review</w:t>
      </w:r>
      <w:r w:rsidR="00D25372">
        <w:t>. It</w:t>
      </w:r>
      <w:r w:rsidR="00893126">
        <w:t xml:space="preserve"> describes</w:t>
      </w:r>
      <w:r w:rsidR="00D25372">
        <w:t>, in simple terms,</w:t>
      </w:r>
      <w:r w:rsidR="00893126">
        <w:t xml:space="preserve"> the </w:t>
      </w:r>
      <w:r w:rsidR="00D25372">
        <w:t>key steps involved in</w:t>
      </w:r>
      <w:r w:rsidR="00893126">
        <w:t xml:space="preserve"> protecting </w:t>
      </w:r>
      <w:r w:rsidR="00BE7EFC">
        <w:t>T</w:t>
      </w:r>
      <w:r w:rsidR="00893126">
        <w:t xml:space="preserve">hreatened </w:t>
      </w:r>
      <w:r w:rsidR="00BE7EFC">
        <w:t>S</w:t>
      </w:r>
      <w:r w:rsidR="00893126">
        <w:t xml:space="preserve">pecies and </w:t>
      </w:r>
      <w:r w:rsidR="00BE7EFC">
        <w:t>C</w:t>
      </w:r>
      <w:r w:rsidR="00893126">
        <w:t xml:space="preserve">ommunities. </w:t>
      </w:r>
      <w:r w:rsidR="00976DFF">
        <w:t>Broadly</w:t>
      </w:r>
      <w:r w:rsidR="00927845">
        <w:t>,</w:t>
      </w:r>
      <w:r w:rsidR="00941907">
        <w:t xml:space="preserve"> th</w:t>
      </w:r>
      <w:r w:rsidR="00D25372">
        <w:t>os</w:t>
      </w:r>
      <w:r w:rsidR="00941907">
        <w:t xml:space="preserve">e </w:t>
      </w:r>
      <w:r w:rsidR="00893126">
        <w:t>steps</w:t>
      </w:r>
      <w:r w:rsidR="00D25372">
        <w:t xml:space="preserve"> are</w:t>
      </w:r>
      <w:r w:rsidR="00893126">
        <w:t>:</w:t>
      </w:r>
    </w:p>
    <w:p w14:paraId="5C24FAA5" w14:textId="731E7B66" w:rsidR="00976DFF" w:rsidRDefault="00976DFF" w:rsidP="00976DFF">
      <w:pPr>
        <w:pStyle w:val="ListBullet"/>
        <w:numPr>
          <w:ilvl w:val="0"/>
          <w:numId w:val="20"/>
        </w:numPr>
        <w:tabs>
          <w:tab w:val="left" w:pos="340"/>
        </w:tabs>
        <w:ind w:right="0"/>
        <w:contextualSpacing/>
        <w:jc w:val="both"/>
      </w:pPr>
      <w:r>
        <w:t>Problem identification</w:t>
      </w:r>
    </w:p>
    <w:p w14:paraId="7370EDC4" w14:textId="35109B27" w:rsidR="00976DFF" w:rsidRDefault="00976DFF" w:rsidP="00976DFF">
      <w:pPr>
        <w:pStyle w:val="ListBullet"/>
        <w:numPr>
          <w:ilvl w:val="0"/>
          <w:numId w:val="20"/>
        </w:numPr>
        <w:tabs>
          <w:tab w:val="left" w:pos="340"/>
        </w:tabs>
        <w:ind w:right="0"/>
        <w:contextualSpacing/>
        <w:jc w:val="both"/>
      </w:pPr>
      <w:r>
        <w:t>Risk assessment</w:t>
      </w:r>
    </w:p>
    <w:p w14:paraId="591CF0BF" w14:textId="6016C63C" w:rsidR="00976DFF" w:rsidRDefault="00976DFF" w:rsidP="00976DFF">
      <w:pPr>
        <w:pStyle w:val="ListBullet"/>
        <w:numPr>
          <w:ilvl w:val="0"/>
          <w:numId w:val="20"/>
        </w:numPr>
        <w:tabs>
          <w:tab w:val="left" w:pos="340"/>
        </w:tabs>
        <w:ind w:right="0"/>
        <w:contextualSpacing/>
        <w:jc w:val="both"/>
      </w:pPr>
      <w:r>
        <w:t>Conservation planning</w:t>
      </w:r>
    </w:p>
    <w:p w14:paraId="0DDADD78" w14:textId="143B7190" w:rsidR="00976DFF" w:rsidRDefault="00976DFF" w:rsidP="00976DFF">
      <w:pPr>
        <w:pStyle w:val="ListBullet"/>
        <w:numPr>
          <w:ilvl w:val="0"/>
          <w:numId w:val="20"/>
        </w:numPr>
        <w:tabs>
          <w:tab w:val="left" w:pos="340"/>
        </w:tabs>
        <w:ind w:right="0"/>
        <w:contextualSpacing/>
        <w:jc w:val="both"/>
      </w:pPr>
      <w:r>
        <w:t xml:space="preserve">Implementation </w:t>
      </w:r>
      <w:r w:rsidR="00941907">
        <w:t xml:space="preserve">of conservation and protection actions </w:t>
      </w:r>
      <w:r>
        <w:t>(</w:t>
      </w:r>
      <w:r w:rsidR="00941907">
        <w:t xml:space="preserve">including </w:t>
      </w:r>
      <w:r>
        <w:t xml:space="preserve">avoidance of harm, </w:t>
      </w:r>
      <w:r w:rsidR="00941907">
        <w:t>permanent</w:t>
      </w:r>
      <w:r>
        <w:t xml:space="preserve"> </w:t>
      </w:r>
      <w:r w:rsidR="00941907">
        <w:t>protections</w:t>
      </w:r>
      <w:r>
        <w:t>,</w:t>
      </w:r>
      <w:r w:rsidR="00941907">
        <w:t xml:space="preserve"> active management)</w:t>
      </w:r>
      <w:r>
        <w:t xml:space="preserve"> </w:t>
      </w:r>
    </w:p>
    <w:p w14:paraId="47805EFA" w14:textId="26BC25AD" w:rsidR="00941907" w:rsidRDefault="00941907" w:rsidP="00976DFF">
      <w:pPr>
        <w:pStyle w:val="ListBullet"/>
        <w:numPr>
          <w:ilvl w:val="0"/>
          <w:numId w:val="20"/>
        </w:numPr>
        <w:tabs>
          <w:tab w:val="left" w:pos="340"/>
        </w:tabs>
        <w:ind w:right="0"/>
        <w:contextualSpacing/>
        <w:jc w:val="both"/>
      </w:pPr>
      <w:r>
        <w:t>Monitoring, evaluation, reporting and implementation</w:t>
      </w:r>
    </w:p>
    <w:p w14:paraId="0065746F" w14:textId="5D2CBE77" w:rsidR="0030155E" w:rsidRDefault="00D25372" w:rsidP="00893126">
      <w:pPr>
        <w:pStyle w:val="BodyNormal"/>
      </w:pPr>
      <w:r>
        <w:t xml:space="preserve">With the help of the Working Group, </w:t>
      </w:r>
      <w:r w:rsidR="00893126">
        <w:t>legislative provisions</w:t>
      </w:r>
      <w:r w:rsidR="00927845">
        <w:t xml:space="preserve">, subordinate </w:t>
      </w:r>
      <w:proofErr w:type="gramStart"/>
      <w:r w:rsidR="00927845">
        <w:t>instruments</w:t>
      </w:r>
      <w:proofErr w:type="gramEnd"/>
      <w:r w:rsidR="00927845">
        <w:t xml:space="preserve"> and other policy mechanisms,</w:t>
      </w:r>
      <w:r w:rsidR="00893126">
        <w:t xml:space="preserve"> identified through desktop review </w:t>
      </w:r>
      <w:r>
        <w:t>step of this project</w:t>
      </w:r>
      <w:r w:rsidR="00893126">
        <w:t>,</w:t>
      </w:r>
      <w:r w:rsidR="00893126" w:rsidRPr="004D0B5D">
        <w:t xml:space="preserve"> </w:t>
      </w:r>
      <w:r>
        <w:t xml:space="preserve">were mapped </w:t>
      </w:r>
      <w:r w:rsidR="006904F6">
        <w:t>against</w:t>
      </w:r>
      <w:r w:rsidR="00893126" w:rsidRPr="009459D7">
        <w:t xml:space="preserve"> the ‘Pathway to Protection’ framework</w:t>
      </w:r>
      <w:r w:rsidR="00927845">
        <w:t xml:space="preserve">. </w:t>
      </w:r>
      <w:r w:rsidR="0030155E">
        <w:t xml:space="preserve">This exercise assisted in identifying how various provisions contribute to the process of protecting </w:t>
      </w:r>
      <w:r w:rsidR="00BE7EFC">
        <w:t>T</w:t>
      </w:r>
      <w:r w:rsidR="0030155E">
        <w:t xml:space="preserve">hreatened </w:t>
      </w:r>
      <w:r w:rsidR="00BE7EFC">
        <w:t>S</w:t>
      </w:r>
      <w:r w:rsidR="0030155E">
        <w:t xml:space="preserve">pecies and </w:t>
      </w:r>
      <w:r w:rsidR="00BE7EFC">
        <w:t>C</w:t>
      </w:r>
      <w:r w:rsidR="0030155E">
        <w:t xml:space="preserve">ommunities but also possible legislative ‘gaps’ that may require improvement to strengthen protection of </w:t>
      </w:r>
      <w:r w:rsidR="00BE7EFC">
        <w:t>T</w:t>
      </w:r>
      <w:r w:rsidR="0030155E">
        <w:t xml:space="preserve">hreatened </w:t>
      </w:r>
      <w:r w:rsidR="00BE7EFC">
        <w:t>S</w:t>
      </w:r>
      <w:r w:rsidR="0030155E">
        <w:t xml:space="preserve">pecies and </w:t>
      </w:r>
      <w:r w:rsidR="00BE7EFC">
        <w:t>C</w:t>
      </w:r>
      <w:r w:rsidR="0030155E">
        <w:t xml:space="preserve">ommunities. </w:t>
      </w:r>
      <w:r w:rsidR="00AC034E">
        <w:t>The o</w:t>
      </w:r>
      <w:r w:rsidR="00927845">
        <w:t>utput of this mapping exercise is provided in Figure ES-1</w:t>
      </w:r>
      <w:r w:rsidR="0030155E">
        <w:t xml:space="preserve">. </w:t>
      </w:r>
      <w:r w:rsidR="00AC034E">
        <w:t>This mapping guided a</w:t>
      </w:r>
      <w:r w:rsidR="0030155E">
        <w:t>nalysis of opportunities to strengthen legislative provisions and other instruments</w:t>
      </w:r>
      <w:r w:rsidR="00AC034E">
        <w:t>, which are</w:t>
      </w:r>
      <w:r w:rsidR="0030155E">
        <w:t xml:space="preserve"> detailed in this report.</w:t>
      </w:r>
    </w:p>
    <w:p w14:paraId="0AE437D9" w14:textId="50625163" w:rsidR="0030155E" w:rsidRPr="0030155E" w:rsidRDefault="0030155E" w:rsidP="0030155E">
      <w:pPr>
        <w:pStyle w:val="BodyNormal"/>
        <w:rPr>
          <w:b/>
          <w:bCs/>
        </w:rPr>
      </w:pPr>
      <w:r w:rsidRPr="0030155E">
        <w:rPr>
          <w:b/>
          <w:bCs/>
        </w:rPr>
        <w:t xml:space="preserve">Key findings </w:t>
      </w:r>
    </w:p>
    <w:p w14:paraId="6FD270D7" w14:textId="382F4AD9" w:rsidR="00893126" w:rsidRDefault="0030155E" w:rsidP="00893126">
      <w:pPr>
        <w:pStyle w:val="BodyNormal"/>
      </w:pPr>
      <w:r>
        <w:t xml:space="preserve">The review process identified </w:t>
      </w:r>
      <w:r w:rsidR="002F0EBD">
        <w:t xml:space="preserve">several </w:t>
      </w:r>
      <w:r>
        <w:t xml:space="preserve">strengths </w:t>
      </w:r>
      <w:r w:rsidR="002F0EBD">
        <w:t>with the</w:t>
      </w:r>
      <w:r>
        <w:t xml:space="preserve"> legislation in scope for this review, </w:t>
      </w:r>
      <w:r w:rsidR="002F0EBD">
        <w:t>regarding</w:t>
      </w:r>
      <w:r>
        <w:t xml:space="preserve"> </w:t>
      </w:r>
      <w:r w:rsidR="002F0EBD">
        <w:t>protection of</w:t>
      </w:r>
      <w:r>
        <w:t xml:space="preserve"> </w:t>
      </w:r>
      <w:r w:rsidR="00BE7EFC">
        <w:t>T</w:t>
      </w:r>
      <w:r w:rsidR="002F0EBD">
        <w:t>hreatened</w:t>
      </w:r>
      <w:r>
        <w:t xml:space="preserve"> </w:t>
      </w:r>
      <w:r w:rsidR="00BE7EFC">
        <w:t>S</w:t>
      </w:r>
      <w:r>
        <w:t xml:space="preserve">pecies and </w:t>
      </w:r>
      <w:r w:rsidR="00BE7EFC">
        <w:t>C</w:t>
      </w:r>
      <w:r>
        <w:t>ommunities</w:t>
      </w:r>
      <w:r w:rsidR="002F0EBD">
        <w:t>. These include:</w:t>
      </w:r>
    </w:p>
    <w:p w14:paraId="02F3F518" w14:textId="77777777" w:rsidR="002F0EBD" w:rsidRDefault="002F0EBD" w:rsidP="002F0EBD">
      <w:pPr>
        <w:pStyle w:val="ListBullet"/>
        <w:numPr>
          <w:ilvl w:val="0"/>
          <w:numId w:val="20"/>
        </w:numPr>
        <w:tabs>
          <w:tab w:val="clear" w:pos="-31680"/>
          <w:tab w:val="left" w:pos="340"/>
        </w:tabs>
        <w:ind w:right="0"/>
        <w:contextualSpacing/>
        <w:jc w:val="both"/>
      </w:pPr>
      <w:r>
        <w:t xml:space="preserve">The Forest Management Zoning System that can be used strategically to provide habitat protection </w:t>
      </w:r>
    </w:p>
    <w:p w14:paraId="640E4327" w14:textId="377D7118" w:rsidR="002F0EBD" w:rsidRDefault="002F0EBD" w:rsidP="002F0EBD">
      <w:pPr>
        <w:pStyle w:val="ListBullet"/>
        <w:numPr>
          <w:ilvl w:val="0"/>
          <w:numId w:val="20"/>
        </w:numPr>
        <w:tabs>
          <w:tab w:val="clear" w:pos="-31680"/>
          <w:tab w:val="left" w:pos="340"/>
        </w:tabs>
        <w:ind w:right="0"/>
        <w:contextualSpacing/>
        <w:jc w:val="both"/>
      </w:pPr>
      <w:r>
        <w:t xml:space="preserve">Recent amendments to the </w:t>
      </w:r>
      <w:r w:rsidRPr="000838E2">
        <w:rPr>
          <w:i/>
          <w:iCs/>
        </w:rPr>
        <w:t>F</w:t>
      </w:r>
      <w:r w:rsidR="00535194">
        <w:rPr>
          <w:i/>
          <w:iCs/>
        </w:rPr>
        <w:t xml:space="preserve">lora and </w:t>
      </w:r>
      <w:r w:rsidRPr="000838E2">
        <w:rPr>
          <w:i/>
          <w:iCs/>
        </w:rPr>
        <w:t>F</w:t>
      </w:r>
      <w:r w:rsidR="00535194">
        <w:rPr>
          <w:i/>
          <w:iCs/>
        </w:rPr>
        <w:t xml:space="preserve">auna </w:t>
      </w:r>
      <w:r w:rsidRPr="000838E2">
        <w:rPr>
          <w:i/>
          <w:iCs/>
        </w:rPr>
        <w:t>G</w:t>
      </w:r>
      <w:r w:rsidR="00535194">
        <w:rPr>
          <w:i/>
          <w:iCs/>
        </w:rPr>
        <w:t>uarantee</w:t>
      </w:r>
      <w:r w:rsidRPr="000838E2">
        <w:rPr>
          <w:i/>
          <w:iCs/>
        </w:rPr>
        <w:t xml:space="preserve"> Act</w:t>
      </w:r>
      <w:r w:rsidR="00535194">
        <w:rPr>
          <w:i/>
          <w:iCs/>
        </w:rPr>
        <w:t xml:space="preserve"> 1988</w:t>
      </w:r>
      <w:r>
        <w:t xml:space="preserve"> and subsequent implementation of processes to support these amendments, including ‘streamlining’ production of Action Statements</w:t>
      </w:r>
      <w:r w:rsidR="0074277C">
        <w:t>,</w:t>
      </w:r>
      <w:r>
        <w:t xml:space="preserve"> and</w:t>
      </w:r>
    </w:p>
    <w:p w14:paraId="12331A2C" w14:textId="32C9FAE0" w:rsidR="002F0EBD" w:rsidRDefault="002F0EBD" w:rsidP="002F0EBD">
      <w:pPr>
        <w:pStyle w:val="ListBullet"/>
        <w:numPr>
          <w:ilvl w:val="0"/>
          <w:numId w:val="20"/>
        </w:numPr>
        <w:tabs>
          <w:tab w:val="clear" w:pos="-31680"/>
          <w:tab w:val="left" w:pos="340"/>
        </w:tabs>
        <w:ind w:right="0"/>
        <w:contextualSpacing/>
        <w:jc w:val="both"/>
      </w:pPr>
      <w:r>
        <w:t>Review</w:t>
      </w:r>
      <w:r w:rsidR="00D9306C">
        <w:t>s of</w:t>
      </w:r>
      <w:r>
        <w:t xml:space="preserve"> and amendments to other relevant legislation ha</w:t>
      </w:r>
      <w:r w:rsidR="00385BBE">
        <w:t>ve</w:t>
      </w:r>
      <w:r>
        <w:t xml:space="preserve"> also improved protection measures for threatened species through strengthening of environmental regulation for timber harvesting.</w:t>
      </w:r>
    </w:p>
    <w:p w14:paraId="4D7FBCC9" w14:textId="460E72EA" w:rsidR="002F0EBD" w:rsidRDefault="002F0EBD" w:rsidP="002F0EBD">
      <w:pPr>
        <w:pStyle w:val="BodyNormal"/>
      </w:pPr>
      <w:r>
        <w:t>Other notable provisions that are considered strengths of the legislative framework, include broad potential preventive measures provided through the Public Authority Duty (</w:t>
      </w:r>
      <w:r w:rsidR="00535194" w:rsidRPr="000838E2">
        <w:rPr>
          <w:i/>
          <w:iCs/>
        </w:rPr>
        <w:t>F</w:t>
      </w:r>
      <w:r w:rsidR="00535194">
        <w:rPr>
          <w:i/>
          <w:iCs/>
        </w:rPr>
        <w:t xml:space="preserve">lora and </w:t>
      </w:r>
      <w:r w:rsidR="00535194" w:rsidRPr="000838E2">
        <w:rPr>
          <w:i/>
          <w:iCs/>
        </w:rPr>
        <w:t>F</w:t>
      </w:r>
      <w:r w:rsidR="00535194">
        <w:rPr>
          <w:i/>
          <w:iCs/>
        </w:rPr>
        <w:t xml:space="preserve">auna </w:t>
      </w:r>
      <w:r w:rsidR="00535194" w:rsidRPr="000838E2">
        <w:rPr>
          <w:i/>
          <w:iCs/>
        </w:rPr>
        <w:t>G</w:t>
      </w:r>
      <w:r w:rsidR="00535194">
        <w:rPr>
          <w:i/>
          <w:iCs/>
        </w:rPr>
        <w:t>uarantee</w:t>
      </w:r>
      <w:r w:rsidR="00535194" w:rsidRPr="000838E2">
        <w:rPr>
          <w:i/>
          <w:iCs/>
        </w:rPr>
        <w:t xml:space="preserve"> Act</w:t>
      </w:r>
      <w:r w:rsidR="00535194">
        <w:rPr>
          <w:i/>
          <w:iCs/>
        </w:rPr>
        <w:t xml:space="preserve"> 1988</w:t>
      </w:r>
      <w:r>
        <w:t>) and the Precautionary Principle (</w:t>
      </w:r>
      <w:r w:rsidR="0074277C">
        <w:t xml:space="preserve">a </w:t>
      </w:r>
      <w:r>
        <w:t xml:space="preserve">requirement of the ‘Code of Practice’ </w:t>
      </w:r>
      <w:proofErr w:type="gramStart"/>
      <w:r>
        <w:t>and also</w:t>
      </w:r>
      <w:proofErr w:type="gramEnd"/>
      <w:r>
        <w:t xml:space="preserve"> a principle of the </w:t>
      </w:r>
      <w:r w:rsidR="00535194" w:rsidRPr="000838E2">
        <w:rPr>
          <w:i/>
          <w:iCs/>
        </w:rPr>
        <w:t>F</w:t>
      </w:r>
      <w:r w:rsidR="00535194">
        <w:rPr>
          <w:i/>
          <w:iCs/>
        </w:rPr>
        <w:t xml:space="preserve">lora and </w:t>
      </w:r>
      <w:r w:rsidR="00535194" w:rsidRPr="000838E2">
        <w:rPr>
          <w:i/>
          <w:iCs/>
        </w:rPr>
        <w:t>F</w:t>
      </w:r>
      <w:r w:rsidR="00535194">
        <w:rPr>
          <w:i/>
          <w:iCs/>
        </w:rPr>
        <w:t xml:space="preserve">auna </w:t>
      </w:r>
      <w:r w:rsidR="00535194" w:rsidRPr="000838E2">
        <w:rPr>
          <w:i/>
          <w:iCs/>
        </w:rPr>
        <w:t>G</w:t>
      </w:r>
      <w:r w:rsidR="00535194">
        <w:rPr>
          <w:i/>
          <w:iCs/>
        </w:rPr>
        <w:t>uarantee</w:t>
      </w:r>
      <w:r w:rsidR="00535194" w:rsidRPr="000838E2">
        <w:rPr>
          <w:i/>
          <w:iCs/>
        </w:rPr>
        <w:t xml:space="preserve"> Act</w:t>
      </w:r>
      <w:r w:rsidR="00535194">
        <w:rPr>
          <w:i/>
          <w:iCs/>
        </w:rPr>
        <w:t xml:space="preserve"> 1988</w:t>
      </w:r>
      <w:r>
        <w:t xml:space="preserve">). However, this is countered by the difficulty in ensuring awareness, interpretation and ‘compliance’ with the </w:t>
      </w:r>
      <w:r w:rsidR="001E09C1">
        <w:t>D</w:t>
      </w:r>
      <w:r>
        <w:t>uty and the Precautionary Principle.</w:t>
      </w:r>
    </w:p>
    <w:p w14:paraId="35A64352" w14:textId="6E17B9E7" w:rsidR="009F16B4" w:rsidRDefault="00893126" w:rsidP="00B25085">
      <w:pPr>
        <w:pStyle w:val="BodyNormal"/>
      </w:pPr>
      <w:r>
        <w:rPr>
          <w:i/>
          <w:iCs/>
          <w:noProof/>
        </w:rPr>
        <w:lastRenderedPageBreak/>
        <w:drawing>
          <wp:inline distT="0" distB="0" distL="0" distR="0" wp14:anchorId="10BE0BF2" wp14:editId="1F43CE7A">
            <wp:extent cx="5878800" cy="8110800"/>
            <wp:effectExtent l="0" t="0" r="8255" b="5080"/>
            <wp:docPr id="5" name="Picture 5" descr="Table depicting Legislative provisions and subordinate instruments mapped against each stage in the pathway to protection for Threatened Species and Communities in Victoria’s for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depicting Legislative provisions and subordinate instruments mapped against each stage in the pathway to protection for Threatened Species and Communities in Victoria’s forests."/>
                    <pic:cNvPicPr/>
                  </pic:nvPicPr>
                  <pic:blipFill rotWithShape="1">
                    <a:blip r:embed="rId24">
                      <a:extLst>
                        <a:ext uri="{28A0092B-C50C-407E-A947-70E740481C1C}">
                          <a14:useLocalDpi xmlns:a14="http://schemas.microsoft.com/office/drawing/2010/main" val="0"/>
                        </a:ext>
                      </a:extLst>
                    </a:blip>
                    <a:srcRect l="1853" t="4664" r="6909" b="6411"/>
                    <a:stretch/>
                  </pic:blipFill>
                  <pic:spPr bwMode="auto">
                    <a:xfrm>
                      <a:off x="0" y="0"/>
                      <a:ext cx="5878800" cy="8110800"/>
                    </a:xfrm>
                    <a:prstGeom prst="rect">
                      <a:avLst/>
                    </a:prstGeom>
                    <a:ln>
                      <a:noFill/>
                    </a:ln>
                    <a:extLst>
                      <a:ext uri="{53640926-AAD7-44D8-BBD7-CCE9431645EC}">
                        <a14:shadowObscured xmlns:a14="http://schemas.microsoft.com/office/drawing/2010/main"/>
                      </a:ext>
                    </a:extLst>
                  </pic:spPr>
                </pic:pic>
              </a:graphicData>
            </a:graphic>
          </wp:inline>
        </w:drawing>
      </w:r>
    </w:p>
    <w:p w14:paraId="6DC5529B" w14:textId="7BBE9BD8" w:rsidR="00927845" w:rsidRDefault="00927845" w:rsidP="00927845">
      <w:pPr>
        <w:pStyle w:val="Caption"/>
      </w:pPr>
      <w:r>
        <w:t xml:space="preserve">Figure ES-1: </w:t>
      </w:r>
      <w:r w:rsidR="0074277C">
        <w:t>L</w:t>
      </w:r>
      <w:r w:rsidRPr="002056EB">
        <w:t xml:space="preserve">egislative provisions and subordinate instruments </w:t>
      </w:r>
      <w:r w:rsidR="0074277C">
        <w:t>mapped against</w:t>
      </w:r>
      <w:r>
        <w:t xml:space="preserve"> each stage in the pathway to protection for </w:t>
      </w:r>
      <w:r w:rsidR="00BE7EFC">
        <w:t>T</w:t>
      </w:r>
      <w:r>
        <w:t xml:space="preserve">hreatened </w:t>
      </w:r>
      <w:r w:rsidR="00BE7EFC">
        <w:t>S</w:t>
      </w:r>
      <w:r>
        <w:t xml:space="preserve">pecies and </w:t>
      </w:r>
      <w:r w:rsidR="00BE7EFC">
        <w:t>C</w:t>
      </w:r>
      <w:r>
        <w:t>ommunities in Victoria’s forests.</w:t>
      </w:r>
    </w:p>
    <w:p w14:paraId="385902FE" w14:textId="77777777" w:rsidR="0074277C" w:rsidRDefault="0074277C" w:rsidP="00B25085">
      <w:pPr>
        <w:pStyle w:val="BodyNormal"/>
      </w:pPr>
    </w:p>
    <w:p w14:paraId="59E9051A" w14:textId="0A5D19D9" w:rsidR="00AF4528" w:rsidRDefault="00AF4528" w:rsidP="00B25085">
      <w:pPr>
        <w:pStyle w:val="BodyNormal"/>
      </w:pPr>
      <w:r>
        <w:lastRenderedPageBreak/>
        <w:t xml:space="preserve">A particular operational challenge identified in the review is </w:t>
      </w:r>
      <w:r w:rsidR="0074277C">
        <w:t xml:space="preserve">the </w:t>
      </w:r>
      <w:r>
        <w:t xml:space="preserve">significant reliance on the ‘Code of Practice’. As this is the primary instrument to regulate timber harvesting in Victoria, any relevant technical measures or prescriptions relating to species protection must be incorporated in the ‘Code of Practice’ for them to have effect. However, updating the ‘Code of Practice’ </w:t>
      </w:r>
      <w:r w:rsidR="0074277C">
        <w:t xml:space="preserve">can be challenging and time consuming </w:t>
      </w:r>
      <w:r>
        <w:t xml:space="preserve">due to the requirements of the </w:t>
      </w:r>
      <w:r w:rsidRPr="3DAA379F">
        <w:rPr>
          <w:i/>
          <w:iCs/>
        </w:rPr>
        <w:t>Conservation Forests and Lands Act 1987</w:t>
      </w:r>
      <w:r>
        <w:t xml:space="preserve"> and </w:t>
      </w:r>
      <w:r w:rsidRPr="00D92F68">
        <w:rPr>
          <w:i/>
          <w:iCs/>
        </w:rPr>
        <w:t>Sustainable Forests (Timber) Act 2004</w:t>
      </w:r>
      <w:r>
        <w:rPr>
          <w:i/>
          <w:iCs/>
        </w:rPr>
        <w:t xml:space="preserve"> </w:t>
      </w:r>
      <w:r w:rsidRPr="0028373E">
        <w:rPr>
          <w:i/>
          <w:iCs/>
        </w:rPr>
        <w:t>SFT Act</w:t>
      </w:r>
      <w:r>
        <w:t xml:space="preserve">. Greater flexibility would enable more adaptive </w:t>
      </w:r>
      <w:proofErr w:type="gramStart"/>
      <w:r>
        <w:t>protection</w:t>
      </w:r>
      <w:proofErr w:type="gramEnd"/>
      <w:r>
        <w:t xml:space="preserve"> but </w:t>
      </w:r>
      <w:r w:rsidR="0074277C">
        <w:t xml:space="preserve">it could </w:t>
      </w:r>
      <w:r>
        <w:t xml:space="preserve">also create greater uncertainty for timber harvesting operations if protections frequently change. Nevertheless, a mechanism that enables greater ability to adapt protections to current science and status of </w:t>
      </w:r>
      <w:r w:rsidR="00BE7EFC">
        <w:t>T</w:t>
      </w:r>
      <w:r>
        <w:t xml:space="preserve">hreatened </w:t>
      </w:r>
      <w:r w:rsidR="00BE7EFC">
        <w:t>S</w:t>
      </w:r>
      <w:r>
        <w:t xml:space="preserve">pecies and </w:t>
      </w:r>
      <w:r w:rsidR="00BE7EFC">
        <w:t>C</w:t>
      </w:r>
      <w:r>
        <w:t>ommunities would be beneficial.</w:t>
      </w:r>
    </w:p>
    <w:p w14:paraId="2EF933C0" w14:textId="5F9665D4" w:rsidR="009F16B4" w:rsidRDefault="00535194" w:rsidP="00B25085">
      <w:pPr>
        <w:pStyle w:val="BodyNormal"/>
      </w:pPr>
      <w:r>
        <w:t xml:space="preserve">Finally, </w:t>
      </w:r>
      <w:r w:rsidR="00B6521D">
        <w:t xml:space="preserve">there is a need to be pragmatic when considering improvements to the relevant legislation and instruments, </w:t>
      </w:r>
      <w:r w:rsidR="0074277C">
        <w:t xml:space="preserve">particularly </w:t>
      </w:r>
      <w:r w:rsidR="00B6521D">
        <w:t>given that</w:t>
      </w:r>
      <w:r w:rsidR="00B6521D" w:rsidRPr="00B6521D">
        <w:t xml:space="preserve"> </w:t>
      </w:r>
      <w:r w:rsidR="00B6521D">
        <w:t>native forest timber harvesting will cease by 2030,</w:t>
      </w:r>
      <w:r w:rsidR="00B6521D" w:rsidRPr="00B6521D">
        <w:t xml:space="preserve"> </w:t>
      </w:r>
      <w:r w:rsidR="00C81C57">
        <w:t xml:space="preserve">and the </w:t>
      </w:r>
      <w:r w:rsidR="00B6521D">
        <w:t>numerous previous reviews and amendments to the legislation</w:t>
      </w:r>
      <w:r w:rsidR="00C81C57">
        <w:t>,</w:t>
      </w:r>
      <w:r w:rsidR="00B6521D">
        <w:t xml:space="preserve"> and current reviews of relevant subordinate instruments. </w:t>
      </w:r>
      <w:r w:rsidR="00C81C57">
        <w:t>T</w:t>
      </w:r>
      <w:r w:rsidR="00EC7A7B">
        <w:t>his should</w:t>
      </w:r>
      <w:r>
        <w:t xml:space="preserve"> not </w:t>
      </w:r>
      <w:r w:rsidR="00C81C57">
        <w:t>preclude</w:t>
      </w:r>
      <w:r>
        <w:t xml:space="preserve"> significant changes to legislation</w:t>
      </w:r>
      <w:r w:rsidR="00C81C57">
        <w:t xml:space="preserve">, </w:t>
      </w:r>
      <w:r w:rsidR="00B6521D">
        <w:t xml:space="preserve">though </w:t>
      </w:r>
      <w:r w:rsidR="00C81C57">
        <w:t xml:space="preserve">it does </w:t>
      </w:r>
      <w:r w:rsidR="00B6521D">
        <w:t xml:space="preserve">highlight the need to maximise the utility of existing legislative instruments and policy tools. </w:t>
      </w:r>
      <w:r w:rsidR="00C81C57">
        <w:t>With this complex context in mind</w:t>
      </w:r>
      <w:r w:rsidR="00AF4528">
        <w:t xml:space="preserve">, </w:t>
      </w:r>
      <w:r w:rsidR="00C81C57">
        <w:t xml:space="preserve">this review includes </w:t>
      </w:r>
      <w:r w:rsidR="00AF4528">
        <w:t>recommendations that enable or support</w:t>
      </w:r>
      <w:r w:rsidR="007753A5">
        <w:t xml:space="preserve"> government agencies to ‘test’ some of the existing provisions that have </w:t>
      </w:r>
      <w:r w:rsidR="00AF4528">
        <w:t xml:space="preserve">had limited use or </w:t>
      </w:r>
      <w:r w:rsidR="007753A5">
        <w:t xml:space="preserve">not previously been </w:t>
      </w:r>
      <w:r w:rsidR="00AF4528">
        <w:t xml:space="preserve">implemented. </w:t>
      </w:r>
    </w:p>
    <w:p w14:paraId="286B3D2B" w14:textId="429FD501" w:rsidR="007753A5" w:rsidRDefault="007753A5" w:rsidP="00B25085">
      <w:pPr>
        <w:pStyle w:val="BodyNormal"/>
        <w:rPr>
          <w:b/>
          <w:bCs/>
        </w:rPr>
      </w:pPr>
      <w:r w:rsidRPr="007753A5">
        <w:rPr>
          <w:b/>
          <w:bCs/>
        </w:rPr>
        <w:t>Recommendations</w:t>
      </w:r>
    </w:p>
    <w:p w14:paraId="08BB63D4" w14:textId="6E4BA461" w:rsidR="00AF4528" w:rsidRDefault="00AF4528" w:rsidP="00B25085">
      <w:pPr>
        <w:pStyle w:val="BodyNormal"/>
      </w:pPr>
      <w:r w:rsidRPr="00AF4528">
        <w:t xml:space="preserve">The following recommendations are presented </w:t>
      </w:r>
      <w:r w:rsidR="00C81C57">
        <w:t>against the appropriate</w:t>
      </w:r>
      <w:r w:rsidRPr="00AF4528">
        <w:t xml:space="preserve"> </w:t>
      </w:r>
      <w:r>
        <w:t xml:space="preserve">key step </w:t>
      </w:r>
      <w:r w:rsidR="00C81C57">
        <w:t xml:space="preserve">in </w:t>
      </w:r>
      <w:r>
        <w:t xml:space="preserve">the </w:t>
      </w:r>
      <w:r w:rsidRPr="00AF4528">
        <w:t>‘Pathway to Protection’</w:t>
      </w:r>
      <w:r>
        <w:t xml:space="preserve"> framework.</w:t>
      </w:r>
    </w:p>
    <w:p w14:paraId="518C69B5" w14:textId="63439865" w:rsidR="007753A5" w:rsidRDefault="007753A5" w:rsidP="007753A5">
      <w:pPr>
        <w:pStyle w:val="BodyNormal"/>
        <w:rPr>
          <w:u w:val="single"/>
        </w:rPr>
      </w:pPr>
      <w:r>
        <w:rPr>
          <w:u w:val="single"/>
        </w:rPr>
        <w:t>R</w:t>
      </w:r>
      <w:r w:rsidRPr="007D698A">
        <w:rPr>
          <w:u w:val="single"/>
        </w:rPr>
        <w:t>isk assessment</w:t>
      </w:r>
    </w:p>
    <w:p w14:paraId="12C022A4" w14:textId="77777777" w:rsidR="007753A5" w:rsidRPr="007753A5" w:rsidRDefault="007753A5" w:rsidP="007753A5">
      <w:pPr>
        <w:pStyle w:val="ListBullet"/>
        <w:numPr>
          <w:ilvl w:val="0"/>
          <w:numId w:val="20"/>
        </w:numPr>
        <w:tabs>
          <w:tab w:val="clear" w:pos="-31680"/>
          <w:tab w:val="left" w:pos="340"/>
        </w:tabs>
        <w:ind w:right="0"/>
        <w:contextualSpacing/>
        <w:jc w:val="both"/>
      </w:pPr>
      <w:r w:rsidRPr="007753A5">
        <w:t>Consider a mechanism that supports greater ability to adapt protections to current science and status of Threatened Species and Communities.</w:t>
      </w:r>
    </w:p>
    <w:p w14:paraId="6FFDB7E8" w14:textId="3B268C00" w:rsidR="007753A5" w:rsidRPr="007753A5" w:rsidRDefault="00C81C57" w:rsidP="007753A5">
      <w:pPr>
        <w:pStyle w:val="BodyNormal"/>
        <w:rPr>
          <w:u w:val="single"/>
        </w:rPr>
      </w:pPr>
      <w:r>
        <w:rPr>
          <w:u w:val="single"/>
        </w:rPr>
        <w:t>C</w:t>
      </w:r>
      <w:r w:rsidR="007753A5" w:rsidRPr="007753A5">
        <w:rPr>
          <w:u w:val="single"/>
        </w:rPr>
        <w:t>onservation planning</w:t>
      </w:r>
    </w:p>
    <w:p w14:paraId="73852050" w14:textId="6733E1B1" w:rsidR="007753A5" w:rsidRPr="007753A5" w:rsidRDefault="007753A5" w:rsidP="007753A5">
      <w:pPr>
        <w:pStyle w:val="ListBullet"/>
        <w:numPr>
          <w:ilvl w:val="0"/>
          <w:numId w:val="20"/>
        </w:numPr>
        <w:tabs>
          <w:tab w:val="clear" w:pos="-31680"/>
          <w:tab w:val="left" w:pos="340"/>
        </w:tabs>
        <w:snapToGrid w:val="0"/>
        <w:spacing w:after="120"/>
        <w:ind w:right="0"/>
        <w:jc w:val="both"/>
      </w:pPr>
      <w:r w:rsidRPr="007753A5">
        <w:t>Plac</w:t>
      </w:r>
      <w:r w:rsidR="00C81C57">
        <w:t>e</w:t>
      </w:r>
      <w:r w:rsidRPr="007753A5">
        <w:t xml:space="preserve"> greater emphasis on the best use </w:t>
      </w:r>
      <w:r w:rsidR="00C81C57">
        <w:t xml:space="preserve">of </w:t>
      </w:r>
      <w:r w:rsidRPr="007753A5">
        <w:t>F</w:t>
      </w:r>
      <w:r>
        <w:t xml:space="preserve">orest </w:t>
      </w:r>
      <w:r w:rsidR="00AF4528" w:rsidRPr="007753A5">
        <w:t>M</w:t>
      </w:r>
      <w:r w:rsidR="00AF4528">
        <w:t>anagement</w:t>
      </w:r>
      <w:r>
        <w:t xml:space="preserve"> </w:t>
      </w:r>
      <w:r w:rsidRPr="007753A5">
        <w:t>P</w:t>
      </w:r>
      <w:r>
        <w:t>lans</w:t>
      </w:r>
      <w:r w:rsidRPr="007753A5">
        <w:t xml:space="preserve"> and </w:t>
      </w:r>
      <w:r w:rsidR="00C81C57">
        <w:t xml:space="preserve">the </w:t>
      </w:r>
      <w:r w:rsidR="00AF4528" w:rsidRPr="009973E9">
        <w:t>Forest Management Zoning Scheme</w:t>
      </w:r>
      <w:r w:rsidR="00AF4528" w:rsidRPr="007753A5">
        <w:t xml:space="preserve"> </w:t>
      </w:r>
      <w:r w:rsidRPr="007753A5">
        <w:t xml:space="preserve">to transparently and strategically manage where timber harvesting should occur, and to demonstrate how this reduces impacts on listed species and communities. (Note the future role of </w:t>
      </w:r>
      <w:r w:rsidR="00AF4528" w:rsidRPr="009973E9">
        <w:t>Forest Management Zoning Scheme</w:t>
      </w:r>
      <w:r w:rsidR="00AF4528" w:rsidRPr="007753A5">
        <w:t xml:space="preserve"> </w:t>
      </w:r>
      <w:r w:rsidRPr="007753A5">
        <w:t xml:space="preserve">will need to be considered, with the increase in declarations of Special Protection Zones likely, with timber harvesting in State forests </w:t>
      </w:r>
      <w:r w:rsidR="00C81C57" w:rsidRPr="007753A5">
        <w:t xml:space="preserve">ceasing </w:t>
      </w:r>
      <w:r w:rsidRPr="007753A5">
        <w:t>by 2030).</w:t>
      </w:r>
    </w:p>
    <w:p w14:paraId="55357F98" w14:textId="0CB07FDE" w:rsidR="007753A5" w:rsidRPr="007753A5" w:rsidRDefault="007753A5" w:rsidP="007753A5">
      <w:pPr>
        <w:pStyle w:val="ListBullet"/>
        <w:numPr>
          <w:ilvl w:val="0"/>
          <w:numId w:val="20"/>
        </w:numPr>
        <w:tabs>
          <w:tab w:val="clear" w:pos="-31680"/>
          <w:tab w:val="left" w:pos="340"/>
        </w:tabs>
        <w:snapToGrid w:val="0"/>
        <w:spacing w:after="120"/>
        <w:ind w:right="0"/>
        <w:jc w:val="both"/>
      </w:pPr>
      <w:r w:rsidRPr="007753A5">
        <w:t>Continue the development of guidelines for Critical Habitat Determinations</w:t>
      </w:r>
      <w:r w:rsidR="00C81C57">
        <w:t xml:space="preserve"> </w:t>
      </w:r>
      <w:r w:rsidRPr="007753A5">
        <w:t xml:space="preserve">and identify potential examples where </w:t>
      </w:r>
      <w:r w:rsidR="00553A3E">
        <w:t>it</w:t>
      </w:r>
      <w:r w:rsidR="00C81C57" w:rsidRPr="007753A5">
        <w:t xml:space="preserve"> </w:t>
      </w:r>
      <w:r w:rsidRPr="007753A5">
        <w:t>can be tested (</w:t>
      </w:r>
      <w:proofErr w:type="gramStart"/>
      <w:r w:rsidRPr="007753A5">
        <w:t>e.g.</w:t>
      </w:r>
      <w:proofErr w:type="gramEnd"/>
      <w:r w:rsidRPr="007753A5">
        <w:t xml:space="preserve"> via a </w:t>
      </w:r>
      <w:r w:rsidR="001F3998">
        <w:t>‘</w:t>
      </w:r>
      <w:r w:rsidRPr="007753A5">
        <w:t>regulatory sandbox</w:t>
      </w:r>
      <w:r w:rsidR="001F3998">
        <w:t>’</w:t>
      </w:r>
      <w:r w:rsidRPr="007753A5">
        <w:t xml:space="preserve"> process) so that the practical implications of </w:t>
      </w:r>
      <w:r w:rsidR="00C81C57">
        <w:t xml:space="preserve">its </w:t>
      </w:r>
      <w:r w:rsidRPr="007753A5">
        <w:t>us</w:t>
      </w:r>
      <w:r w:rsidR="00C81C57">
        <w:t>e</w:t>
      </w:r>
      <w:r w:rsidRPr="007753A5">
        <w:t xml:space="preserve"> c</w:t>
      </w:r>
      <w:r w:rsidR="00C81C57">
        <w:t>an</w:t>
      </w:r>
      <w:r w:rsidRPr="007753A5">
        <w:t xml:space="preserve"> be assessed in detail (before actually implementing). </w:t>
      </w:r>
    </w:p>
    <w:p w14:paraId="006CBEAB" w14:textId="77777777" w:rsidR="007753A5" w:rsidRPr="007753A5" w:rsidRDefault="007753A5" w:rsidP="007753A5">
      <w:pPr>
        <w:pStyle w:val="ListBullet"/>
        <w:numPr>
          <w:ilvl w:val="0"/>
          <w:numId w:val="20"/>
        </w:numPr>
        <w:tabs>
          <w:tab w:val="clear" w:pos="-31680"/>
          <w:tab w:val="left" w:pos="340"/>
        </w:tabs>
        <w:snapToGrid w:val="0"/>
        <w:spacing w:after="120"/>
        <w:ind w:right="0"/>
        <w:jc w:val="both"/>
      </w:pPr>
      <w:r w:rsidRPr="007753A5">
        <w:t>Build internal capacity to support effective use of Flora and Fauna Management Plans by developing guidelines and ‘testing’ their possible role for landscape scale or multi-species focus.</w:t>
      </w:r>
    </w:p>
    <w:p w14:paraId="66DB4E6E" w14:textId="77777777" w:rsidR="007753A5" w:rsidRPr="007753A5" w:rsidRDefault="007753A5" w:rsidP="007753A5">
      <w:pPr>
        <w:pStyle w:val="ListBullet"/>
        <w:numPr>
          <w:ilvl w:val="0"/>
          <w:numId w:val="20"/>
        </w:numPr>
        <w:tabs>
          <w:tab w:val="clear" w:pos="-31680"/>
          <w:tab w:val="left" w:pos="340"/>
        </w:tabs>
        <w:snapToGrid w:val="0"/>
        <w:spacing w:after="120"/>
        <w:ind w:right="0"/>
        <w:jc w:val="both"/>
      </w:pPr>
      <w:r w:rsidRPr="007753A5">
        <w:t xml:space="preserve">Bring together relevant agencies to identify critical timber resource information and to define timely access to that information. Capture these requirements in a joint agreement between the agencies involved. </w:t>
      </w:r>
    </w:p>
    <w:p w14:paraId="065CC787" w14:textId="77DE40B7" w:rsidR="007753A5" w:rsidRPr="007753A5" w:rsidRDefault="007753A5" w:rsidP="007753A5">
      <w:pPr>
        <w:pStyle w:val="ListBullet"/>
        <w:numPr>
          <w:ilvl w:val="0"/>
          <w:numId w:val="20"/>
        </w:numPr>
        <w:tabs>
          <w:tab w:val="clear" w:pos="-31680"/>
          <w:tab w:val="left" w:pos="340"/>
        </w:tabs>
        <w:spacing w:after="120"/>
        <w:ind w:right="0"/>
        <w:contextualSpacing/>
        <w:jc w:val="both"/>
      </w:pPr>
      <w:r w:rsidRPr="007753A5">
        <w:rPr>
          <w:rStyle w:val="BoldCharacter"/>
          <w:b w:val="0"/>
        </w:rPr>
        <w:t xml:space="preserve">Create a stronger (and more formal) requirement that </w:t>
      </w:r>
      <w:r w:rsidR="00AF4528" w:rsidRPr="000838E2">
        <w:rPr>
          <w:i/>
          <w:iCs/>
        </w:rPr>
        <w:t>F</w:t>
      </w:r>
      <w:r w:rsidR="00AF4528">
        <w:rPr>
          <w:i/>
          <w:iCs/>
        </w:rPr>
        <w:t xml:space="preserve">lora and </w:t>
      </w:r>
      <w:r w:rsidR="00AF4528" w:rsidRPr="000838E2">
        <w:rPr>
          <w:i/>
          <w:iCs/>
        </w:rPr>
        <w:t>F</w:t>
      </w:r>
      <w:r w:rsidR="00AF4528">
        <w:rPr>
          <w:i/>
          <w:iCs/>
        </w:rPr>
        <w:t xml:space="preserve">auna </w:t>
      </w:r>
      <w:r w:rsidR="00AF4528" w:rsidRPr="000838E2">
        <w:rPr>
          <w:i/>
          <w:iCs/>
        </w:rPr>
        <w:t>G</w:t>
      </w:r>
      <w:r w:rsidR="00AF4528">
        <w:rPr>
          <w:i/>
          <w:iCs/>
        </w:rPr>
        <w:t>uarantee</w:t>
      </w:r>
      <w:r w:rsidR="00AF4528" w:rsidRPr="000838E2">
        <w:rPr>
          <w:i/>
          <w:iCs/>
        </w:rPr>
        <w:t xml:space="preserve"> Act</w:t>
      </w:r>
      <w:r w:rsidR="00AF4528">
        <w:rPr>
          <w:i/>
          <w:iCs/>
        </w:rPr>
        <w:t xml:space="preserve"> 1988</w:t>
      </w:r>
      <w:r w:rsidR="00AF4528">
        <w:t xml:space="preserve"> </w:t>
      </w:r>
      <w:r w:rsidRPr="007753A5">
        <w:rPr>
          <w:rStyle w:val="BoldCharacter"/>
          <w:b w:val="0"/>
        </w:rPr>
        <w:t>listed species information (</w:t>
      </w:r>
      <w:proofErr w:type="gramStart"/>
      <w:r w:rsidRPr="007753A5">
        <w:rPr>
          <w:rStyle w:val="BoldCharacter"/>
          <w:b w:val="0"/>
        </w:rPr>
        <w:t>e.g.</w:t>
      </w:r>
      <w:proofErr w:type="gramEnd"/>
      <w:r w:rsidRPr="007753A5">
        <w:rPr>
          <w:rStyle w:val="BoldCharacter"/>
          <w:b w:val="0"/>
        </w:rPr>
        <w:t xml:space="preserve"> provisions set out in Action Statements or T</w:t>
      </w:r>
      <w:r w:rsidR="00AF4528">
        <w:rPr>
          <w:rStyle w:val="BoldCharacter"/>
          <w:b w:val="0"/>
        </w:rPr>
        <w:t xml:space="preserve">hreatened Species and Communities Risk Assessment </w:t>
      </w:r>
      <w:r w:rsidRPr="007753A5">
        <w:rPr>
          <w:rStyle w:val="BoldCharacter"/>
          <w:b w:val="0"/>
        </w:rPr>
        <w:t xml:space="preserve">findings) informs timber harvesting planning. </w:t>
      </w:r>
    </w:p>
    <w:p w14:paraId="305F44C2" w14:textId="69EE98B2" w:rsidR="007753A5" w:rsidRPr="007753A5" w:rsidRDefault="009F3932" w:rsidP="007753A5">
      <w:pPr>
        <w:pStyle w:val="BodyNormal"/>
        <w:rPr>
          <w:u w:val="single"/>
        </w:rPr>
      </w:pPr>
      <w:r>
        <w:rPr>
          <w:u w:val="single"/>
        </w:rPr>
        <w:t>I</w:t>
      </w:r>
      <w:r w:rsidR="007753A5" w:rsidRPr="007753A5">
        <w:rPr>
          <w:u w:val="single"/>
        </w:rPr>
        <w:t xml:space="preserve">mplementation of conservation </w:t>
      </w:r>
      <w:r>
        <w:rPr>
          <w:u w:val="single"/>
        </w:rPr>
        <w:t xml:space="preserve">and protection </w:t>
      </w:r>
      <w:r w:rsidR="007753A5" w:rsidRPr="007753A5">
        <w:rPr>
          <w:u w:val="single"/>
        </w:rPr>
        <w:t xml:space="preserve">actions </w:t>
      </w:r>
    </w:p>
    <w:p w14:paraId="51DDA197" w14:textId="383EBC9C" w:rsidR="007753A5" w:rsidRPr="007753A5" w:rsidRDefault="007753A5" w:rsidP="007753A5">
      <w:pPr>
        <w:pStyle w:val="ListBullet"/>
        <w:numPr>
          <w:ilvl w:val="0"/>
          <w:numId w:val="20"/>
        </w:numPr>
        <w:tabs>
          <w:tab w:val="clear" w:pos="-31680"/>
          <w:tab w:val="left" w:pos="340"/>
        </w:tabs>
        <w:snapToGrid w:val="0"/>
        <w:spacing w:after="120"/>
        <w:ind w:right="0"/>
        <w:jc w:val="both"/>
      </w:pPr>
      <w:r w:rsidRPr="007753A5">
        <w:t xml:space="preserve">Continue development of Public Authority Duty ‘guidelines’ that would explicitly outline key provisions in the </w:t>
      </w:r>
      <w:r w:rsidR="00AF4528" w:rsidRPr="000838E2">
        <w:rPr>
          <w:i/>
          <w:iCs/>
        </w:rPr>
        <w:t>F</w:t>
      </w:r>
      <w:r w:rsidR="00AF4528">
        <w:rPr>
          <w:i/>
          <w:iCs/>
        </w:rPr>
        <w:t xml:space="preserve">lora and </w:t>
      </w:r>
      <w:r w:rsidR="00AF4528" w:rsidRPr="000838E2">
        <w:rPr>
          <w:i/>
          <w:iCs/>
        </w:rPr>
        <w:t>F</w:t>
      </w:r>
      <w:r w:rsidR="00AF4528">
        <w:rPr>
          <w:i/>
          <w:iCs/>
        </w:rPr>
        <w:t xml:space="preserve">auna </w:t>
      </w:r>
      <w:r w:rsidR="00AF4528" w:rsidRPr="000838E2">
        <w:rPr>
          <w:i/>
          <w:iCs/>
        </w:rPr>
        <w:t>G</w:t>
      </w:r>
      <w:r w:rsidR="00AF4528">
        <w:rPr>
          <w:i/>
          <w:iCs/>
        </w:rPr>
        <w:t>uarantee</w:t>
      </w:r>
      <w:r w:rsidR="00AF4528" w:rsidRPr="000838E2">
        <w:rPr>
          <w:i/>
          <w:iCs/>
        </w:rPr>
        <w:t xml:space="preserve"> Act</w:t>
      </w:r>
      <w:r w:rsidR="00AF4528">
        <w:rPr>
          <w:i/>
          <w:iCs/>
        </w:rPr>
        <w:t xml:space="preserve"> 1988</w:t>
      </w:r>
      <w:r w:rsidR="00AF4528">
        <w:t xml:space="preserve"> </w:t>
      </w:r>
      <w:r w:rsidRPr="007753A5">
        <w:t>and raise awareness of this duty with relevant public authorities.</w:t>
      </w:r>
    </w:p>
    <w:p w14:paraId="3E8CF2E6" w14:textId="0D967800" w:rsidR="007753A5" w:rsidRPr="007753A5" w:rsidRDefault="007753A5" w:rsidP="007753A5">
      <w:pPr>
        <w:pStyle w:val="ListBullet"/>
        <w:numPr>
          <w:ilvl w:val="0"/>
          <w:numId w:val="20"/>
        </w:numPr>
        <w:tabs>
          <w:tab w:val="clear" w:pos="-31680"/>
          <w:tab w:val="left" w:pos="340"/>
        </w:tabs>
        <w:ind w:right="0"/>
        <w:contextualSpacing/>
        <w:jc w:val="both"/>
      </w:pPr>
      <w:r w:rsidRPr="007753A5">
        <w:lastRenderedPageBreak/>
        <w:t xml:space="preserve">Consider development of guidelines for </w:t>
      </w:r>
      <w:r w:rsidR="00590286">
        <w:t>Habitat</w:t>
      </w:r>
      <w:r w:rsidRPr="007753A5">
        <w:t xml:space="preserve"> Conservation Orders</w:t>
      </w:r>
      <w:r w:rsidR="00553A3E">
        <w:t xml:space="preserve"> </w:t>
      </w:r>
      <w:r w:rsidRPr="007753A5">
        <w:t xml:space="preserve">and identify potential examples where </w:t>
      </w:r>
      <w:r w:rsidR="00553A3E">
        <w:t>it</w:t>
      </w:r>
      <w:r w:rsidRPr="007753A5">
        <w:t xml:space="preserve"> can be tested (</w:t>
      </w:r>
      <w:proofErr w:type="gramStart"/>
      <w:r w:rsidRPr="007753A5">
        <w:t>e.g.</w:t>
      </w:r>
      <w:proofErr w:type="gramEnd"/>
      <w:r w:rsidRPr="007753A5">
        <w:t xml:space="preserve"> via a </w:t>
      </w:r>
      <w:r w:rsidR="001F3998">
        <w:t>‘</w:t>
      </w:r>
      <w:r w:rsidRPr="007753A5">
        <w:t>regulatory sandbox</w:t>
      </w:r>
      <w:r w:rsidR="001F3998">
        <w:t>’</w:t>
      </w:r>
      <w:r w:rsidRPr="007753A5">
        <w:t xml:space="preserve"> process) so that the practical implications of </w:t>
      </w:r>
      <w:r w:rsidR="00553A3E">
        <w:t xml:space="preserve">its </w:t>
      </w:r>
      <w:r w:rsidRPr="007753A5">
        <w:t>us</w:t>
      </w:r>
      <w:r w:rsidR="00553A3E">
        <w:t>e</w:t>
      </w:r>
      <w:r w:rsidRPr="007753A5">
        <w:t xml:space="preserve"> </w:t>
      </w:r>
      <w:r w:rsidR="00553A3E">
        <w:t>can</w:t>
      </w:r>
      <w:r w:rsidRPr="007753A5">
        <w:t xml:space="preserve"> be assessed in detail (before implementation). </w:t>
      </w:r>
    </w:p>
    <w:p w14:paraId="404F419D" w14:textId="4979647F" w:rsidR="007753A5" w:rsidRPr="007753A5" w:rsidRDefault="007753A5" w:rsidP="007753A5">
      <w:pPr>
        <w:pStyle w:val="BodyNormal"/>
        <w:rPr>
          <w:u w:val="single"/>
        </w:rPr>
      </w:pPr>
      <w:r w:rsidRPr="007753A5">
        <w:rPr>
          <w:u w:val="single"/>
        </w:rPr>
        <w:t xml:space="preserve">General – use of current legislative instruments for protecting </w:t>
      </w:r>
      <w:r w:rsidR="009F3932">
        <w:rPr>
          <w:u w:val="single"/>
        </w:rPr>
        <w:t>T</w:t>
      </w:r>
      <w:r w:rsidR="009F3932" w:rsidRPr="007753A5">
        <w:rPr>
          <w:u w:val="single"/>
        </w:rPr>
        <w:t xml:space="preserve">hreatened </w:t>
      </w:r>
      <w:r w:rsidR="009F3932">
        <w:rPr>
          <w:u w:val="single"/>
        </w:rPr>
        <w:t>S</w:t>
      </w:r>
      <w:r w:rsidR="009F3932" w:rsidRPr="007753A5">
        <w:rPr>
          <w:u w:val="single"/>
        </w:rPr>
        <w:t xml:space="preserve">pecies </w:t>
      </w:r>
      <w:r w:rsidRPr="007753A5">
        <w:rPr>
          <w:u w:val="single"/>
        </w:rPr>
        <w:t xml:space="preserve">and </w:t>
      </w:r>
      <w:r w:rsidR="009F3932">
        <w:rPr>
          <w:u w:val="single"/>
        </w:rPr>
        <w:t>C</w:t>
      </w:r>
      <w:r w:rsidR="009F3932" w:rsidRPr="007753A5">
        <w:rPr>
          <w:u w:val="single"/>
        </w:rPr>
        <w:t>ommunities</w:t>
      </w:r>
    </w:p>
    <w:p w14:paraId="3B94F8A1" w14:textId="7347D905" w:rsidR="007753A5" w:rsidRPr="007753A5" w:rsidRDefault="007753A5" w:rsidP="007753A5">
      <w:pPr>
        <w:pStyle w:val="ListBullet"/>
        <w:numPr>
          <w:ilvl w:val="0"/>
          <w:numId w:val="20"/>
        </w:numPr>
        <w:tabs>
          <w:tab w:val="clear" w:pos="-31680"/>
          <w:tab w:val="left" w:pos="340"/>
        </w:tabs>
        <w:snapToGrid w:val="0"/>
        <w:spacing w:after="120"/>
        <w:ind w:right="0"/>
        <w:jc w:val="both"/>
      </w:pPr>
      <w:r w:rsidRPr="007753A5">
        <w:t xml:space="preserve">Consider using a ‘regulatory sandbox’ approach to </w:t>
      </w:r>
      <w:r w:rsidR="00553A3E">
        <w:t xml:space="preserve">comprehensively </w:t>
      </w:r>
      <w:r w:rsidRPr="007753A5">
        <w:t>test how a particular threatened species or community would progress through the ‘Pathway for Protection’ framework and the role that relevant legislative provisions and instruments identified in this review could play.</w:t>
      </w:r>
    </w:p>
    <w:p w14:paraId="5D131519" w14:textId="77777777" w:rsidR="007753A5" w:rsidRPr="007753A5" w:rsidRDefault="007753A5" w:rsidP="007753A5">
      <w:pPr>
        <w:pStyle w:val="ListBullet"/>
        <w:numPr>
          <w:ilvl w:val="0"/>
          <w:numId w:val="20"/>
        </w:numPr>
        <w:tabs>
          <w:tab w:val="clear" w:pos="-31680"/>
          <w:tab w:val="left" w:pos="340"/>
        </w:tabs>
        <w:ind w:right="0"/>
        <w:contextualSpacing/>
        <w:jc w:val="both"/>
      </w:pPr>
      <w:r w:rsidRPr="007753A5">
        <w:t>Use this ‘regulatory sandbox’ approach to develop guidance to assist policy officers and others to identify potential use of relevant legislative instruments. In particular, this approach could develop specific guidance on the use of the provisions that have not been used to date (</w:t>
      </w:r>
      <w:proofErr w:type="gramStart"/>
      <w:r w:rsidRPr="007753A5">
        <w:t>e.g.</w:t>
      </w:r>
      <w:proofErr w:type="gramEnd"/>
      <w:r w:rsidRPr="007753A5">
        <w:t xml:space="preserve"> Critical Habitat Determinations, Flora and Fauna Management Plans and Habitat Conservation Orders). </w:t>
      </w:r>
    </w:p>
    <w:p w14:paraId="72C0799E" w14:textId="2BDFD213" w:rsidR="009F16B4" w:rsidRDefault="009F16B4" w:rsidP="00B25085">
      <w:pPr>
        <w:pStyle w:val="BodyNormal"/>
      </w:pPr>
    </w:p>
    <w:p w14:paraId="22468FC7" w14:textId="79C10A83" w:rsidR="009F16B4" w:rsidRDefault="009F16B4" w:rsidP="00B25085">
      <w:pPr>
        <w:pStyle w:val="BodyNormal"/>
      </w:pPr>
    </w:p>
    <w:p w14:paraId="7DBD4C41" w14:textId="1F4511E8" w:rsidR="009F16B4" w:rsidRDefault="009F16B4" w:rsidP="00B25085">
      <w:pPr>
        <w:pStyle w:val="BodyNormal"/>
      </w:pPr>
    </w:p>
    <w:p w14:paraId="1E2EDE77" w14:textId="77777777" w:rsidR="00AF4528" w:rsidRDefault="00AF4528">
      <w:pPr>
        <w:spacing w:before="0" w:after="0"/>
        <w:ind w:left="115" w:right="115"/>
      </w:pPr>
    </w:p>
    <w:p w14:paraId="3BD5D7EF" w14:textId="77777777" w:rsidR="00AF4528" w:rsidRDefault="00AF4528">
      <w:pPr>
        <w:spacing w:before="0" w:after="0"/>
        <w:ind w:left="115" w:right="115"/>
      </w:pPr>
    </w:p>
    <w:p w14:paraId="40A87C02" w14:textId="77777777" w:rsidR="00AF4528" w:rsidRDefault="00AF4528">
      <w:pPr>
        <w:spacing w:before="0" w:after="0"/>
        <w:ind w:left="115" w:right="115"/>
      </w:pPr>
    </w:p>
    <w:p w14:paraId="78A34BA9" w14:textId="77777777" w:rsidR="00AF4528" w:rsidRDefault="00AF4528">
      <w:pPr>
        <w:spacing w:before="0" w:after="0"/>
        <w:ind w:left="115" w:right="115"/>
      </w:pPr>
    </w:p>
    <w:p w14:paraId="3016CF39" w14:textId="77777777" w:rsidR="00AF4528" w:rsidRDefault="00AF4528">
      <w:pPr>
        <w:spacing w:before="0" w:after="0"/>
        <w:ind w:left="115" w:right="115"/>
      </w:pPr>
    </w:p>
    <w:p w14:paraId="3CF8EB96" w14:textId="77777777" w:rsidR="00AF4528" w:rsidRDefault="00AF4528">
      <w:pPr>
        <w:spacing w:before="0" w:after="0"/>
        <w:ind w:left="115" w:right="115"/>
      </w:pPr>
    </w:p>
    <w:p w14:paraId="7DC8777F" w14:textId="77777777" w:rsidR="00AF4528" w:rsidRDefault="00AF4528">
      <w:pPr>
        <w:spacing w:before="0" w:after="0"/>
        <w:ind w:left="115" w:right="115"/>
      </w:pPr>
    </w:p>
    <w:p w14:paraId="391CF9C2" w14:textId="77777777" w:rsidR="00AF4528" w:rsidRDefault="00AF4528">
      <w:pPr>
        <w:spacing w:before="0" w:after="0"/>
        <w:ind w:left="115" w:right="115"/>
      </w:pPr>
    </w:p>
    <w:p w14:paraId="25593C2E" w14:textId="77777777" w:rsidR="00AF4528" w:rsidRDefault="00AF4528">
      <w:pPr>
        <w:spacing w:before="0" w:after="0"/>
        <w:ind w:left="115" w:right="115"/>
      </w:pPr>
    </w:p>
    <w:p w14:paraId="02145CA4" w14:textId="77777777" w:rsidR="00AF4528" w:rsidRDefault="00AF4528">
      <w:pPr>
        <w:spacing w:before="0" w:after="0"/>
        <w:ind w:left="115" w:right="115"/>
      </w:pPr>
    </w:p>
    <w:p w14:paraId="7B272617" w14:textId="77777777" w:rsidR="00AF4528" w:rsidRDefault="00AF4528">
      <w:pPr>
        <w:spacing w:before="0" w:after="0"/>
        <w:ind w:left="115" w:right="115"/>
      </w:pPr>
    </w:p>
    <w:p w14:paraId="3CA0217F" w14:textId="77777777" w:rsidR="00AF4528" w:rsidRDefault="00AF4528">
      <w:pPr>
        <w:spacing w:before="0" w:after="0"/>
        <w:ind w:left="115" w:right="115"/>
      </w:pPr>
    </w:p>
    <w:p w14:paraId="668BF789" w14:textId="77777777" w:rsidR="00AF4528" w:rsidRDefault="00AF4528">
      <w:pPr>
        <w:spacing w:before="0" w:after="0"/>
        <w:ind w:left="115" w:right="115"/>
      </w:pPr>
    </w:p>
    <w:p w14:paraId="557F4633" w14:textId="77777777" w:rsidR="00AF4528" w:rsidRDefault="00AF4528">
      <w:pPr>
        <w:spacing w:before="0" w:after="0"/>
        <w:ind w:left="115" w:right="115"/>
      </w:pPr>
    </w:p>
    <w:p w14:paraId="067E6F2F" w14:textId="77777777" w:rsidR="00AF4528" w:rsidRDefault="00AF4528">
      <w:pPr>
        <w:spacing w:before="0" w:after="0"/>
        <w:ind w:left="115" w:right="115"/>
      </w:pPr>
    </w:p>
    <w:p w14:paraId="6BDA3923" w14:textId="77777777" w:rsidR="00AF4528" w:rsidRDefault="00AF4528">
      <w:pPr>
        <w:spacing w:before="0" w:after="0"/>
        <w:ind w:left="115" w:right="115"/>
      </w:pPr>
    </w:p>
    <w:p w14:paraId="794B1AE6" w14:textId="77777777" w:rsidR="00AF4528" w:rsidRPr="00F47485" w:rsidRDefault="00AF4528" w:rsidP="00AF4528">
      <w:pPr>
        <w:pStyle w:val="Heading3NoNumber"/>
        <w:rPr>
          <w:rFonts w:hint="eastAsia"/>
        </w:rPr>
      </w:pPr>
      <w:r w:rsidRPr="00F47485">
        <w:t>acknowledgement of country</w:t>
      </w:r>
    </w:p>
    <w:p w14:paraId="5153E7A9" w14:textId="77777777" w:rsidR="00AF4528" w:rsidRPr="00BB7C39" w:rsidRDefault="00AF4528" w:rsidP="00AF4528">
      <w:pPr>
        <w:pStyle w:val="BodyNormal"/>
        <w:rPr>
          <w:rFonts w:ascii="Times New Roman" w:hAnsi="Times New Roman"/>
          <w:lang w:eastAsia="en-GB"/>
        </w:rPr>
      </w:pPr>
      <w:r w:rsidRPr="002719DE">
        <w:rPr>
          <w:lang w:eastAsia="en-GB"/>
        </w:rPr>
        <w:t xml:space="preserve">We acknowledge the Traditional Owners of the Country that we work on throughout Australia and recognise their continuing connection to land, </w:t>
      </w:r>
      <w:proofErr w:type="gramStart"/>
      <w:r w:rsidRPr="002719DE">
        <w:rPr>
          <w:lang w:eastAsia="en-GB"/>
        </w:rPr>
        <w:t>waters</w:t>
      </w:r>
      <w:proofErr w:type="gramEnd"/>
      <w:r w:rsidRPr="002719DE">
        <w:rPr>
          <w:lang w:eastAsia="en-GB"/>
        </w:rPr>
        <w:t xml:space="preserve"> and culture. We pay our respects to their Elders past, </w:t>
      </w:r>
      <w:proofErr w:type="gramStart"/>
      <w:r w:rsidRPr="002719DE">
        <w:rPr>
          <w:lang w:eastAsia="en-GB"/>
        </w:rPr>
        <w:t>present</w:t>
      </w:r>
      <w:proofErr w:type="gramEnd"/>
      <w:r w:rsidRPr="002719DE">
        <w:rPr>
          <w:lang w:eastAsia="en-GB"/>
        </w:rPr>
        <w:t xml:space="preserve"> and emerging </w:t>
      </w:r>
      <w:r>
        <w:rPr>
          <w:lang w:eastAsia="en-GB"/>
        </w:rPr>
        <w:t>and the Elders of other Aboriginal and Torres Strait Islander communities. Moreover, we</w:t>
      </w:r>
      <w:r w:rsidRPr="002719DE">
        <w:rPr>
          <w:lang w:eastAsia="en-GB"/>
        </w:rPr>
        <w:t xml:space="preserve"> express gratitude for the knowledge and insight </w:t>
      </w:r>
      <w:r>
        <w:rPr>
          <w:lang w:eastAsia="en-GB"/>
        </w:rPr>
        <w:t xml:space="preserve">that Traditional Owners and other Aboriginal and Torres Strait Islander people </w:t>
      </w:r>
      <w:r w:rsidRPr="002719DE">
        <w:rPr>
          <w:lang w:eastAsia="en-GB"/>
        </w:rPr>
        <w:t>contribute to our shared work</w:t>
      </w:r>
      <w:r>
        <w:rPr>
          <w:lang w:eastAsia="en-GB"/>
        </w:rPr>
        <w:t>.</w:t>
      </w:r>
    </w:p>
    <w:p w14:paraId="1AEB0CD9" w14:textId="77777777" w:rsidR="00AF4528" w:rsidRDefault="00AF4528" w:rsidP="00AF4528">
      <w:pPr>
        <w:pStyle w:val="BodyNormal"/>
      </w:pPr>
    </w:p>
    <w:p w14:paraId="3BA28AEB" w14:textId="28980A92" w:rsidR="00DD61A5" w:rsidRDefault="00DD61A5">
      <w:pPr>
        <w:spacing w:before="0" w:after="0"/>
        <w:ind w:left="115" w:right="115"/>
        <w:rPr>
          <w:rFonts w:cstheme="minorBidi"/>
          <w:sz w:val="20"/>
          <w:szCs w:val="16"/>
        </w:rPr>
      </w:pPr>
      <w:r>
        <w:br w:type="page"/>
      </w:r>
    </w:p>
    <w:tbl>
      <w:tblPr>
        <w:tblStyle w:val="TableGrid"/>
        <w:tblW w:w="0" w:type="auto"/>
        <w:tblLook w:val="04A0" w:firstRow="1" w:lastRow="0" w:firstColumn="1" w:lastColumn="0" w:noHBand="0" w:noVBand="1"/>
      </w:tblPr>
      <w:tblGrid>
        <w:gridCol w:w="3114"/>
        <w:gridCol w:w="6232"/>
      </w:tblGrid>
      <w:tr w:rsidR="00297799" w14:paraId="152DE345" w14:textId="77777777" w:rsidTr="00CE070D">
        <w:trPr>
          <w:cnfStyle w:val="100000000000" w:firstRow="1" w:lastRow="0" w:firstColumn="0" w:lastColumn="0" w:oddVBand="0" w:evenVBand="0" w:oddHBand="0" w:evenHBand="0" w:firstRowFirstColumn="0" w:firstRowLastColumn="0" w:lastRowFirstColumn="0" w:lastRowLastColumn="0"/>
        </w:trPr>
        <w:tc>
          <w:tcPr>
            <w:tcW w:w="3114" w:type="dxa"/>
          </w:tcPr>
          <w:p w14:paraId="7A78F94C" w14:textId="733D73B0" w:rsidR="00CE070D" w:rsidRPr="00CE070D" w:rsidRDefault="00CE070D" w:rsidP="00CE070D">
            <w:pPr>
              <w:pStyle w:val="Heading2noNumbers"/>
              <w:rPr>
                <w:rFonts w:hint="eastAsia"/>
                <w:color w:val="FFFFFF" w:themeColor="background1"/>
              </w:rPr>
            </w:pPr>
            <w:r>
              <w:rPr>
                <w:color w:val="FFFFFF" w:themeColor="background1"/>
              </w:rPr>
              <w:lastRenderedPageBreak/>
              <w:t>A</w:t>
            </w:r>
            <w:r w:rsidRPr="00CE070D">
              <w:rPr>
                <w:color w:val="FFFFFF" w:themeColor="background1"/>
              </w:rPr>
              <w:t>cronyms</w:t>
            </w:r>
          </w:p>
          <w:p w14:paraId="195AE88C" w14:textId="77777777" w:rsidR="00297799" w:rsidRPr="00EE3CD0" w:rsidRDefault="00297799" w:rsidP="00244531"/>
        </w:tc>
        <w:tc>
          <w:tcPr>
            <w:tcW w:w="6232" w:type="dxa"/>
          </w:tcPr>
          <w:p w14:paraId="4F97FF67" w14:textId="2539ED2D" w:rsidR="00297799" w:rsidRDefault="007D3957" w:rsidP="007D3957">
            <w:pPr>
              <w:pStyle w:val="Heading2noNumbers"/>
              <w:rPr>
                <w:rFonts w:hint="eastAsia"/>
              </w:rPr>
            </w:pPr>
            <w:r w:rsidRPr="00CE070D">
              <w:rPr>
                <w:color w:val="FFFFFF" w:themeColor="background1"/>
              </w:rPr>
              <w:t>Abbreviations</w:t>
            </w:r>
          </w:p>
        </w:tc>
      </w:tr>
      <w:tr w:rsidR="00497327" w14:paraId="51B4DF9A" w14:textId="77777777" w:rsidTr="00497327">
        <w:trPr>
          <w:trHeight w:val="380"/>
        </w:trPr>
        <w:tc>
          <w:tcPr>
            <w:tcW w:w="3114" w:type="dxa"/>
          </w:tcPr>
          <w:p w14:paraId="4DE5FE9C" w14:textId="4BBC9C60" w:rsidR="00497327" w:rsidRPr="00EE3CD0" w:rsidRDefault="00497327" w:rsidP="007D3957">
            <w:r w:rsidRPr="00EE3CD0">
              <w:t>CFL Act</w:t>
            </w:r>
          </w:p>
        </w:tc>
        <w:tc>
          <w:tcPr>
            <w:tcW w:w="6232" w:type="dxa"/>
          </w:tcPr>
          <w:p w14:paraId="0B658BE7" w14:textId="23A5DB0F" w:rsidR="00497327" w:rsidRDefault="00497327" w:rsidP="007D3957">
            <w:r>
              <w:t>Conservation Forests and Land Act, 1987</w:t>
            </w:r>
          </w:p>
        </w:tc>
      </w:tr>
      <w:tr w:rsidR="00C61E67" w14:paraId="20F6CE90" w14:textId="77777777" w:rsidTr="00CE070D">
        <w:tc>
          <w:tcPr>
            <w:tcW w:w="3114" w:type="dxa"/>
          </w:tcPr>
          <w:p w14:paraId="31E67BA4" w14:textId="0CB4DEA3" w:rsidR="00C61E67" w:rsidRDefault="00C61E67" w:rsidP="00244531">
            <w:r w:rsidRPr="00EE3CD0">
              <w:t>DELWP</w:t>
            </w:r>
          </w:p>
        </w:tc>
        <w:tc>
          <w:tcPr>
            <w:tcW w:w="6232" w:type="dxa"/>
          </w:tcPr>
          <w:p w14:paraId="722217C5" w14:textId="75C5C8AF" w:rsidR="00C61E67" w:rsidRDefault="0004110A" w:rsidP="00244531">
            <w:r>
              <w:t>Department of Land Water and Planning</w:t>
            </w:r>
          </w:p>
        </w:tc>
      </w:tr>
      <w:tr w:rsidR="00C61E67" w14:paraId="3788662D" w14:textId="77777777" w:rsidTr="00CE070D">
        <w:tc>
          <w:tcPr>
            <w:tcW w:w="3114" w:type="dxa"/>
          </w:tcPr>
          <w:p w14:paraId="375F36AA" w14:textId="11CDBC6E" w:rsidR="00C61E67" w:rsidRDefault="00C61E67" w:rsidP="00244531">
            <w:r w:rsidRPr="00EE3CD0">
              <w:t>DJPR</w:t>
            </w:r>
          </w:p>
        </w:tc>
        <w:tc>
          <w:tcPr>
            <w:tcW w:w="6232" w:type="dxa"/>
          </w:tcPr>
          <w:p w14:paraId="5AC0F51E" w14:textId="0D50B0F4" w:rsidR="00C61E67" w:rsidRDefault="0004110A" w:rsidP="00244531">
            <w:r>
              <w:t>Department of Jobs Precincts and Regions</w:t>
            </w:r>
          </w:p>
        </w:tc>
      </w:tr>
      <w:tr w:rsidR="00C61E67" w14:paraId="6835A5F3" w14:textId="77777777" w:rsidTr="00CE070D">
        <w:tc>
          <w:tcPr>
            <w:tcW w:w="3114" w:type="dxa"/>
          </w:tcPr>
          <w:p w14:paraId="06C4A3DE" w14:textId="1CC28332" w:rsidR="00C61E67" w:rsidRDefault="00C61E67" w:rsidP="00244531">
            <w:r w:rsidRPr="00EE3CD0">
              <w:t>EPBC Act</w:t>
            </w:r>
          </w:p>
        </w:tc>
        <w:tc>
          <w:tcPr>
            <w:tcW w:w="6232" w:type="dxa"/>
          </w:tcPr>
          <w:p w14:paraId="40CF351E" w14:textId="6ADFB3F6" w:rsidR="00C61E67" w:rsidRDefault="0004110A" w:rsidP="00244531">
            <w:r>
              <w:t>Environment Protection and Biodiversity Conservation Act 1999</w:t>
            </w:r>
          </w:p>
        </w:tc>
      </w:tr>
      <w:tr w:rsidR="00C61E67" w14:paraId="6BB2F557" w14:textId="77777777" w:rsidTr="00CE070D">
        <w:tc>
          <w:tcPr>
            <w:tcW w:w="3114" w:type="dxa"/>
          </w:tcPr>
          <w:p w14:paraId="6D2C4440" w14:textId="6D2FCBF9" w:rsidR="00C61E67" w:rsidRDefault="00C61E67" w:rsidP="00244531">
            <w:r w:rsidRPr="00EE3CD0">
              <w:t xml:space="preserve">ESFM </w:t>
            </w:r>
          </w:p>
        </w:tc>
        <w:tc>
          <w:tcPr>
            <w:tcW w:w="6232" w:type="dxa"/>
          </w:tcPr>
          <w:p w14:paraId="56433772" w14:textId="686859E2" w:rsidR="00C61E67" w:rsidRDefault="0004110A" w:rsidP="00244531">
            <w:r>
              <w:t>Ecologically Sustainable Forest Management</w:t>
            </w:r>
          </w:p>
        </w:tc>
      </w:tr>
      <w:tr w:rsidR="00C61E67" w14:paraId="3F65B49F" w14:textId="77777777" w:rsidTr="00CE070D">
        <w:tc>
          <w:tcPr>
            <w:tcW w:w="3114" w:type="dxa"/>
          </w:tcPr>
          <w:p w14:paraId="4B7AFE25" w14:textId="5DB0F77E" w:rsidR="00C61E67" w:rsidRDefault="00C61E67" w:rsidP="00244531">
            <w:r w:rsidRPr="00EE3CD0">
              <w:t>FFG Act</w:t>
            </w:r>
          </w:p>
        </w:tc>
        <w:tc>
          <w:tcPr>
            <w:tcW w:w="6232" w:type="dxa"/>
          </w:tcPr>
          <w:p w14:paraId="4874AEE0" w14:textId="0E0540E8" w:rsidR="00C61E67" w:rsidRDefault="0004110A" w:rsidP="00244531">
            <w:r>
              <w:t>Flora and Fauna Guarantee Act 1988</w:t>
            </w:r>
          </w:p>
        </w:tc>
      </w:tr>
      <w:tr w:rsidR="00C61E67" w14:paraId="43A67E31" w14:textId="77777777" w:rsidTr="00CE070D">
        <w:tc>
          <w:tcPr>
            <w:tcW w:w="3114" w:type="dxa"/>
          </w:tcPr>
          <w:p w14:paraId="3BCF0B28" w14:textId="691391E2" w:rsidR="00C61E67" w:rsidRDefault="00C61E67" w:rsidP="00244531">
            <w:r w:rsidRPr="00EE3CD0">
              <w:t>FMP</w:t>
            </w:r>
          </w:p>
        </w:tc>
        <w:tc>
          <w:tcPr>
            <w:tcW w:w="6232" w:type="dxa"/>
          </w:tcPr>
          <w:p w14:paraId="10EBDDBE" w14:textId="38640D46" w:rsidR="00C61E67" w:rsidRDefault="00244531" w:rsidP="00244531">
            <w:r w:rsidRPr="0004110A">
              <w:t>Forest Management Plan</w:t>
            </w:r>
          </w:p>
        </w:tc>
      </w:tr>
      <w:tr w:rsidR="00C61E67" w14:paraId="62F3F027" w14:textId="77777777" w:rsidTr="00CE070D">
        <w:tc>
          <w:tcPr>
            <w:tcW w:w="3114" w:type="dxa"/>
          </w:tcPr>
          <w:p w14:paraId="223B5DDD" w14:textId="2ED087A2" w:rsidR="00C61E67" w:rsidRDefault="00C61E67" w:rsidP="00244531">
            <w:r w:rsidRPr="00EE3CD0">
              <w:t>FMZS</w:t>
            </w:r>
          </w:p>
        </w:tc>
        <w:tc>
          <w:tcPr>
            <w:tcW w:w="6232" w:type="dxa"/>
          </w:tcPr>
          <w:p w14:paraId="5A8CB476" w14:textId="3DFF7721" w:rsidR="00C61E67" w:rsidRDefault="00244531" w:rsidP="00244531">
            <w:r w:rsidRPr="009973E9">
              <w:t>Forest Management Zoning Scheme</w:t>
            </w:r>
          </w:p>
        </w:tc>
      </w:tr>
      <w:tr w:rsidR="00C61E67" w14:paraId="505AF003" w14:textId="77777777" w:rsidTr="00CE070D">
        <w:tc>
          <w:tcPr>
            <w:tcW w:w="3114" w:type="dxa"/>
          </w:tcPr>
          <w:p w14:paraId="70A26401" w14:textId="7A01EEF5" w:rsidR="00C61E67" w:rsidRDefault="00C61E67" w:rsidP="00244531">
            <w:r w:rsidRPr="00EE3CD0">
              <w:t>CR</w:t>
            </w:r>
          </w:p>
        </w:tc>
        <w:tc>
          <w:tcPr>
            <w:tcW w:w="6232" w:type="dxa"/>
          </w:tcPr>
          <w:p w14:paraId="20E37061" w14:textId="75885C43" w:rsidR="00C61E67" w:rsidRDefault="00244531" w:rsidP="00244531">
            <w:r w:rsidRPr="009973E9">
              <w:t>Conservation Regulator</w:t>
            </w:r>
          </w:p>
        </w:tc>
      </w:tr>
      <w:tr w:rsidR="00C61E67" w14:paraId="5454FE4E" w14:textId="77777777" w:rsidTr="00CE070D">
        <w:tc>
          <w:tcPr>
            <w:tcW w:w="3114" w:type="dxa"/>
          </w:tcPr>
          <w:p w14:paraId="30D59C19" w14:textId="68223E79" w:rsidR="00C61E67" w:rsidRDefault="00C61E67" w:rsidP="00244531">
            <w:r w:rsidRPr="00EE3CD0">
              <w:t>RFA</w:t>
            </w:r>
          </w:p>
        </w:tc>
        <w:tc>
          <w:tcPr>
            <w:tcW w:w="6232" w:type="dxa"/>
          </w:tcPr>
          <w:p w14:paraId="0DD23557" w14:textId="3E2F6B0A" w:rsidR="00C61E67" w:rsidRDefault="00244531" w:rsidP="00244531">
            <w:r w:rsidRPr="009973E9">
              <w:t>Regional Forest Agreement</w:t>
            </w:r>
          </w:p>
        </w:tc>
      </w:tr>
      <w:tr w:rsidR="00C61E67" w14:paraId="7A7FBF97" w14:textId="77777777" w:rsidTr="00CE070D">
        <w:tc>
          <w:tcPr>
            <w:tcW w:w="3114" w:type="dxa"/>
          </w:tcPr>
          <w:p w14:paraId="56076392" w14:textId="04C38A31" w:rsidR="00C61E67" w:rsidRDefault="00C61E67" w:rsidP="00244531">
            <w:r w:rsidRPr="00EE3CD0">
              <w:t>SFT Act</w:t>
            </w:r>
          </w:p>
        </w:tc>
        <w:tc>
          <w:tcPr>
            <w:tcW w:w="6232" w:type="dxa"/>
          </w:tcPr>
          <w:p w14:paraId="7483AC8E" w14:textId="173B809B" w:rsidR="00C61E67" w:rsidRDefault="009973E9" w:rsidP="00244531">
            <w:r w:rsidRPr="009973E9">
              <w:t>Sustainable Forests (Timber) Act 2004</w:t>
            </w:r>
          </w:p>
        </w:tc>
      </w:tr>
      <w:tr w:rsidR="00C61E67" w14:paraId="48002535" w14:textId="77777777" w:rsidTr="00CE070D">
        <w:tc>
          <w:tcPr>
            <w:tcW w:w="3114" w:type="dxa"/>
          </w:tcPr>
          <w:p w14:paraId="10AA65D2" w14:textId="02FA362F" w:rsidR="00C61E67" w:rsidRDefault="00AD44A4" w:rsidP="00244531">
            <w:r>
              <w:t>‘</w:t>
            </w:r>
            <w:r w:rsidR="3FB92F1C">
              <w:t>Code of Practice</w:t>
            </w:r>
            <w:r>
              <w:t>’</w:t>
            </w:r>
          </w:p>
        </w:tc>
        <w:tc>
          <w:tcPr>
            <w:tcW w:w="6232" w:type="dxa"/>
          </w:tcPr>
          <w:p w14:paraId="7410EA79" w14:textId="1A81A8B5" w:rsidR="00C61E67" w:rsidRDefault="00244531" w:rsidP="00244531">
            <w:r w:rsidRPr="00244531">
              <w:t>Code of Practice for Timber Production 2014</w:t>
            </w:r>
          </w:p>
        </w:tc>
      </w:tr>
      <w:tr w:rsidR="00C61E67" w14:paraId="6B709808" w14:textId="77777777" w:rsidTr="00CE070D">
        <w:tc>
          <w:tcPr>
            <w:tcW w:w="3114" w:type="dxa"/>
          </w:tcPr>
          <w:p w14:paraId="7B5375D7" w14:textId="7A6BCDEF" w:rsidR="00C61E67" w:rsidRDefault="00C61E67" w:rsidP="00244531">
            <w:r w:rsidRPr="00EE3CD0">
              <w:t xml:space="preserve">TSCRA </w:t>
            </w:r>
          </w:p>
        </w:tc>
        <w:tc>
          <w:tcPr>
            <w:tcW w:w="6232" w:type="dxa"/>
          </w:tcPr>
          <w:p w14:paraId="6F5B9E40" w14:textId="053BA319" w:rsidR="00005118" w:rsidRDefault="00C61E67" w:rsidP="00244531">
            <w:r w:rsidRPr="00EE3CD0">
              <w:t>Threatened Species and Communities Risk Assessment</w:t>
            </w:r>
          </w:p>
          <w:p w14:paraId="4BDCA9F2" w14:textId="34B74E7F" w:rsidR="00C61E67" w:rsidRDefault="00005118" w:rsidP="00244531">
            <w:r>
              <w:t>(</w:t>
            </w:r>
            <w:proofErr w:type="gramStart"/>
            <w:r w:rsidR="00C61E67" w:rsidRPr="00C61E67">
              <w:t>Tranche</w:t>
            </w:r>
            <w:proofErr w:type="gramEnd"/>
            <w:r w:rsidR="00C61E67" w:rsidRPr="00C61E67">
              <w:t xml:space="preserve"> 1</w:t>
            </w:r>
            <w:r>
              <w:t>, 1.5 and 2 are completed with 3 currently underway)</w:t>
            </w:r>
          </w:p>
        </w:tc>
      </w:tr>
    </w:tbl>
    <w:p w14:paraId="077733A7" w14:textId="2429CACA" w:rsidR="00C61E67" w:rsidRDefault="00C61E67" w:rsidP="00DD61A5">
      <w:pPr>
        <w:pStyle w:val="BodyNormal"/>
      </w:pPr>
    </w:p>
    <w:p w14:paraId="725573A8" w14:textId="23235395" w:rsidR="007753A5" w:rsidRDefault="007753A5" w:rsidP="00DD61A5">
      <w:pPr>
        <w:pStyle w:val="BodyNormal"/>
      </w:pPr>
    </w:p>
    <w:p w14:paraId="1D4A4C22" w14:textId="532FF8C9" w:rsidR="007753A5" w:rsidRDefault="007753A5" w:rsidP="00DD61A5">
      <w:pPr>
        <w:pStyle w:val="BodyNormal"/>
      </w:pPr>
    </w:p>
    <w:p w14:paraId="726815CD" w14:textId="5D57E531" w:rsidR="007753A5" w:rsidRDefault="007753A5" w:rsidP="00DD61A5">
      <w:pPr>
        <w:pStyle w:val="BodyNormal"/>
      </w:pPr>
    </w:p>
    <w:p w14:paraId="10007B12" w14:textId="53F70871" w:rsidR="007753A5" w:rsidRDefault="007753A5" w:rsidP="00DD61A5">
      <w:pPr>
        <w:pStyle w:val="BodyNormal"/>
      </w:pPr>
    </w:p>
    <w:p w14:paraId="470BBB74" w14:textId="7A796DAE" w:rsidR="007753A5" w:rsidRDefault="007753A5" w:rsidP="00DD61A5">
      <w:pPr>
        <w:pStyle w:val="BodyNormal"/>
      </w:pPr>
    </w:p>
    <w:p w14:paraId="47A5A15C" w14:textId="77777777" w:rsidR="007753A5" w:rsidRDefault="007753A5" w:rsidP="007753A5">
      <w:pPr>
        <w:pStyle w:val="BodyNormal"/>
      </w:pPr>
    </w:p>
    <w:p w14:paraId="47694636" w14:textId="58E9A2A9" w:rsidR="0001529D" w:rsidRDefault="0001529D">
      <w:pPr>
        <w:pStyle w:val="Heading1"/>
      </w:pPr>
      <w:bookmarkStart w:id="1" w:name="_Toc121258694"/>
      <w:r w:rsidRPr="000D0206">
        <w:lastRenderedPageBreak/>
        <w:t>Introduction</w:t>
      </w:r>
      <w:bookmarkEnd w:id="1"/>
      <w:r w:rsidR="00B933BC">
        <w:t xml:space="preserve"> </w:t>
      </w:r>
    </w:p>
    <w:p w14:paraId="2CB75AE3" w14:textId="3DD74EF6" w:rsidR="00F47485" w:rsidRDefault="00001953">
      <w:pPr>
        <w:pStyle w:val="Heading2"/>
        <w:rPr>
          <w:rFonts w:hint="eastAsia"/>
        </w:rPr>
      </w:pPr>
      <w:bookmarkStart w:id="2" w:name="_Toc121258695"/>
      <w:r>
        <w:t>background</w:t>
      </w:r>
      <w:bookmarkEnd w:id="2"/>
    </w:p>
    <w:p w14:paraId="39B8B304" w14:textId="54FFE250" w:rsidR="005F1F84" w:rsidRDefault="005F1F84" w:rsidP="005F1F84">
      <w:pPr>
        <w:pStyle w:val="BodyNormal"/>
      </w:pPr>
      <w:r>
        <w:t xml:space="preserve">The Victorian Regional Forest Agreements (RFAs) are agreements between the State of Victoria and </w:t>
      </w:r>
      <w:r w:rsidR="004A5940">
        <w:t>the Australian</w:t>
      </w:r>
      <w:r>
        <w:t xml:space="preserve"> Government that provide for sustainable management and use of Victoria’s forests. The modernised RFAs </w:t>
      </w:r>
      <w:r w:rsidR="00655638">
        <w:t>commit</w:t>
      </w:r>
      <w:r>
        <w:t xml:space="preserve"> the Victorian Government</w:t>
      </w:r>
      <w:r w:rsidR="00532627">
        <w:t xml:space="preserve"> to</w:t>
      </w:r>
      <w:r>
        <w:t xml:space="preserve"> review </w:t>
      </w:r>
      <w:r w:rsidR="00532627">
        <w:t xml:space="preserve">certain Victorian </w:t>
      </w:r>
      <w:r>
        <w:t>legislation</w:t>
      </w:r>
      <w:r w:rsidR="008503A0">
        <w:t xml:space="preserve">, including </w:t>
      </w:r>
      <w:r w:rsidR="008503A0" w:rsidRPr="00005118">
        <w:t>subordinate instruments,</w:t>
      </w:r>
      <w:r w:rsidRPr="00005118">
        <w:t xml:space="preserve"> </w:t>
      </w:r>
      <w:r w:rsidR="00C446A0" w:rsidRPr="00005118">
        <w:t>by December</w:t>
      </w:r>
      <w:r w:rsidR="00C446A0">
        <w:t xml:space="preserve"> 2022 </w:t>
      </w:r>
      <w:r>
        <w:t xml:space="preserve">to identify what, if any, </w:t>
      </w:r>
      <w:proofErr w:type="gramStart"/>
      <w:r>
        <w:t>measures</w:t>
      </w:r>
      <w:proofErr w:type="gramEnd"/>
      <w:r>
        <w:t xml:space="preserve"> or improvements could be made to strengthen protections for listed species and communities</w:t>
      </w:r>
      <w:r w:rsidR="0012632B">
        <w:rPr>
          <w:rStyle w:val="FootnoteReference"/>
        </w:rPr>
        <w:footnoteReference w:id="2"/>
      </w:r>
      <w:r>
        <w:t>.</w:t>
      </w:r>
      <w:r w:rsidRPr="00E57DDE">
        <w:t xml:space="preserve"> </w:t>
      </w:r>
    </w:p>
    <w:p w14:paraId="1200DCAD" w14:textId="5BB91D35" w:rsidR="00B933BC" w:rsidRDefault="005F1F84" w:rsidP="00CC0ADD">
      <w:pPr>
        <w:pStyle w:val="BodyNormal"/>
      </w:pPr>
      <w:r>
        <w:t xml:space="preserve">To meet this commitment, the </w:t>
      </w:r>
      <w:r w:rsidR="0003780D">
        <w:t xml:space="preserve">then </w:t>
      </w:r>
      <w:r>
        <w:t xml:space="preserve">Department of Environment, Land, Water and Planning (DELWP) </w:t>
      </w:r>
      <w:r w:rsidR="004A5940">
        <w:t>commissioned</w:t>
      </w:r>
      <w:r>
        <w:t xml:space="preserve"> this </w:t>
      </w:r>
      <w:r w:rsidR="00CC0ADD">
        <w:t xml:space="preserve">project to </w:t>
      </w:r>
      <w:r>
        <w:t xml:space="preserve">review </w:t>
      </w:r>
      <w:r w:rsidR="67F81E35">
        <w:t>the extent to which</w:t>
      </w:r>
      <w:r>
        <w:t xml:space="preserve"> Victorian biodiversity conservation and forest management legislation protects native flora, fauna and vegetation communities that are listed as threatened. </w:t>
      </w:r>
      <w:r w:rsidR="00CC0ADD">
        <w:t xml:space="preserve">From this review, the aim is to </w:t>
      </w:r>
      <w:r>
        <w:t xml:space="preserve">identify if any provisions of the current legislation could be improved to strengthen protections for Listed Species and Communities within Victoria's forests. </w:t>
      </w:r>
    </w:p>
    <w:p w14:paraId="7EE2B06A" w14:textId="6CD9A40E" w:rsidR="005F1F84" w:rsidRDefault="005F1F84">
      <w:pPr>
        <w:pStyle w:val="Heading2"/>
        <w:rPr>
          <w:rFonts w:hint="eastAsia"/>
        </w:rPr>
      </w:pPr>
      <w:bookmarkStart w:id="3" w:name="_Toc121258696"/>
      <w:r>
        <w:t>scope</w:t>
      </w:r>
      <w:bookmarkEnd w:id="3"/>
    </w:p>
    <w:p w14:paraId="5ABF56D0" w14:textId="788E6EAB" w:rsidR="00A75DF3" w:rsidRPr="00E120D8" w:rsidRDefault="005F2303" w:rsidP="00A75DF3">
      <w:pPr>
        <w:pStyle w:val="BodyNormal"/>
      </w:pPr>
      <w:r>
        <w:t>Consistent with the relevant RFA commitment, t</w:t>
      </w:r>
      <w:r w:rsidR="00A75DF3">
        <w:t>he following key legislation</w:t>
      </w:r>
      <w:r w:rsidR="006C41B9">
        <w:t xml:space="preserve"> was</w:t>
      </w:r>
      <w:r w:rsidR="00A75DF3">
        <w:t xml:space="preserve"> considered in this review:</w:t>
      </w:r>
    </w:p>
    <w:p w14:paraId="7972445F" w14:textId="77777777" w:rsidR="00A75DF3" w:rsidRPr="00D92F68" w:rsidRDefault="00A75DF3">
      <w:pPr>
        <w:pStyle w:val="ListBullet"/>
        <w:numPr>
          <w:ilvl w:val="0"/>
          <w:numId w:val="20"/>
        </w:numPr>
        <w:tabs>
          <w:tab w:val="left" w:pos="340"/>
        </w:tabs>
        <w:ind w:right="0"/>
        <w:contextualSpacing/>
        <w:jc w:val="both"/>
        <w:rPr>
          <w:i/>
          <w:iCs/>
        </w:rPr>
      </w:pPr>
      <w:r w:rsidRPr="00D92F68">
        <w:rPr>
          <w:i/>
          <w:iCs/>
        </w:rPr>
        <w:t>Flora and Fauna Guarantee Act 1988</w:t>
      </w:r>
      <w:r w:rsidRPr="005F6476">
        <w:t xml:space="preserve"> (</w:t>
      </w:r>
      <w:r w:rsidRPr="00D92F68">
        <w:rPr>
          <w:i/>
          <w:iCs/>
        </w:rPr>
        <w:t>FFG Act</w:t>
      </w:r>
      <w:r w:rsidRPr="005F6476">
        <w:t xml:space="preserve">) including the </w:t>
      </w:r>
      <w:r w:rsidRPr="00D92F68">
        <w:rPr>
          <w:i/>
          <w:iCs/>
        </w:rPr>
        <w:t>Flora and Fauna Guarantee Amendment Act 2019</w:t>
      </w:r>
      <w:r w:rsidRPr="00D92F68" w:rsidDel="00F23B99">
        <w:rPr>
          <w:i/>
          <w:iCs/>
        </w:rPr>
        <w:t xml:space="preserve"> </w:t>
      </w:r>
    </w:p>
    <w:p w14:paraId="2FB5F669" w14:textId="58626160" w:rsidR="00A75DF3" w:rsidRPr="00D92F68" w:rsidRDefault="00A75DF3">
      <w:pPr>
        <w:pStyle w:val="ListBullet"/>
        <w:numPr>
          <w:ilvl w:val="0"/>
          <w:numId w:val="20"/>
        </w:numPr>
        <w:tabs>
          <w:tab w:val="left" w:pos="340"/>
        </w:tabs>
        <w:ind w:right="0"/>
        <w:contextualSpacing/>
        <w:jc w:val="both"/>
        <w:rPr>
          <w:i/>
          <w:iCs/>
          <w:szCs w:val="16"/>
        </w:rPr>
      </w:pPr>
      <w:r w:rsidRPr="00D92F68">
        <w:rPr>
          <w:i/>
          <w:iCs/>
          <w:lang w:val="en-US"/>
        </w:rPr>
        <w:t>Forests Act 1958</w:t>
      </w:r>
      <w:r w:rsidR="007C18AE">
        <w:rPr>
          <w:i/>
          <w:iCs/>
          <w:lang w:val="en-US"/>
        </w:rPr>
        <w:t xml:space="preserve"> (Forests Act)</w:t>
      </w:r>
    </w:p>
    <w:p w14:paraId="72BAE465" w14:textId="279FE76B" w:rsidR="00A75DF3" w:rsidRPr="00D92F68" w:rsidRDefault="00A75DF3">
      <w:pPr>
        <w:pStyle w:val="ListBullet"/>
        <w:numPr>
          <w:ilvl w:val="0"/>
          <w:numId w:val="20"/>
        </w:numPr>
        <w:tabs>
          <w:tab w:val="left" w:pos="340"/>
        </w:tabs>
        <w:ind w:right="0"/>
        <w:contextualSpacing/>
        <w:jc w:val="both"/>
        <w:rPr>
          <w:i/>
          <w:iCs/>
        </w:rPr>
      </w:pPr>
      <w:r w:rsidRPr="00D92F68">
        <w:rPr>
          <w:i/>
          <w:iCs/>
        </w:rPr>
        <w:t>Sustainable Forests (Timber) Act 2004</w:t>
      </w:r>
      <w:r w:rsidR="007C18AE">
        <w:rPr>
          <w:i/>
          <w:iCs/>
        </w:rPr>
        <w:t xml:space="preserve"> (SFT Act)</w:t>
      </w:r>
    </w:p>
    <w:p w14:paraId="06D8F71F" w14:textId="2BC9BF15" w:rsidR="00A75DF3" w:rsidRDefault="00A75DF3">
      <w:pPr>
        <w:pStyle w:val="ListBullet"/>
        <w:numPr>
          <w:ilvl w:val="0"/>
          <w:numId w:val="20"/>
        </w:numPr>
        <w:tabs>
          <w:tab w:val="left" w:pos="340"/>
        </w:tabs>
        <w:ind w:right="0"/>
        <w:contextualSpacing/>
      </w:pPr>
      <w:r>
        <w:t>Code of Practice for Timber Production 2014 (</w:t>
      </w:r>
      <w:r w:rsidR="00AD44A4">
        <w:t>‘</w:t>
      </w:r>
      <w:r w:rsidR="3FB92F1C">
        <w:t>Code of Practice</w:t>
      </w:r>
      <w:r w:rsidR="00AD44A4">
        <w:t>’</w:t>
      </w:r>
      <w:r w:rsidR="00B776A0">
        <w:t xml:space="preserve">), </w:t>
      </w:r>
      <w:r w:rsidR="009B478E">
        <w:t xml:space="preserve">a </w:t>
      </w:r>
      <w:r w:rsidR="00D92F68">
        <w:t>subordinate</w:t>
      </w:r>
      <w:r w:rsidR="009B478E">
        <w:t xml:space="preserve"> instrument under the </w:t>
      </w:r>
      <w:r w:rsidRPr="3DAA379F">
        <w:rPr>
          <w:i/>
          <w:iCs/>
        </w:rPr>
        <w:t>Conservation Forests and Lands Act 1987</w:t>
      </w:r>
      <w:r>
        <w:t xml:space="preserve"> (</w:t>
      </w:r>
      <w:r w:rsidRPr="3DAA379F">
        <w:rPr>
          <w:i/>
          <w:iCs/>
        </w:rPr>
        <w:t>CFL Act</w:t>
      </w:r>
      <w:r>
        <w:t xml:space="preserve">) </w:t>
      </w:r>
    </w:p>
    <w:p w14:paraId="540CEBD0" w14:textId="75623412" w:rsidR="00035C67" w:rsidRDefault="00035C67" w:rsidP="00035C67">
      <w:pPr>
        <w:pStyle w:val="BodyNormal"/>
      </w:pPr>
      <w:r>
        <w:t xml:space="preserve">For the purposes of this review, the ‘Code of Practice’ is in scope, but the other provisions and subordinate instruments of the </w:t>
      </w:r>
      <w:r w:rsidRPr="3DAA379F">
        <w:rPr>
          <w:i/>
          <w:iCs/>
        </w:rPr>
        <w:t>CFL Act</w:t>
      </w:r>
      <w:r>
        <w:t xml:space="preserve"> are not.</w:t>
      </w:r>
    </w:p>
    <w:p w14:paraId="60A35112" w14:textId="37917C19" w:rsidR="00BE7EFC" w:rsidRDefault="00BE7EFC" w:rsidP="007B3E1F">
      <w:pPr>
        <w:pStyle w:val="BodyNormal"/>
      </w:pPr>
      <w:r>
        <w:t xml:space="preserve">The </w:t>
      </w:r>
      <w:r w:rsidRPr="0086178C">
        <w:rPr>
          <w:i/>
          <w:iCs/>
        </w:rPr>
        <w:t xml:space="preserve">Forest Legislation Amendment (Compliance and Enforcement) Act 2019 </w:t>
      </w:r>
      <w:r w:rsidRPr="0086178C">
        <w:t>was briefly referred to</w:t>
      </w:r>
      <w:r>
        <w:t xml:space="preserve"> in the review,</w:t>
      </w:r>
      <w:r w:rsidRPr="0086178C">
        <w:t xml:space="preserve"> </w:t>
      </w:r>
      <w:r>
        <w:t>because</w:t>
      </w:r>
      <w:r w:rsidRPr="0086178C">
        <w:t xml:space="preserve"> it </w:t>
      </w:r>
      <w:r>
        <w:t>included</w:t>
      </w:r>
      <w:r w:rsidRPr="0086178C">
        <w:t xml:space="preserve"> amend</w:t>
      </w:r>
      <w:r>
        <w:t>ments to</w:t>
      </w:r>
      <w:r w:rsidRPr="0086178C">
        <w:t xml:space="preserve"> the </w:t>
      </w:r>
      <w:r w:rsidRPr="0086178C">
        <w:rPr>
          <w:i/>
          <w:iCs/>
        </w:rPr>
        <w:t>SFT Act</w:t>
      </w:r>
      <w:r w:rsidRPr="0086178C">
        <w:t xml:space="preserve">, </w:t>
      </w:r>
      <w:r w:rsidRPr="0086178C">
        <w:rPr>
          <w:i/>
          <w:iCs/>
        </w:rPr>
        <w:t>Forests Act</w:t>
      </w:r>
      <w:r w:rsidRPr="0086178C">
        <w:t xml:space="preserve"> (and </w:t>
      </w:r>
      <w:r w:rsidRPr="0086178C">
        <w:rPr>
          <w:i/>
          <w:iCs/>
        </w:rPr>
        <w:t>CFL Act</w:t>
      </w:r>
      <w:r w:rsidRPr="0086178C">
        <w:t>) with respect to improving regulation of timber harvesting and firewood collection.</w:t>
      </w:r>
      <w:r w:rsidRPr="007B3E1F">
        <w:t xml:space="preserve"> </w:t>
      </w:r>
    </w:p>
    <w:p w14:paraId="75B4495D" w14:textId="1A69E8A7" w:rsidR="00A001AF" w:rsidRDefault="007B3E1F" w:rsidP="00A001AF">
      <w:pPr>
        <w:pStyle w:val="BodyNormal"/>
      </w:pPr>
      <w:r>
        <w:t>A brief outline of the legislation in scope is provided in Appendix 1.</w:t>
      </w:r>
    </w:p>
    <w:p w14:paraId="73DA446C" w14:textId="2097F8FD" w:rsidR="006C41B9" w:rsidRDefault="007B3E1F" w:rsidP="006C41B9">
      <w:pPr>
        <w:pStyle w:val="BodyNormal"/>
      </w:pPr>
      <w:r>
        <w:fldChar w:fldCharType="begin"/>
      </w:r>
      <w:r>
        <w:instrText xml:space="preserve"> REF _Ref120824860 \h </w:instrText>
      </w:r>
      <w:r>
        <w:fldChar w:fldCharType="separate"/>
      </w:r>
      <w:r w:rsidR="00A63971">
        <w:t xml:space="preserve">Table </w:t>
      </w:r>
      <w:r w:rsidR="00A63971">
        <w:rPr>
          <w:noProof/>
        </w:rPr>
        <w:t>1</w:t>
      </w:r>
      <w:r w:rsidR="00A63971">
        <w:noBreakHyphen/>
      </w:r>
      <w:r w:rsidR="00A63971">
        <w:rPr>
          <w:noProof/>
        </w:rPr>
        <w:t>1</w:t>
      </w:r>
      <w:r>
        <w:fldChar w:fldCharType="end"/>
      </w:r>
      <w:r>
        <w:t xml:space="preserve"> lists the </w:t>
      </w:r>
      <w:r w:rsidR="006C41B9">
        <w:t>provisions,</w:t>
      </w:r>
      <w:r w:rsidR="000B1ED1">
        <w:t xml:space="preserve"> </w:t>
      </w:r>
      <w:r w:rsidR="006C41B9">
        <w:t>subordinate instruments</w:t>
      </w:r>
      <w:r w:rsidR="000B1ED1">
        <w:t xml:space="preserve"> and other mechanisms</w:t>
      </w:r>
      <w:r w:rsidR="006C41B9">
        <w:t xml:space="preserve"> </w:t>
      </w:r>
      <w:r>
        <w:t xml:space="preserve">that </w:t>
      </w:r>
      <w:r w:rsidR="006C41B9">
        <w:t xml:space="preserve">have been </w:t>
      </w:r>
      <w:r w:rsidR="00535B8C">
        <w:t xml:space="preserve">specifically </w:t>
      </w:r>
      <w:r w:rsidR="006C41B9">
        <w:t>considered</w:t>
      </w:r>
      <w:r w:rsidR="00535B8C">
        <w:t>,</w:t>
      </w:r>
      <w:r w:rsidR="006C41B9">
        <w:t xml:space="preserve"> </w:t>
      </w:r>
      <w:r w:rsidR="000B1ED1">
        <w:t>with some identified for further analysis</w:t>
      </w:r>
      <w:r w:rsidR="00535B8C">
        <w:t xml:space="preserve"> </w:t>
      </w:r>
      <w:r>
        <w:t xml:space="preserve">for </w:t>
      </w:r>
      <w:r w:rsidR="005769BA">
        <w:t xml:space="preserve">their potential </w:t>
      </w:r>
      <w:r>
        <w:t>to</w:t>
      </w:r>
      <w:r w:rsidR="005769BA">
        <w:t xml:space="preserve"> strengthen</w:t>
      </w:r>
      <w:r>
        <w:t xml:space="preserve"> </w:t>
      </w:r>
      <w:r w:rsidR="005769BA">
        <w:t xml:space="preserve">protection of </w:t>
      </w:r>
      <w:r w:rsidR="0086178C">
        <w:t>l</w:t>
      </w:r>
      <w:r w:rsidR="005769BA">
        <w:t xml:space="preserve">isted </w:t>
      </w:r>
      <w:r w:rsidR="0086178C">
        <w:t>s</w:t>
      </w:r>
      <w:r w:rsidR="005769BA">
        <w:t xml:space="preserve">pecies and </w:t>
      </w:r>
      <w:r w:rsidR="0086178C">
        <w:t>c</w:t>
      </w:r>
      <w:r w:rsidR="005769BA">
        <w:t>ommunities</w:t>
      </w:r>
      <w:r>
        <w:t>.</w:t>
      </w:r>
    </w:p>
    <w:p w14:paraId="5A2DD9F1" w14:textId="38644CAE" w:rsidR="007B3E1F" w:rsidRDefault="007B3E1F" w:rsidP="006C41B9">
      <w:pPr>
        <w:pStyle w:val="BodyNormal"/>
      </w:pPr>
    </w:p>
    <w:p w14:paraId="7ADE7677" w14:textId="77777777" w:rsidR="007B3E1F" w:rsidRDefault="007B3E1F" w:rsidP="006C41B9">
      <w:pPr>
        <w:pStyle w:val="BodyNormal"/>
      </w:pPr>
    </w:p>
    <w:p w14:paraId="29DC0D6D" w14:textId="0D8406A1" w:rsidR="006C41B9" w:rsidRPr="005F6476" w:rsidRDefault="007B3E1F" w:rsidP="007B3E1F">
      <w:pPr>
        <w:pStyle w:val="Caption"/>
      </w:pPr>
      <w:bookmarkStart w:id="4" w:name="_Ref120824860"/>
      <w:r>
        <w:t xml:space="preserve">Table </w:t>
      </w:r>
      <w:r>
        <w:fldChar w:fldCharType="begin"/>
      </w:r>
      <w:r>
        <w:instrText>STYLEREF 1 \s</w:instrText>
      </w:r>
      <w:r>
        <w:fldChar w:fldCharType="separate"/>
      </w:r>
      <w:r w:rsidR="00A63971">
        <w:rPr>
          <w:noProof/>
        </w:rPr>
        <w:t>1</w:t>
      </w:r>
      <w:r>
        <w:fldChar w:fldCharType="end"/>
      </w:r>
      <w:r>
        <w:noBreakHyphen/>
      </w:r>
      <w:r>
        <w:fldChar w:fldCharType="begin"/>
      </w:r>
      <w:r>
        <w:instrText>SEQ Table \* ARABIC \s 1</w:instrText>
      </w:r>
      <w:r>
        <w:fldChar w:fldCharType="separate"/>
      </w:r>
      <w:r w:rsidR="00A63971">
        <w:rPr>
          <w:noProof/>
        </w:rPr>
        <w:t>1</w:t>
      </w:r>
      <w:r>
        <w:fldChar w:fldCharType="end"/>
      </w:r>
      <w:bookmarkEnd w:id="4"/>
      <w:r>
        <w:t>: Specific provisions, instruments, mechanisms considered in the review</w:t>
      </w:r>
    </w:p>
    <w:tbl>
      <w:tblPr>
        <w:tblStyle w:val="TableGrid"/>
        <w:tblW w:w="9634" w:type="dxa"/>
        <w:tblLook w:val="04A0" w:firstRow="1" w:lastRow="0" w:firstColumn="1" w:lastColumn="0" w:noHBand="0" w:noVBand="1"/>
      </w:tblPr>
      <w:tblGrid>
        <w:gridCol w:w="2972"/>
        <w:gridCol w:w="1418"/>
        <w:gridCol w:w="5244"/>
      </w:tblGrid>
      <w:tr w:rsidR="006C41B9" w14:paraId="02899268" w14:textId="77777777" w:rsidTr="00BE7EFC">
        <w:trPr>
          <w:cnfStyle w:val="100000000000" w:firstRow="1" w:lastRow="0" w:firstColumn="0" w:lastColumn="0" w:oddVBand="0" w:evenVBand="0" w:oddHBand="0" w:evenHBand="0" w:firstRowFirstColumn="0" w:firstRowLastColumn="0" w:lastRowFirstColumn="0" w:lastRowLastColumn="0"/>
        </w:trPr>
        <w:tc>
          <w:tcPr>
            <w:tcW w:w="2972" w:type="dxa"/>
          </w:tcPr>
          <w:p w14:paraId="019F675C" w14:textId="45D3FB96" w:rsidR="006C41B9" w:rsidRPr="006C41B9" w:rsidRDefault="006C41B9" w:rsidP="006C41B9">
            <w:pPr>
              <w:pStyle w:val="ListBullet"/>
              <w:rPr>
                <w:rFonts w:asciiTheme="minorHAnsi" w:hAnsiTheme="minorHAnsi"/>
              </w:rPr>
            </w:pPr>
            <w:r w:rsidRPr="006C41B9">
              <w:rPr>
                <w:rFonts w:asciiTheme="minorHAnsi" w:hAnsiTheme="minorHAnsi"/>
              </w:rPr>
              <w:t>Provision / instrument / mechanism</w:t>
            </w:r>
          </w:p>
        </w:tc>
        <w:tc>
          <w:tcPr>
            <w:tcW w:w="1418" w:type="dxa"/>
          </w:tcPr>
          <w:p w14:paraId="5B4CDB3C" w14:textId="3718BB2F" w:rsidR="006C41B9" w:rsidRPr="006C41B9" w:rsidRDefault="000B1ED1" w:rsidP="006C41B9">
            <w:pPr>
              <w:pStyle w:val="ListBullet"/>
              <w:rPr>
                <w:rFonts w:asciiTheme="minorHAnsi" w:hAnsiTheme="minorHAnsi"/>
              </w:rPr>
            </w:pPr>
            <w:r>
              <w:rPr>
                <w:rFonts w:asciiTheme="minorHAnsi" w:hAnsiTheme="minorHAnsi"/>
              </w:rPr>
              <w:t>Further analysis</w:t>
            </w:r>
          </w:p>
        </w:tc>
        <w:tc>
          <w:tcPr>
            <w:tcW w:w="5244" w:type="dxa"/>
          </w:tcPr>
          <w:p w14:paraId="2E836A16" w14:textId="30787A28" w:rsidR="006C41B9" w:rsidRPr="006C41B9" w:rsidRDefault="005769BA" w:rsidP="006C41B9">
            <w:pPr>
              <w:pStyle w:val="ListBullet"/>
              <w:rPr>
                <w:rFonts w:asciiTheme="minorHAnsi" w:hAnsiTheme="minorHAnsi"/>
              </w:rPr>
            </w:pPr>
            <w:r>
              <w:rPr>
                <w:rFonts w:asciiTheme="minorHAnsi" w:hAnsiTheme="minorHAnsi"/>
              </w:rPr>
              <w:t>Background</w:t>
            </w:r>
          </w:p>
        </w:tc>
      </w:tr>
      <w:tr w:rsidR="00A214DC" w14:paraId="4905BF27" w14:textId="77777777" w:rsidTr="00BE7EFC">
        <w:tc>
          <w:tcPr>
            <w:tcW w:w="2972" w:type="dxa"/>
            <w:vAlign w:val="center"/>
          </w:tcPr>
          <w:p w14:paraId="5A556B19" w14:textId="22AED2EE" w:rsidR="00A214DC" w:rsidRDefault="00A214DC" w:rsidP="000B1ED1">
            <w:pPr>
              <w:pStyle w:val="ListBullet"/>
            </w:pPr>
            <w:r w:rsidRPr="00535B8C">
              <w:rPr>
                <w:b/>
                <w:bCs/>
                <w:i/>
                <w:iCs/>
              </w:rPr>
              <w:t>FFG Act</w:t>
            </w:r>
          </w:p>
        </w:tc>
        <w:tc>
          <w:tcPr>
            <w:tcW w:w="1418" w:type="dxa"/>
          </w:tcPr>
          <w:p w14:paraId="19FA7274" w14:textId="77777777" w:rsidR="00A214DC" w:rsidRDefault="00A214DC" w:rsidP="006C41B9">
            <w:pPr>
              <w:pStyle w:val="BodyNormal"/>
            </w:pPr>
          </w:p>
        </w:tc>
        <w:tc>
          <w:tcPr>
            <w:tcW w:w="5244" w:type="dxa"/>
          </w:tcPr>
          <w:p w14:paraId="380593D9" w14:textId="77777777" w:rsidR="00A214DC" w:rsidRDefault="00A214DC" w:rsidP="00A214DC">
            <w:pPr>
              <w:pStyle w:val="TableBullet"/>
              <w:numPr>
                <w:ilvl w:val="0"/>
                <w:numId w:val="0"/>
              </w:numPr>
              <w:ind w:left="340"/>
            </w:pPr>
          </w:p>
        </w:tc>
      </w:tr>
      <w:tr w:rsidR="00535B8C" w14:paraId="77671A0E" w14:textId="77777777" w:rsidTr="00BE7EFC">
        <w:tc>
          <w:tcPr>
            <w:tcW w:w="2972" w:type="dxa"/>
            <w:vAlign w:val="center"/>
          </w:tcPr>
          <w:p w14:paraId="57DF2FF7" w14:textId="258C68F0" w:rsidR="00535B8C" w:rsidRDefault="00BF3797" w:rsidP="000B1ED1">
            <w:pPr>
              <w:pStyle w:val="ListBullet"/>
            </w:pPr>
            <w:r>
              <w:t>E</w:t>
            </w:r>
            <w:r w:rsidR="00535B8C" w:rsidRPr="00535B8C">
              <w:t>stablishment of a Scientific Advisory Committee (SAC)</w:t>
            </w:r>
            <w:r>
              <w:t>, section 8</w:t>
            </w:r>
          </w:p>
        </w:tc>
        <w:tc>
          <w:tcPr>
            <w:tcW w:w="1418" w:type="dxa"/>
          </w:tcPr>
          <w:p w14:paraId="283FF9CA" w14:textId="57F42766" w:rsidR="00535B8C" w:rsidRDefault="008503A0" w:rsidP="006C41B9">
            <w:pPr>
              <w:pStyle w:val="BodyNormal"/>
            </w:pPr>
            <w:r>
              <w:t>Reviewed elsewhere</w:t>
            </w:r>
          </w:p>
        </w:tc>
        <w:tc>
          <w:tcPr>
            <w:tcW w:w="5244" w:type="dxa"/>
          </w:tcPr>
          <w:p w14:paraId="395E72CE" w14:textId="2548D2E0" w:rsidR="00535B8C" w:rsidRDefault="005769BA" w:rsidP="005769BA">
            <w:pPr>
              <w:pStyle w:val="TableBullet"/>
              <w:tabs>
                <w:tab w:val="clear" w:pos="357"/>
                <w:tab w:val="left" w:pos="340"/>
              </w:tabs>
              <w:ind w:left="340" w:hanging="227"/>
            </w:pPr>
            <w:r>
              <w:t xml:space="preserve">Addressed in the review and amendment of the </w:t>
            </w:r>
            <w:r w:rsidRPr="005769BA">
              <w:rPr>
                <w:i/>
                <w:iCs/>
              </w:rPr>
              <w:t>FFG Act</w:t>
            </w:r>
          </w:p>
        </w:tc>
      </w:tr>
      <w:tr w:rsidR="00535B8C" w14:paraId="34083E1B" w14:textId="77777777" w:rsidTr="00BE7EFC">
        <w:tc>
          <w:tcPr>
            <w:tcW w:w="2972" w:type="dxa"/>
            <w:vAlign w:val="center"/>
          </w:tcPr>
          <w:p w14:paraId="75D6ADFA" w14:textId="7304BEE6" w:rsidR="00535B8C" w:rsidRDefault="00535B8C" w:rsidP="000B1ED1">
            <w:pPr>
              <w:pStyle w:val="ListBullet"/>
            </w:pPr>
            <w:r w:rsidRPr="00535B8C">
              <w:t xml:space="preserve">Critical </w:t>
            </w:r>
            <w:r>
              <w:t>H</w:t>
            </w:r>
            <w:r w:rsidRPr="00535B8C">
              <w:t xml:space="preserve">abitat </w:t>
            </w:r>
            <w:r>
              <w:t>D</w:t>
            </w:r>
            <w:r w:rsidRPr="00535B8C">
              <w:t>eterminations</w:t>
            </w:r>
            <w:r w:rsidR="00B52AF5">
              <w:t>, section 20</w:t>
            </w:r>
          </w:p>
        </w:tc>
        <w:tc>
          <w:tcPr>
            <w:tcW w:w="1418" w:type="dxa"/>
          </w:tcPr>
          <w:p w14:paraId="47DD57E4" w14:textId="0690A388" w:rsidR="00535B8C" w:rsidRPr="00535B8C" w:rsidRDefault="003427A0" w:rsidP="006C41B9">
            <w:pPr>
              <w:pStyle w:val="BodyNormal"/>
              <w:rPr>
                <w:szCs w:val="20"/>
              </w:rPr>
            </w:pPr>
            <w:r>
              <w:rPr>
                <w:szCs w:val="20"/>
              </w:rPr>
              <w:t>Yes</w:t>
            </w:r>
          </w:p>
        </w:tc>
        <w:tc>
          <w:tcPr>
            <w:tcW w:w="5244" w:type="dxa"/>
          </w:tcPr>
          <w:p w14:paraId="2378AE4A" w14:textId="17C03139" w:rsidR="00535B8C" w:rsidRDefault="003427A0" w:rsidP="005769BA">
            <w:pPr>
              <w:pStyle w:val="TableBullet"/>
              <w:tabs>
                <w:tab w:val="clear" w:pos="357"/>
                <w:tab w:val="left" w:pos="340"/>
              </w:tabs>
              <w:ind w:left="340" w:hanging="227"/>
            </w:pPr>
            <w:r>
              <w:t>Precursor step to Habitat Conservation Orders</w:t>
            </w:r>
            <w:r w:rsidR="00B32A16">
              <w:t xml:space="preserve"> and indicates that an area is of State biodiversity significance</w:t>
            </w:r>
          </w:p>
          <w:p w14:paraId="37B920D5" w14:textId="0B310FFC" w:rsidR="00B32A16" w:rsidRDefault="00B32A16" w:rsidP="005769BA">
            <w:pPr>
              <w:pStyle w:val="TableBullet"/>
              <w:tabs>
                <w:tab w:val="clear" w:pos="357"/>
                <w:tab w:val="left" w:pos="340"/>
              </w:tabs>
              <w:ind w:left="340" w:hanging="227"/>
            </w:pPr>
            <w:r>
              <w:t>Have been</w:t>
            </w:r>
            <w:r w:rsidR="00865E6F">
              <w:t xml:space="preserve"> rarely</w:t>
            </w:r>
            <w:r>
              <w:t xml:space="preserve"> implemented </w:t>
            </w:r>
          </w:p>
          <w:p w14:paraId="11819A47" w14:textId="46148E6D" w:rsidR="005769BA" w:rsidRPr="00AE0AC2" w:rsidRDefault="00AE0AC2" w:rsidP="00AE0AC2">
            <w:pPr>
              <w:pStyle w:val="TableBullet"/>
              <w:tabs>
                <w:tab w:val="clear" w:pos="357"/>
                <w:tab w:val="left" w:pos="340"/>
              </w:tabs>
              <w:ind w:left="340" w:hanging="227"/>
            </w:pPr>
            <w:r>
              <w:t>Identified by DELWP and DJPR Working Group members for review</w:t>
            </w:r>
          </w:p>
        </w:tc>
      </w:tr>
      <w:tr w:rsidR="00535B8C" w14:paraId="5335D5EE" w14:textId="77777777" w:rsidTr="00BE7EFC">
        <w:tc>
          <w:tcPr>
            <w:tcW w:w="2972" w:type="dxa"/>
            <w:vAlign w:val="center"/>
          </w:tcPr>
          <w:p w14:paraId="028A5184" w14:textId="75E463BE" w:rsidR="00535B8C" w:rsidRPr="00535B8C" w:rsidRDefault="00535B8C" w:rsidP="000B1ED1">
            <w:pPr>
              <w:pStyle w:val="ListBullet"/>
            </w:pPr>
            <w:r w:rsidRPr="00535B8C">
              <w:t>Habitat Conservation Orders</w:t>
            </w:r>
            <w:r w:rsidR="00B52AF5">
              <w:t>, section 26</w:t>
            </w:r>
          </w:p>
        </w:tc>
        <w:tc>
          <w:tcPr>
            <w:tcW w:w="1418" w:type="dxa"/>
          </w:tcPr>
          <w:p w14:paraId="0F65E489" w14:textId="6C2E3281" w:rsidR="00535B8C" w:rsidRDefault="00B32A16" w:rsidP="006C41B9">
            <w:pPr>
              <w:pStyle w:val="BodyNormal"/>
            </w:pPr>
            <w:r>
              <w:t>Yes</w:t>
            </w:r>
          </w:p>
        </w:tc>
        <w:tc>
          <w:tcPr>
            <w:tcW w:w="5244" w:type="dxa"/>
          </w:tcPr>
          <w:p w14:paraId="76C45D39" w14:textId="29E4D611" w:rsidR="00535B8C" w:rsidRDefault="00AE0AC2" w:rsidP="00AE0AC2">
            <w:pPr>
              <w:pStyle w:val="TableBullet"/>
              <w:tabs>
                <w:tab w:val="clear" w:pos="357"/>
                <w:tab w:val="left" w:pos="340"/>
              </w:tabs>
              <w:ind w:left="340" w:hanging="227"/>
            </w:pPr>
            <w:r>
              <w:t>Prohibit further damage or require remediation of previous damage</w:t>
            </w:r>
          </w:p>
          <w:p w14:paraId="52FD1C5C" w14:textId="58DA1F0F" w:rsidR="00AE0AC2" w:rsidRDefault="00AE0AC2" w:rsidP="00AE0AC2">
            <w:pPr>
              <w:pStyle w:val="TableBullet"/>
              <w:tabs>
                <w:tab w:val="clear" w:pos="357"/>
                <w:tab w:val="left" w:pos="340"/>
              </w:tabs>
              <w:ind w:left="340" w:hanging="227"/>
            </w:pPr>
            <w:r>
              <w:t>Identified by DELWP and DJPR Working Group members for review</w:t>
            </w:r>
          </w:p>
        </w:tc>
      </w:tr>
      <w:tr w:rsidR="00535B8C" w14:paraId="6640BBE8" w14:textId="77777777" w:rsidTr="00BE7EFC">
        <w:tc>
          <w:tcPr>
            <w:tcW w:w="2972" w:type="dxa"/>
            <w:vAlign w:val="center"/>
          </w:tcPr>
          <w:p w14:paraId="64F54DFE" w14:textId="166393E5" w:rsidR="00535B8C" w:rsidRPr="00535B8C" w:rsidRDefault="00535B8C" w:rsidP="000B1ED1">
            <w:pPr>
              <w:pStyle w:val="ListBullet"/>
            </w:pPr>
            <w:r>
              <w:t>Action Statements</w:t>
            </w:r>
            <w:r w:rsidR="00B52AF5">
              <w:t>, section 19</w:t>
            </w:r>
          </w:p>
        </w:tc>
        <w:tc>
          <w:tcPr>
            <w:tcW w:w="1418" w:type="dxa"/>
          </w:tcPr>
          <w:p w14:paraId="31BE0116" w14:textId="69907E51" w:rsidR="00535B8C" w:rsidRDefault="008503A0" w:rsidP="006C41B9">
            <w:pPr>
              <w:pStyle w:val="BodyNormal"/>
            </w:pPr>
            <w:r>
              <w:t>Reviewed elsewhere</w:t>
            </w:r>
          </w:p>
        </w:tc>
        <w:tc>
          <w:tcPr>
            <w:tcW w:w="5244" w:type="dxa"/>
          </w:tcPr>
          <w:p w14:paraId="613C6D7A" w14:textId="69F7782F" w:rsidR="00535B8C" w:rsidRDefault="005769BA" w:rsidP="005769BA">
            <w:pPr>
              <w:pStyle w:val="TableBullet"/>
              <w:tabs>
                <w:tab w:val="clear" w:pos="357"/>
                <w:tab w:val="left" w:pos="340"/>
              </w:tabs>
              <w:ind w:left="340" w:hanging="227"/>
            </w:pPr>
            <w:r>
              <w:t>A</w:t>
            </w:r>
            <w:r w:rsidR="00157449">
              <w:t xml:space="preserve">ddressed in </w:t>
            </w:r>
            <w:r>
              <w:t xml:space="preserve">detail as part of </w:t>
            </w:r>
            <w:r w:rsidR="00157449">
              <w:t xml:space="preserve">the review </w:t>
            </w:r>
            <w:r>
              <w:t xml:space="preserve">and amendment </w:t>
            </w:r>
            <w:r w:rsidR="00157449">
              <w:t xml:space="preserve">of the </w:t>
            </w:r>
            <w:r w:rsidR="00157449" w:rsidRPr="00157449">
              <w:rPr>
                <w:i/>
                <w:iCs/>
              </w:rPr>
              <w:t>FFG Act</w:t>
            </w:r>
          </w:p>
        </w:tc>
      </w:tr>
      <w:tr w:rsidR="006C41B9" w14:paraId="6B1F8B7A" w14:textId="77777777" w:rsidTr="00BE7EFC">
        <w:tc>
          <w:tcPr>
            <w:tcW w:w="2972" w:type="dxa"/>
            <w:vAlign w:val="center"/>
          </w:tcPr>
          <w:p w14:paraId="5204FE63" w14:textId="2BE43762" w:rsidR="006C41B9" w:rsidRDefault="00926A31" w:rsidP="000B1ED1">
            <w:pPr>
              <w:pStyle w:val="ListBullet"/>
            </w:pPr>
            <w:r>
              <w:t>Flora and Fauna Management Plans</w:t>
            </w:r>
            <w:r w:rsidR="0030179B">
              <w:t xml:space="preserve"> (FFMP)</w:t>
            </w:r>
            <w:r w:rsidR="00B52AF5">
              <w:t>, section 21</w:t>
            </w:r>
          </w:p>
        </w:tc>
        <w:tc>
          <w:tcPr>
            <w:tcW w:w="1418" w:type="dxa"/>
          </w:tcPr>
          <w:p w14:paraId="249FFE1F" w14:textId="4B8505A9" w:rsidR="006C41B9" w:rsidRDefault="00157449" w:rsidP="006C41B9">
            <w:pPr>
              <w:pStyle w:val="BodyNormal"/>
            </w:pPr>
            <w:r>
              <w:t>Yes</w:t>
            </w:r>
          </w:p>
        </w:tc>
        <w:tc>
          <w:tcPr>
            <w:tcW w:w="5244" w:type="dxa"/>
          </w:tcPr>
          <w:p w14:paraId="377B2254" w14:textId="77777777" w:rsidR="00AE0AC2" w:rsidRDefault="00AE0AC2" w:rsidP="005769BA">
            <w:pPr>
              <w:pStyle w:val="TableBullet"/>
              <w:tabs>
                <w:tab w:val="clear" w:pos="357"/>
                <w:tab w:val="left" w:pos="340"/>
              </w:tabs>
              <w:ind w:left="340" w:hanging="227"/>
            </w:pPr>
            <w:r w:rsidRPr="00C41B76">
              <w:t>Set out how flora and fauna conservation and management objectives are to be implemented or promoted</w:t>
            </w:r>
          </w:p>
          <w:p w14:paraId="5A52EFF5" w14:textId="050B79BD" w:rsidR="00AE0AC2" w:rsidRDefault="00AE0AC2" w:rsidP="005769BA">
            <w:pPr>
              <w:pStyle w:val="TableBullet"/>
              <w:tabs>
                <w:tab w:val="clear" w:pos="357"/>
                <w:tab w:val="left" w:pos="340"/>
              </w:tabs>
              <w:ind w:left="340" w:hanging="227"/>
            </w:pPr>
            <w:r>
              <w:t>Currently they have not been used</w:t>
            </w:r>
            <w:r w:rsidRPr="00C41B76">
              <w:t xml:space="preserve">  </w:t>
            </w:r>
          </w:p>
          <w:p w14:paraId="28E4C328" w14:textId="7529741F" w:rsidR="00C41B76" w:rsidRPr="00AE0AC2" w:rsidRDefault="00157449" w:rsidP="00AE0AC2">
            <w:pPr>
              <w:pStyle w:val="TableBullet"/>
              <w:tabs>
                <w:tab w:val="clear" w:pos="357"/>
                <w:tab w:val="left" w:pos="340"/>
              </w:tabs>
              <w:ind w:left="340" w:hanging="227"/>
            </w:pPr>
            <w:r>
              <w:t>Identified by DELWP and DJPR Working Group members</w:t>
            </w:r>
            <w:r w:rsidR="00AE0AC2">
              <w:t xml:space="preserve"> for review</w:t>
            </w:r>
          </w:p>
        </w:tc>
      </w:tr>
      <w:tr w:rsidR="00926A31" w14:paraId="07536CDB" w14:textId="77777777" w:rsidTr="00BE7EFC">
        <w:tc>
          <w:tcPr>
            <w:tcW w:w="2972" w:type="dxa"/>
            <w:vAlign w:val="center"/>
          </w:tcPr>
          <w:p w14:paraId="0BD2F561" w14:textId="071ACAB5" w:rsidR="00926A31" w:rsidRDefault="00157449" w:rsidP="00926A31">
            <w:pPr>
              <w:pStyle w:val="ListBullet"/>
            </w:pPr>
            <w:r>
              <w:t>Public Authority Duty</w:t>
            </w:r>
            <w:r w:rsidR="00B52AF5">
              <w:t>, section 4B</w:t>
            </w:r>
          </w:p>
        </w:tc>
        <w:tc>
          <w:tcPr>
            <w:tcW w:w="1418" w:type="dxa"/>
          </w:tcPr>
          <w:p w14:paraId="371C3C24" w14:textId="4622E7C4" w:rsidR="00926A31" w:rsidRDefault="008503A0" w:rsidP="00926A31">
            <w:pPr>
              <w:pStyle w:val="BodyNormal"/>
            </w:pPr>
            <w:r>
              <w:t>Noted</w:t>
            </w:r>
            <w:r w:rsidR="00AE0AC2">
              <w:t xml:space="preserve"> </w:t>
            </w:r>
          </w:p>
        </w:tc>
        <w:tc>
          <w:tcPr>
            <w:tcW w:w="5244" w:type="dxa"/>
          </w:tcPr>
          <w:p w14:paraId="0F410002" w14:textId="21A8BDFC" w:rsidR="00AE0AC2" w:rsidRPr="00AE0AC2" w:rsidRDefault="00AE0AC2" w:rsidP="00AE0AC2">
            <w:pPr>
              <w:pStyle w:val="TableBullet"/>
              <w:tabs>
                <w:tab w:val="clear" w:pos="357"/>
                <w:tab w:val="left" w:pos="340"/>
              </w:tabs>
              <w:ind w:left="340" w:hanging="227"/>
            </w:pPr>
            <w:r>
              <w:t>Obligation for public authorities and Ministers to consider potential biodiversity impacts when exercising their functions.</w:t>
            </w:r>
          </w:p>
          <w:p w14:paraId="513C09DE" w14:textId="1D2F6A0C" w:rsidR="00926A31" w:rsidRDefault="00AE0AC2" w:rsidP="00AE0AC2">
            <w:pPr>
              <w:pStyle w:val="TableBullet"/>
              <w:tabs>
                <w:tab w:val="clear" w:pos="357"/>
                <w:tab w:val="left" w:pos="340"/>
              </w:tabs>
              <w:ind w:left="340" w:hanging="227"/>
            </w:pPr>
            <w:r>
              <w:t>Provides Ministerial guidelines to clarify duties</w:t>
            </w:r>
          </w:p>
        </w:tc>
      </w:tr>
      <w:tr w:rsidR="00926A31" w14:paraId="59935758" w14:textId="77777777" w:rsidTr="00BE7EFC">
        <w:tc>
          <w:tcPr>
            <w:tcW w:w="2972" w:type="dxa"/>
            <w:vAlign w:val="center"/>
          </w:tcPr>
          <w:p w14:paraId="5FB0CAF1" w14:textId="0EBAB3C4" w:rsidR="00926A31" w:rsidRDefault="00157449" w:rsidP="00926A31">
            <w:pPr>
              <w:pStyle w:val="ListBullet"/>
            </w:pPr>
            <w:r>
              <w:t xml:space="preserve">Protecting Victoria’s Environment – Biodiversity </w:t>
            </w:r>
            <w:proofErr w:type="gramStart"/>
            <w:r>
              <w:t>2037</w:t>
            </w:r>
            <w:r w:rsidR="00BF3797">
              <w:t>,  section</w:t>
            </w:r>
            <w:proofErr w:type="gramEnd"/>
            <w:r w:rsidR="00BF3797">
              <w:t xml:space="preserve"> 17</w:t>
            </w:r>
          </w:p>
        </w:tc>
        <w:tc>
          <w:tcPr>
            <w:tcW w:w="1418" w:type="dxa"/>
          </w:tcPr>
          <w:p w14:paraId="1C6660F6" w14:textId="52E44802" w:rsidR="00926A31" w:rsidRDefault="005769BA" w:rsidP="00926A31">
            <w:pPr>
              <w:pStyle w:val="BodyNormal"/>
            </w:pPr>
            <w:r>
              <w:t>Briefly</w:t>
            </w:r>
            <w:r w:rsidR="00342E13">
              <w:t xml:space="preserve"> reviewed</w:t>
            </w:r>
          </w:p>
        </w:tc>
        <w:tc>
          <w:tcPr>
            <w:tcW w:w="5244" w:type="dxa"/>
          </w:tcPr>
          <w:p w14:paraId="30973B6B" w14:textId="50510FDB" w:rsidR="005769BA" w:rsidRDefault="00BF3797" w:rsidP="005769BA">
            <w:pPr>
              <w:pStyle w:val="TableBullet"/>
              <w:tabs>
                <w:tab w:val="clear" w:pos="357"/>
                <w:tab w:val="left" w:pos="340"/>
              </w:tabs>
              <w:ind w:left="340" w:hanging="227"/>
            </w:pPr>
            <w:r>
              <w:t>Consider importance of plan in stopping the decline of biodiversity in Victoria and its</w:t>
            </w:r>
            <w:r w:rsidR="005769BA">
              <w:t xml:space="preserve"> cross-tenure reach</w:t>
            </w:r>
          </w:p>
          <w:p w14:paraId="1EA275F1" w14:textId="390D1584" w:rsidR="00926A31" w:rsidRDefault="00BF3797" w:rsidP="00BF3797">
            <w:pPr>
              <w:pStyle w:val="TableBullet"/>
              <w:tabs>
                <w:tab w:val="clear" w:pos="357"/>
                <w:tab w:val="left" w:pos="340"/>
              </w:tabs>
              <w:ind w:left="340" w:hanging="227"/>
            </w:pPr>
            <w:r>
              <w:t>Plan features</w:t>
            </w:r>
            <w:r w:rsidR="005769BA">
              <w:t xml:space="preserve"> justifications for genetic interventions</w:t>
            </w:r>
          </w:p>
        </w:tc>
      </w:tr>
      <w:tr w:rsidR="00157449" w14:paraId="5F752466" w14:textId="77777777" w:rsidTr="00BE7EFC">
        <w:tc>
          <w:tcPr>
            <w:tcW w:w="2972" w:type="dxa"/>
            <w:vAlign w:val="center"/>
          </w:tcPr>
          <w:p w14:paraId="3436BF22" w14:textId="6D7FE5BB" w:rsidR="00157449" w:rsidRDefault="00157449" w:rsidP="00157449">
            <w:pPr>
              <w:pStyle w:val="BodyNormal"/>
            </w:pPr>
            <w:r>
              <w:t>FFG (Forest Produce Harvesting Order)</w:t>
            </w:r>
            <w:r w:rsidR="00BF3797">
              <w:t xml:space="preserve"> </w:t>
            </w:r>
            <w:r>
              <w:t>Order No-2 2004</w:t>
            </w:r>
            <w:r w:rsidR="00BF3797">
              <w:t xml:space="preserve">, section 48A  </w:t>
            </w:r>
          </w:p>
        </w:tc>
        <w:tc>
          <w:tcPr>
            <w:tcW w:w="1418" w:type="dxa"/>
          </w:tcPr>
          <w:p w14:paraId="334F3FE9" w14:textId="3B76C36E" w:rsidR="00157449" w:rsidRDefault="008503A0" w:rsidP="00157449">
            <w:pPr>
              <w:pStyle w:val="BodyNormal"/>
            </w:pPr>
            <w:r>
              <w:t>Noted</w:t>
            </w:r>
          </w:p>
        </w:tc>
        <w:tc>
          <w:tcPr>
            <w:tcW w:w="5244" w:type="dxa"/>
          </w:tcPr>
          <w:p w14:paraId="0253AF35" w14:textId="05446274" w:rsidR="00157449" w:rsidRDefault="00157449" w:rsidP="00BF3797">
            <w:pPr>
              <w:pStyle w:val="TableBullet"/>
              <w:tabs>
                <w:tab w:val="clear" w:pos="357"/>
                <w:tab w:val="left" w:pos="340"/>
              </w:tabs>
              <w:ind w:left="340" w:hanging="227"/>
            </w:pPr>
            <w:r>
              <w:t>Identified by DELWP and DJPR Working Group members</w:t>
            </w:r>
            <w:r w:rsidR="00BF3797">
              <w:t xml:space="preserve"> for review</w:t>
            </w:r>
          </w:p>
        </w:tc>
      </w:tr>
      <w:tr w:rsidR="00157449" w14:paraId="25AAFAAD" w14:textId="77777777" w:rsidTr="00BE7EFC">
        <w:tc>
          <w:tcPr>
            <w:tcW w:w="2972" w:type="dxa"/>
            <w:vAlign w:val="center"/>
          </w:tcPr>
          <w:p w14:paraId="2C0233FA" w14:textId="28F2F3EF" w:rsidR="00157449" w:rsidRDefault="00157449" w:rsidP="00BF3797">
            <w:pPr>
              <w:pStyle w:val="BodyNormal"/>
              <w:jc w:val="left"/>
            </w:pPr>
            <w:r w:rsidRPr="00CB2B22">
              <w:t xml:space="preserve">Flora and Fauna Guarantee Regulations 2020 </w:t>
            </w:r>
          </w:p>
        </w:tc>
        <w:tc>
          <w:tcPr>
            <w:tcW w:w="1418" w:type="dxa"/>
          </w:tcPr>
          <w:p w14:paraId="6B90BCE8" w14:textId="585B2EBC" w:rsidR="00157449" w:rsidRDefault="008503A0" w:rsidP="00157449">
            <w:pPr>
              <w:pStyle w:val="BodyNormal"/>
            </w:pPr>
            <w:r>
              <w:t>Reviewed Elsewhere</w:t>
            </w:r>
          </w:p>
        </w:tc>
        <w:tc>
          <w:tcPr>
            <w:tcW w:w="5244" w:type="dxa"/>
          </w:tcPr>
          <w:p w14:paraId="1843F12A" w14:textId="77777777" w:rsidR="005769BA" w:rsidRDefault="00157449" w:rsidP="005769BA">
            <w:pPr>
              <w:pStyle w:val="TableBullet"/>
            </w:pPr>
            <w:r>
              <w:t xml:space="preserve">The regulations relate to the listing process </w:t>
            </w:r>
            <w:r w:rsidR="005769BA">
              <w:t xml:space="preserve">(including eligibility criteria) </w:t>
            </w:r>
            <w:r>
              <w:t>of flora</w:t>
            </w:r>
            <w:r w:rsidR="005769BA" w:rsidRPr="005769BA">
              <w:t xml:space="preserve"> or fauna, communities of flora or fauna or potentially threatening processe</w:t>
            </w:r>
            <w:r w:rsidR="005769BA">
              <w:t xml:space="preserve">s. </w:t>
            </w:r>
          </w:p>
          <w:p w14:paraId="2AAC0E3D" w14:textId="01E52BA3" w:rsidR="00157449" w:rsidRDefault="005769BA" w:rsidP="005769BA">
            <w:pPr>
              <w:pStyle w:val="TableBullet"/>
            </w:pPr>
            <w:r w:rsidRPr="005769BA">
              <w:t xml:space="preserve">The </w:t>
            </w:r>
            <w:r>
              <w:t>l</w:t>
            </w:r>
            <w:r w:rsidRPr="005769BA">
              <w:t xml:space="preserve">isting process was comprehensively addressed in the recent </w:t>
            </w:r>
            <w:r>
              <w:t>r</w:t>
            </w:r>
            <w:r w:rsidRPr="005769BA">
              <w:t xml:space="preserve">eview </w:t>
            </w:r>
            <w:r>
              <w:t xml:space="preserve">and amendment </w:t>
            </w:r>
            <w:r w:rsidRPr="005769BA">
              <w:t xml:space="preserve">of the </w:t>
            </w:r>
            <w:r w:rsidRPr="005769BA">
              <w:rPr>
                <w:i/>
                <w:iCs/>
              </w:rPr>
              <w:t xml:space="preserve">FFG Act </w:t>
            </w:r>
          </w:p>
        </w:tc>
      </w:tr>
      <w:tr w:rsidR="00A214DC" w14:paraId="60C75065" w14:textId="77777777" w:rsidTr="00BE7EFC">
        <w:tc>
          <w:tcPr>
            <w:tcW w:w="2972" w:type="dxa"/>
          </w:tcPr>
          <w:p w14:paraId="0D1AD75D" w14:textId="0E0B06F0" w:rsidR="00A214DC" w:rsidRDefault="00A214DC" w:rsidP="00BF3797">
            <w:pPr>
              <w:pStyle w:val="BodyNormal"/>
              <w:jc w:val="left"/>
            </w:pPr>
            <w:r>
              <w:rPr>
                <w:b/>
                <w:bCs/>
                <w:i/>
                <w:iCs/>
              </w:rPr>
              <w:t>Forests Act</w:t>
            </w:r>
          </w:p>
        </w:tc>
        <w:tc>
          <w:tcPr>
            <w:tcW w:w="1418" w:type="dxa"/>
          </w:tcPr>
          <w:p w14:paraId="59C4B618" w14:textId="77777777" w:rsidR="00A214DC" w:rsidRDefault="00A214DC" w:rsidP="00157449">
            <w:pPr>
              <w:pStyle w:val="BodyNormal"/>
            </w:pPr>
          </w:p>
        </w:tc>
        <w:tc>
          <w:tcPr>
            <w:tcW w:w="5244" w:type="dxa"/>
          </w:tcPr>
          <w:p w14:paraId="6A8A901B" w14:textId="77777777" w:rsidR="00A214DC" w:rsidRDefault="00A214DC" w:rsidP="00A214DC">
            <w:pPr>
              <w:pStyle w:val="TableBullet"/>
              <w:numPr>
                <w:ilvl w:val="0"/>
                <w:numId w:val="0"/>
              </w:numPr>
              <w:ind w:left="357" w:hanging="249"/>
            </w:pPr>
          </w:p>
        </w:tc>
      </w:tr>
      <w:tr w:rsidR="00BF3797" w14:paraId="54AA834D" w14:textId="77777777" w:rsidTr="00BE7EFC">
        <w:tc>
          <w:tcPr>
            <w:tcW w:w="2972" w:type="dxa"/>
          </w:tcPr>
          <w:p w14:paraId="5A163FB9" w14:textId="7CCD9882" w:rsidR="00BF3797" w:rsidRDefault="00BF3797" w:rsidP="00BF3797">
            <w:pPr>
              <w:pStyle w:val="BodyNormal"/>
              <w:jc w:val="left"/>
            </w:pPr>
            <w:r>
              <w:t>Forest Management Plans (FMPs), section 22</w:t>
            </w:r>
          </w:p>
        </w:tc>
        <w:tc>
          <w:tcPr>
            <w:tcW w:w="1418" w:type="dxa"/>
          </w:tcPr>
          <w:p w14:paraId="2297846F" w14:textId="74B1AAE6" w:rsidR="00BF3797" w:rsidRDefault="008503A0" w:rsidP="00157449">
            <w:pPr>
              <w:pStyle w:val="BodyNormal"/>
            </w:pPr>
            <w:r>
              <w:t>Noted</w:t>
            </w:r>
          </w:p>
        </w:tc>
        <w:tc>
          <w:tcPr>
            <w:tcW w:w="5244" w:type="dxa"/>
          </w:tcPr>
          <w:p w14:paraId="16052647" w14:textId="77777777" w:rsidR="0030179B" w:rsidRDefault="00BF3797" w:rsidP="00BF3797">
            <w:pPr>
              <w:pStyle w:val="TableBullet"/>
            </w:pPr>
            <w:r>
              <w:t>S</w:t>
            </w:r>
            <w:r w:rsidRPr="00DB5A3F">
              <w:t xml:space="preserve">trategic objectives of FMPs, such as management of high conservation or cultural heritage values, are in part supported by forest management zoning. </w:t>
            </w:r>
          </w:p>
          <w:p w14:paraId="29C06334" w14:textId="1FA443A2" w:rsidR="00BF3797" w:rsidRDefault="0030179B" w:rsidP="00BF3797">
            <w:pPr>
              <w:pStyle w:val="TableBullet"/>
            </w:pPr>
            <w:r>
              <w:t>Considered in relation to FMZS and FFMP.</w:t>
            </w:r>
          </w:p>
        </w:tc>
      </w:tr>
      <w:tr w:rsidR="00BF3797" w14:paraId="78E23E6A" w14:textId="77777777" w:rsidTr="00BE7EFC">
        <w:tc>
          <w:tcPr>
            <w:tcW w:w="2972" w:type="dxa"/>
          </w:tcPr>
          <w:p w14:paraId="7CEC49B0" w14:textId="0D56DA4B" w:rsidR="00BF3797" w:rsidRDefault="00BF3797" w:rsidP="00BF3797">
            <w:pPr>
              <w:pStyle w:val="ListBullet"/>
            </w:pPr>
            <w:r>
              <w:lastRenderedPageBreak/>
              <w:t>Forest Management Zoning Scheme</w:t>
            </w:r>
            <w:r w:rsidR="0030179B">
              <w:t xml:space="preserve"> (FMZS)</w:t>
            </w:r>
          </w:p>
          <w:p w14:paraId="25CE0A50" w14:textId="29251E00" w:rsidR="00BF3797" w:rsidRDefault="00BF3797" w:rsidP="00BF3797">
            <w:pPr>
              <w:pStyle w:val="BodyNormal"/>
            </w:pPr>
            <w:r>
              <w:t>(</w:t>
            </w:r>
            <w:r w:rsidRPr="0030179B">
              <w:rPr>
                <w:i/>
                <w:iCs/>
              </w:rPr>
              <w:t>Administrative planning tool that reflects the strategic objectives incorporated into FMP</w:t>
            </w:r>
            <w:r>
              <w:t>)</w:t>
            </w:r>
          </w:p>
        </w:tc>
        <w:tc>
          <w:tcPr>
            <w:tcW w:w="1418" w:type="dxa"/>
          </w:tcPr>
          <w:p w14:paraId="6C6E60D9" w14:textId="5D6C72BB" w:rsidR="00BF3797" w:rsidRDefault="00DF6175" w:rsidP="00157449">
            <w:pPr>
              <w:pStyle w:val="BodyNormal"/>
            </w:pPr>
            <w:r>
              <w:t>Yes</w:t>
            </w:r>
          </w:p>
        </w:tc>
        <w:tc>
          <w:tcPr>
            <w:tcW w:w="5244" w:type="dxa"/>
          </w:tcPr>
          <w:p w14:paraId="3DB9EC7A" w14:textId="12770C34" w:rsidR="00BF3797" w:rsidRDefault="0030179B" w:rsidP="0030179B">
            <w:pPr>
              <w:pStyle w:val="TableBullet"/>
            </w:pPr>
            <w:r>
              <w:t>FMZS</w:t>
            </w:r>
            <w:r w:rsidRPr="004A7C58">
              <w:t xml:space="preserve"> reflects the strategic planning incorporated in FMP and is supplemented by zoning changes resulting from additional measures to protect threatened species.</w:t>
            </w:r>
          </w:p>
          <w:p w14:paraId="6186511A" w14:textId="270912DE" w:rsidR="0030179B" w:rsidRDefault="0030179B" w:rsidP="0030179B">
            <w:pPr>
              <w:pStyle w:val="TableBullet"/>
            </w:pPr>
            <w:r w:rsidRPr="004A7C58">
              <w:t>The Scheme guides permitted uses across State forest</w:t>
            </w:r>
            <w:r>
              <w:t>s and consists of three zones (</w:t>
            </w:r>
            <w:proofErr w:type="gramStart"/>
            <w:r>
              <w:t>i.e.</w:t>
            </w:r>
            <w:proofErr w:type="gramEnd"/>
            <w:r>
              <w:t xml:space="preserve"> Special Protection Zones, Special Management Zones, General Management Zones)</w:t>
            </w:r>
          </w:p>
        </w:tc>
      </w:tr>
      <w:tr w:rsidR="009016F7" w14:paraId="7F24B059" w14:textId="77777777" w:rsidTr="00BE7EFC">
        <w:tc>
          <w:tcPr>
            <w:tcW w:w="2972" w:type="dxa"/>
          </w:tcPr>
          <w:p w14:paraId="441F9147" w14:textId="6DCB786B" w:rsidR="009016F7" w:rsidRDefault="009016F7" w:rsidP="00BF3797">
            <w:pPr>
              <w:pStyle w:val="ListBullet"/>
            </w:pPr>
            <w:r w:rsidRPr="009016F7">
              <w:t>Power to except certain areas from occupation under leases, licences</w:t>
            </w:r>
            <w:r>
              <w:t>, section 52</w:t>
            </w:r>
          </w:p>
        </w:tc>
        <w:tc>
          <w:tcPr>
            <w:tcW w:w="1418" w:type="dxa"/>
          </w:tcPr>
          <w:p w14:paraId="0A152D2F" w14:textId="08DA682A" w:rsidR="009016F7" w:rsidRDefault="008503A0" w:rsidP="00157449">
            <w:pPr>
              <w:pStyle w:val="BodyNormal"/>
            </w:pPr>
            <w:r>
              <w:t>Noted</w:t>
            </w:r>
          </w:p>
        </w:tc>
        <w:tc>
          <w:tcPr>
            <w:tcW w:w="5244" w:type="dxa"/>
          </w:tcPr>
          <w:p w14:paraId="69731620" w14:textId="00944A7A" w:rsidR="009016F7" w:rsidRDefault="009016F7" w:rsidP="0030179B">
            <w:pPr>
              <w:pStyle w:val="TableBullet"/>
            </w:pPr>
            <w:r>
              <w:t xml:space="preserve">Considered less relevant for strengthening protection of </w:t>
            </w:r>
            <w:r w:rsidR="009F3932">
              <w:t>T</w:t>
            </w:r>
            <w:r>
              <w:t xml:space="preserve">hreatened </w:t>
            </w:r>
            <w:r w:rsidR="009F3932">
              <w:t>S</w:t>
            </w:r>
            <w:r>
              <w:t xml:space="preserve">pecies and </w:t>
            </w:r>
            <w:r w:rsidR="009F3932">
              <w:t>C</w:t>
            </w:r>
            <w:r>
              <w:t>ommunities than FMZS</w:t>
            </w:r>
          </w:p>
        </w:tc>
      </w:tr>
      <w:tr w:rsidR="00BF3797" w14:paraId="3EDAE493" w14:textId="77777777" w:rsidTr="00BE7EFC">
        <w:tc>
          <w:tcPr>
            <w:tcW w:w="2972" w:type="dxa"/>
          </w:tcPr>
          <w:p w14:paraId="1925AD66" w14:textId="77777777" w:rsidR="0030179B" w:rsidRDefault="0030179B" w:rsidP="0030179B">
            <w:pPr>
              <w:pStyle w:val="ListBullet"/>
            </w:pPr>
            <w:r>
              <w:t>Regulations:</w:t>
            </w:r>
          </w:p>
          <w:p w14:paraId="5579CF03" w14:textId="77777777" w:rsidR="0030179B" w:rsidRDefault="0030179B" w:rsidP="0030179B">
            <w:pPr>
              <w:pStyle w:val="ListBullet"/>
            </w:pPr>
          </w:p>
          <w:p w14:paraId="3D077F54" w14:textId="77777777" w:rsidR="0030179B" w:rsidRPr="00C50EF1" w:rsidRDefault="0030179B" w:rsidP="0030179B">
            <w:pPr>
              <w:pStyle w:val="TableBullet"/>
              <w:tabs>
                <w:tab w:val="clear" w:pos="357"/>
                <w:tab w:val="left" w:pos="340"/>
              </w:tabs>
              <w:ind w:left="340" w:hanging="227"/>
            </w:pPr>
            <w:r w:rsidRPr="00C50EF1">
              <w:t xml:space="preserve">Forests (Licences and Permits) Regulations 2019 (Vic) </w:t>
            </w:r>
          </w:p>
          <w:p w14:paraId="63ACA02A" w14:textId="77777777" w:rsidR="0030179B" w:rsidRPr="00C50EF1" w:rsidRDefault="0030179B" w:rsidP="0030179B">
            <w:pPr>
              <w:pStyle w:val="TableBullet"/>
              <w:tabs>
                <w:tab w:val="clear" w:pos="357"/>
                <w:tab w:val="left" w:pos="340"/>
              </w:tabs>
              <w:ind w:left="340" w:hanging="227"/>
            </w:pPr>
            <w:r w:rsidRPr="00C50EF1">
              <w:t xml:space="preserve">Forests (Fire Protection) Regulations 2014 (Vic) </w:t>
            </w:r>
          </w:p>
          <w:p w14:paraId="7089659D" w14:textId="77777777" w:rsidR="0030179B" w:rsidRPr="00C50EF1" w:rsidRDefault="0030179B" w:rsidP="0030179B">
            <w:pPr>
              <w:pStyle w:val="TableBullet"/>
              <w:tabs>
                <w:tab w:val="clear" w:pos="357"/>
                <w:tab w:val="left" w:pos="340"/>
              </w:tabs>
              <w:ind w:left="340" w:hanging="227"/>
            </w:pPr>
            <w:r w:rsidRPr="00C50EF1">
              <w:t xml:space="preserve">Forests (Domestic Firewood) Regulations 2012 (Vic) </w:t>
            </w:r>
          </w:p>
          <w:p w14:paraId="7D27E1FE" w14:textId="423ACBB8" w:rsidR="00BF3797" w:rsidRPr="0002179F" w:rsidRDefault="0030179B" w:rsidP="00157449">
            <w:pPr>
              <w:pStyle w:val="TableBullet"/>
              <w:tabs>
                <w:tab w:val="clear" w:pos="357"/>
                <w:tab w:val="left" w:pos="340"/>
              </w:tabs>
              <w:ind w:left="340" w:hanging="227"/>
            </w:pPr>
            <w:r w:rsidRPr="00C50EF1">
              <w:t xml:space="preserve">Forests (Recreation) Regulations 2010 (Vic) </w:t>
            </w:r>
          </w:p>
        </w:tc>
        <w:tc>
          <w:tcPr>
            <w:tcW w:w="1418" w:type="dxa"/>
          </w:tcPr>
          <w:p w14:paraId="7E15D93C" w14:textId="0F3331D6" w:rsidR="00BF3797" w:rsidRDefault="0030179B" w:rsidP="00157449">
            <w:pPr>
              <w:pStyle w:val="BodyNormal"/>
            </w:pPr>
            <w:r>
              <w:t>No</w:t>
            </w:r>
            <w:r w:rsidR="008503A0">
              <w:t>ted</w:t>
            </w:r>
          </w:p>
        </w:tc>
        <w:tc>
          <w:tcPr>
            <w:tcW w:w="5244" w:type="dxa"/>
          </w:tcPr>
          <w:p w14:paraId="273BDEB1" w14:textId="4E143523" w:rsidR="00BF3797" w:rsidRDefault="0030179B" w:rsidP="0030179B">
            <w:pPr>
              <w:pStyle w:val="TableBullet"/>
            </w:pPr>
            <w:r>
              <w:t xml:space="preserve">Considered minimal opportunity to strengthen </w:t>
            </w:r>
            <w:r w:rsidR="009F3932">
              <w:t>T</w:t>
            </w:r>
            <w:r w:rsidR="00A001AF">
              <w:t xml:space="preserve">hreatened </w:t>
            </w:r>
            <w:r w:rsidR="009F3932">
              <w:t>S</w:t>
            </w:r>
            <w:r w:rsidR="00A001AF">
              <w:t xml:space="preserve">pecies and </w:t>
            </w:r>
            <w:r w:rsidR="009F3932">
              <w:t>C</w:t>
            </w:r>
            <w:r w:rsidR="00A001AF">
              <w:t xml:space="preserve">ommunities </w:t>
            </w:r>
            <w:r>
              <w:t>protection via these regulations</w:t>
            </w:r>
          </w:p>
        </w:tc>
      </w:tr>
      <w:tr w:rsidR="00A214DC" w14:paraId="6EEFF3B4" w14:textId="77777777" w:rsidTr="00BE7EFC">
        <w:tc>
          <w:tcPr>
            <w:tcW w:w="2972" w:type="dxa"/>
          </w:tcPr>
          <w:p w14:paraId="068C54B7" w14:textId="7507F5BF" w:rsidR="00A214DC" w:rsidRDefault="00A214DC" w:rsidP="0030179B">
            <w:pPr>
              <w:pStyle w:val="ListBullet"/>
            </w:pPr>
            <w:r>
              <w:rPr>
                <w:b/>
                <w:bCs/>
                <w:i/>
                <w:iCs/>
              </w:rPr>
              <w:t>SFT</w:t>
            </w:r>
            <w:r w:rsidRPr="009016F7">
              <w:rPr>
                <w:b/>
                <w:bCs/>
                <w:i/>
                <w:iCs/>
              </w:rPr>
              <w:t xml:space="preserve"> Act</w:t>
            </w:r>
          </w:p>
        </w:tc>
        <w:tc>
          <w:tcPr>
            <w:tcW w:w="1418" w:type="dxa"/>
          </w:tcPr>
          <w:p w14:paraId="509AA501" w14:textId="77777777" w:rsidR="00A214DC" w:rsidRDefault="00A214DC" w:rsidP="00157449">
            <w:pPr>
              <w:pStyle w:val="BodyNormal"/>
            </w:pPr>
          </w:p>
        </w:tc>
        <w:tc>
          <w:tcPr>
            <w:tcW w:w="5244" w:type="dxa"/>
          </w:tcPr>
          <w:p w14:paraId="57B8FDDD" w14:textId="77777777" w:rsidR="00A214DC" w:rsidRDefault="00A214DC" w:rsidP="00A214DC">
            <w:pPr>
              <w:pStyle w:val="TableBullet"/>
              <w:numPr>
                <w:ilvl w:val="0"/>
                <w:numId w:val="0"/>
              </w:numPr>
              <w:ind w:left="357" w:hanging="249"/>
            </w:pPr>
          </w:p>
        </w:tc>
      </w:tr>
      <w:tr w:rsidR="0030179B" w14:paraId="24281114" w14:textId="77777777" w:rsidTr="00BE7EFC">
        <w:tc>
          <w:tcPr>
            <w:tcW w:w="2972" w:type="dxa"/>
          </w:tcPr>
          <w:p w14:paraId="3E9506C6" w14:textId="4D3E9104" w:rsidR="0030179B" w:rsidRDefault="009016F7" w:rsidP="0030179B">
            <w:pPr>
              <w:pStyle w:val="ListBullet"/>
            </w:pPr>
            <w:r>
              <w:t>Sustainability Charter</w:t>
            </w:r>
            <w:r w:rsidR="00B52AF5">
              <w:t>, section 11</w:t>
            </w:r>
          </w:p>
        </w:tc>
        <w:tc>
          <w:tcPr>
            <w:tcW w:w="1418" w:type="dxa"/>
          </w:tcPr>
          <w:p w14:paraId="7631B590" w14:textId="35914D31" w:rsidR="0030179B" w:rsidRDefault="008503A0" w:rsidP="00157449">
            <w:pPr>
              <w:pStyle w:val="BodyNormal"/>
            </w:pPr>
            <w:r>
              <w:t>Noted</w:t>
            </w:r>
          </w:p>
        </w:tc>
        <w:tc>
          <w:tcPr>
            <w:tcW w:w="5244" w:type="dxa"/>
          </w:tcPr>
          <w:p w14:paraId="455FA5EC" w14:textId="36E863B8" w:rsidR="009016F7" w:rsidRDefault="009016F7" w:rsidP="009016F7">
            <w:pPr>
              <w:pStyle w:val="TableBullet"/>
            </w:pPr>
            <w:r>
              <w:t xml:space="preserve">Sets the objectives for sustainable forest management in Victoria and addresses </w:t>
            </w:r>
            <w:r w:rsidRPr="009016F7">
              <w:t>principles of ecologically sustainable development</w:t>
            </w:r>
          </w:p>
          <w:p w14:paraId="6C0F5B22" w14:textId="07C8F658" w:rsidR="0030179B" w:rsidRDefault="00DF6175" w:rsidP="009016F7">
            <w:pPr>
              <w:pStyle w:val="TableBullet"/>
            </w:pPr>
            <w:r w:rsidRPr="00DF6175">
              <w:t>Victoria’s State of the Forests report compiles monitoring data and assesses the State’s performance in achieving objectives for sustainable forest managem</w:t>
            </w:r>
            <w:r>
              <w:t>ent</w:t>
            </w:r>
          </w:p>
        </w:tc>
      </w:tr>
      <w:tr w:rsidR="00E72421" w14:paraId="091517A6" w14:textId="77777777" w:rsidTr="00BE7EFC">
        <w:tc>
          <w:tcPr>
            <w:tcW w:w="2972" w:type="dxa"/>
          </w:tcPr>
          <w:p w14:paraId="1637E36E" w14:textId="75A0192E" w:rsidR="00E72421" w:rsidRDefault="00DF6175" w:rsidP="0030179B">
            <w:pPr>
              <w:pStyle w:val="ListBullet"/>
            </w:pPr>
            <w:r>
              <w:t>Allocation Order, section 13</w:t>
            </w:r>
          </w:p>
        </w:tc>
        <w:tc>
          <w:tcPr>
            <w:tcW w:w="1418" w:type="dxa"/>
          </w:tcPr>
          <w:p w14:paraId="791C9F51" w14:textId="2EC43A7E" w:rsidR="00E72421" w:rsidRDefault="008503A0" w:rsidP="00157449">
            <w:pPr>
              <w:pStyle w:val="BodyNormal"/>
            </w:pPr>
            <w:r>
              <w:t>Noted</w:t>
            </w:r>
          </w:p>
        </w:tc>
        <w:tc>
          <w:tcPr>
            <w:tcW w:w="5244" w:type="dxa"/>
          </w:tcPr>
          <w:p w14:paraId="7F2299F6" w14:textId="672DDADF" w:rsidR="00E72421" w:rsidRDefault="00DF6175" w:rsidP="009016F7">
            <w:pPr>
              <w:pStyle w:val="TableBullet"/>
            </w:pPr>
            <w:r>
              <w:t>P</w:t>
            </w:r>
            <w:r w:rsidRPr="00DF6175">
              <w:t>rovides for the sustainable allocation and harvesting and sale; or harvesting or sale, of timber resources from State forests and sets conditions for those activities</w:t>
            </w:r>
          </w:p>
          <w:p w14:paraId="5A18EBA6" w14:textId="7F8628C4" w:rsidR="00DF6175" w:rsidRDefault="00DF6175" w:rsidP="009016F7">
            <w:pPr>
              <w:pStyle w:val="TableBullet"/>
            </w:pPr>
            <w:r>
              <w:t>Considered in relation to requirement for compliance with ‘Code of Practice’</w:t>
            </w:r>
          </w:p>
        </w:tc>
      </w:tr>
      <w:tr w:rsidR="00DF6175" w14:paraId="72670198" w14:textId="77777777" w:rsidTr="00BE7EFC">
        <w:tc>
          <w:tcPr>
            <w:tcW w:w="2972" w:type="dxa"/>
          </w:tcPr>
          <w:p w14:paraId="528EAA68" w14:textId="6D4CF71A" w:rsidR="00DF6175" w:rsidRPr="008503A0" w:rsidRDefault="00DF6175" w:rsidP="0030179B">
            <w:pPr>
              <w:pStyle w:val="ListBullet"/>
            </w:pPr>
            <w:r w:rsidRPr="008503A0">
              <w:t xml:space="preserve">Timber Release Plans, section </w:t>
            </w:r>
            <w:proofErr w:type="gramStart"/>
            <w:r w:rsidRPr="008503A0">
              <w:t>37</w:t>
            </w:r>
            <w:proofErr w:type="gramEnd"/>
            <w:r w:rsidRPr="008503A0">
              <w:t xml:space="preserve"> and 44</w:t>
            </w:r>
          </w:p>
        </w:tc>
        <w:tc>
          <w:tcPr>
            <w:tcW w:w="1418" w:type="dxa"/>
          </w:tcPr>
          <w:p w14:paraId="462C3F68" w14:textId="5B859D99" w:rsidR="00DF6175" w:rsidRPr="008503A0" w:rsidRDefault="008503A0" w:rsidP="00157449">
            <w:pPr>
              <w:pStyle w:val="BodyNormal"/>
            </w:pPr>
            <w:r w:rsidRPr="008503A0">
              <w:t>Noted</w:t>
            </w:r>
          </w:p>
        </w:tc>
        <w:tc>
          <w:tcPr>
            <w:tcW w:w="5244" w:type="dxa"/>
          </w:tcPr>
          <w:p w14:paraId="2A895AA4" w14:textId="49645283" w:rsidR="00DF6175" w:rsidRPr="008503A0" w:rsidRDefault="00A001AF" w:rsidP="009016F7">
            <w:pPr>
              <w:pStyle w:val="TableBullet"/>
            </w:pPr>
            <w:r w:rsidRPr="008503A0">
              <w:t>Only referred to with regards to meeting the Code of Practice requirements</w:t>
            </w:r>
          </w:p>
        </w:tc>
      </w:tr>
      <w:tr w:rsidR="00A214DC" w14:paraId="37560594" w14:textId="77777777" w:rsidTr="00BE7EFC">
        <w:tc>
          <w:tcPr>
            <w:tcW w:w="2972" w:type="dxa"/>
          </w:tcPr>
          <w:p w14:paraId="7CC6A42F" w14:textId="0CCD9F55" w:rsidR="00A214DC" w:rsidRPr="008503A0" w:rsidRDefault="00A214DC" w:rsidP="0030179B">
            <w:pPr>
              <w:pStyle w:val="ListBullet"/>
            </w:pPr>
            <w:r w:rsidRPr="00416385">
              <w:rPr>
                <w:b/>
                <w:bCs/>
              </w:rPr>
              <w:t>‘Code of Practice’</w:t>
            </w:r>
          </w:p>
        </w:tc>
        <w:tc>
          <w:tcPr>
            <w:tcW w:w="1418" w:type="dxa"/>
          </w:tcPr>
          <w:p w14:paraId="6B9590F6" w14:textId="77777777" w:rsidR="00A214DC" w:rsidRPr="008503A0" w:rsidRDefault="00A214DC" w:rsidP="00157449">
            <w:pPr>
              <w:pStyle w:val="BodyNormal"/>
            </w:pPr>
          </w:p>
        </w:tc>
        <w:tc>
          <w:tcPr>
            <w:tcW w:w="5244" w:type="dxa"/>
          </w:tcPr>
          <w:p w14:paraId="63E7312A" w14:textId="77777777" w:rsidR="00A214DC" w:rsidRPr="008503A0" w:rsidRDefault="00A214DC" w:rsidP="00A214DC">
            <w:pPr>
              <w:pStyle w:val="TableBullet"/>
              <w:numPr>
                <w:ilvl w:val="0"/>
                <w:numId w:val="0"/>
              </w:numPr>
              <w:ind w:left="357" w:hanging="249"/>
            </w:pPr>
          </w:p>
        </w:tc>
      </w:tr>
      <w:tr w:rsidR="00DD3976" w14:paraId="33967611" w14:textId="77777777" w:rsidTr="00BE7EFC">
        <w:tc>
          <w:tcPr>
            <w:tcW w:w="2972" w:type="dxa"/>
          </w:tcPr>
          <w:p w14:paraId="703E7AEA" w14:textId="1D8AFDC1" w:rsidR="00DD3976" w:rsidRDefault="00DD3976" w:rsidP="0030179B">
            <w:pPr>
              <w:pStyle w:val="ListBullet"/>
            </w:pPr>
            <w:r w:rsidRPr="00560FB5">
              <w:t>Schedule 1: Management Standards and Procedures for timber harvesting operations in Victoria’s State forests</w:t>
            </w:r>
            <w:r>
              <w:t xml:space="preserve"> 2021</w:t>
            </w:r>
            <w:r w:rsidR="007C18AE">
              <w:t xml:space="preserve"> (MSP 2021)</w:t>
            </w:r>
          </w:p>
        </w:tc>
        <w:tc>
          <w:tcPr>
            <w:tcW w:w="1418" w:type="dxa"/>
          </w:tcPr>
          <w:p w14:paraId="27FE43BE" w14:textId="10CD4EB2" w:rsidR="00DD3976" w:rsidRDefault="008503A0" w:rsidP="008503A0">
            <w:pPr>
              <w:pStyle w:val="BodyNormal"/>
              <w:jc w:val="left"/>
            </w:pPr>
            <w:r>
              <w:t>Noted / reviewed elsewhere</w:t>
            </w:r>
          </w:p>
        </w:tc>
        <w:tc>
          <w:tcPr>
            <w:tcW w:w="5244" w:type="dxa"/>
          </w:tcPr>
          <w:p w14:paraId="028E8C80" w14:textId="5FCEFCAE" w:rsidR="007C18AE" w:rsidRPr="007C18AE" w:rsidRDefault="007C18AE" w:rsidP="007C18AE">
            <w:pPr>
              <w:pStyle w:val="TableBullet"/>
            </w:pPr>
            <w:r>
              <w:t>P</w:t>
            </w:r>
            <w:r w:rsidRPr="007C18AE">
              <w:t xml:space="preserve">rovides detailed operating instructions to managing authorities, harvesting entities and operators, including region specific instructions, for timber harvesting operations in Victoria’s State forests. </w:t>
            </w:r>
          </w:p>
          <w:p w14:paraId="607996AE" w14:textId="3E4AE50B" w:rsidR="00DD3976" w:rsidRPr="00D9761B" w:rsidRDefault="007C18AE" w:rsidP="00D9761B">
            <w:pPr>
              <w:pStyle w:val="TableBullet"/>
            </w:pPr>
            <w:r>
              <w:t xml:space="preserve">Considered given that </w:t>
            </w:r>
            <w:r w:rsidRPr="007C18AE">
              <w:t>management actions and procedural instructions contained in the MSP</w:t>
            </w:r>
            <w:r>
              <w:t xml:space="preserve"> 2021</w:t>
            </w:r>
            <w:r w:rsidRPr="007C18AE">
              <w:t xml:space="preserve"> were informed by relevant policy documents including FMP </w:t>
            </w:r>
            <w:r>
              <w:t>(</w:t>
            </w:r>
            <w:r w:rsidRPr="007C18AE">
              <w:rPr>
                <w:i/>
                <w:iCs/>
              </w:rPr>
              <w:t>Forests Act</w:t>
            </w:r>
            <w:r>
              <w:t xml:space="preserve">) </w:t>
            </w:r>
            <w:r w:rsidRPr="007C18AE">
              <w:t>and Action Statements</w:t>
            </w:r>
            <w:r>
              <w:t xml:space="preserve"> (prepared under </w:t>
            </w:r>
            <w:r w:rsidRPr="007C18AE">
              <w:rPr>
                <w:i/>
                <w:iCs/>
              </w:rPr>
              <w:t>FFG Act</w:t>
            </w:r>
            <w:r w:rsidRPr="007C18AE">
              <w:t>)</w:t>
            </w:r>
          </w:p>
        </w:tc>
      </w:tr>
      <w:tr w:rsidR="00DD3976" w14:paraId="40952FF6" w14:textId="77777777" w:rsidTr="00BE7EFC">
        <w:tc>
          <w:tcPr>
            <w:tcW w:w="2972" w:type="dxa"/>
          </w:tcPr>
          <w:p w14:paraId="61FE4283" w14:textId="77777777" w:rsidR="007C18AE" w:rsidRPr="007C18AE" w:rsidRDefault="007C18AE" w:rsidP="007C18AE">
            <w:pPr>
              <w:ind w:left="0"/>
            </w:pPr>
            <w:r w:rsidRPr="007C18AE">
              <w:t>Forest Management Zoning Accountability Framework 2022</w:t>
            </w:r>
          </w:p>
          <w:p w14:paraId="056D0BBC" w14:textId="77777777" w:rsidR="00DD3976" w:rsidRDefault="00DD3976" w:rsidP="0030179B">
            <w:pPr>
              <w:pStyle w:val="ListBullet"/>
            </w:pPr>
          </w:p>
        </w:tc>
        <w:tc>
          <w:tcPr>
            <w:tcW w:w="1418" w:type="dxa"/>
          </w:tcPr>
          <w:p w14:paraId="4367E1C5" w14:textId="2DC2AE3D" w:rsidR="00DD3976" w:rsidRDefault="008503A0" w:rsidP="008503A0">
            <w:pPr>
              <w:pStyle w:val="BodyNormal"/>
              <w:jc w:val="left"/>
            </w:pPr>
            <w:r>
              <w:t>Noted / reviewed elsewhere</w:t>
            </w:r>
          </w:p>
        </w:tc>
        <w:tc>
          <w:tcPr>
            <w:tcW w:w="5244" w:type="dxa"/>
          </w:tcPr>
          <w:p w14:paraId="562FF0F2" w14:textId="1D9116C3" w:rsidR="00D9761B" w:rsidRDefault="00D9761B" w:rsidP="007C18AE">
            <w:pPr>
              <w:pStyle w:val="TableBullet"/>
            </w:pPr>
            <w:r>
              <w:t>Planning Standards have moved into the Accountability Framework to clearly separate the responsibilities of the Secretary to DELWP from those of timber harvesting managers, harvesting entities and operators, ensuring the Code of Practice obligations are clear for each entity</w:t>
            </w:r>
          </w:p>
          <w:p w14:paraId="287D0C3B" w14:textId="61A13E96" w:rsidR="007C18AE" w:rsidRDefault="007C18AE" w:rsidP="007C18AE">
            <w:pPr>
              <w:pStyle w:val="TableBullet"/>
            </w:pPr>
            <w:r>
              <w:lastRenderedPageBreak/>
              <w:t>All fixed forest management zoning actions from the Planning Standards have been compiled and are provided in Appendix 1 to the Accountability Framework.</w:t>
            </w:r>
          </w:p>
          <w:p w14:paraId="034D1E6F" w14:textId="7BC51316" w:rsidR="00DD3976" w:rsidRPr="00282303" w:rsidRDefault="00D9761B" w:rsidP="006904F6">
            <w:pPr>
              <w:pStyle w:val="TableBullet"/>
            </w:pPr>
            <w:r>
              <w:t xml:space="preserve">Considered from perspective of forest management zoning and its role in protection of </w:t>
            </w:r>
            <w:r w:rsidR="009F3932">
              <w:t>T</w:t>
            </w:r>
            <w:r>
              <w:t xml:space="preserve">hreatened </w:t>
            </w:r>
            <w:r w:rsidR="009F3932">
              <w:t>S</w:t>
            </w:r>
            <w:r>
              <w:t xml:space="preserve">pecies and </w:t>
            </w:r>
            <w:r w:rsidR="009F3932">
              <w:t>C</w:t>
            </w:r>
            <w:r>
              <w:t>ommunities</w:t>
            </w:r>
          </w:p>
        </w:tc>
      </w:tr>
    </w:tbl>
    <w:p w14:paraId="5D297516" w14:textId="77777777" w:rsidR="00A75DF3" w:rsidRDefault="00A75DF3" w:rsidP="00A75DF3">
      <w:pPr>
        <w:pStyle w:val="BodyBold"/>
      </w:pPr>
      <w:r>
        <w:lastRenderedPageBreak/>
        <w:t>Principles</w:t>
      </w:r>
    </w:p>
    <w:p w14:paraId="1A7DBA77" w14:textId="50E25D04" w:rsidR="00A75DF3" w:rsidRDefault="00A75DF3" w:rsidP="00A75DF3">
      <w:pPr>
        <w:pStyle w:val="BodyNormal"/>
      </w:pPr>
      <w:r>
        <w:t>There are projects that are currently underway to strengthen protections of listed species and communities, as well as previous reviews of relevant legislation</w:t>
      </w:r>
      <w:r w:rsidR="0086178C">
        <w:t xml:space="preserve">. </w:t>
      </w:r>
      <w:r w:rsidRPr="00CC0ADD">
        <w:t xml:space="preserve">Given this context, </w:t>
      </w:r>
      <w:r w:rsidR="004A5940" w:rsidRPr="00CC0ADD">
        <w:t>the following</w:t>
      </w:r>
      <w:r w:rsidRPr="00CC0ADD">
        <w:t xml:space="preserve"> principles </w:t>
      </w:r>
      <w:r w:rsidR="004A5940" w:rsidRPr="00CC0ADD">
        <w:t>have guided</w:t>
      </w:r>
      <w:r w:rsidRPr="00CC0ADD">
        <w:t xml:space="preserve"> this review:</w:t>
      </w:r>
    </w:p>
    <w:p w14:paraId="6467292A" w14:textId="03723689" w:rsidR="00A75DF3" w:rsidRDefault="00F34142">
      <w:pPr>
        <w:pStyle w:val="ListBullet"/>
        <w:numPr>
          <w:ilvl w:val="0"/>
          <w:numId w:val="20"/>
        </w:numPr>
        <w:tabs>
          <w:tab w:val="left" w:pos="340"/>
        </w:tabs>
        <w:ind w:right="0"/>
        <w:contextualSpacing/>
        <w:jc w:val="both"/>
      </w:pPr>
      <w:r>
        <w:t>The o</w:t>
      </w:r>
      <w:r w:rsidR="00A75DF3" w:rsidRPr="00F64541">
        <w:t>utcomes of recent reviews for similar purposes (</w:t>
      </w:r>
      <w:proofErr w:type="gramStart"/>
      <w:r w:rsidR="00A75DF3" w:rsidRPr="00F64541">
        <w:t>i.e.</w:t>
      </w:r>
      <w:proofErr w:type="gramEnd"/>
      <w:r w:rsidR="00A75DF3" w:rsidRPr="00F64541">
        <w:t xml:space="preserve"> improving protections for listed species and communities) will not be revisited</w:t>
      </w:r>
    </w:p>
    <w:p w14:paraId="64A32A77" w14:textId="524F85B5" w:rsidR="00A75DF3" w:rsidRDefault="00CC0ADD">
      <w:pPr>
        <w:pStyle w:val="ListBullet"/>
        <w:numPr>
          <w:ilvl w:val="0"/>
          <w:numId w:val="20"/>
        </w:numPr>
        <w:tabs>
          <w:tab w:val="left" w:pos="340"/>
        </w:tabs>
        <w:ind w:right="0"/>
        <w:contextualSpacing/>
        <w:jc w:val="both"/>
      </w:pPr>
      <w:r>
        <w:t xml:space="preserve">This review will </w:t>
      </w:r>
      <w:r w:rsidR="00A75DF3">
        <w:t xml:space="preserve">focus on identifying legislative improvements </w:t>
      </w:r>
      <w:r w:rsidR="00E36D10">
        <w:t>whilst</w:t>
      </w:r>
      <w:r w:rsidR="00A75DF3">
        <w:t xml:space="preserve"> not duplica</w:t>
      </w:r>
      <w:r w:rsidR="00E36D10">
        <w:t>ting</w:t>
      </w:r>
      <w:r w:rsidR="00A75DF3">
        <w:t xml:space="preserve"> work currently </w:t>
      </w:r>
      <w:r w:rsidR="00E36D10">
        <w:t xml:space="preserve">being </w:t>
      </w:r>
      <w:r w:rsidR="00A75DF3">
        <w:t xml:space="preserve">undertaken </w:t>
      </w:r>
      <w:r w:rsidR="00E36D10">
        <w:t>(e.g., the Comprehensive Review of the Code of Practice for Timber Production 2014)</w:t>
      </w:r>
    </w:p>
    <w:p w14:paraId="60A892AB" w14:textId="77FD413F" w:rsidR="00D92F68" w:rsidRDefault="004B5675" w:rsidP="00D92F68">
      <w:pPr>
        <w:pStyle w:val="ListBullet"/>
        <w:numPr>
          <w:ilvl w:val="0"/>
          <w:numId w:val="20"/>
        </w:numPr>
        <w:tabs>
          <w:tab w:val="left" w:pos="340"/>
        </w:tabs>
        <w:ind w:right="0"/>
        <w:contextualSpacing/>
        <w:jc w:val="both"/>
      </w:pPr>
      <w:r>
        <w:t xml:space="preserve">The review will consider improvements to existing legislation without </w:t>
      </w:r>
      <w:r w:rsidR="00D054C9">
        <w:t xml:space="preserve">altering the current </w:t>
      </w:r>
      <w:r w:rsidR="00D92F68">
        <w:t xml:space="preserve">intent </w:t>
      </w:r>
      <w:r w:rsidR="005F7F9E">
        <w:t>purpose</w:t>
      </w:r>
      <w:r w:rsidR="00D92F68">
        <w:t xml:space="preserve"> and objectives of the relevant </w:t>
      </w:r>
      <w:r w:rsidR="008560BB">
        <w:t>legislation</w:t>
      </w:r>
    </w:p>
    <w:p w14:paraId="3E0F8B74" w14:textId="4A416886" w:rsidR="00D92F68" w:rsidRPr="005F1F84" w:rsidRDefault="009D1CC5" w:rsidP="00D92F68">
      <w:pPr>
        <w:pStyle w:val="ListBullet"/>
        <w:numPr>
          <w:ilvl w:val="0"/>
          <w:numId w:val="20"/>
        </w:numPr>
        <w:tabs>
          <w:tab w:val="left" w:pos="340"/>
        </w:tabs>
        <w:ind w:right="0"/>
        <w:contextualSpacing/>
        <w:jc w:val="both"/>
      </w:pPr>
      <w:r>
        <w:t xml:space="preserve">Any proposals for legislative change will </w:t>
      </w:r>
      <w:r w:rsidR="00884CFE">
        <w:t>account for</w:t>
      </w:r>
      <w:r w:rsidR="00912BB6">
        <w:t xml:space="preserve"> </w:t>
      </w:r>
      <w:r w:rsidR="00D92F68">
        <w:t xml:space="preserve">the timeframe of </w:t>
      </w:r>
      <w:r w:rsidR="00912BB6">
        <w:t xml:space="preserve">the </w:t>
      </w:r>
      <w:r w:rsidR="00D92F68">
        <w:t xml:space="preserve">Victorian Forestry Plan, which will phase out native </w:t>
      </w:r>
      <w:r w:rsidR="00CC0ADD">
        <w:t xml:space="preserve">forest </w:t>
      </w:r>
      <w:r w:rsidR="00D92F68">
        <w:t>timber harvest</w:t>
      </w:r>
      <w:r w:rsidR="00CC0ADD">
        <w:t>ing</w:t>
      </w:r>
      <w:r w:rsidR="00D92F68">
        <w:t xml:space="preserve"> by 2030 (see section below)</w:t>
      </w:r>
      <w:r w:rsidR="00416385">
        <w:t>.</w:t>
      </w:r>
    </w:p>
    <w:p w14:paraId="73592AA7" w14:textId="5E3F0CA3" w:rsidR="00AB181A" w:rsidRDefault="00AB181A">
      <w:pPr>
        <w:pStyle w:val="Heading2"/>
        <w:rPr>
          <w:rFonts w:hint="eastAsia"/>
        </w:rPr>
      </w:pPr>
      <w:bookmarkStart w:id="5" w:name="_Toc121258697"/>
      <w:r>
        <w:t>victorian policy context</w:t>
      </w:r>
      <w:bookmarkEnd w:id="5"/>
      <w:r>
        <w:t xml:space="preserve"> </w:t>
      </w:r>
    </w:p>
    <w:p w14:paraId="7698C2BC" w14:textId="711DCDF5" w:rsidR="00766F08" w:rsidRPr="000138A2" w:rsidRDefault="00766F08" w:rsidP="009F16B4">
      <w:pPr>
        <w:pStyle w:val="BodyNormal"/>
      </w:pPr>
      <w:r>
        <w:t xml:space="preserve">This review is being conducted in the context of existing legislative and policy frameworks for protection of </w:t>
      </w:r>
      <w:r w:rsidR="009F3932">
        <w:t>T</w:t>
      </w:r>
      <w:r>
        <w:t xml:space="preserve">hreatened </w:t>
      </w:r>
      <w:r w:rsidR="009F3932">
        <w:t>S</w:t>
      </w:r>
      <w:r>
        <w:t xml:space="preserve">pecies and </w:t>
      </w:r>
      <w:r w:rsidR="009F3932">
        <w:t>C</w:t>
      </w:r>
      <w:r>
        <w:t>ommunities, policy transition regarding native forest</w:t>
      </w:r>
      <w:r w:rsidR="004A5940">
        <w:t xml:space="preserve"> timber harvesting</w:t>
      </w:r>
      <w:r>
        <w:t xml:space="preserve"> and previous and current reviews of relevant legislation. </w:t>
      </w:r>
      <w:r w:rsidR="105FF744">
        <w:t xml:space="preserve">This </w:t>
      </w:r>
      <w:r>
        <w:t xml:space="preserve">complex policy setting has been </w:t>
      </w:r>
      <w:r w:rsidR="3F4C70BE">
        <w:t xml:space="preserve">acknowledged </w:t>
      </w:r>
      <w:r>
        <w:t xml:space="preserve">in the </w:t>
      </w:r>
      <w:r w:rsidR="000138A2">
        <w:t>desktop and consultation processes for this review</w:t>
      </w:r>
      <w:r w:rsidR="00E11FC5">
        <w:t>,</w:t>
      </w:r>
      <w:r w:rsidR="000138A2">
        <w:t xml:space="preserve"> </w:t>
      </w:r>
      <w:r>
        <w:t>and a brief overview is provided below.</w:t>
      </w:r>
    </w:p>
    <w:p w14:paraId="6E37A61A" w14:textId="3C73A8C4" w:rsidR="00AB181A" w:rsidRDefault="00963FA9" w:rsidP="009F16B4">
      <w:pPr>
        <w:pStyle w:val="BodyBold"/>
      </w:pPr>
      <w:r w:rsidRPr="000138A2">
        <w:t>Victorian Forest Management System</w:t>
      </w:r>
    </w:p>
    <w:p w14:paraId="64514690" w14:textId="2D73A919" w:rsidR="001C0600" w:rsidRDefault="001C0600" w:rsidP="00276DB5">
      <w:pPr>
        <w:pStyle w:val="BodyNormal"/>
      </w:pPr>
      <w:r w:rsidRPr="001C0600">
        <w:t xml:space="preserve">Victoria’s forest management system </w:t>
      </w:r>
      <w:r w:rsidR="002641DE">
        <w:t>features</w:t>
      </w:r>
      <w:r w:rsidRPr="001C0600">
        <w:t xml:space="preserve"> legislation, policy, regulatory </w:t>
      </w:r>
      <w:proofErr w:type="gramStart"/>
      <w:r w:rsidRPr="001C0600">
        <w:t>instruments</w:t>
      </w:r>
      <w:proofErr w:type="gramEnd"/>
      <w:r w:rsidRPr="001C0600">
        <w:t xml:space="preserve"> and programs that regulate and support </w:t>
      </w:r>
      <w:r w:rsidR="00CC0ADD">
        <w:t>Ecologically Sustainable Forest Management (</w:t>
      </w:r>
      <w:r w:rsidRPr="00CC0ADD">
        <w:t>ESFM</w:t>
      </w:r>
      <w:r w:rsidR="00CC0ADD">
        <w:t>)</w:t>
      </w:r>
      <w:r w:rsidRPr="001C0600">
        <w:t xml:space="preserve"> and the protection and management of environmental and heritage values in Victoria</w:t>
      </w:r>
      <w:r w:rsidR="002641DE">
        <w:t xml:space="preserve"> (DELWP 2019)</w:t>
      </w:r>
      <w:r w:rsidR="002641DE">
        <w:rPr>
          <w:rStyle w:val="FootnoteReference"/>
        </w:rPr>
        <w:footnoteReference w:id="3"/>
      </w:r>
      <w:r w:rsidRPr="001C0600">
        <w:t xml:space="preserve">. The system </w:t>
      </w:r>
      <w:r w:rsidR="002641DE" w:rsidRPr="001C0600">
        <w:t xml:space="preserve">applies to both public and private land </w:t>
      </w:r>
      <w:r w:rsidR="002641DE">
        <w:t xml:space="preserve">and </w:t>
      </w:r>
      <w:r w:rsidRPr="001C0600">
        <w:t xml:space="preserve">is administered by </w:t>
      </w:r>
      <w:r w:rsidR="00CC0ADD">
        <w:t>s</w:t>
      </w:r>
      <w:r w:rsidRPr="001C0600">
        <w:t>tate government agencies and local government.</w:t>
      </w:r>
    </w:p>
    <w:p w14:paraId="67A794AC" w14:textId="398EEF9D" w:rsidR="00317C70" w:rsidRDefault="002641DE" w:rsidP="00276DB5">
      <w:pPr>
        <w:pStyle w:val="BodyNormal"/>
      </w:pPr>
      <w:r>
        <w:t xml:space="preserve">There are three main outcomes to the </w:t>
      </w:r>
      <w:r w:rsidR="00317C70">
        <w:t>forest management</w:t>
      </w:r>
      <w:r>
        <w:t xml:space="preserve"> system</w:t>
      </w:r>
      <w:r w:rsidR="0030179B">
        <w:rPr>
          <w:rStyle w:val="FootnoteReference"/>
        </w:rPr>
        <w:footnoteReference w:id="4"/>
      </w:r>
      <w:r>
        <w:t>, which are</w:t>
      </w:r>
      <w:r w:rsidR="00317C70">
        <w:t>:</w:t>
      </w:r>
    </w:p>
    <w:p w14:paraId="25F2A160" w14:textId="15CB886C" w:rsidR="00317C70" w:rsidRPr="00C66612" w:rsidRDefault="00AF45FB" w:rsidP="00C66612">
      <w:pPr>
        <w:pStyle w:val="ListBullet"/>
        <w:numPr>
          <w:ilvl w:val="0"/>
          <w:numId w:val="20"/>
        </w:numPr>
        <w:tabs>
          <w:tab w:val="left" w:pos="340"/>
        </w:tabs>
        <w:ind w:right="0"/>
        <w:contextualSpacing/>
        <w:jc w:val="both"/>
      </w:pPr>
      <w:r w:rsidRPr="00C66612">
        <w:t>P</w:t>
      </w:r>
      <w:r w:rsidR="00317C70" w:rsidRPr="00C66612">
        <w:t xml:space="preserve">rotecting forests and their values including native vegetation, biodiversity, soils, water, cultural </w:t>
      </w:r>
      <w:proofErr w:type="gramStart"/>
      <w:r w:rsidR="00317C70" w:rsidRPr="00C66612">
        <w:t>heritage</w:t>
      </w:r>
      <w:proofErr w:type="gramEnd"/>
      <w:r w:rsidR="00317C70" w:rsidRPr="00C66612">
        <w:t xml:space="preserve"> and amenity</w:t>
      </w:r>
    </w:p>
    <w:p w14:paraId="6825AD93" w14:textId="469544FD" w:rsidR="00317C70" w:rsidRPr="00C66612" w:rsidRDefault="00AF45FB" w:rsidP="00C66612">
      <w:pPr>
        <w:pStyle w:val="ListBullet"/>
        <w:numPr>
          <w:ilvl w:val="0"/>
          <w:numId w:val="20"/>
        </w:numPr>
        <w:tabs>
          <w:tab w:val="left" w:pos="340"/>
        </w:tabs>
        <w:ind w:right="0"/>
        <w:contextualSpacing/>
        <w:jc w:val="both"/>
      </w:pPr>
      <w:r w:rsidRPr="00C66612">
        <w:t>R</w:t>
      </w:r>
      <w:r w:rsidR="00317C70" w:rsidRPr="00C66612">
        <w:t xml:space="preserve">egulating and facilitating the use of resources such as timber, honey, </w:t>
      </w:r>
      <w:proofErr w:type="gramStart"/>
      <w:r w:rsidR="00317C70" w:rsidRPr="00C66612">
        <w:t>water</w:t>
      </w:r>
      <w:proofErr w:type="gramEnd"/>
      <w:r w:rsidR="00317C70" w:rsidRPr="00C66612">
        <w:t xml:space="preserve"> and minerals and </w:t>
      </w:r>
    </w:p>
    <w:p w14:paraId="0880C81B" w14:textId="637993A4" w:rsidR="00317C70" w:rsidRPr="002641DE" w:rsidRDefault="00AF45FB" w:rsidP="00C66612">
      <w:pPr>
        <w:pStyle w:val="ListBullet"/>
        <w:numPr>
          <w:ilvl w:val="0"/>
          <w:numId w:val="20"/>
        </w:numPr>
        <w:tabs>
          <w:tab w:val="left" w:pos="340"/>
        </w:tabs>
        <w:ind w:right="0"/>
        <w:contextualSpacing/>
        <w:jc w:val="both"/>
      </w:pPr>
      <w:r w:rsidRPr="00C66612">
        <w:t>P</w:t>
      </w:r>
      <w:r w:rsidR="00317C70" w:rsidRPr="00C66612">
        <w:t>roviding</w:t>
      </w:r>
      <w:r w:rsidR="00317C70" w:rsidRPr="002641DE">
        <w:t xml:space="preserve"> for community uses such as Traditional Owner connections, </w:t>
      </w:r>
      <w:proofErr w:type="gramStart"/>
      <w:r w:rsidR="00317C70" w:rsidRPr="002641DE">
        <w:t>recreation</w:t>
      </w:r>
      <w:proofErr w:type="gramEnd"/>
      <w:r w:rsidR="00317C70" w:rsidRPr="002641DE">
        <w:t xml:space="preserve"> and tourism. </w:t>
      </w:r>
    </w:p>
    <w:p w14:paraId="75A8424E" w14:textId="06A3D95F" w:rsidR="00276DB5" w:rsidRDefault="00276DB5" w:rsidP="00276DB5">
      <w:pPr>
        <w:pStyle w:val="BodyNormal"/>
      </w:pPr>
      <w:r>
        <w:t xml:space="preserve">DELWP and its portfolio partners manage the risks to </w:t>
      </w:r>
      <w:r w:rsidR="009F3932">
        <w:t>T</w:t>
      </w:r>
      <w:r>
        <w:t xml:space="preserve">hreatened </w:t>
      </w:r>
      <w:r w:rsidR="009F3932">
        <w:t>S</w:t>
      </w:r>
      <w:r>
        <w:t xml:space="preserve">pecies and </w:t>
      </w:r>
      <w:r w:rsidR="009F3932">
        <w:t>C</w:t>
      </w:r>
      <w:r>
        <w:t>ommunities through both general and targeted measures as part of implementing forest management system and public land management responsibilities</w:t>
      </w:r>
      <w:r>
        <w:rPr>
          <w:rStyle w:val="FootnoteReference"/>
        </w:rPr>
        <w:footnoteReference w:id="5"/>
      </w:r>
      <w:r>
        <w:t>. The Victorian Forest Management System Overview (2019) provides a summary of these measures that aim to protect species and communities listed under the</w:t>
      </w:r>
      <w:r w:rsidR="00F12A9F">
        <w:t xml:space="preserve"> </w:t>
      </w:r>
      <w:r w:rsidR="00F12A9F" w:rsidRPr="0030179B">
        <w:rPr>
          <w:i/>
          <w:iCs/>
        </w:rPr>
        <w:t>FFG Act</w:t>
      </w:r>
      <w:r w:rsidR="00F12A9F">
        <w:t xml:space="preserve"> and</w:t>
      </w:r>
      <w:r>
        <w:t xml:space="preserve"> </w:t>
      </w:r>
      <w:r w:rsidRPr="00D92F68">
        <w:rPr>
          <w:i/>
          <w:iCs/>
        </w:rPr>
        <w:t>EPBC Act</w:t>
      </w:r>
      <w:r>
        <w:t>. The key legislative and management mechanisms include:</w:t>
      </w:r>
    </w:p>
    <w:p w14:paraId="53049209" w14:textId="55E1EBFF" w:rsidR="00276DB5" w:rsidRDefault="00AF45FB" w:rsidP="00276DB5">
      <w:pPr>
        <w:pStyle w:val="ListBullet"/>
        <w:numPr>
          <w:ilvl w:val="0"/>
          <w:numId w:val="20"/>
        </w:numPr>
        <w:tabs>
          <w:tab w:val="left" w:pos="340"/>
        </w:tabs>
        <w:ind w:right="0"/>
        <w:contextualSpacing/>
        <w:jc w:val="both"/>
      </w:pPr>
      <w:r>
        <w:t>T</w:t>
      </w:r>
      <w:r w:rsidR="00276DB5">
        <w:t xml:space="preserve">he implementation of a Comprehensive, Adequate and Representative (CAR) </w:t>
      </w:r>
      <w:r w:rsidR="000138A2">
        <w:t>R</w:t>
      </w:r>
      <w:r w:rsidR="00276DB5">
        <w:t xml:space="preserve">eserve </w:t>
      </w:r>
      <w:r w:rsidR="000138A2">
        <w:t>S</w:t>
      </w:r>
      <w:r w:rsidR="00276DB5">
        <w:t xml:space="preserve">ystem </w:t>
      </w:r>
    </w:p>
    <w:p w14:paraId="71634C17" w14:textId="55C7A269" w:rsidR="00276DB5" w:rsidRDefault="00AF45FB" w:rsidP="00276DB5">
      <w:pPr>
        <w:pStyle w:val="ListBullet"/>
        <w:numPr>
          <w:ilvl w:val="0"/>
          <w:numId w:val="20"/>
        </w:numPr>
        <w:tabs>
          <w:tab w:val="left" w:pos="340"/>
        </w:tabs>
        <w:ind w:right="0"/>
        <w:contextualSpacing/>
        <w:jc w:val="both"/>
      </w:pPr>
      <w:r>
        <w:t>Th</w:t>
      </w:r>
      <w:r w:rsidR="00276DB5">
        <w:t xml:space="preserve">e implementation and enforcement of the </w:t>
      </w:r>
      <w:r w:rsidR="00276DB5" w:rsidRPr="00D92F68">
        <w:rPr>
          <w:i/>
          <w:iCs/>
        </w:rPr>
        <w:t>FFG Act</w:t>
      </w:r>
      <w:r w:rsidR="00276DB5">
        <w:t xml:space="preserve"> and the </w:t>
      </w:r>
      <w:r w:rsidR="00276DB5" w:rsidRPr="00D92F68">
        <w:rPr>
          <w:i/>
          <w:iCs/>
        </w:rPr>
        <w:t>Wildlife Act</w:t>
      </w:r>
      <w:r w:rsidR="00276DB5">
        <w:t xml:space="preserve"> </w:t>
      </w:r>
    </w:p>
    <w:p w14:paraId="096B12FB" w14:textId="74662432" w:rsidR="00276DB5" w:rsidRDefault="00AF45FB" w:rsidP="00276DB5">
      <w:pPr>
        <w:pStyle w:val="ListBullet"/>
        <w:numPr>
          <w:ilvl w:val="0"/>
          <w:numId w:val="20"/>
        </w:numPr>
        <w:tabs>
          <w:tab w:val="left" w:pos="340"/>
        </w:tabs>
        <w:ind w:right="0"/>
        <w:contextualSpacing/>
        <w:jc w:val="both"/>
      </w:pPr>
      <w:r>
        <w:lastRenderedPageBreak/>
        <w:t>Th</w:t>
      </w:r>
      <w:r w:rsidR="00276DB5">
        <w:t xml:space="preserve">e </w:t>
      </w:r>
      <w:r w:rsidR="00276DB5" w:rsidRPr="3DAA379F">
        <w:rPr>
          <w:i/>
          <w:iCs/>
        </w:rPr>
        <w:t>CFL Act</w:t>
      </w:r>
      <w:r w:rsidR="00276DB5">
        <w:t xml:space="preserve">, including the </w:t>
      </w:r>
      <w:r w:rsidR="00AD44A4">
        <w:t>‘</w:t>
      </w:r>
      <w:r w:rsidR="3FB92F1C">
        <w:t>Code of Practice</w:t>
      </w:r>
      <w:r w:rsidR="00AD44A4">
        <w:t>’</w:t>
      </w:r>
      <w:r w:rsidR="00276DB5">
        <w:t xml:space="preserve"> and the Code of Practice for Bushfire Management on Public Land, which makes management prescriptions in areas of forestry </w:t>
      </w:r>
      <w:proofErr w:type="gramStart"/>
      <w:r w:rsidR="00276DB5">
        <w:t>operations;</w:t>
      </w:r>
      <w:proofErr w:type="gramEnd"/>
    </w:p>
    <w:p w14:paraId="6BC3EE23" w14:textId="329F1A1A" w:rsidR="00276DB5" w:rsidRDefault="00AF45FB" w:rsidP="00276DB5">
      <w:pPr>
        <w:pStyle w:val="ListBullet"/>
        <w:numPr>
          <w:ilvl w:val="0"/>
          <w:numId w:val="20"/>
        </w:numPr>
        <w:tabs>
          <w:tab w:val="left" w:pos="340"/>
        </w:tabs>
        <w:ind w:right="0"/>
        <w:contextualSpacing/>
        <w:jc w:val="both"/>
      </w:pPr>
      <w:r>
        <w:t>T</w:t>
      </w:r>
      <w:r w:rsidR="00276DB5">
        <w:t>he implementation of ESFM practices required under Victorian law</w:t>
      </w:r>
    </w:p>
    <w:p w14:paraId="5693B571" w14:textId="604BB2D1" w:rsidR="00276DB5" w:rsidRDefault="00276DB5" w:rsidP="00276DB5">
      <w:pPr>
        <w:pStyle w:val="ListBullet"/>
        <w:numPr>
          <w:ilvl w:val="0"/>
          <w:numId w:val="20"/>
        </w:numPr>
        <w:tabs>
          <w:tab w:val="left" w:pos="340"/>
        </w:tabs>
        <w:ind w:right="0"/>
        <w:contextualSpacing/>
        <w:jc w:val="both"/>
      </w:pPr>
      <w:r>
        <w:t xml:space="preserve">Forest Management Zoning Scheme under the </w:t>
      </w:r>
      <w:r w:rsidRPr="00D92F68">
        <w:rPr>
          <w:i/>
          <w:iCs/>
        </w:rPr>
        <w:t>Forests Act</w:t>
      </w:r>
      <w:r>
        <w:t xml:space="preserve">, which includes Special Protection Zones that contribute informal reserves to the CAR </w:t>
      </w:r>
      <w:r w:rsidR="000138A2">
        <w:t>R</w:t>
      </w:r>
      <w:r>
        <w:t xml:space="preserve">eserve </w:t>
      </w:r>
      <w:r w:rsidR="000138A2">
        <w:t>S</w:t>
      </w:r>
      <w:r>
        <w:t xml:space="preserve">ystem and </w:t>
      </w:r>
    </w:p>
    <w:p w14:paraId="3C1E3042" w14:textId="418831AE" w:rsidR="00276DB5" w:rsidRPr="00276DB5" w:rsidRDefault="00AF45FB" w:rsidP="00276DB5">
      <w:pPr>
        <w:pStyle w:val="ListBullet"/>
        <w:numPr>
          <w:ilvl w:val="0"/>
          <w:numId w:val="20"/>
        </w:numPr>
        <w:tabs>
          <w:tab w:val="left" w:pos="340"/>
        </w:tabs>
        <w:ind w:right="0"/>
        <w:contextualSpacing/>
        <w:jc w:val="both"/>
      </w:pPr>
      <w:r>
        <w:t>F</w:t>
      </w:r>
      <w:r w:rsidR="00276DB5">
        <w:t xml:space="preserve">ormal reserves such as parks and conservation reserves that contribute to the CAR </w:t>
      </w:r>
      <w:r w:rsidR="000138A2">
        <w:t>R</w:t>
      </w:r>
      <w:r w:rsidR="00276DB5">
        <w:t xml:space="preserve">eserve </w:t>
      </w:r>
      <w:r w:rsidR="000138A2">
        <w:t>S</w:t>
      </w:r>
      <w:r w:rsidR="00276DB5">
        <w:t>ystem.</w:t>
      </w:r>
    </w:p>
    <w:p w14:paraId="7D4A47B3" w14:textId="335F7B20" w:rsidR="000138A2" w:rsidRDefault="000138A2" w:rsidP="000138A2">
      <w:pPr>
        <w:pStyle w:val="BodyBold"/>
      </w:pPr>
      <w:r>
        <w:t>Past and present related projects</w:t>
      </w:r>
    </w:p>
    <w:p w14:paraId="542E21CB" w14:textId="0F3F91A4" w:rsidR="008A3026" w:rsidRDefault="000138A2" w:rsidP="000138A2">
      <w:pPr>
        <w:pStyle w:val="BodyNormal"/>
      </w:pPr>
      <w:r>
        <w:t>There are current and previous reviews or other project work related to this review, listed in Table 1-1.</w:t>
      </w:r>
      <w:r w:rsidR="00FE4F3D">
        <w:t xml:space="preserve"> Several of these related works are summarised in Section 3 with a focus on the </w:t>
      </w:r>
      <w:r w:rsidR="008A3026">
        <w:t>outcomes</w:t>
      </w:r>
      <w:r w:rsidR="00FE4F3D">
        <w:t xml:space="preserve"> and</w:t>
      </w:r>
      <w:r w:rsidR="008A3026">
        <w:t xml:space="preserve"> implications for the protection of listed threatened species.</w:t>
      </w:r>
    </w:p>
    <w:p w14:paraId="08DDC6B9" w14:textId="57CD5506" w:rsidR="000138A2" w:rsidRDefault="007B3E1F" w:rsidP="007B3E1F">
      <w:pPr>
        <w:pStyle w:val="Caption"/>
        <w:keepNext/>
      </w:pPr>
      <w:r>
        <w:t xml:space="preserve">Table </w:t>
      </w:r>
      <w:r>
        <w:fldChar w:fldCharType="begin"/>
      </w:r>
      <w:r>
        <w:instrText>STYLEREF 1 \s</w:instrText>
      </w:r>
      <w:r>
        <w:fldChar w:fldCharType="separate"/>
      </w:r>
      <w:r w:rsidR="00A63971">
        <w:rPr>
          <w:noProof/>
        </w:rPr>
        <w:t>1</w:t>
      </w:r>
      <w:r>
        <w:fldChar w:fldCharType="end"/>
      </w:r>
      <w:r>
        <w:noBreakHyphen/>
      </w:r>
      <w:r>
        <w:fldChar w:fldCharType="begin"/>
      </w:r>
      <w:r>
        <w:instrText>SEQ Table \* ARABIC \s 1</w:instrText>
      </w:r>
      <w:r>
        <w:fldChar w:fldCharType="separate"/>
      </w:r>
      <w:r w:rsidR="00A63971">
        <w:rPr>
          <w:noProof/>
        </w:rPr>
        <w:t>2</w:t>
      </w:r>
      <w:r>
        <w:fldChar w:fldCharType="end"/>
      </w:r>
      <w:r>
        <w:t>:</w:t>
      </w:r>
      <w:r w:rsidRPr="007B3E1F">
        <w:t xml:space="preserve"> </w:t>
      </w:r>
      <w:r>
        <w:t>Relevant projects (past and current) to this review</w:t>
      </w:r>
    </w:p>
    <w:tbl>
      <w:tblPr>
        <w:tblStyle w:val="TableGrid"/>
        <w:tblW w:w="9776" w:type="dxa"/>
        <w:tblLook w:val="04A0" w:firstRow="1" w:lastRow="0" w:firstColumn="1" w:lastColumn="0" w:noHBand="0" w:noVBand="1"/>
      </w:tblPr>
      <w:tblGrid>
        <w:gridCol w:w="4957"/>
        <w:gridCol w:w="4819"/>
      </w:tblGrid>
      <w:tr w:rsidR="000138A2" w14:paraId="785636CD" w14:textId="77777777" w:rsidTr="00BE7EFC">
        <w:trPr>
          <w:cnfStyle w:val="100000000000" w:firstRow="1" w:lastRow="0" w:firstColumn="0" w:lastColumn="0" w:oddVBand="0" w:evenVBand="0" w:oddHBand="0" w:evenHBand="0" w:firstRowFirstColumn="0" w:firstRowLastColumn="0" w:lastRowFirstColumn="0" w:lastRowLastColumn="0"/>
        </w:trPr>
        <w:tc>
          <w:tcPr>
            <w:tcW w:w="4957" w:type="dxa"/>
          </w:tcPr>
          <w:p w14:paraId="3F1D500B" w14:textId="77777777" w:rsidR="000138A2" w:rsidRDefault="000138A2" w:rsidP="00327F71">
            <w:r w:rsidRPr="0027490B">
              <w:t>Project</w:t>
            </w:r>
          </w:p>
        </w:tc>
        <w:tc>
          <w:tcPr>
            <w:tcW w:w="4819" w:type="dxa"/>
          </w:tcPr>
          <w:p w14:paraId="62948F9C" w14:textId="77777777" w:rsidR="000138A2" w:rsidRDefault="000138A2" w:rsidP="00327F71">
            <w:r>
              <w:t>Timeline</w:t>
            </w:r>
          </w:p>
        </w:tc>
      </w:tr>
      <w:tr w:rsidR="000138A2" w:rsidRPr="003311FD" w14:paraId="4360100B" w14:textId="77777777" w:rsidTr="00BE7EFC">
        <w:tc>
          <w:tcPr>
            <w:tcW w:w="4957" w:type="dxa"/>
          </w:tcPr>
          <w:p w14:paraId="1E813C3A" w14:textId="77777777" w:rsidR="000138A2" w:rsidRPr="00102961" w:rsidRDefault="000138A2" w:rsidP="00327F71">
            <w:pPr>
              <w:rPr>
                <w:b/>
                <w:bCs/>
              </w:rPr>
            </w:pPr>
            <w:r w:rsidRPr="00102961">
              <w:rPr>
                <w:b/>
                <w:bCs/>
              </w:rPr>
              <w:t>Independent Review of Timber Harvesting Regulation (2018)</w:t>
            </w:r>
          </w:p>
        </w:tc>
        <w:tc>
          <w:tcPr>
            <w:tcW w:w="4819" w:type="dxa"/>
          </w:tcPr>
          <w:p w14:paraId="5EF04A52" w14:textId="77777777" w:rsidR="000138A2" w:rsidRPr="003311FD" w:rsidRDefault="000138A2" w:rsidP="00327F71">
            <w:pPr>
              <w:rPr>
                <w:rFonts w:cs="Arial"/>
                <w:szCs w:val="18"/>
              </w:rPr>
            </w:pPr>
            <w:r>
              <w:rPr>
                <w:rFonts w:cs="Arial"/>
                <w:szCs w:val="18"/>
              </w:rPr>
              <w:t>Complete</w:t>
            </w:r>
          </w:p>
        </w:tc>
      </w:tr>
      <w:tr w:rsidR="000138A2" w14:paraId="2595ABEE" w14:textId="77777777" w:rsidTr="00BE7EFC">
        <w:tc>
          <w:tcPr>
            <w:tcW w:w="4957" w:type="dxa"/>
          </w:tcPr>
          <w:p w14:paraId="5754512F" w14:textId="730895B0" w:rsidR="000138A2" w:rsidRPr="00102961" w:rsidRDefault="000138A2" w:rsidP="00327F71">
            <w:pPr>
              <w:rPr>
                <w:b/>
                <w:bCs/>
              </w:rPr>
            </w:pPr>
            <w:r w:rsidRPr="00102961">
              <w:rPr>
                <w:b/>
                <w:bCs/>
              </w:rPr>
              <w:t xml:space="preserve">Review of the </w:t>
            </w:r>
            <w:r w:rsidRPr="00D92F68">
              <w:rPr>
                <w:b/>
                <w:bCs/>
                <w:i/>
                <w:iCs/>
              </w:rPr>
              <w:t>Flora and Fauna Guarantee Act 1988</w:t>
            </w:r>
          </w:p>
        </w:tc>
        <w:tc>
          <w:tcPr>
            <w:tcW w:w="4819" w:type="dxa"/>
          </w:tcPr>
          <w:p w14:paraId="58BB5416" w14:textId="77777777" w:rsidR="000138A2" w:rsidRDefault="000138A2" w:rsidP="00327F71">
            <w:r w:rsidRPr="003311FD">
              <w:rPr>
                <w:rFonts w:cs="Arial"/>
                <w:szCs w:val="18"/>
              </w:rPr>
              <w:t>Complete</w:t>
            </w:r>
          </w:p>
        </w:tc>
      </w:tr>
      <w:tr w:rsidR="000138A2" w14:paraId="51AFBA83" w14:textId="77777777" w:rsidTr="00BE7EFC">
        <w:tc>
          <w:tcPr>
            <w:tcW w:w="4957" w:type="dxa"/>
          </w:tcPr>
          <w:p w14:paraId="79F19E6D" w14:textId="583E5BEE" w:rsidR="000138A2" w:rsidRPr="00102961" w:rsidRDefault="000138A2" w:rsidP="00327F71">
            <w:pPr>
              <w:rPr>
                <w:b/>
                <w:bCs/>
              </w:rPr>
            </w:pPr>
            <w:r w:rsidRPr="00D92F68">
              <w:rPr>
                <w:b/>
                <w:bCs/>
                <w:i/>
                <w:iCs/>
                <w:lang w:val="en-US"/>
              </w:rPr>
              <w:t xml:space="preserve">Forests Legislation Amendment (Compliance and Enforcement) Act </w:t>
            </w:r>
            <w:r w:rsidR="00E85166">
              <w:rPr>
                <w:b/>
                <w:bCs/>
                <w:i/>
                <w:iCs/>
                <w:lang w:val="en-US"/>
              </w:rPr>
              <w:t>2021</w:t>
            </w:r>
          </w:p>
        </w:tc>
        <w:tc>
          <w:tcPr>
            <w:tcW w:w="4819" w:type="dxa"/>
          </w:tcPr>
          <w:p w14:paraId="4557BB0D" w14:textId="77777777" w:rsidR="000138A2" w:rsidRDefault="000138A2" w:rsidP="00327F71">
            <w:r w:rsidRPr="003311FD">
              <w:rPr>
                <w:rFonts w:cs="Arial"/>
                <w:szCs w:val="18"/>
              </w:rPr>
              <w:t>Complete</w:t>
            </w:r>
          </w:p>
        </w:tc>
      </w:tr>
      <w:tr w:rsidR="000138A2" w14:paraId="62A80292" w14:textId="77777777" w:rsidTr="00BE7EFC">
        <w:tc>
          <w:tcPr>
            <w:tcW w:w="4957" w:type="dxa"/>
          </w:tcPr>
          <w:p w14:paraId="5D9316CB" w14:textId="76483E31" w:rsidR="000138A2" w:rsidRPr="00102961" w:rsidRDefault="00343D4C" w:rsidP="00327F71">
            <w:pPr>
              <w:rPr>
                <w:b/>
                <w:bCs/>
              </w:rPr>
            </w:pPr>
            <w:r>
              <w:rPr>
                <w:b/>
                <w:bCs/>
              </w:rPr>
              <w:t xml:space="preserve">2021 and </w:t>
            </w:r>
            <w:r w:rsidR="000138A2" w:rsidRPr="3DAA379F">
              <w:rPr>
                <w:b/>
                <w:bCs/>
              </w:rPr>
              <w:t>202</w:t>
            </w:r>
            <w:r>
              <w:rPr>
                <w:b/>
                <w:bCs/>
              </w:rPr>
              <w:t>2</w:t>
            </w:r>
            <w:r w:rsidR="000138A2" w:rsidRPr="3DAA379F">
              <w:rPr>
                <w:b/>
                <w:bCs/>
              </w:rPr>
              <w:t xml:space="preserve"> Variation of the Code of Practice for Timber Production</w:t>
            </w:r>
            <w:r>
              <w:rPr>
                <w:b/>
                <w:bCs/>
              </w:rPr>
              <w:t xml:space="preserve"> 2014</w:t>
            </w:r>
          </w:p>
        </w:tc>
        <w:tc>
          <w:tcPr>
            <w:tcW w:w="4819" w:type="dxa"/>
          </w:tcPr>
          <w:p w14:paraId="6EDE5677" w14:textId="77777777" w:rsidR="000138A2" w:rsidRDefault="000138A2" w:rsidP="00327F71">
            <w:r w:rsidRPr="003311FD">
              <w:rPr>
                <w:rFonts w:cs="Arial"/>
                <w:szCs w:val="18"/>
              </w:rPr>
              <w:t>Complete</w:t>
            </w:r>
          </w:p>
        </w:tc>
      </w:tr>
      <w:tr w:rsidR="00024E02" w14:paraId="1EABBD82" w14:textId="77777777" w:rsidTr="00BE7EFC">
        <w:tc>
          <w:tcPr>
            <w:tcW w:w="4957" w:type="dxa"/>
          </w:tcPr>
          <w:p w14:paraId="338D615C" w14:textId="4C2D5E80" w:rsidR="00024E02" w:rsidRPr="00102961" w:rsidRDefault="00024E02" w:rsidP="00024E02">
            <w:pPr>
              <w:rPr>
                <w:b/>
                <w:bCs/>
              </w:rPr>
            </w:pPr>
            <w:r w:rsidRPr="00F0750D">
              <w:rPr>
                <w:b/>
                <w:bCs/>
                <w:i/>
                <w:iCs/>
              </w:rPr>
              <w:t>Conservation, Forests and Lands Amendment Act 2022</w:t>
            </w:r>
          </w:p>
        </w:tc>
        <w:tc>
          <w:tcPr>
            <w:tcW w:w="4819" w:type="dxa"/>
          </w:tcPr>
          <w:p w14:paraId="51DCCCDB" w14:textId="038F3EC1" w:rsidR="00024E02" w:rsidRDefault="00024E02" w:rsidP="00024E02">
            <w:pPr>
              <w:rPr>
                <w:rFonts w:cs="Arial"/>
                <w:szCs w:val="18"/>
              </w:rPr>
            </w:pPr>
            <w:r>
              <w:rPr>
                <w:rFonts w:cs="Arial"/>
                <w:szCs w:val="18"/>
              </w:rPr>
              <w:t>February 2022</w:t>
            </w:r>
          </w:p>
        </w:tc>
      </w:tr>
      <w:tr w:rsidR="00024E02" w14:paraId="419BAAED" w14:textId="77777777" w:rsidTr="00BE7EFC">
        <w:tc>
          <w:tcPr>
            <w:tcW w:w="4957" w:type="dxa"/>
          </w:tcPr>
          <w:p w14:paraId="6277983E" w14:textId="77777777" w:rsidR="00024E02" w:rsidRPr="00102961" w:rsidRDefault="00024E02" w:rsidP="00024E02">
            <w:pPr>
              <w:rPr>
                <w:b/>
                <w:bCs/>
              </w:rPr>
            </w:pPr>
            <w:r w:rsidRPr="00102961">
              <w:rPr>
                <w:b/>
                <w:bCs/>
              </w:rPr>
              <w:t>CAR Reserve Review</w:t>
            </w:r>
          </w:p>
        </w:tc>
        <w:tc>
          <w:tcPr>
            <w:tcW w:w="4819" w:type="dxa"/>
          </w:tcPr>
          <w:p w14:paraId="2118705F" w14:textId="3BF72170" w:rsidR="00024E02" w:rsidRDefault="00024E02" w:rsidP="00024E02">
            <w:r>
              <w:rPr>
                <w:rFonts w:cs="Arial"/>
                <w:szCs w:val="18"/>
              </w:rPr>
              <w:t>August 2022</w:t>
            </w:r>
          </w:p>
        </w:tc>
      </w:tr>
      <w:tr w:rsidR="00024E02" w14:paraId="4E41C125" w14:textId="77777777" w:rsidTr="00BE7EFC">
        <w:tc>
          <w:tcPr>
            <w:tcW w:w="4957" w:type="dxa"/>
          </w:tcPr>
          <w:p w14:paraId="0BF92BB4" w14:textId="03CDF96F" w:rsidR="00024E02" w:rsidRPr="00102961" w:rsidRDefault="00024E02" w:rsidP="00024E02">
            <w:pPr>
              <w:rPr>
                <w:b/>
                <w:bCs/>
              </w:rPr>
            </w:pPr>
            <w:r>
              <w:rPr>
                <w:b/>
                <w:bCs/>
              </w:rPr>
              <w:t xml:space="preserve">Victorian RFA </w:t>
            </w:r>
            <w:r w:rsidRPr="00102961">
              <w:rPr>
                <w:b/>
                <w:bCs/>
              </w:rPr>
              <w:t>Major Event Review</w:t>
            </w:r>
            <w:r>
              <w:rPr>
                <w:b/>
                <w:bCs/>
              </w:rPr>
              <w:t xml:space="preserve"> of the 2019/20 bushfires</w:t>
            </w:r>
          </w:p>
        </w:tc>
        <w:tc>
          <w:tcPr>
            <w:tcW w:w="4819" w:type="dxa"/>
          </w:tcPr>
          <w:p w14:paraId="710E578D" w14:textId="29F072AA" w:rsidR="00024E02" w:rsidRDefault="00024E02" w:rsidP="00024E02">
            <w:r>
              <w:rPr>
                <w:rFonts w:cs="Arial"/>
                <w:szCs w:val="18"/>
              </w:rPr>
              <w:t>Early</w:t>
            </w:r>
            <w:r w:rsidRPr="003311FD">
              <w:rPr>
                <w:rFonts w:cs="Arial"/>
                <w:szCs w:val="18"/>
              </w:rPr>
              <w:t xml:space="preserve"> 2022</w:t>
            </w:r>
          </w:p>
        </w:tc>
      </w:tr>
      <w:tr w:rsidR="00024E02" w14:paraId="4ED6A249" w14:textId="77777777" w:rsidTr="00BE7EFC">
        <w:tc>
          <w:tcPr>
            <w:tcW w:w="4957" w:type="dxa"/>
          </w:tcPr>
          <w:p w14:paraId="4B9B8B45" w14:textId="77777777" w:rsidR="00024E02" w:rsidRPr="00102961" w:rsidRDefault="00024E02" w:rsidP="00024E02">
            <w:pPr>
              <w:rPr>
                <w:b/>
                <w:bCs/>
              </w:rPr>
            </w:pPr>
            <w:r w:rsidRPr="00102961">
              <w:rPr>
                <w:b/>
                <w:bCs/>
              </w:rPr>
              <w:t>Threatened Species and Communities risk assessments – interim and permanent protections</w:t>
            </w:r>
          </w:p>
        </w:tc>
        <w:tc>
          <w:tcPr>
            <w:tcW w:w="4819" w:type="dxa"/>
          </w:tcPr>
          <w:p w14:paraId="293AC650" w14:textId="3A1A685F" w:rsidR="00024E02" w:rsidRDefault="00024E02" w:rsidP="00024E02">
            <w:r>
              <w:rPr>
                <w:rFonts w:cs="Arial"/>
                <w:szCs w:val="18"/>
              </w:rPr>
              <w:t>Ongoing in line with RFA commitments</w:t>
            </w:r>
          </w:p>
        </w:tc>
      </w:tr>
      <w:tr w:rsidR="00024E02" w14:paraId="54DFCE6F" w14:textId="77777777" w:rsidTr="00BE7EFC">
        <w:tc>
          <w:tcPr>
            <w:tcW w:w="4957" w:type="dxa"/>
          </w:tcPr>
          <w:p w14:paraId="1B1C9F57" w14:textId="77777777" w:rsidR="00024E02" w:rsidRPr="00102961" w:rsidRDefault="00024E02" w:rsidP="00024E02">
            <w:pPr>
              <w:rPr>
                <w:b/>
                <w:bCs/>
              </w:rPr>
            </w:pPr>
            <w:r w:rsidRPr="00102961">
              <w:rPr>
                <w:b/>
                <w:bCs/>
              </w:rPr>
              <w:t xml:space="preserve">Review of the </w:t>
            </w:r>
            <w:r w:rsidRPr="00D92F68">
              <w:rPr>
                <w:b/>
                <w:bCs/>
                <w:i/>
                <w:iCs/>
              </w:rPr>
              <w:t>Wildlife Act 1975</w:t>
            </w:r>
          </w:p>
        </w:tc>
        <w:tc>
          <w:tcPr>
            <w:tcW w:w="4819" w:type="dxa"/>
          </w:tcPr>
          <w:p w14:paraId="341997C2" w14:textId="48666FA6" w:rsidR="00024E02" w:rsidRDefault="00024E02" w:rsidP="00024E02">
            <w:r>
              <w:rPr>
                <w:rFonts w:cs="Arial"/>
                <w:szCs w:val="18"/>
              </w:rPr>
              <w:t>Panel report provided to government December 2021</w:t>
            </w:r>
          </w:p>
        </w:tc>
      </w:tr>
      <w:tr w:rsidR="00024E02" w:rsidRPr="003311FD" w14:paraId="1F582B73" w14:textId="77777777" w:rsidTr="00BE7EFC">
        <w:tc>
          <w:tcPr>
            <w:tcW w:w="4957" w:type="dxa"/>
          </w:tcPr>
          <w:p w14:paraId="28FF53D0" w14:textId="484E35B9" w:rsidR="00024E02" w:rsidRPr="00102961" w:rsidRDefault="00B40BB6" w:rsidP="00024E02">
            <w:pPr>
              <w:rPr>
                <w:b/>
                <w:bCs/>
              </w:rPr>
            </w:pPr>
            <w:r>
              <w:rPr>
                <w:b/>
                <w:bCs/>
              </w:rPr>
              <w:t xml:space="preserve">Review of </w:t>
            </w:r>
            <w:r w:rsidR="00024E02" w:rsidRPr="00102961">
              <w:rPr>
                <w:b/>
                <w:bCs/>
              </w:rPr>
              <w:t>Forest Management Plans</w:t>
            </w:r>
          </w:p>
        </w:tc>
        <w:tc>
          <w:tcPr>
            <w:tcW w:w="4819" w:type="dxa"/>
          </w:tcPr>
          <w:p w14:paraId="663F2415" w14:textId="00B9ACF8" w:rsidR="00024E02" w:rsidRPr="003311FD" w:rsidRDefault="00024E02" w:rsidP="00024E02">
            <w:pPr>
              <w:rPr>
                <w:rFonts w:cs="Arial"/>
                <w:szCs w:val="18"/>
              </w:rPr>
            </w:pPr>
            <w:r w:rsidRPr="003311FD">
              <w:rPr>
                <w:rFonts w:cs="Arial"/>
                <w:szCs w:val="18"/>
              </w:rPr>
              <w:t>December 2023</w:t>
            </w:r>
            <w:r>
              <w:rPr>
                <w:rFonts w:cs="Arial"/>
                <w:szCs w:val="18"/>
              </w:rPr>
              <w:t xml:space="preserve"> (in progress)</w:t>
            </w:r>
          </w:p>
        </w:tc>
      </w:tr>
      <w:tr w:rsidR="00024E02" w:rsidRPr="003311FD" w14:paraId="0D679DD5" w14:textId="77777777" w:rsidTr="00BE7EFC">
        <w:tc>
          <w:tcPr>
            <w:tcW w:w="4957" w:type="dxa"/>
          </w:tcPr>
          <w:p w14:paraId="14878AE2" w14:textId="0C462879" w:rsidR="00024E02" w:rsidRPr="00102961" w:rsidRDefault="00024E02" w:rsidP="00024E02">
            <w:pPr>
              <w:rPr>
                <w:b/>
                <w:bCs/>
              </w:rPr>
            </w:pPr>
            <w:r w:rsidRPr="00102961">
              <w:rPr>
                <w:b/>
                <w:bCs/>
              </w:rPr>
              <w:t>Comprehensive</w:t>
            </w:r>
            <w:r>
              <w:rPr>
                <w:b/>
                <w:bCs/>
              </w:rPr>
              <w:t xml:space="preserve"> </w:t>
            </w:r>
            <w:r w:rsidRPr="00102961">
              <w:rPr>
                <w:b/>
                <w:bCs/>
              </w:rPr>
              <w:t>Review</w:t>
            </w:r>
            <w:r>
              <w:rPr>
                <w:b/>
                <w:bCs/>
              </w:rPr>
              <w:t xml:space="preserve"> of the Code of Practice for Timber Production 2014</w:t>
            </w:r>
          </w:p>
        </w:tc>
        <w:tc>
          <w:tcPr>
            <w:tcW w:w="4819" w:type="dxa"/>
          </w:tcPr>
          <w:p w14:paraId="2EE7CB1B" w14:textId="72D84CDC" w:rsidR="00024E02" w:rsidRPr="003311FD" w:rsidRDefault="00024E02" w:rsidP="00024E02">
            <w:r w:rsidRPr="003311FD">
              <w:t>December 2023</w:t>
            </w:r>
            <w:r>
              <w:t xml:space="preserve"> (in progress)</w:t>
            </w:r>
          </w:p>
        </w:tc>
      </w:tr>
    </w:tbl>
    <w:p w14:paraId="1BE8E709" w14:textId="669982FC" w:rsidR="00A506D2" w:rsidRDefault="00A506D2" w:rsidP="00A506D2">
      <w:pPr>
        <w:pStyle w:val="BodyBold"/>
      </w:pPr>
      <w:bookmarkStart w:id="6" w:name="_Toc121258698"/>
      <w:r>
        <w:t xml:space="preserve">Traditional Owner </w:t>
      </w:r>
      <w:r w:rsidR="009075AC">
        <w:t xml:space="preserve">biocultural </w:t>
      </w:r>
      <w:r>
        <w:t>values</w:t>
      </w:r>
    </w:p>
    <w:p w14:paraId="48901AF4" w14:textId="77777777" w:rsidR="0017568B" w:rsidRDefault="0080432A" w:rsidP="0017568B">
      <w:pPr>
        <w:pStyle w:val="BodyNormal"/>
      </w:pPr>
      <w:r>
        <w:t>Th</w:t>
      </w:r>
      <w:r w:rsidR="000338B7">
        <w:t>is report acknowledges</w:t>
      </w:r>
      <w:r w:rsidR="0060391F">
        <w:t xml:space="preserve"> important </w:t>
      </w:r>
      <w:r w:rsidR="001521B1">
        <w:t>Victorian Government commitments to Traditional Owner self-determination</w:t>
      </w:r>
      <w:r w:rsidR="00154564">
        <w:t xml:space="preserve">. The </w:t>
      </w:r>
      <w:r w:rsidR="0048630C">
        <w:t xml:space="preserve">modernised </w:t>
      </w:r>
      <w:r w:rsidR="00154564">
        <w:t xml:space="preserve">Victorian RFAs </w:t>
      </w:r>
      <w:r w:rsidR="0048630C">
        <w:t xml:space="preserve">now </w:t>
      </w:r>
      <w:r w:rsidR="00154564">
        <w:t xml:space="preserve">include significant commitments to </w:t>
      </w:r>
      <w:r w:rsidR="00887410">
        <w:t xml:space="preserve">empowering Traditional </w:t>
      </w:r>
      <w:r w:rsidR="004754F3">
        <w:t>Owners</w:t>
      </w:r>
      <w:r w:rsidR="001C431E">
        <w:t xml:space="preserve"> to have an active role</w:t>
      </w:r>
      <w:r w:rsidR="00F16281">
        <w:t xml:space="preserve"> in management of forests on public land on Country and involvement in decision-making. </w:t>
      </w:r>
      <w:r w:rsidR="00030C23">
        <w:t xml:space="preserve">The RFAs also commit Victoria to </w:t>
      </w:r>
      <w:r w:rsidR="00BC5C2E">
        <w:t>“ensure that the Forest Management System provides for the management and protection of Traditional Owner identified living natural and biocultural values and uses.”</w:t>
      </w:r>
      <w:r w:rsidR="00AA7DA1">
        <w:t xml:space="preserve"> </w:t>
      </w:r>
    </w:p>
    <w:p w14:paraId="765B73AF" w14:textId="3408E41F" w:rsidR="00207A0B" w:rsidRDefault="00627A0D" w:rsidP="00207A0B">
      <w:pPr>
        <w:pStyle w:val="BodyNormal"/>
      </w:pPr>
      <w:r>
        <w:t xml:space="preserve">The </w:t>
      </w:r>
      <w:r w:rsidRPr="00207A0B">
        <w:t xml:space="preserve">Review of the </w:t>
      </w:r>
      <w:r w:rsidRPr="00207A0B">
        <w:rPr>
          <w:i/>
          <w:iCs/>
        </w:rPr>
        <w:t>Wildlife Act 1975</w:t>
      </w:r>
      <w:r w:rsidR="00FC61F4" w:rsidRPr="00207A0B">
        <w:t xml:space="preserve"> completed in December 2021 </w:t>
      </w:r>
      <w:r w:rsidR="006722C6">
        <w:t>was undertaken by an expert panel including a Traditional Owner</w:t>
      </w:r>
      <w:r w:rsidR="00207A0B">
        <w:t>. T</w:t>
      </w:r>
      <w:r w:rsidR="00207A0B" w:rsidRPr="00207A0B">
        <w:t>he Panel examined</w:t>
      </w:r>
      <w:r w:rsidR="00207A0B">
        <w:t xml:space="preserve"> </w:t>
      </w:r>
      <w:r w:rsidR="00207A0B" w:rsidRPr="00207A0B">
        <w:t xml:space="preserve">whether the Act appropriately recognises and protects the rights and interests of Traditional Owners and Aboriginal Victorians around wildlife and their role in </w:t>
      </w:r>
      <w:r w:rsidR="00207A0B" w:rsidRPr="00207A0B">
        <w:lastRenderedPageBreak/>
        <w:t>decision-making.</w:t>
      </w:r>
      <w:r w:rsidR="00207A0B">
        <w:t xml:space="preserve"> </w:t>
      </w:r>
      <w:r w:rsidR="00E74051">
        <w:t xml:space="preserve">The Panel considered </w:t>
      </w:r>
      <w:r w:rsidR="0017568B" w:rsidRPr="0017568B">
        <w:t>the role of wildlife in the cultural practices and beliefs of Traditional Owners and Aboriginal Victorians</w:t>
      </w:r>
      <w:r w:rsidR="0017568B">
        <w:t xml:space="preserve">. </w:t>
      </w:r>
      <w:r w:rsidR="000560C3" w:rsidRPr="0017568B">
        <w:t>The Victorian Government is currently preparing its response to the Panel’s report.</w:t>
      </w:r>
    </w:p>
    <w:p w14:paraId="1839ACF7" w14:textId="683CF033" w:rsidR="0080432A" w:rsidRPr="0080432A" w:rsidRDefault="00613332" w:rsidP="0080432A">
      <w:pPr>
        <w:pStyle w:val="BodyNormal"/>
      </w:pPr>
      <w:r>
        <w:t>In implementing this review there is an opportunity to partner with Traditional Owners to build on th</w:t>
      </w:r>
      <w:r w:rsidR="006651ED">
        <w:t xml:space="preserve">is earlier work. The </w:t>
      </w:r>
      <w:r w:rsidR="00E06465">
        <w:t>development of</w:t>
      </w:r>
      <w:r w:rsidR="009216DA">
        <w:t xml:space="preserve"> Review</w:t>
      </w:r>
      <w:r w:rsidR="00E06465">
        <w:t xml:space="preserve"> implementation actions and </w:t>
      </w:r>
      <w:r w:rsidR="009216DA">
        <w:t xml:space="preserve">the </w:t>
      </w:r>
      <w:r w:rsidR="009216DA" w:rsidRPr="009216DA">
        <w:t xml:space="preserve">Comprehensive Review of the Code of Practice for Timber Production 2014 </w:t>
      </w:r>
      <w:r w:rsidR="009216DA">
        <w:t xml:space="preserve">currently underway are </w:t>
      </w:r>
      <w:r w:rsidR="009216DA" w:rsidRPr="009216DA">
        <w:t>opportunities to further incorporate Traditional Owner perspectives.</w:t>
      </w:r>
    </w:p>
    <w:p w14:paraId="40D8DA97" w14:textId="707C4A18" w:rsidR="00B933BC" w:rsidRPr="001C0600" w:rsidRDefault="008A3026" w:rsidP="00327F71">
      <w:pPr>
        <w:pStyle w:val="Heading2"/>
        <w:rPr>
          <w:rFonts w:hint="eastAsia"/>
        </w:rPr>
      </w:pPr>
      <w:r w:rsidRPr="001C0600">
        <w:t>Report structure</w:t>
      </w:r>
      <w:bookmarkEnd w:id="6"/>
    </w:p>
    <w:p w14:paraId="29DECD28" w14:textId="3D6C8026" w:rsidR="00B933BC" w:rsidRDefault="008A3026" w:rsidP="00B933BC">
      <w:pPr>
        <w:pStyle w:val="BodyNormal"/>
      </w:pPr>
      <w:r>
        <w:t>This report is structured as follows:</w:t>
      </w:r>
    </w:p>
    <w:p w14:paraId="067D01C2" w14:textId="3ACA4D1B" w:rsidR="008A3026" w:rsidRDefault="008A3026" w:rsidP="00C66612">
      <w:pPr>
        <w:pStyle w:val="ListBullet"/>
        <w:numPr>
          <w:ilvl w:val="0"/>
          <w:numId w:val="20"/>
        </w:numPr>
        <w:tabs>
          <w:tab w:val="left" w:pos="340"/>
        </w:tabs>
        <w:ind w:right="0"/>
        <w:contextualSpacing/>
        <w:jc w:val="both"/>
      </w:pPr>
      <w:r>
        <w:t>Executive summary</w:t>
      </w:r>
    </w:p>
    <w:p w14:paraId="7DFCCB16" w14:textId="20124556" w:rsidR="008A3026" w:rsidRDefault="008A3026" w:rsidP="00C66612">
      <w:pPr>
        <w:pStyle w:val="ListBullet"/>
        <w:numPr>
          <w:ilvl w:val="0"/>
          <w:numId w:val="20"/>
        </w:numPr>
        <w:tabs>
          <w:tab w:val="left" w:pos="340"/>
        </w:tabs>
        <w:ind w:right="0"/>
        <w:contextualSpacing/>
        <w:jc w:val="both"/>
      </w:pPr>
      <w:r>
        <w:t>Introduction, including review background and policy context</w:t>
      </w:r>
    </w:p>
    <w:p w14:paraId="356CAC79" w14:textId="1283F6E4" w:rsidR="008A3026" w:rsidRDefault="008A3026" w:rsidP="00C66612">
      <w:pPr>
        <w:pStyle w:val="ListBullet"/>
        <w:numPr>
          <w:ilvl w:val="0"/>
          <w:numId w:val="20"/>
        </w:numPr>
        <w:tabs>
          <w:tab w:val="left" w:pos="340"/>
        </w:tabs>
        <w:ind w:right="0"/>
        <w:contextualSpacing/>
        <w:jc w:val="both"/>
      </w:pPr>
      <w:r>
        <w:t>Methodology</w:t>
      </w:r>
    </w:p>
    <w:p w14:paraId="6BA34B10" w14:textId="3AE863D1" w:rsidR="008A3026" w:rsidRDefault="008A3026" w:rsidP="00C66612">
      <w:pPr>
        <w:pStyle w:val="ListBullet"/>
        <w:numPr>
          <w:ilvl w:val="0"/>
          <w:numId w:val="20"/>
        </w:numPr>
        <w:tabs>
          <w:tab w:val="left" w:pos="340"/>
        </w:tabs>
        <w:ind w:right="0"/>
        <w:contextualSpacing/>
        <w:jc w:val="both"/>
      </w:pPr>
      <w:r>
        <w:t>Insights from related reviews and projects</w:t>
      </w:r>
    </w:p>
    <w:p w14:paraId="004A2145" w14:textId="0FE5FA37" w:rsidR="007D3C5E" w:rsidRDefault="00416385" w:rsidP="00C66612">
      <w:pPr>
        <w:pStyle w:val="ListBullet"/>
        <w:numPr>
          <w:ilvl w:val="0"/>
          <w:numId w:val="20"/>
        </w:numPr>
        <w:tabs>
          <w:tab w:val="left" w:pos="340"/>
        </w:tabs>
        <w:ind w:right="0"/>
        <w:contextualSpacing/>
        <w:jc w:val="both"/>
      </w:pPr>
      <w:r>
        <w:t>Analysis of legislation in scope</w:t>
      </w:r>
      <w:r w:rsidR="007D3C5E">
        <w:t>, including:</w:t>
      </w:r>
    </w:p>
    <w:p w14:paraId="0CF65A79" w14:textId="37777295" w:rsidR="001C0600" w:rsidRDefault="001C0600" w:rsidP="007D3C5E">
      <w:pPr>
        <w:pStyle w:val="ListBullet"/>
        <w:numPr>
          <w:ilvl w:val="1"/>
          <w:numId w:val="11"/>
        </w:numPr>
      </w:pPr>
      <w:r>
        <w:t>Framework used for the review (</w:t>
      </w:r>
      <w:proofErr w:type="gramStart"/>
      <w:r>
        <w:t>i.e.</w:t>
      </w:r>
      <w:proofErr w:type="gramEnd"/>
      <w:r>
        <w:t xml:space="preserve"> ‘Pathway to Protection’ framework)</w:t>
      </w:r>
    </w:p>
    <w:p w14:paraId="62C20402" w14:textId="7EBDED44" w:rsidR="007D3C5E" w:rsidRDefault="001C0600" w:rsidP="007D3C5E">
      <w:pPr>
        <w:pStyle w:val="ListBullet"/>
        <w:numPr>
          <w:ilvl w:val="1"/>
          <w:numId w:val="11"/>
        </w:numPr>
      </w:pPr>
      <w:r>
        <w:t xml:space="preserve">Findings from the desktop and </w:t>
      </w:r>
      <w:r w:rsidR="000167E3">
        <w:t xml:space="preserve">Working Group </w:t>
      </w:r>
      <w:r>
        <w:t xml:space="preserve">consultation process, presented according to the </w:t>
      </w:r>
      <w:r w:rsidR="000167E3">
        <w:t>‘</w:t>
      </w:r>
      <w:r>
        <w:t>Pathway to Protection</w:t>
      </w:r>
      <w:r w:rsidR="000167E3">
        <w:t>’</w:t>
      </w:r>
      <w:r>
        <w:t xml:space="preserve"> stage</w:t>
      </w:r>
    </w:p>
    <w:p w14:paraId="13885DDA" w14:textId="71C5314F" w:rsidR="00B933BC" w:rsidRDefault="001C0600" w:rsidP="00B933BC">
      <w:pPr>
        <w:pStyle w:val="ListBullet"/>
        <w:numPr>
          <w:ilvl w:val="0"/>
          <w:numId w:val="20"/>
        </w:numPr>
        <w:tabs>
          <w:tab w:val="left" w:pos="340"/>
        </w:tabs>
        <w:ind w:right="0"/>
        <w:contextualSpacing/>
        <w:jc w:val="both"/>
      </w:pPr>
      <w:r>
        <w:t>Conclusion and summary of recommendations</w:t>
      </w:r>
    </w:p>
    <w:p w14:paraId="097614B0" w14:textId="295B93CF" w:rsidR="0001529D" w:rsidRDefault="00B933BC">
      <w:pPr>
        <w:pStyle w:val="Heading1"/>
      </w:pPr>
      <w:bookmarkStart w:id="7" w:name="_Toc121258699"/>
      <w:r>
        <w:lastRenderedPageBreak/>
        <w:t>Methodology for review</w:t>
      </w:r>
      <w:bookmarkEnd w:id="7"/>
    </w:p>
    <w:p w14:paraId="12045026" w14:textId="0FE64F06" w:rsidR="0001529D" w:rsidRDefault="00B933BC">
      <w:pPr>
        <w:pStyle w:val="Heading2"/>
        <w:rPr>
          <w:rFonts w:hint="eastAsia"/>
        </w:rPr>
      </w:pPr>
      <w:bookmarkStart w:id="8" w:name="_Toc121258700"/>
      <w:r>
        <w:t>overview</w:t>
      </w:r>
      <w:bookmarkEnd w:id="8"/>
    </w:p>
    <w:p w14:paraId="11724C95" w14:textId="53FB4B6C" w:rsidR="00766F08" w:rsidRPr="00766F08" w:rsidRDefault="00766F08" w:rsidP="00766F08">
      <w:pPr>
        <w:pStyle w:val="BodyNormal"/>
      </w:pPr>
      <w:r>
        <w:t xml:space="preserve">An outline of </w:t>
      </w:r>
      <w:r w:rsidR="00663BE1">
        <w:t>th</w:t>
      </w:r>
      <w:r w:rsidR="005529F6">
        <w:t>e process undertaken to perform this</w:t>
      </w:r>
      <w:r w:rsidR="00663BE1">
        <w:t xml:space="preserve"> review </w:t>
      </w:r>
      <w:r w:rsidR="00FD684C">
        <w:t>is provided below</w:t>
      </w:r>
      <w:r w:rsidR="005529F6">
        <w:t xml:space="preserve"> in Fig</w:t>
      </w:r>
      <w:r w:rsidR="00E96C1E">
        <w:t>ure</w:t>
      </w:r>
      <w:r w:rsidR="005529F6">
        <w:t xml:space="preserve"> 2-1.</w:t>
      </w:r>
      <w:r w:rsidR="00FD684C">
        <w:t xml:space="preserve"> </w:t>
      </w:r>
    </w:p>
    <w:p w14:paraId="78772A49" w14:textId="76DA39AF" w:rsidR="00001953" w:rsidRDefault="005F1F84" w:rsidP="00001953">
      <w:pPr>
        <w:pStyle w:val="BodyNormal"/>
      </w:pPr>
      <w:r>
        <w:rPr>
          <w:noProof/>
        </w:rPr>
        <w:drawing>
          <wp:inline distT="0" distB="0" distL="0" distR="0" wp14:anchorId="2CE3EF87" wp14:editId="4E9AFB6B">
            <wp:extent cx="6120130" cy="4355525"/>
            <wp:effectExtent l="0" t="0" r="0" b="6985"/>
            <wp:docPr id="10" name="Diagram 10" descr="Key stages of review proces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CCF45B1" w14:textId="1BD16012" w:rsidR="00B25085" w:rsidRDefault="00B25085" w:rsidP="00B25085">
      <w:pPr>
        <w:pStyle w:val="Caption"/>
      </w:pPr>
      <w:r>
        <w:t xml:space="preserve">Figure </w:t>
      </w:r>
      <w:r>
        <w:fldChar w:fldCharType="begin"/>
      </w:r>
      <w:r>
        <w:instrText>STYLEREF 1 \s</w:instrText>
      </w:r>
      <w:r>
        <w:fldChar w:fldCharType="separate"/>
      </w:r>
      <w:r w:rsidR="00A63971">
        <w:rPr>
          <w:noProof/>
        </w:rPr>
        <w:t>2</w:t>
      </w:r>
      <w:r>
        <w:fldChar w:fldCharType="end"/>
      </w:r>
      <w:r w:rsidR="009F16B4">
        <w:noBreakHyphen/>
      </w:r>
      <w:r>
        <w:fldChar w:fldCharType="begin"/>
      </w:r>
      <w:r>
        <w:instrText>SEQ Figure \* ARABIC \s 1</w:instrText>
      </w:r>
      <w:r>
        <w:fldChar w:fldCharType="separate"/>
      </w:r>
      <w:r w:rsidR="00A63971">
        <w:rPr>
          <w:noProof/>
        </w:rPr>
        <w:t>1</w:t>
      </w:r>
      <w:r>
        <w:fldChar w:fldCharType="end"/>
      </w:r>
      <w:r>
        <w:t xml:space="preserve">: Key stages </w:t>
      </w:r>
      <w:r w:rsidR="00606A6E">
        <w:t>of</w:t>
      </w:r>
      <w:r>
        <w:t xml:space="preserve"> review</w:t>
      </w:r>
      <w:r w:rsidR="00606A6E">
        <w:t xml:space="preserve"> process.</w:t>
      </w:r>
    </w:p>
    <w:p w14:paraId="28A8296B" w14:textId="201DF9C9" w:rsidR="00A05F21" w:rsidRPr="00625FC8" w:rsidRDefault="00DB5763" w:rsidP="00663BE1">
      <w:pPr>
        <w:pStyle w:val="Heading2"/>
        <w:rPr>
          <w:rFonts w:hint="eastAsia"/>
        </w:rPr>
      </w:pPr>
      <w:bookmarkStart w:id="9" w:name="_Toc121258701"/>
      <w:r>
        <w:t>role and input</w:t>
      </w:r>
      <w:r w:rsidR="00C53F43">
        <w:t xml:space="preserve"> of</w:t>
      </w:r>
      <w:r w:rsidR="00C53F43" w:rsidRPr="00C53F43">
        <w:t xml:space="preserve"> </w:t>
      </w:r>
      <w:r w:rsidR="000B730F">
        <w:t xml:space="preserve">the </w:t>
      </w:r>
      <w:r w:rsidR="006904F6">
        <w:t>working group</w:t>
      </w:r>
      <w:bookmarkEnd w:id="9"/>
    </w:p>
    <w:p w14:paraId="5C4A1874" w14:textId="4C526872" w:rsidR="00141A0D" w:rsidRDefault="00141A0D" w:rsidP="00663BE1">
      <w:pPr>
        <w:pStyle w:val="BodyNormal"/>
      </w:pPr>
      <w:r>
        <w:t xml:space="preserve">A </w:t>
      </w:r>
      <w:r w:rsidR="00663BE1">
        <w:t xml:space="preserve">Working Group </w:t>
      </w:r>
      <w:r>
        <w:t xml:space="preserve">was </w:t>
      </w:r>
      <w:r w:rsidR="00663BE1">
        <w:t xml:space="preserve">established with </w:t>
      </w:r>
      <w:r>
        <w:t>representatives</w:t>
      </w:r>
      <w:r w:rsidR="00663BE1">
        <w:t xml:space="preserve"> from key groups across DELWP and </w:t>
      </w:r>
      <w:r w:rsidR="00F801D2">
        <w:t xml:space="preserve">the </w:t>
      </w:r>
      <w:r w:rsidR="00F801D2" w:rsidRPr="00F801D2">
        <w:t>Department of Jobs, Precincts and Regions</w:t>
      </w:r>
      <w:r w:rsidR="00F801D2">
        <w:t xml:space="preserve"> (</w:t>
      </w:r>
      <w:r w:rsidR="00663BE1">
        <w:t>DJPR</w:t>
      </w:r>
      <w:r w:rsidR="00F801D2">
        <w:t>)</w:t>
      </w:r>
      <w:r w:rsidR="00960103">
        <w:t>, see Appendix</w:t>
      </w:r>
      <w:r w:rsidR="00B825F2">
        <w:t xml:space="preserve"> 1 for membership.</w:t>
      </w:r>
      <w:r>
        <w:t xml:space="preserve"> </w:t>
      </w:r>
      <w:r w:rsidR="00DB5763" w:rsidRPr="007B3E1F">
        <w:t xml:space="preserve">The role of this Working Group was to provide </w:t>
      </w:r>
      <w:r w:rsidR="00C53F43" w:rsidRPr="007B3E1F">
        <w:t xml:space="preserve">both expert and </w:t>
      </w:r>
      <w:r w:rsidR="00DB5763" w:rsidRPr="007B3E1F">
        <w:t>operational insights</w:t>
      </w:r>
      <w:r w:rsidR="00C53F43" w:rsidRPr="007B3E1F">
        <w:t xml:space="preserve"> to support analysis of legislation in scope</w:t>
      </w:r>
      <w:r w:rsidR="00282206" w:rsidRPr="007B3E1F">
        <w:t xml:space="preserve"> for this review</w:t>
      </w:r>
      <w:r w:rsidR="00C53F43" w:rsidRPr="007B3E1F">
        <w:t>.</w:t>
      </w:r>
      <w:r w:rsidR="00DB5763" w:rsidRPr="007B3E1F">
        <w:t xml:space="preserve"> </w:t>
      </w:r>
      <w:r w:rsidR="00282206" w:rsidRPr="007B3E1F">
        <w:t xml:space="preserve">Three </w:t>
      </w:r>
      <w:r w:rsidR="00DB5763" w:rsidRPr="007B3E1F">
        <w:t>o</w:t>
      </w:r>
      <w:r w:rsidRPr="007B3E1F">
        <w:t>nline workshop sessions were held to</w:t>
      </w:r>
      <w:r w:rsidR="00D92F68" w:rsidRPr="007B3E1F">
        <w:t>:</w:t>
      </w:r>
    </w:p>
    <w:p w14:paraId="6BE7DE5C" w14:textId="6800ED36" w:rsidR="00663BE1" w:rsidRDefault="00141A0D" w:rsidP="00C66612">
      <w:pPr>
        <w:pStyle w:val="ListBullet"/>
        <w:numPr>
          <w:ilvl w:val="0"/>
          <w:numId w:val="20"/>
        </w:numPr>
        <w:tabs>
          <w:tab w:val="left" w:pos="340"/>
        </w:tabs>
        <w:ind w:right="0"/>
        <w:contextualSpacing/>
        <w:jc w:val="both"/>
      </w:pPr>
      <w:r>
        <w:t xml:space="preserve">Establish and confirm a framework or process </w:t>
      </w:r>
      <w:r w:rsidR="00CC0ADD">
        <w:t>for the</w:t>
      </w:r>
      <w:r>
        <w:t xml:space="preserve"> analysis of the relevant </w:t>
      </w:r>
      <w:r w:rsidR="6E53657A">
        <w:t>legislation</w:t>
      </w:r>
      <w:r>
        <w:t xml:space="preserve"> </w:t>
      </w:r>
    </w:p>
    <w:p w14:paraId="54D529F5" w14:textId="412F92CD" w:rsidR="00141A0D" w:rsidRDefault="00141A0D" w:rsidP="00C66612">
      <w:pPr>
        <w:pStyle w:val="ListBullet"/>
        <w:numPr>
          <w:ilvl w:val="0"/>
          <w:numId w:val="20"/>
        </w:numPr>
        <w:tabs>
          <w:tab w:val="left" w:pos="340"/>
        </w:tabs>
        <w:ind w:right="0"/>
        <w:contextualSpacing/>
        <w:jc w:val="both"/>
      </w:pPr>
      <w:r>
        <w:t xml:space="preserve">Identify </w:t>
      </w:r>
      <w:r w:rsidR="00FD684C">
        <w:t>legislative provisions</w:t>
      </w:r>
      <w:r>
        <w:t xml:space="preserve"> or instruments that are currently </w:t>
      </w:r>
      <w:r w:rsidR="00E32477">
        <w:t>effective, have</w:t>
      </w:r>
      <w:r w:rsidR="004F7ED7">
        <w:t xml:space="preserve"> the potential to be </w:t>
      </w:r>
      <w:r w:rsidR="00CC0ADD">
        <w:t xml:space="preserve">more </w:t>
      </w:r>
      <w:r w:rsidR="004F7ED7">
        <w:t xml:space="preserve">effective </w:t>
      </w:r>
      <w:r w:rsidR="00FD684C">
        <w:t xml:space="preserve">and where there is opportunity to improve </w:t>
      </w:r>
      <w:r w:rsidR="00302CCB">
        <w:t>provisions</w:t>
      </w:r>
    </w:p>
    <w:p w14:paraId="4CE05DB6" w14:textId="226F5BEA" w:rsidR="006902F3" w:rsidRDefault="00302CCB" w:rsidP="00C66612">
      <w:pPr>
        <w:pStyle w:val="ListBullet"/>
        <w:numPr>
          <w:ilvl w:val="0"/>
          <w:numId w:val="20"/>
        </w:numPr>
        <w:tabs>
          <w:tab w:val="left" w:pos="340"/>
        </w:tabs>
        <w:ind w:right="0"/>
        <w:contextualSpacing/>
        <w:jc w:val="both"/>
      </w:pPr>
      <w:r>
        <w:t xml:space="preserve">Provide clarification on other current projects with implications </w:t>
      </w:r>
      <w:r w:rsidR="00CC0ADD">
        <w:t>for</w:t>
      </w:r>
      <w:r>
        <w:t xml:space="preserve"> this review</w:t>
      </w:r>
    </w:p>
    <w:p w14:paraId="745B5246" w14:textId="37E2F4E2" w:rsidR="004F7ED7" w:rsidRDefault="00302CCB" w:rsidP="00C66612">
      <w:pPr>
        <w:pStyle w:val="ListBullet"/>
        <w:numPr>
          <w:ilvl w:val="0"/>
          <w:numId w:val="20"/>
        </w:numPr>
        <w:tabs>
          <w:tab w:val="left" w:pos="340"/>
        </w:tabs>
        <w:ind w:right="0"/>
        <w:contextualSpacing/>
        <w:jc w:val="both"/>
      </w:pPr>
      <w:r>
        <w:t>Confirm outcomes and implic</w:t>
      </w:r>
      <w:r w:rsidR="006902F3">
        <w:t>ations of</w:t>
      </w:r>
      <w:r w:rsidR="004F7ED7">
        <w:t xml:space="preserve"> </w:t>
      </w:r>
      <w:r w:rsidR="00FD684C">
        <w:t xml:space="preserve">current and previous </w:t>
      </w:r>
      <w:r w:rsidR="006902F3">
        <w:t>works as relevant to this review.</w:t>
      </w:r>
    </w:p>
    <w:p w14:paraId="6B0ABEE7" w14:textId="547E3FF4" w:rsidR="00EA756A" w:rsidRDefault="00625FC8" w:rsidP="0001529D">
      <w:pPr>
        <w:pStyle w:val="BodyNormal"/>
      </w:pPr>
      <w:r>
        <w:t xml:space="preserve">In addition </w:t>
      </w:r>
      <w:r w:rsidR="00282206">
        <w:t>to these</w:t>
      </w:r>
      <w:r w:rsidR="006902F3">
        <w:t xml:space="preserve"> sessions, a</w:t>
      </w:r>
      <w:r w:rsidR="00FD684C">
        <w:t>dditional</w:t>
      </w:r>
      <w:r w:rsidR="006902F3">
        <w:t xml:space="preserve"> targeted</w:t>
      </w:r>
      <w:r w:rsidR="00FD684C">
        <w:t xml:space="preserve"> interviews were conducted </w:t>
      </w:r>
      <w:r w:rsidR="00FD684C" w:rsidRPr="00E32477">
        <w:t>online</w:t>
      </w:r>
      <w:r w:rsidR="00282206">
        <w:t xml:space="preserve"> with members of the </w:t>
      </w:r>
      <w:r w:rsidR="00EA756A">
        <w:t>Working G</w:t>
      </w:r>
      <w:r w:rsidR="00282206">
        <w:t>roup</w:t>
      </w:r>
      <w:r w:rsidR="006902F3">
        <w:t>.</w:t>
      </w:r>
      <w:r w:rsidR="00E25893">
        <w:t xml:space="preserve"> </w:t>
      </w:r>
      <w:r w:rsidR="00EA756A">
        <w:t xml:space="preserve">This consultation supported </w:t>
      </w:r>
      <w:r w:rsidR="00AB4B0B">
        <w:t xml:space="preserve">a </w:t>
      </w:r>
      <w:r w:rsidR="00EA756A">
        <w:t>targeted desktop review</w:t>
      </w:r>
      <w:r w:rsidR="00EA756A" w:rsidRPr="00EA756A">
        <w:t xml:space="preserve"> </w:t>
      </w:r>
      <w:r w:rsidR="00EA756A">
        <w:t>and analysis of relevant legislative provisions</w:t>
      </w:r>
      <w:r w:rsidR="00AB4B0B">
        <w:t xml:space="preserve">, subordinate </w:t>
      </w:r>
      <w:r w:rsidR="00EA756A">
        <w:t xml:space="preserve">instruments and other related </w:t>
      </w:r>
      <w:r w:rsidR="00AB4B0B">
        <w:t xml:space="preserve">documents and </w:t>
      </w:r>
      <w:r w:rsidR="00EA756A">
        <w:t>reports.</w:t>
      </w:r>
    </w:p>
    <w:p w14:paraId="6C61BC28" w14:textId="123FC36D" w:rsidR="00914C93" w:rsidRDefault="00914C93">
      <w:pPr>
        <w:pStyle w:val="Heading1"/>
      </w:pPr>
      <w:bookmarkStart w:id="10" w:name="_Ref118662182"/>
      <w:bookmarkStart w:id="11" w:name="_Toc121258702"/>
      <w:r>
        <w:lastRenderedPageBreak/>
        <w:t xml:space="preserve">Insights from </w:t>
      </w:r>
      <w:r w:rsidR="00AD6CEE">
        <w:t>relevant</w:t>
      </w:r>
      <w:r>
        <w:t xml:space="preserve"> reviews and projects</w:t>
      </w:r>
      <w:bookmarkEnd w:id="10"/>
      <w:bookmarkEnd w:id="11"/>
    </w:p>
    <w:p w14:paraId="542DD158" w14:textId="20A2D631" w:rsidR="00343341" w:rsidRDefault="00343341" w:rsidP="00343341">
      <w:pPr>
        <w:pStyle w:val="BodyNormal"/>
        <w:rPr>
          <w:rFonts w:cs="Arial"/>
          <w:szCs w:val="20"/>
        </w:rPr>
      </w:pPr>
      <w:r w:rsidRPr="00D92F68">
        <w:rPr>
          <w:rFonts w:cs="Arial"/>
          <w:szCs w:val="20"/>
        </w:rPr>
        <w:t xml:space="preserve">This section provides </w:t>
      </w:r>
      <w:r w:rsidR="00900C43">
        <w:rPr>
          <w:rFonts w:cs="Arial"/>
          <w:szCs w:val="20"/>
        </w:rPr>
        <w:t>key findings from</w:t>
      </w:r>
      <w:r w:rsidRPr="00D92F68">
        <w:rPr>
          <w:rFonts w:cs="Arial"/>
          <w:szCs w:val="20"/>
        </w:rPr>
        <w:t xml:space="preserve"> relevant legislati</w:t>
      </w:r>
      <w:r w:rsidR="002816A8">
        <w:rPr>
          <w:rFonts w:cs="Arial"/>
          <w:szCs w:val="20"/>
        </w:rPr>
        <w:t>ve</w:t>
      </w:r>
      <w:r w:rsidRPr="00D92F68">
        <w:rPr>
          <w:rFonts w:cs="Arial"/>
          <w:szCs w:val="20"/>
        </w:rPr>
        <w:t xml:space="preserve"> reviews and other related projects </w:t>
      </w:r>
      <w:r w:rsidR="002816A8">
        <w:rPr>
          <w:rFonts w:cs="Arial"/>
          <w:szCs w:val="20"/>
        </w:rPr>
        <w:t>undertaken between 2016 and 2022</w:t>
      </w:r>
      <w:r w:rsidRPr="00D92F68">
        <w:rPr>
          <w:rFonts w:cs="Arial"/>
          <w:szCs w:val="20"/>
        </w:rPr>
        <w:t xml:space="preserve">. </w:t>
      </w:r>
      <w:r w:rsidR="002816A8">
        <w:rPr>
          <w:rFonts w:cs="Arial"/>
          <w:szCs w:val="20"/>
        </w:rPr>
        <w:t>The</w:t>
      </w:r>
      <w:r w:rsidR="002816A8" w:rsidRPr="00D92F68">
        <w:rPr>
          <w:rFonts w:cs="Arial"/>
          <w:szCs w:val="20"/>
        </w:rPr>
        <w:t xml:space="preserve"> purpose </w:t>
      </w:r>
      <w:r w:rsidR="002816A8">
        <w:rPr>
          <w:rFonts w:cs="Arial"/>
          <w:szCs w:val="20"/>
        </w:rPr>
        <w:t xml:space="preserve">of this section </w:t>
      </w:r>
      <w:r w:rsidR="002816A8" w:rsidRPr="00D92F68">
        <w:rPr>
          <w:rFonts w:cs="Arial"/>
          <w:szCs w:val="20"/>
        </w:rPr>
        <w:t>is to</w:t>
      </w:r>
      <w:r w:rsidRPr="00D92F68">
        <w:rPr>
          <w:rFonts w:cs="Arial"/>
          <w:szCs w:val="20"/>
        </w:rPr>
        <w:t xml:space="preserve"> provide context regarding the scope </w:t>
      </w:r>
      <w:proofErr w:type="gramStart"/>
      <w:r w:rsidRPr="00D92F68">
        <w:rPr>
          <w:rFonts w:cs="Arial"/>
          <w:szCs w:val="20"/>
        </w:rPr>
        <w:t>and also</w:t>
      </w:r>
      <w:proofErr w:type="gramEnd"/>
      <w:r w:rsidRPr="00D92F68">
        <w:rPr>
          <w:rFonts w:cs="Arial"/>
          <w:szCs w:val="20"/>
        </w:rPr>
        <w:t xml:space="preserve"> for proposed recommendations identified in this review. </w:t>
      </w:r>
      <w:r w:rsidR="00900C43">
        <w:rPr>
          <w:rFonts w:cs="Arial"/>
          <w:szCs w:val="20"/>
        </w:rPr>
        <w:t xml:space="preserve">Brief summaries of these reviews and projects are provided in Appendix 2. </w:t>
      </w:r>
    </w:p>
    <w:p w14:paraId="17BDDF15" w14:textId="4887E9AB" w:rsidR="00333C63" w:rsidRDefault="00333C63" w:rsidP="00343341">
      <w:pPr>
        <w:pStyle w:val="BodyNormal"/>
        <w:rPr>
          <w:rFonts w:cs="Arial"/>
          <w:szCs w:val="20"/>
        </w:rPr>
      </w:pPr>
      <w:r>
        <w:rPr>
          <w:rFonts w:cs="Arial"/>
          <w:noProof/>
          <w:szCs w:val="20"/>
        </w:rPr>
        <w:drawing>
          <wp:inline distT="0" distB="0" distL="0" distR="0" wp14:anchorId="57939701" wp14:editId="48645C0A">
            <wp:extent cx="5941060" cy="2976880"/>
            <wp:effectExtent l="0" t="0" r="2540" b="0"/>
            <wp:docPr id="33" name="Picture 33" descr="Figure 3 1: Timeline of reviews and other relevant projects, and subsequent legislative changes, undertaken since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igure 3 1: Timeline of reviews and other relevant projects, and subsequent legislative changes, undertaken since 2016 "/>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1060" cy="2976880"/>
                    </a:xfrm>
                    <a:prstGeom prst="rect">
                      <a:avLst/>
                    </a:prstGeom>
                  </pic:spPr>
                </pic:pic>
              </a:graphicData>
            </a:graphic>
          </wp:inline>
        </w:drawing>
      </w:r>
    </w:p>
    <w:p w14:paraId="0005C9C7" w14:textId="559892EE" w:rsidR="00343341" w:rsidRPr="004405D7" w:rsidRDefault="009F16B4" w:rsidP="009F16B4">
      <w:pPr>
        <w:pStyle w:val="Caption"/>
        <w:rPr>
          <w:b w:val="0"/>
          <w:bCs/>
        </w:rPr>
      </w:pPr>
      <w:r>
        <w:t xml:space="preserve">Figure </w:t>
      </w:r>
      <w:r>
        <w:fldChar w:fldCharType="begin"/>
      </w:r>
      <w:r>
        <w:instrText>STYLEREF 1 \s</w:instrText>
      </w:r>
      <w:r>
        <w:fldChar w:fldCharType="separate"/>
      </w:r>
      <w:r w:rsidR="00A63971">
        <w:rPr>
          <w:noProof/>
        </w:rPr>
        <w:t>3</w:t>
      </w:r>
      <w:r>
        <w:fldChar w:fldCharType="end"/>
      </w:r>
      <w:r>
        <w:noBreakHyphen/>
      </w:r>
      <w:r>
        <w:fldChar w:fldCharType="begin"/>
      </w:r>
      <w:r>
        <w:instrText>SEQ Figure \* ARABIC \s 1</w:instrText>
      </w:r>
      <w:r>
        <w:fldChar w:fldCharType="separate"/>
      </w:r>
      <w:r w:rsidR="00A63971">
        <w:rPr>
          <w:noProof/>
        </w:rPr>
        <w:t>1</w:t>
      </w:r>
      <w:r>
        <w:fldChar w:fldCharType="end"/>
      </w:r>
      <w:r w:rsidR="00AF45FB">
        <w:t>:</w:t>
      </w:r>
      <w:r>
        <w:t xml:space="preserve"> </w:t>
      </w:r>
      <w:r w:rsidR="00343341" w:rsidRPr="00343341">
        <w:t>Timeline of reviews and other relevant projects, and subsequent legislative changes, undertaken since 2016</w:t>
      </w:r>
      <w:r w:rsidR="004405D7">
        <w:t xml:space="preserve"> </w:t>
      </w:r>
    </w:p>
    <w:p w14:paraId="791A76AF" w14:textId="77777777" w:rsidR="00343341" w:rsidRPr="00A45A9D" w:rsidRDefault="00343341" w:rsidP="00244531">
      <w:pPr>
        <w:pStyle w:val="Heading3NoNumber"/>
        <w:rPr>
          <w:rFonts w:hint="eastAsia"/>
        </w:rPr>
      </w:pPr>
      <w:r w:rsidRPr="00A45A9D">
        <w:t>Review of the Flora and Fauna Guarantee Act 1988</w:t>
      </w:r>
    </w:p>
    <w:p w14:paraId="746325C9" w14:textId="6EB14112" w:rsidR="00343341" w:rsidRDefault="00343341" w:rsidP="00343341">
      <w:pPr>
        <w:pStyle w:val="BodyBold"/>
      </w:pPr>
      <w:r>
        <w:rPr>
          <w:b w:val="0"/>
        </w:rPr>
        <w:t xml:space="preserve">The Department of Environment, Land, Water and Planning (DELWP) undertook a review of the </w:t>
      </w:r>
      <w:r w:rsidRPr="3DAA379F">
        <w:rPr>
          <w:b w:val="0"/>
          <w:i/>
          <w:iCs/>
        </w:rPr>
        <w:t>FFG Act 1988</w:t>
      </w:r>
      <w:r>
        <w:rPr>
          <w:b w:val="0"/>
        </w:rPr>
        <w:t xml:space="preserve"> in </w:t>
      </w:r>
      <w:r w:rsidRPr="008F65AD">
        <w:rPr>
          <w:b w:val="0"/>
        </w:rPr>
        <w:t>2017</w:t>
      </w:r>
      <w:r>
        <w:rPr>
          <w:b w:val="0"/>
        </w:rPr>
        <w:t xml:space="preserve">. The objective of the review was to improve the efficiency and effectiveness of the Act and to better align </w:t>
      </w:r>
      <w:r w:rsidR="00900C43">
        <w:rPr>
          <w:b w:val="0"/>
        </w:rPr>
        <w:t>with</w:t>
      </w:r>
      <w:r>
        <w:rPr>
          <w:b w:val="0"/>
        </w:rPr>
        <w:t xml:space="preserve"> the community’s expectations for biodiversity management, and the rights and interests of Victorian Traditional Owners in the management of biodiversity. </w:t>
      </w:r>
      <w:r w:rsidR="00900C43">
        <w:rPr>
          <w:b w:val="0"/>
        </w:rPr>
        <w:t>Key findings from the review</w:t>
      </w:r>
      <w:r w:rsidR="000716C0">
        <w:rPr>
          <w:b w:val="0"/>
        </w:rPr>
        <w:t>:</w:t>
      </w:r>
      <w:r>
        <w:t xml:space="preserve"> </w:t>
      </w:r>
    </w:p>
    <w:p w14:paraId="1AAD8B0E" w14:textId="155BE1C7" w:rsidR="00343341" w:rsidRPr="0071572B" w:rsidRDefault="00AF45FB" w:rsidP="00C66612">
      <w:pPr>
        <w:pStyle w:val="ListBullet"/>
        <w:numPr>
          <w:ilvl w:val="0"/>
          <w:numId w:val="20"/>
        </w:numPr>
        <w:tabs>
          <w:tab w:val="left" w:pos="340"/>
        </w:tabs>
        <w:ind w:right="0"/>
        <w:contextualSpacing/>
        <w:jc w:val="both"/>
      </w:pPr>
      <w:r>
        <w:t>R</w:t>
      </w:r>
      <w:r w:rsidR="00343341">
        <w:t xml:space="preserve">etaining the “guarantee” </w:t>
      </w:r>
      <w:r w:rsidR="00343341" w:rsidRPr="00782FE2">
        <w:t>that all Victoria’s flora and fauna can survive, flourish, and retain their potential for evolutionary development in the wild</w:t>
      </w:r>
      <w:r w:rsidR="00343341">
        <w:t xml:space="preserve"> </w:t>
      </w:r>
    </w:p>
    <w:p w14:paraId="6A2713E9" w14:textId="179AF04A" w:rsidR="00343341" w:rsidRPr="0071572B" w:rsidRDefault="00AF45FB" w:rsidP="00C66612">
      <w:pPr>
        <w:pStyle w:val="ListBullet"/>
        <w:numPr>
          <w:ilvl w:val="0"/>
          <w:numId w:val="20"/>
        </w:numPr>
        <w:tabs>
          <w:tab w:val="left" w:pos="340"/>
        </w:tabs>
        <w:ind w:right="0"/>
        <w:contextualSpacing/>
        <w:jc w:val="both"/>
      </w:pPr>
      <w:r>
        <w:t>A</w:t>
      </w:r>
      <w:r w:rsidR="00343341">
        <w:t xml:space="preserve">dding principles </w:t>
      </w:r>
      <w:r w:rsidR="00C66612">
        <w:t>(</w:t>
      </w:r>
      <w:r w:rsidR="00343341">
        <w:t>including the precautionary principle</w:t>
      </w:r>
      <w:r w:rsidR="00C66612">
        <w:t>)</w:t>
      </w:r>
      <w:r w:rsidR="00343341">
        <w:t xml:space="preserve"> to guide decision-makers </w:t>
      </w:r>
    </w:p>
    <w:p w14:paraId="7833CA80" w14:textId="3FD3A36A" w:rsidR="00343341" w:rsidRPr="006B4BBF" w:rsidRDefault="00AF45FB" w:rsidP="00C66612">
      <w:pPr>
        <w:pStyle w:val="ListBullet"/>
        <w:numPr>
          <w:ilvl w:val="0"/>
          <w:numId w:val="20"/>
        </w:numPr>
        <w:tabs>
          <w:tab w:val="left" w:pos="340"/>
        </w:tabs>
        <w:ind w:right="0"/>
        <w:contextualSpacing/>
        <w:jc w:val="both"/>
      </w:pPr>
      <w:r>
        <w:t>C</w:t>
      </w:r>
      <w:r w:rsidR="00343341">
        <w:t>larifying that the public authority duty unambiguously applies to all levels of Victorian government</w:t>
      </w:r>
    </w:p>
    <w:p w14:paraId="75EC902D" w14:textId="3F5717B5" w:rsidR="00343341" w:rsidRPr="006B4BBF" w:rsidRDefault="00AF45FB" w:rsidP="00C66612">
      <w:pPr>
        <w:pStyle w:val="ListBullet"/>
        <w:numPr>
          <w:ilvl w:val="0"/>
          <w:numId w:val="20"/>
        </w:numPr>
        <w:tabs>
          <w:tab w:val="left" w:pos="340"/>
        </w:tabs>
        <w:ind w:right="0"/>
        <w:contextualSpacing/>
        <w:jc w:val="both"/>
      </w:pPr>
      <w:r>
        <w:t>A</w:t>
      </w:r>
      <w:r w:rsidR="00343341">
        <w:t xml:space="preserve">dopting the intergovernmental Common Assessment Method for assessing and listing species </w:t>
      </w:r>
    </w:p>
    <w:p w14:paraId="0F63FBF9" w14:textId="137617EA" w:rsidR="00343341" w:rsidRPr="006B4BBF" w:rsidRDefault="00AF45FB" w:rsidP="00C66612">
      <w:pPr>
        <w:pStyle w:val="ListBullet"/>
        <w:numPr>
          <w:ilvl w:val="0"/>
          <w:numId w:val="20"/>
        </w:numPr>
        <w:tabs>
          <w:tab w:val="left" w:pos="340"/>
        </w:tabs>
        <w:ind w:right="0"/>
        <w:contextualSpacing/>
        <w:jc w:val="both"/>
      </w:pPr>
      <w:r>
        <w:t>D</w:t>
      </w:r>
      <w:r w:rsidR="00343341">
        <w:t xml:space="preserve">eveloping criteria to define critical habitat </w:t>
      </w:r>
    </w:p>
    <w:p w14:paraId="09C6290C" w14:textId="6A18609B" w:rsidR="00343341" w:rsidRPr="006B4BBF" w:rsidRDefault="00AF45FB" w:rsidP="00C66612">
      <w:pPr>
        <w:pStyle w:val="ListBullet"/>
        <w:numPr>
          <w:ilvl w:val="0"/>
          <w:numId w:val="20"/>
        </w:numPr>
        <w:tabs>
          <w:tab w:val="left" w:pos="340"/>
        </w:tabs>
        <w:ind w:right="0"/>
        <w:contextualSpacing/>
        <w:jc w:val="both"/>
      </w:pPr>
      <w:r>
        <w:t>I</w:t>
      </w:r>
      <w:r w:rsidR="00343341">
        <w:t xml:space="preserve">ntroducing a tiered hierarchy of compliance response actions (e.g., civil penalties and remediation orders) underpinned by a compliance and enforcement strategy </w:t>
      </w:r>
    </w:p>
    <w:p w14:paraId="12215D92" w14:textId="1AB1016C" w:rsidR="00343341" w:rsidRDefault="00AF45FB" w:rsidP="00C66612">
      <w:pPr>
        <w:pStyle w:val="ListBullet"/>
        <w:numPr>
          <w:ilvl w:val="0"/>
          <w:numId w:val="20"/>
        </w:numPr>
        <w:tabs>
          <w:tab w:val="left" w:pos="340"/>
        </w:tabs>
        <w:ind w:right="0"/>
        <w:contextualSpacing/>
        <w:jc w:val="both"/>
      </w:pPr>
      <w:r>
        <w:t>I</w:t>
      </w:r>
      <w:r w:rsidR="00343341">
        <w:t xml:space="preserve">mproving accountability and transparency in relation to administration of the Act. </w:t>
      </w:r>
    </w:p>
    <w:p w14:paraId="4D087153" w14:textId="77777777" w:rsidR="00244531" w:rsidRDefault="00244531" w:rsidP="00343341">
      <w:pPr>
        <w:pStyle w:val="BodyBold"/>
        <w:rPr>
          <w:i/>
          <w:iCs/>
        </w:rPr>
      </w:pPr>
    </w:p>
    <w:p w14:paraId="5A7A9780" w14:textId="2D79039D" w:rsidR="00343341" w:rsidRDefault="00343341" w:rsidP="00244531">
      <w:pPr>
        <w:pStyle w:val="Heading3NoNumber"/>
        <w:rPr>
          <w:rFonts w:hint="eastAsia"/>
        </w:rPr>
      </w:pPr>
      <w:r w:rsidRPr="008F0055">
        <w:lastRenderedPageBreak/>
        <w:t>Forests Legislation Amendment (Compliance and Enforcement) Act 202</w:t>
      </w:r>
      <w:r w:rsidR="00F47A14">
        <w:t>1</w:t>
      </w:r>
    </w:p>
    <w:p w14:paraId="2C13001D" w14:textId="77777777" w:rsidR="00343341" w:rsidRDefault="00343341" w:rsidP="00343341">
      <w:pPr>
        <w:pStyle w:val="BodyNormal"/>
      </w:pPr>
      <w:r w:rsidRPr="00A84F3F">
        <w:t xml:space="preserve">The Victorian Government passed the </w:t>
      </w:r>
      <w:r w:rsidRPr="00A84F3F">
        <w:rPr>
          <w:i/>
          <w:iCs/>
        </w:rPr>
        <w:t>Forests Legislation Amendment (Compliance and Enforcement) Act 2021</w:t>
      </w:r>
      <w:r w:rsidRPr="00A84F3F">
        <w:t xml:space="preserve"> on 12 October 2021</w:t>
      </w:r>
      <w:r>
        <w:t xml:space="preserve"> to amend the </w:t>
      </w:r>
      <w:r w:rsidRPr="00A84F3F">
        <w:rPr>
          <w:i/>
          <w:iCs/>
        </w:rPr>
        <w:t>Sustainable Forests (Timber) Act 2004</w:t>
      </w:r>
      <w:r>
        <w:t xml:space="preserve"> and the </w:t>
      </w:r>
      <w:r w:rsidRPr="00A84F3F">
        <w:rPr>
          <w:i/>
          <w:iCs/>
        </w:rPr>
        <w:t>Forests Act 1958</w:t>
      </w:r>
      <w:r w:rsidRPr="00A84F3F">
        <w:t>. It came into force on 1 March 2022.</w:t>
      </w:r>
      <w:r>
        <w:t xml:space="preserve"> </w:t>
      </w:r>
    </w:p>
    <w:p w14:paraId="6FF8209D" w14:textId="6080A5A6" w:rsidR="00343341" w:rsidRDefault="00343341" w:rsidP="00343341">
      <w:pPr>
        <w:pStyle w:val="BodyNormal"/>
      </w:pPr>
      <w:r>
        <w:t>The amendments aim</w:t>
      </w:r>
      <w:r w:rsidR="00C77C5F">
        <w:t>ed</w:t>
      </w:r>
      <w:r>
        <w:t xml:space="preserve"> to improve the environmental regulation of timber harvesting by:</w:t>
      </w:r>
    </w:p>
    <w:p w14:paraId="1D081D33" w14:textId="34F5E861" w:rsidR="00343341" w:rsidRPr="00E96C1E" w:rsidRDefault="00AF45FB" w:rsidP="00C66612">
      <w:pPr>
        <w:pStyle w:val="ListBullet"/>
        <w:numPr>
          <w:ilvl w:val="0"/>
          <w:numId w:val="20"/>
        </w:numPr>
        <w:tabs>
          <w:tab w:val="left" w:pos="340"/>
        </w:tabs>
        <w:ind w:right="0"/>
        <w:contextualSpacing/>
        <w:jc w:val="both"/>
      </w:pPr>
      <w:r w:rsidRPr="00E96C1E">
        <w:t>C</w:t>
      </w:r>
      <w:r w:rsidR="00343341" w:rsidRPr="00E96C1E">
        <w:t>larifying th</w:t>
      </w:r>
      <w:r w:rsidR="007761A9" w:rsidRPr="00E96C1E">
        <w:t>at th</w:t>
      </w:r>
      <w:r w:rsidR="00343341" w:rsidRPr="00E96C1E">
        <w:t>e offence of unauthorised timber harvesting operations appl</w:t>
      </w:r>
      <w:r w:rsidR="007761A9" w:rsidRPr="00E96C1E">
        <w:t>ies</w:t>
      </w:r>
      <w:r w:rsidR="00343341" w:rsidRPr="00E96C1E">
        <w:t xml:space="preserve"> to VicForests and contractors</w:t>
      </w:r>
    </w:p>
    <w:p w14:paraId="5B54F23C" w14:textId="01E01A10" w:rsidR="00343341" w:rsidRPr="00E96C1E" w:rsidRDefault="00AF45FB" w:rsidP="00C66612">
      <w:pPr>
        <w:pStyle w:val="ListBullet"/>
        <w:numPr>
          <w:ilvl w:val="0"/>
          <w:numId w:val="20"/>
        </w:numPr>
        <w:tabs>
          <w:tab w:val="left" w:pos="340"/>
        </w:tabs>
        <w:ind w:right="0"/>
        <w:contextualSpacing/>
        <w:jc w:val="both"/>
      </w:pPr>
      <w:r w:rsidRPr="00E96C1E">
        <w:t>W</w:t>
      </w:r>
      <w:r w:rsidR="00343341" w:rsidRPr="00E96C1E">
        <w:t>idening the application of enforceable undertakings and injunctions</w:t>
      </w:r>
    </w:p>
    <w:p w14:paraId="64DDD74A" w14:textId="1AE502B8" w:rsidR="00343341" w:rsidRPr="00E96C1E" w:rsidRDefault="00AF45FB" w:rsidP="00C66612">
      <w:pPr>
        <w:pStyle w:val="ListBullet"/>
        <w:numPr>
          <w:ilvl w:val="0"/>
          <w:numId w:val="20"/>
        </w:numPr>
        <w:tabs>
          <w:tab w:val="left" w:pos="340"/>
        </w:tabs>
        <w:ind w:right="0"/>
        <w:contextualSpacing/>
        <w:jc w:val="both"/>
      </w:pPr>
      <w:r w:rsidRPr="00E96C1E">
        <w:t>P</w:t>
      </w:r>
      <w:r w:rsidR="00343341" w:rsidRPr="00E96C1E">
        <w:t xml:space="preserve">roviding authorised officers with powers to require the production of documents relating to compliance with the Act, </w:t>
      </w:r>
      <w:r w:rsidR="007761A9" w:rsidRPr="00E96C1E">
        <w:t xml:space="preserve">no longer allowing </w:t>
      </w:r>
      <w:r w:rsidR="00343341" w:rsidRPr="00E96C1E">
        <w:t>voluntary submission of data by timber harvesting operators</w:t>
      </w:r>
    </w:p>
    <w:p w14:paraId="2D991683" w14:textId="1EAC0706" w:rsidR="00343341" w:rsidRPr="00E96C1E" w:rsidRDefault="00AF45FB" w:rsidP="00C66612">
      <w:pPr>
        <w:pStyle w:val="ListBullet"/>
        <w:numPr>
          <w:ilvl w:val="0"/>
          <w:numId w:val="20"/>
        </w:numPr>
        <w:tabs>
          <w:tab w:val="left" w:pos="340"/>
        </w:tabs>
        <w:ind w:right="0"/>
        <w:contextualSpacing/>
        <w:jc w:val="both"/>
      </w:pPr>
      <w:r w:rsidRPr="00E96C1E">
        <w:t>I</w:t>
      </w:r>
      <w:r w:rsidR="00343341" w:rsidRPr="00E96C1E">
        <w:t>ncorporating contemporary mapping tools in instruments that regulate timber harvesting</w:t>
      </w:r>
      <w:r w:rsidR="003127E8">
        <w:t xml:space="preserve"> and</w:t>
      </w:r>
    </w:p>
    <w:p w14:paraId="65017741" w14:textId="7B247AA7" w:rsidR="00343341" w:rsidRPr="00E96C1E" w:rsidRDefault="00AF45FB" w:rsidP="00C66612">
      <w:pPr>
        <w:pStyle w:val="ListBullet"/>
        <w:numPr>
          <w:ilvl w:val="0"/>
          <w:numId w:val="20"/>
        </w:numPr>
        <w:tabs>
          <w:tab w:val="left" w:pos="340"/>
        </w:tabs>
        <w:ind w:right="0"/>
        <w:contextualSpacing/>
        <w:jc w:val="both"/>
      </w:pPr>
      <w:r w:rsidRPr="00E96C1E">
        <w:t>I</w:t>
      </w:r>
      <w:r w:rsidR="00343341" w:rsidRPr="00E96C1E">
        <w:t xml:space="preserve">ncreasing the statute of limitations period to </w:t>
      </w:r>
      <w:r w:rsidR="00C66612">
        <w:t>three</w:t>
      </w:r>
      <w:r w:rsidR="00343341" w:rsidRPr="00E96C1E">
        <w:t xml:space="preserve"> years.</w:t>
      </w:r>
    </w:p>
    <w:p w14:paraId="7BBB1B69" w14:textId="6499F4D6" w:rsidR="00343341" w:rsidRPr="008F0055" w:rsidRDefault="00F62626" w:rsidP="00244531">
      <w:pPr>
        <w:pStyle w:val="Heading3NoNumber"/>
        <w:rPr>
          <w:rFonts w:hint="eastAsia"/>
          <w:i/>
          <w:iCs/>
        </w:rPr>
      </w:pPr>
      <w:r>
        <w:t xml:space="preserve">Victorian RFA </w:t>
      </w:r>
      <w:r w:rsidR="00343341" w:rsidRPr="008F0055">
        <w:t xml:space="preserve">Major </w:t>
      </w:r>
      <w:r w:rsidR="00343341" w:rsidRPr="00244531">
        <w:t>Event</w:t>
      </w:r>
      <w:r w:rsidR="00343341" w:rsidRPr="008F0055">
        <w:t xml:space="preserve"> Review</w:t>
      </w:r>
      <w:r>
        <w:t xml:space="preserve"> of the 2019/20 bushfires</w:t>
      </w:r>
    </w:p>
    <w:p w14:paraId="22EB4DE1" w14:textId="61A23FE8" w:rsidR="00343341" w:rsidRPr="007761A9" w:rsidRDefault="00BC5DFC" w:rsidP="007761A9">
      <w:pPr>
        <w:pStyle w:val="BodyNormal"/>
      </w:pPr>
      <w:r>
        <w:t xml:space="preserve">The </w:t>
      </w:r>
      <w:r w:rsidR="00343341" w:rsidRPr="007761A9">
        <w:t xml:space="preserve">Major Event </w:t>
      </w:r>
      <w:r>
        <w:t>R</w:t>
      </w:r>
      <w:r w:rsidR="00343341" w:rsidRPr="007761A9">
        <w:t>eview</w:t>
      </w:r>
      <w:r>
        <w:t xml:space="preserve"> is a mechanism</w:t>
      </w:r>
      <w:r w:rsidR="00343341" w:rsidRPr="007761A9">
        <w:t xml:space="preserve"> built into the</w:t>
      </w:r>
      <w:r>
        <w:t xml:space="preserve"> modernised Victorian</w:t>
      </w:r>
      <w:r w:rsidR="00343341" w:rsidRPr="007761A9">
        <w:t xml:space="preserve"> RFAs </w:t>
      </w:r>
      <w:r>
        <w:t xml:space="preserve">in 2020 </w:t>
      </w:r>
      <w:r w:rsidR="00343341" w:rsidRPr="007761A9">
        <w:t xml:space="preserve">(clauses 38F-I). This allows </w:t>
      </w:r>
      <w:r w:rsidR="00F33D5D">
        <w:t xml:space="preserve">the Australian and Victorian Governments </w:t>
      </w:r>
      <w:r w:rsidR="00343341" w:rsidRPr="007761A9">
        <w:t xml:space="preserve">to consider the impacts of events, such as bushfires, </w:t>
      </w:r>
      <w:proofErr w:type="gramStart"/>
      <w:r w:rsidR="00343341" w:rsidRPr="007761A9">
        <w:t>floods</w:t>
      </w:r>
      <w:proofErr w:type="gramEnd"/>
      <w:r w:rsidR="00343341" w:rsidRPr="007761A9">
        <w:t xml:space="preserve"> or diseases, on the effectiveness and operation of the RFAs. </w:t>
      </w:r>
      <w:r w:rsidR="007761A9" w:rsidRPr="007761A9">
        <w:t>A</w:t>
      </w:r>
      <w:r w:rsidR="00343341" w:rsidRPr="007761A9">
        <w:t xml:space="preserve"> Major Event Review (MER) </w:t>
      </w:r>
      <w:r w:rsidR="007761A9" w:rsidRPr="007761A9">
        <w:t xml:space="preserve">was commissioned </w:t>
      </w:r>
      <w:r w:rsidR="00343341" w:rsidRPr="007761A9">
        <w:t>to assess the impacts of the 2019-20 Black Summer bushfires on forests, biodiversity, forest industries and regional communities across Victoria’s five RFA regions</w:t>
      </w:r>
      <w:r w:rsidR="007761A9" w:rsidRPr="007761A9">
        <w:t>.</w:t>
      </w:r>
    </w:p>
    <w:p w14:paraId="76B3E965" w14:textId="214B0BAB" w:rsidR="00343341" w:rsidRPr="0064512E" w:rsidRDefault="00343341" w:rsidP="00343341">
      <w:pPr>
        <w:pStyle w:val="BodyNormal"/>
        <w:rPr>
          <w:szCs w:val="20"/>
        </w:rPr>
      </w:pPr>
      <w:r w:rsidRPr="0064512E">
        <w:rPr>
          <w:szCs w:val="20"/>
        </w:rPr>
        <w:t xml:space="preserve">The </w:t>
      </w:r>
      <w:r w:rsidR="005270D2">
        <w:rPr>
          <w:szCs w:val="20"/>
        </w:rPr>
        <w:t>review</w:t>
      </w:r>
      <w:r w:rsidRPr="0064512E">
        <w:rPr>
          <w:szCs w:val="20"/>
        </w:rPr>
        <w:t xml:space="preserve"> concluded that frequent exposure to intense bushfires is presenting a major and increasing threat to the effective operation of Victoria’s RFAs, particular</w:t>
      </w:r>
      <w:r w:rsidR="00955FD9">
        <w:rPr>
          <w:szCs w:val="20"/>
        </w:rPr>
        <w:t>ly</w:t>
      </w:r>
      <w:r w:rsidRPr="0064512E">
        <w:rPr>
          <w:szCs w:val="20"/>
        </w:rPr>
        <w:t xml:space="preserve"> to the stability of the forests and the achievement of ecologically sustainable forest management</w:t>
      </w:r>
      <w:r w:rsidR="007761A9">
        <w:rPr>
          <w:szCs w:val="20"/>
        </w:rPr>
        <w:t xml:space="preserve">. </w:t>
      </w:r>
      <w:r w:rsidRPr="00D92F68">
        <w:rPr>
          <w:szCs w:val="20"/>
        </w:rPr>
        <w:t>Regarding protections for Listed Species and Communities,</w:t>
      </w:r>
      <w:r w:rsidRPr="0064512E">
        <w:rPr>
          <w:szCs w:val="20"/>
        </w:rPr>
        <w:t xml:space="preserve"> </w:t>
      </w:r>
      <w:r>
        <w:rPr>
          <w:szCs w:val="20"/>
        </w:rPr>
        <w:t>t</w:t>
      </w:r>
      <w:r w:rsidRPr="0064512E">
        <w:rPr>
          <w:szCs w:val="20"/>
        </w:rPr>
        <w:t xml:space="preserve">he </w:t>
      </w:r>
      <w:r w:rsidR="005270D2">
        <w:rPr>
          <w:szCs w:val="20"/>
        </w:rPr>
        <w:t>review</w:t>
      </w:r>
      <w:r w:rsidRPr="0064512E">
        <w:rPr>
          <w:szCs w:val="20"/>
        </w:rPr>
        <w:t xml:space="preserve"> recommend</w:t>
      </w:r>
      <w:r w:rsidR="005270D2">
        <w:rPr>
          <w:szCs w:val="20"/>
        </w:rPr>
        <w:t>ations include</w:t>
      </w:r>
      <w:r>
        <w:rPr>
          <w:szCs w:val="20"/>
        </w:rPr>
        <w:t>:</w:t>
      </w:r>
    </w:p>
    <w:p w14:paraId="6F0DCEDC" w14:textId="64EE9819" w:rsidR="00343341" w:rsidRPr="00C66612" w:rsidRDefault="00343341" w:rsidP="00C66612">
      <w:pPr>
        <w:pStyle w:val="ListBullet"/>
        <w:numPr>
          <w:ilvl w:val="0"/>
          <w:numId w:val="20"/>
        </w:numPr>
        <w:tabs>
          <w:tab w:val="left" w:pos="340"/>
        </w:tabs>
        <w:ind w:right="0"/>
        <w:contextualSpacing/>
        <w:jc w:val="both"/>
      </w:pPr>
      <w:r>
        <w:t xml:space="preserve">That </w:t>
      </w:r>
      <w:r w:rsidRPr="0064512E">
        <w:t xml:space="preserve">the impact of more frequent and repeated bushfires on threatened species </w:t>
      </w:r>
      <w:r w:rsidR="007761A9">
        <w:t>be researched.</w:t>
      </w:r>
    </w:p>
    <w:p w14:paraId="7FC5C1D5" w14:textId="59DA8BF6" w:rsidR="00343341" w:rsidRPr="00C66612" w:rsidRDefault="007761A9" w:rsidP="00C66612">
      <w:pPr>
        <w:pStyle w:val="ListBullet"/>
        <w:numPr>
          <w:ilvl w:val="0"/>
          <w:numId w:val="20"/>
        </w:numPr>
        <w:tabs>
          <w:tab w:val="left" w:pos="340"/>
        </w:tabs>
        <w:ind w:right="0"/>
        <w:contextualSpacing/>
        <w:jc w:val="both"/>
      </w:pPr>
      <w:r>
        <w:t>Addressing</w:t>
      </w:r>
      <w:r w:rsidR="00343341" w:rsidRPr="0064512E">
        <w:t xml:space="preserve"> knowledge and data gaps relating to </w:t>
      </w:r>
      <w:r w:rsidRPr="0064512E">
        <w:t xml:space="preserve">threatened species </w:t>
      </w:r>
      <w:r w:rsidR="00343341" w:rsidRPr="0064512E">
        <w:t xml:space="preserve">(a) known to exist within fire-affected areas and (b) the 21 species that are listed as Critically Endangered in the </w:t>
      </w:r>
      <w:r w:rsidR="00343341" w:rsidRPr="007B3E1F">
        <w:rPr>
          <w:i/>
          <w:iCs/>
        </w:rPr>
        <w:t>FFG Act</w:t>
      </w:r>
    </w:p>
    <w:p w14:paraId="60AA0894" w14:textId="22D304A4" w:rsidR="00343341" w:rsidRPr="00C66612" w:rsidRDefault="00343341" w:rsidP="00C66612">
      <w:pPr>
        <w:pStyle w:val="ListBullet"/>
        <w:numPr>
          <w:ilvl w:val="0"/>
          <w:numId w:val="20"/>
        </w:numPr>
        <w:tabs>
          <w:tab w:val="left" w:pos="340"/>
        </w:tabs>
        <w:ind w:right="0"/>
        <w:contextualSpacing/>
        <w:jc w:val="both"/>
      </w:pPr>
      <w:r w:rsidRPr="0064512E">
        <w:t>That the Victorian Government produce an outcomes report to review the effectiveness of the interim protection measures and the zoning system changes for listed species and communities</w:t>
      </w:r>
    </w:p>
    <w:p w14:paraId="639DF123" w14:textId="40945A85" w:rsidR="007761A9" w:rsidRPr="00C66612" w:rsidRDefault="00343341" w:rsidP="00C66612">
      <w:pPr>
        <w:pStyle w:val="ListBullet"/>
        <w:numPr>
          <w:ilvl w:val="0"/>
          <w:numId w:val="20"/>
        </w:numPr>
        <w:tabs>
          <w:tab w:val="left" w:pos="340"/>
        </w:tabs>
        <w:ind w:right="0"/>
        <w:contextualSpacing/>
        <w:jc w:val="both"/>
      </w:pPr>
      <w:r w:rsidRPr="0064512E">
        <w:t xml:space="preserve">That completion of outstanding </w:t>
      </w:r>
      <w:r w:rsidR="009F3932">
        <w:t>T</w:t>
      </w:r>
      <w:r w:rsidRPr="0064512E">
        <w:t xml:space="preserve">hreatened </w:t>
      </w:r>
      <w:r w:rsidR="009F3932">
        <w:t>S</w:t>
      </w:r>
      <w:r w:rsidRPr="0064512E">
        <w:t xml:space="preserve">pecies and </w:t>
      </w:r>
      <w:r w:rsidR="009F3932">
        <w:t>C</w:t>
      </w:r>
      <w:r w:rsidRPr="0064512E">
        <w:t xml:space="preserve">ommunities risk assessments for the five </w:t>
      </w:r>
      <w:r w:rsidR="007761A9">
        <w:t>RFA</w:t>
      </w:r>
      <w:r w:rsidRPr="0064512E">
        <w:t xml:space="preserve"> regions </w:t>
      </w:r>
      <w:r w:rsidR="007761A9">
        <w:t xml:space="preserve">is prioritised </w:t>
      </w:r>
    </w:p>
    <w:p w14:paraId="76180DDF" w14:textId="6B8B64AA" w:rsidR="00343341" w:rsidRPr="00C66612" w:rsidRDefault="007761A9" w:rsidP="00C66612">
      <w:pPr>
        <w:pStyle w:val="ListBullet"/>
        <w:numPr>
          <w:ilvl w:val="0"/>
          <w:numId w:val="20"/>
        </w:numPr>
        <w:tabs>
          <w:tab w:val="left" w:pos="340"/>
        </w:tabs>
        <w:ind w:right="0"/>
        <w:contextualSpacing/>
        <w:jc w:val="both"/>
      </w:pPr>
      <w:r>
        <w:t xml:space="preserve">That </w:t>
      </w:r>
      <w:r w:rsidR="00343341" w:rsidRPr="0064512E">
        <w:t>existing legislative tools (</w:t>
      </w:r>
      <w:proofErr w:type="gramStart"/>
      <w:r w:rsidR="00343341" w:rsidRPr="0064512E">
        <w:t>e.g.</w:t>
      </w:r>
      <w:proofErr w:type="gramEnd"/>
      <w:r w:rsidR="007B3E1F">
        <w:t xml:space="preserve"> </w:t>
      </w:r>
      <w:r w:rsidR="00343341" w:rsidRPr="0064512E">
        <w:t xml:space="preserve">Critical Habitat Determinations) under the </w:t>
      </w:r>
      <w:r w:rsidR="00343341" w:rsidRPr="007B3E1F">
        <w:rPr>
          <w:i/>
          <w:iCs/>
        </w:rPr>
        <w:t>FFG Act</w:t>
      </w:r>
      <w:r w:rsidR="007B3E1F">
        <w:rPr>
          <w:i/>
          <w:iCs/>
        </w:rPr>
        <w:t xml:space="preserve"> </w:t>
      </w:r>
      <w:r>
        <w:t xml:space="preserve">are </w:t>
      </w:r>
      <w:r w:rsidR="005270D2">
        <w:t>activated</w:t>
      </w:r>
      <w:r w:rsidR="003127E8">
        <w:t xml:space="preserve"> and</w:t>
      </w:r>
    </w:p>
    <w:p w14:paraId="13D92ABC" w14:textId="68EA1F38" w:rsidR="00343341" w:rsidRDefault="00343341" w:rsidP="00C66612">
      <w:pPr>
        <w:pStyle w:val="ListBullet"/>
        <w:numPr>
          <w:ilvl w:val="0"/>
          <w:numId w:val="20"/>
        </w:numPr>
        <w:tabs>
          <w:tab w:val="left" w:pos="340"/>
        </w:tabs>
        <w:ind w:right="0"/>
        <w:contextualSpacing/>
        <w:jc w:val="both"/>
      </w:pPr>
      <w:r w:rsidRPr="0064512E">
        <w:t xml:space="preserve">That the Victorian Government improve the integration of zoning systems within the forest management plans, national park management plans and bushfire management strategies. </w:t>
      </w:r>
    </w:p>
    <w:p w14:paraId="244405F2" w14:textId="150B3B13" w:rsidR="008F742F" w:rsidRDefault="008F742F" w:rsidP="00C66612">
      <w:pPr>
        <w:pStyle w:val="BodyNormal"/>
      </w:pPr>
      <w:r>
        <w:t xml:space="preserve">The </w:t>
      </w:r>
      <w:r w:rsidR="00CE75D0">
        <w:t>Government response to these recommendations is in preparation.</w:t>
      </w:r>
    </w:p>
    <w:p w14:paraId="205B4182" w14:textId="77777777" w:rsidR="00E96C1E" w:rsidRDefault="00E96C1E" w:rsidP="002A5848">
      <w:pPr>
        <w:spacing w:before="0" w:after="0"/>
        <w:ind w:left="0" w:right="115"/>
        <w:rPr>
          <w:rFonts w:ascii="Arial Bold" w:eastAsiaTheme="majorEastAsia" w:hAnsi="Arial Bold" w:cs="Times New Roman (Headings CS)" w:hint="eastAsia"/>
          <w:b/>
          <w:bCs/>
          <w:caps/>
          <w:color w:val="203145" w:themeColor="text2"/>
          <w:spacing w:val="30"/>
          <w:sz w:val="20"/>
          <w:szCs w:val="26"/>
        </w:rPr>
      </w:pPr>
      <w:r>
        <w:br w:type="page"/>
      </w:r>
    </w:p>
    <w:p w14:paraId="4686FE19" w14:textId="2516EB78" w:rsidR="00343341" w:rsidRDefault="00343341" w:rsidP="00244531">
      <w:pPr>
        <w:pStyle w:val="Heading3NoNumber"/>
        <w:rPr>
          <w:rFonts w:hint="eastAsia"/>
        </w:rPr>
      </w:pPr>
      <w:r w:rsidRPr="00AD6CEE">
        <w:lastRenderedPageBreak/>
        <w:t>Variation</w:t>
      </w:r>
      <w:r>
        <w:t>s</w:t>
      </w:r>
      <w:r w:rsidRPr="00AD6CEE">
        <w:t xml:space="preserve"> </w:t>
      </w:r>
      <w:r w:rsidR="00CE75D0">
        <w:t>to</w:t>
      </w:r>
      <w:r w:rsidRPr="00AD6CEE">
        <w:t xml:space="preserve"> the Code of Practice for Timber Production</w:t>
      </w:r>
      <w:r w:rsidR="00343D4C">
        <w:t xml:space="preserve"> 2014</w:t>
      </w:r>
    </w:p>
    <w:p w14:paraId="43CED21C" w14:textId="358BC746" w:rsidR="00343341" w:rsidRDefault="00343341" w:rsidP="00343341">
      <w:pPr>
        <w:pStyle w:val="BodyNormal"/>
      </w:pPr>
      <w:r>
        <w:t xml:space="preserve">The </w:t>
      </w:r>
      <w:r w:rsidR="00AD44A4" w:rsidRPr="00E32477">
        <w:t>‘</w:t>
      </w:r>
      <w:r w:rsidR="3FB92F1C" w:rsidRPr="00E32477">
        <w:t>Code of Practice</w:t>
      </w:r>
      <w:r w:rsidR="00AD44A4" w:rsidRPr="00E32477">
        <w:t>’</w:t>
      </w:r>
      <w:r>
        <w:t xml:space="preserve"> was amended in November 2021 and again in June 2022 to improve how the Code is interpreted and enforced. </w:t>
      </w:r>
      <w:r w:rsidR="00343D4C">
        <w:t>Key</w:t>
      </w:r>
      <w:r>
        <w:t xml:space="preserve"> amendments include: </w:t>
      </w:r>
    </w:p>
    <w:p w14:paraId="7EBD22A3" w14:textId="7BDEF032" w:rsidR="00343D4C" w:rsidRPr="002365D9" w:rsidRDefault="00343D4C" w:rsidP="00343D4C">
      <w:pPr>
        <w:pStyle w:val="ListBullet"/>
        <w:numPr>
          <w:ilvl w:val="0"/>
          <w:numId w:val="20"/>
        </w:numPr>
        <w:tabs>
          <w:tab w:val="left" w:pos="340"/>
        </w:tabs>
        <w:ind w:right="0"/>
        <w:contextualSpacing/>
        <w:jc w:val="both"/>
      </w:pPr>
      <w:r>
        <w:t>F</w:t>
      </w:r>
      <w:r w:rsidRPr="002365D9">
        <w:t xml:space="preserve">ormalising </w:t>
      </w:r>
      <w:r>
        <w:t>protections for Large Brown Tree Frog and large trees</w:t>
      </w:r>
    </w:p>
    <w:p w14:paraId="38E6C326" w14:textId="42A9072E" w:rsidR="00343D4C" w:rsidRDefault="00343D4C" w:rsidP="00343D4C">
      <w:pPr>
        <w:pStyle w:val="ListBullet"/>
        <w:numPr>
          <w:ilvl w:val="0"/>
          <w:numId w:val="20"/>
        </w:numPr>
        <w:tabs>
          <w:tab w:val="left" w:pos="340"/>
        </w:tabs>
        <w:ind w:right="0"/>
        <w:contextualSpacing/>
        <w:jc w:val="both"/>
      </w:pPr>
      <w:r>
        <w:t>Substituting the definition of the precautionary principle in the Code, confirming the intention that the definition and obligation be understood consistently with the judgement in Environment East Gippsland Inc v VicForests [2010] VSC 335</w:t>
      </w:r>
    </w:p>
    <w:p w14:paraId="07D94D11" w14:textId="234190BA" w:rsidR="00343D4C" w:rsidRDefault="00343D4C" w:rsidP="00343D4C">
      <w:pPr>
        <w:pStyle w:val="ListBullet"/>
        <w:numPr>
          <w:ilvl w:val="0"/>
          <w:numId w:val="20"/>
        </w:numPr>
        <w:tabs>
          <w:tab w:val="left" w:pos="340"/>
        </w:tabs>
        <w:ind w:right="0"/>
        <w:contextualSpacing/>
        <w:jc w:val="both"/>
      </w:pPr>
      <w:r>
        <w:t>Clarifying the role of the Secretary from the role of the managing authority with respect to the development of Special Management Zones and Special Protection Zones</w:t>
      </w:r>
    </w:p>
    <w:p w14:paraId="366E4ADC" w14:textId="6E90AF13" w:rsidR="00343D4C" w:rsidRDefault="00343D4C" w:rsidP="00343D4C">
      <w:pPr>
        <w:pStyle w:val="ListBullet"/>
        <w:numPr>
          <w:ilvl w:val="0"/>
          <w:numId w:val="20"/>
        </w:numPr>
        <w:tabs>
          <w:tab w:val="left" w:pos="340"/>
        </w:tabs>
        <w:ind w:right="0"/>
        <w:contextualSpacing/>
        <w:jc w:val="both"/>
      </w:pPr>
      <w:r>
        <w:t>Relocating DELWP’s fixed forest management zoning objectives, previously contained Planning Standards for timber harvesting operations in Victoria’s State forests 2014, into Appendix 5 to the MSPs</w:t>
      </w:r>
      <w:r w:rsidR="003127E8">
        <w:t xml:space="preserve"> (</w:t>
      </w:r>
      <w:r>
        <w:t>These zoning targets are now contained DELWP’s Forest Management Zoning Accountability Framework</w:t>
      </w:r>
      <w:r w:rsidR="003127E8">
        <w:t>)</w:t>
      </w:r>
    </w:p>
    <w:p w14:paraId="403AB0EA" w14:textId="5DBD25AC" w:rsidR="00343D4C" w:rsidRDefault="00343D4C" w:rsidP="00343D4C">
      <w:pPr>
        <w:pStyle w:val="ListBullet"/>
        <w:numPr>
          <w:ilvl w:val="0"/>
          <w:numId w:val="20"/>
        </w:numPr>
        <w:tabs>
          <w:tab w:val="left" w:pos="340"/>
        </w:tabs>
        <w:ind w:right="0"/>
        <w:contextualSpacing/>
        <w:jc w:val="both"/>
      </w:pPr>
      <w:r>
        <w:t>Clarifying sections of the Code that have been shown to be ambiguous such as the interaction between broad vegetation requirements and specific species prescriptions in the MSPs​, protection requirements for the Tree Geebung​, and harvesting limits in fire management zones</w:t>
      </w:r>
      <w:r w:rsidR="003127E8">
        <w:t xml:space="preserve"> and</w:t>
      </w:r>
    </w:p>
    <w:p w14:paraId="26A1D66E" w14:textId="7B04D6B5" w:rsidR="00343D4C" w:rsidRPr="002365D9" w:rsidRDefault="00343D4C" w:rsidP="00343D4C">
      <w:pPr>
        <w:pStyle w:val="ListBullet"/>
        <w:numPr>
          <w:ilvl w:val="0"/>
          <w:numId w:val="20"/>
        </w:numPr>
        <w:tabs>
          <w:tab w:val="left" w:pos="340"/>
        </w:tabs>
        <w:ind w:right="0"/>
        <w:contextualSpacing/>
        <w:jc w:val="both"/>
      </w:pPr>
      <w:r>
        <w:t>M</w:t>
      </w:r>
      <w:r w:rsidRPr="002365D9">
        <w:t>oving the</w:t>
      </w:r>
      <w:r w:rsidRPr="00343D4C">
        <w:t> </w:t>
      </w:r>
      <w:r w:rsidRPr="00343D4C">
        <w:rPr>
          <w:i/>
          <w:iCs/>
        </w:rPr>
        <w:t>Management Standards and Procedures for timber harvesting operations in Victoria’s State forests</w:t>
      </w:r>
      <w:r w:rsidRPr="00343D4C">
        <w:t> (MSPs)</w:t>
      </w:r>
      <w:r w:rsidRPr="002365D9">
        <w:t xml:space="preserve"> into the Code as a schedule, rather than having them sit separately as an incorporated document</w:t>
      </w:r>
      <w:r w:rsidR="003127E8">
        <w:t>.</w:t>
      </w:r>
    </w:p>
    <w:p w14:paraId="44282EB4" w14:textId="4199D8EA" w:rsidR="00343D4C" w:rsidRPr="00494986" w:rsidRDefault="00343D4C" w:rsidP="00343D4C">
      <w:pPr>
        <w:pStyle w:val="BodyNormal"/>
      </w:pPr>
      <w:r w:rsidRPr="002365D9">
        <w:t xml:space="preserve">There has also been $14 million allocated to improve environmental standards in timber harvesting, which includes improving clarity about how to comply with </w:t>
      </w:r>
      <w:r w:rsidRPr="00A178DD">
        <w:t xml:space="preserve">requirements in the </w:t>
      </w:r>
      <w:r>
        <w:t>‘Code of Practice’</w:t>
      </w:r>
      <w:r w:rsidRPr="00A178DD">
        <w:t>.</w:t>
      </w:r>
      <w:r>
        <w:t xml:space="preserve"> DELWP will improve clarity by developing </w:t>
      </w:r>
      <w:r w:rsidR="004039C1">
        <w:t xml:space="preserve">a </w:t>
      </w:r>
      <w:r>
        <w:t xml:space="preserve">‘Compliance Standards’ </w:t>
      </w:r>
      <w:r w:rsidR="004039C1">
        <w:t xml:space="preserve">framework </w:t>
      </w:r>
      <w:r>
        <w:t>which will provide clarity about how timber harvesting operators can comply with the Code’s precautionary principle.</w:t>
      </w:r>
      <w:r w:rsidR="00DD418F">
        <w:t xml:space="preserve"> </w:t>
      </w:r>
      <w:r w:rsidR="00DD418F" w:rsidRPr="00DD418F">
        <w:t xml:space="preserve">The first stage of this reform has involved the enactment of the </w:t>
      </w:r>
      <w:r w:rsidR="00DD418F" w:rsidRPr="00DD418F">
        <w:rPr>
          <w:i/>
          <w:iCs/>
        </w:rPr>
        <w:t>Conservation, Forests and Lands Amendment Act 2022</w:t>
      </w:r>
      <w:r w:rsidR="00DD418F" w:rsidRPr="00DD418F">
        <w:t>. Further amendments to the Code will be required to establish a ‘compliance standards’ framework within the Code.</w:t>
      </w:r>
    </w:p>
    <w:p w14:paraId="6C7C77A7" w14:textId="77777777" w:rsidR="00343341" w:rsidRDefault="00343341" w:rsidP="00244531">
      <w:pPr>
        <w:pStyle w:val="Heading3NoNumber"/>
        <w:rPr>
          <w:rFonts w:hint="eastAsia"/>
        </w:rPr>
      </w:pPr>
      <w:r w:rsidRPr="00102961">
        <w:t xml:space="preserve">Threatened Species and </w:t>
      </w:r>
      <w:r w:rsidRPr="00244531">
        <w:t>Communities</w:t>
      </w:r>
      <w:r w:rsidRPr="00102961">
        <w:t xml:space="preserve"> </w:t>
      </w:r>
      <w:r>
        <w:t>R</w:t>
      </w:r>
      <w:r w:rsidRPr="00102961">
        <w:t xml:space="preserve">isk </w:t>
      </w:r>
      <w:r>
        <w:t>A</w:t>
      </w:r>
      <w:r w:rsidRPr="00102961">
        <w:t>ssessments – interim and permanent protections</w:t>
      </w:r>
    </w:p>
    <w:p w14:paraId="19AF4571" w14:textId="7A6B800E" w:rsidR="00187D02" w:rsidRPr="00343341" w:rsidRDefault="00187D02" w:rsidP="00187D02">
      <w:pPr>
        <w:pStyle w:val="BodyNormal"/>
      </w:pPr>
      <w:r>
        <w:t xml:space="preserve">The 2020 modernisation and improvement of Victoria’s five RFAs included a significantly expanded section dealing with Matters of National Environmental Significance (MNES) under the </w:t>
      </w:r>
      <w:r w:rsidRPr="00D92F68">
        <w:rPr>
          <w:i/>
          <w:iCs/>
        </w:rPr>
        <w:t>EPBC Act</w:t>
      </w:r>
      <w:r>
        <w:t xml:space="preserve"> and Listed Species and Communities (clauses 25A-S). These sections include requirements for Victoria to maintain a Forest Management System (FMS) that provides for the protection and management of MNES (clause 25A) and the conservation and recovery of Listed Species and Communities (clause 25G).</w:t>
      </w:r>
    </w:p>
    <w:p w14:paraId="7E072B98" w14:textId="70542D88" w:rsidR="00343341" w:rsidRDefault="00343341" w:rsidP="00B8255E">
      <w:pPr>
        <w:pStyle w:val="BodyNormal"/>
      </w:pPr>
      <w:r>
        <w:t xml:space="preserve">The Threatened Species and Communities Risk Assessment (TSCRA) </w:t>
      </w:r>
      <w:r w:rsidR="00343D4C">
        <w:t xml:space="preserve">Tranche 1 </w:t>
      </w:r>
      <w:r>
        <w:t>was completed in October 2020 and applied to 70 species and nine communities that are either Commonwealth or state-listed and that are, or have the potential to be, impacted by forestry operations. “Forestry operations” were assessed to pose a significant or high risk for 23 of the 79 evaluated species and communities.</w:t>
      </w:r>
      <w:r w:rsidR="003426E6">
        <w:t xml:space="preserve"> Since October Tranche 2 </w:t>
      </w:r>
      <w:r w:rsidR="008B2338">
        <w:t xml:space="preserve">has been </w:t>
      </w:r>
      <w:r w:rsidR="003426E6">
        <w:t xml:space="preserve">completed </w:t>
      </w:r>
      <w:r w:rsidR="001F3998">
        <w:t xml:space="preserve">and a report finalised, </w:t>
      </w:r>
      <w:r w:rsidR="003426E6">
        <w:t xml:space="preserve">with </w:t>
      </w:r>
      <w:r w:rsidR="001F3998">
        <w:t>Tranche 3</w:t>
      </w:r>
      <w:r w:rsidR="003426E6">
        <w:t xml:space="preserve"> currently underway</w:t>
      </w:r>
      <w:r w:rsidR="001F3998">
        <w:t>.</w:t>
      </w:r>
    </w:p>
    <w:p w14:paraId="4C1380FE" w14:textId="16032600" w:rsidR="00343341" w:rsidRDefault="005270D2" w:rsidP="00343341">
      <w:pPr>
        <w:pStyle w:val="BodyNormal"/>
        <w:rPr>
          <w:rFonts w:cs="Arial"/>
        </w:rPr>
      </w:pPr>
      <w:r>
        <w:rPr>
          <w:rFonts w:cs="Arial"/>
        </w:rPr>
        <w:t>T</w:t>
      </w:r>
      <w:r w:rsidR="00343341" w:rsidRPr="00022F2C">
        <w:rPr>
          <w:rFonts w:cs="Arial"/>
        </w:rPr>
        <w:t xml:space="preserve">he TSCRA </w:t>
      </w:r>
      <w:r w:rsidR="004E1273">
        <w:rPr>
          <w:rFonts w:cs="Arial"/>
        </w:rPr>
        <w:t xml:space="preserve">Tranche 1 Permanent Protection Report </w:t>
      </w:r>
      <w:r w:rsidR="00343341" w:rsidRPr="00022F2C">
        <w:rPr>
          <w:rFonts w:cs="Arial"/>
        </w:rPr>
        <w:t xml:space="preserve">recommended amendments to the Forest Management Zoning Scheme under </w:t>
      </w:r>
      <w:r w:rsidR="00343341" w:rsidRPr="00022F2C">
        <w:rPr>
          <w:rFonts w:cs="Arial"/>
          <w:i/>
          <w:iCs/>
        </w:rPr>
        <w:t xml:space="preserve">s22 Forests Act 1958. </w:t>
      </w:r>
      <w:r w:rsidR="00333C63" w:rsidRPr="00333C63">
        <w:rPr>
          <w:rFonts w:cs="Arial"/>
        </w:rPr>
        <w:t xml:space="preserve">These included permanent and interim </w:t>
      </w:r>
      <w:r w:rsidR="00333C63">
        <w:rPr>
          <w:rFonts w:cs="Arial"/>
        </w:rPr>
        <w:t xml:space="preserve">zoning </w:t>
      </w:r>
      <w:r w:rsidR="00333C63" w:rsidRPr="00333C63">
        <w:rPr>
          <w:rFonts w:cs="Arial"/>
        </w:rPr>
        <w:t xml:space="preserve">amendments </w:t>
      </w:r>
      <w:r w:rsidR="001F3998">
        <w:rPr>
          <w:rFonts w:cs="Arial"/>
        </w:rPr>
        <w:t xml:space="preserve">supporting the protection of 110,000 hectares </w:t>
      </w:r>
      <w:r w:rsidR="00333C63" w:rsidRPr="00333C63">
        <w:rPr>
          <w:rFonts w:cs="Arial"/>
        </w:rPr>
        <w:t>for 3</w:t>
      </w:r>
      <w:r w:rsidR="001F3998">
        <w:rPr>
          <w:rFonts w:cs="Arial"/>
        </w:rPr>
        <w:t>7</w:t>
      </w:r>
      <w:r w:rsidR="00333C63" w:rsidRPr="00333C63">
        <w:rPr>
          <w:rFonts w:cs="Arial"/>
        </w:rPr>
        <w:t xml:space="preserve"> species and two communities.</w:t>
      </w:r>
      <w:r w:rsidR="00333C63">
        <w:rPr>
          <w:rFonts w:cs="Arial"/>
          <w:i/>
          <w:iCs/>
        </w:rPr>
        <w:t xml:space="preserve"> </w:t>
      </w:r>
      <w:r w:rsidR="00343341" w:rsidRPr="00022F2C">
        <w:rPr>
          <w:rFonts w:cs="Arial"/>
        </w:rPr>
        <w:t xml:space="preserve">It </w:t>
      </w:r>
      <w:r w:rsidR="00343341" w:rsidRPr="00F82B05">
        <w:rPr>
          <w:rFonts w:cs="Arial"/>
        </w:rPr>
        <w:t xml:space="preserve">also </w:t>
      </w:r>
      <w:r w:rsidR="007B3E1F" w:rsidRPr="00F82B05">
        <w:rPr>
          <w:rFonts w:cs="Arial"/>
        </w:rPr>
        <w:t>identified</w:t>
      </w:r>
      <w:r w:rsidR="00343341" w:rsidRPr="00F82B05">
        <w:rPr>
          <w:rFonts w:cs="Arial"/>
        </w:rPr>
        <w:t xml:space="preserve"> Critical Habitat Determinations under s20 </w:t>
      </w:r>
      <w:r w:rsidR="00343341" w:rsidRPr="00F82B05">
        <w:rPr>
          <w:rFonts w:cs="Arial"/>
          <w:i/>
          <w:iCs/>
        </w:rPr>
        <w:t xml:space="preserve">Flora and Fauna Guarantee Act 1988 </w:t>
      </w:r>
      <w:r w:rsidR="00E6119E" w:rsidRPr="00F82B05">
        <w:rPr>
          <w:rFonts w:cs="Arial"/>
        </w:rPr>
        <w:t xml:space="preserve">as a </w:t>
      </w:r>
      <w:r w:rsidR="001F3998">
        <w:rPr>
          <w:rFonts w:cs="Arial"/>
        </w:rPr>
        <w:t xml:space="preserve">possible </w:t>
      </w:r>
      <w:r w:rsidR="00E6119E" w:rsidRPr="00F82B05">
        <w:rPr>
          <w:rFonts w:cs="Arial"/>
        </w:rPr>
        <w:t xml:space="preserve">implementation ‘pathway’ </w:t>
      </w:r>
      <w:r w:rsidR="00343341" w:rsidRPr="00F82B05">
        <w:rPr>
          <w:rFonts w:cs="Arial"/>
        </w:rPr>
        <w:t>to achieve more targeted responses</w:t>
      </w:r>
      <w:r w:rsidR="001F3998">
        <w:rPr>
          <w:rFonts w:cs="Arial"/>
        </w:rPr>
        <w:t xml:space="preserve"> though no definitive recommendations regarding this provision were made.</w:t>
      </w:r>
    </w:p>
    <w:p w14:paraId="4404A96E" w14:textId="5829BB18" w:rsidR="001F39D7" w:rsidRDefault="001F39D7" w:rsidP="00343341">
      <w:pPr>
        <w:pStyle w:val="BodyNormal"/>
        <w:rPr>
          <w:rFonts w:cs="Arial"/>
        </w:rPr>
      </w:pPr>
      <w:r>
        <w:rPr>
          <w:rFonts w:cs="Arial"/>
        </w:rPr>
        <w:lastRenderedPageBreak/>
        <w:t xml:space="preserve">The Victorian RFAs provide for rolling delivery of risk assessments, interim and permanent </w:t>
      </w:r>
      <w:proofErr w:type="gramStart"/>
      <w:r>
        <w:rPr>
          <w:rFonts w:cs="Arial"/>
        </w:rPr>
        <w:t>protections</w:t>
      </w:r>
      <w:proofErr w:type="gramEnd"/>
      <w:r>
        <w:rPr>
          <w:rFonts w:cs="Arial"/>
        </w:rPr>
        <w:t xml:space="preserve"> and management action</w:t>
      </w:r>
      <w:r w:rsidR="00984C50">
        <w:rPr>
          <w:rFonts w:cs="Arial"/>
        </w:rPr>
        <w:t>s as the status of listed species and communities changes or species and communities are newly added.</w:t>
      </w:r>
    </w:p>
    <w:p w14:paraId="273B9441" w14:textId="02A02619" w:rsidR="00984C50" w:rsidRPr="000716C0" w:rsidRDefault="00984C50" w:rsidP="00343341">
      <w:pPr>
        <w:pStyle w:val="BodyNormal"/>
        <w:rPr>
          <w:rFonts w:cs="Arial"/>
        </w:rPr>
      </w:pPr>
      <w:r>
        <w:rPr>
          <w:rFonts w:cs="Arial"/>
        </w:rPr>
        <w:t xml:space="preserve">The Victorian RFAs also provide for more timely </w:t>
      </w:r>
      <w:r w:rsidR="00180A58">
        <w:rPr>
          <w:rFonts w:cs="Arial"/>
        </w:rPr>
        <w:t>development of Action Statements.</w:t>
      </w:r>
    </w:p>
    <w:p w14:paraId="23486A57" w14:textId="155112B6" w:rsidR="00343341" w:rsidRDefault="00E137D1" w:rsidP="00244531">
      <w:pPr>
        <w:pStyle w:val="Heading3NoNumber"/>
        <w:rPr>
          <w:rFonts w:hint="eastAsia"/>
        </w:rPr>
      </w:pPr>
      <w:r>
        <w:t xml:space="preserve">Independent Review of the </w:t>
      </w:r>
      <w:r w:rsidR="00343341" w:rsidRPr="00D92F68">
        <w:t>E</w:t>
      </w:r>
      <w:r w:rsidRPr="00D92F68">
        <w:t xml:space="preserve">nvironment </w:t>
      </w:r>
      <w:r w:rsidR="00343341" w:rsidRPr="00D92F68">
        <w:t>P</w:t>
      </w:r>
      <w:r w:rsidRPr="00D92F68">
        <w:t xml:space="preserve">rotection and </w:t>
      </w:r>
      <w:r w:rsidR="00343341" w:rsidRPr="00D92F68">
        <w:t>B</w:t>
      </w:r>
      <w:r w:rsidRPr="00D92F68">
        <w:t xml:space="preserve">iodiversity </w:t>
      </w:r>
      <w:r w:rsidR="00343341" w:rsidRPr="00D92F68">
        <w:t>C</w:t>
      </w:r>
      <w:r w:rsidRPr="00D92F68">
        <w:t>onservation</w:t>
      </w:r>
      <w:r w:rsidR="00343341" w:rsidRPr="00D92F68">
        <w:t xml:space="preserve"> Act</w:t>
      </w:r>
      <w:r w:rsidRPr="00D92F68">
        <w:t xml:space="preserve"> </w:t>
      </w:r>
      <w:r w:rsidR="0030469B">
        <w:t>1999</w:t>
      </w:r>
      <w:r w:rsidR="00343341" w:rsidRPr="00D92F68">
        <w:t xml:space="preserve"> </w:t>
      </w:r>
    </w:p>
    <w:p w14:paraId="5451D430" w14:textId="022BCA82" w:rsidR="00E137D1" w:rsidRDefault="00E137D1" w:rsidP="00343341">
      <w:pPr>
        <w:pStyle w:val="BodyNormal"/>
      </w:pPr>
      <w:r>
        <w:t>An independent review of the</w:t>
      </w:r>
      <w:r w:rsidR="003127E8">
        <w:t xml:space="preserve"> Commonwealth</w:t>
      </w:r>
      <w:r>
        <w:t xml:space="preserve"> </w:t>
      </w:r>
      <w:r>
        <w:rPr>
          <w:i/>
          <w:iCs/>
        </w:rPr>
        <w:t xml:space="preserve">EPBC Act </w:t>
      </w:r>
      <w:r>
        <w:t xml:space="preserve">was conducted by Graeme Samuel AC and was delivered in October 2020. The </w:t>
      </w:r>
      <w:proofErr w:type="gramStart"/>
      <w:r>
        <w:t>Commonwealth Minister</w:t>
      </w:r>
      <w:proofErr w:type="gramEnd"/>
      <w:r>
        <w:t xml:space="preserve"> for the Environment subsequently indicated that the Commonwealth Government would release a response to his report by the end of 2022. </w:t>
      </w:r>
      <w:r w:rsidR="005270D2">
        <w:t>R</w:t>
      </w:r>
      <w:r>
        <w:t>ecommendations may have implications for the Victorian RFAs and the Victorian forest management system.</w:t>
      </w:r>
    </w:p>
    <w:p w14:paraId="162B86B0" w14:textId="3A211574" w:rsidR="00A2034B" w:rsidRPr="00A2034B" w:rsidRDefault="00A2034B" w:rsidP="00A2034B">
      <w:pPr>
        <w:pStyle w:val="BodyNormal"/>
        <w:rPr>
          <w:b/>
          <w:bCs/>
        </w:rPr>
      </w:pPr>
    </w:p>
    <w:p w14:paraId="54519B35" w14:textId="77777777" w:rsidR="00A2034B" w:rsidRPr="00AD6CEE" w:rsidRDefault="00A2034B" w:rsidP="00AD6CEE">
      <w:pPr>
        <w:pStyle w:val="BodyNormal"/>
      </w:pPr>
    </w:p>
    <w:p w14:paraId="079CF198" w14:textId="4EB426CC" w:rsidR="00FD0BAD" w:rsidRDefault="00C53F43">
      <w:pPr>
        <w:pStyle w:val="Heading1"/>
      </w:pPr>
      <w:bookmarkStart w:id="12" w:name="_Toc121258703"/>
      <w:r>
        <w:lastRenderedPageBreak/>
        <w:t>Analysis of legislation in scope</w:t>
      </w:r>
      <w:bookmarkEnd w:id="12"/>
    </w:p>
    <w:p w14:paraId="13A44847" w14:textId="44D85105" w:rsidR="001E3DE5" w:rsidRDefault="001E3DE5" w:rsidP="000351A1">
      <w:pPr>
        <w:pStyle w:val="BodyNormal"/>
      </w:pPr>
      <w:r>
        <w:t xml:space="preserve">This section provides the key findings </w:t>
      </w:r>
      <w:r w:rsidR="00E12F1A">
        <w:t>from the</w:t>
      </w:r>
      <w:r>
        <w:t xml:space="preserve"> </w:t>
      </w:r>
      <w:r w:rsidR="001B45D4">
        <w:t xml:space="preserve">analysis of relevant legislative provisions, including their function in protection of </w:t>
      </w:r>
      <w:r w:rsidR="009F3932">
        <w:t>T</w:t>
      </w:r>
      <w:r w:rsidR="001B45D4">
        <w:t xml:space="preserve">hreatened </w:t>
      </w:r>
      <w:r w:rsidR="009F3932">
        <w:t>S</w:t>
      </w:r>
      <w:r w:rsidR="001B45D4">
        <w:t xml:space="preserve">pecies and </w:t>
      </w:r>
      <w:r w:rsidR="009F3932">
        <w:t>C</w:t>
      </w:r>
      <w:r w:rsidR="001B45D4">
        <w:t xml:space="preserve">ommunities and possible opportunities to strengthen such provisions. </w:t>
      </w:r>
      <w:r w:rsidR="009F16B4">
        <w:t>Given the legislation in scope and their</w:t>
      </w:r>
      <w:r w:rsidR="00663BE1">
        <w:t xml:space="preserve"> varied</w:t>
      </w:r>
      <w:r w:rsidR="009F16B4">
        <w:t xml:space="preserve"> objectives, </w:t>
      </w:r>
      <w:r w:rsidR="000037FF">
        <w:t xml:space="preserve">the need for a framework that was autonomous from the legislation but described the process for protecting </w:t>
      </w:r>
      <w:r w:rsidR="009F3932">
        <w:t>T</w:t>
      </w:r>
      <w:r w:rsidR="000037FF">
        <w:t xml:space="preserve">hreatened </w:t>
      </w:r>
      <w:r w:rsidR="009F3932">
        <w:t>S</w:t>
      </w:r>
      <w:r w:rsidR="000037FF">
        <w:t xml:space="preserve">pecies and </w:t>
      </w:r>
      <w:r w:rsidR="009F3932">
        <w:t>C</w:t>
      </w:r>
      <w:r w:rsidR="000037FF">
        <w:t xml:space="preserve">ommunities was identified at the start of the review </w:t>
      </w:r>
      <w:r w:rsidR="000037FF" w:rsidRPr="00D92F68">
        <w:t xml:space="preserve">process.  This framework is </w:t>
      </w:r>
      <w:r w:rsidR="00562D95" w:rsidRPr="00D92F68">
        <w:t>depicted visually in Fig</w:t>
      </w:r>
      <w:r w:rsidR="005006D7">
        <w:t>ure</w:t>
      </w:r>
      <w:r w:rsidR="00562D95" w:rsidRPr="00D92F68">
        <w:t xml:space="preserve"> 4-1 </w:t>
      </w:r>
      <w:r w:rsidR="000037FF" w:rsidRPr="00D92F68">
        <w:t>below</w:t>
      </w:r>
      <w:r w:rsidR="00A9699D">
        <w:t>.</w:t>
      </w:r>
    </w:p>
    <w:p w14:paraId="0B116FFC" w14:textId="7DAAFF12" w:rsidR="0024046C" w:rsidRDefault="0024046C">
      <w:pPr>
        <w:pStyle w:val="Heading2"/>
        <w:rPr>
          <w:rFonts w:hint="eastAsia"/>
        </w:rPr>
      </w:pPr>
      <w:bookmarkStart w:id="13" w:name="_Toc121258704"/>
      <w:r>
        <w:t>The framework for this review</w:t>
      </w:r>
      <w:bookmarkEnd w:id="13"/>
    </w:p>
    <w:p w14:paraId="01CE7B15" w14:textId="7A427661" w:rsidR="009F16B4" w:rsidRDefault="009F16B4" w:rsidP="009F16B4">
      <w:pPr>
        <w:pStyle w:val="BodyNormal"/>
      </w:pPr>
      <w:r>
        <w:t xml:space="preserve">A ‘Pathway to Protection’ </w:t>
      </w:r>
      <w:r w:rsidR="00244531">
        <w:t>description</w:t>
      </w:r>
      <w:r>
        <w:t xml:space="preserve"> has been </w:t>
      </w:r>
      <w:r w:rsidR="00244531">
        <w:t xml:space="preserve">developed </w:t>
      </w:r>
      <w:r>
        <w:t xml:space="preserve">to </w:t>
      </w:r>
      <w:r w:rsidR="00244531">
        <w:t>provide a framework for</w:t>
      </w:r>
      <w:r>
        <w:t xml:space="preserve"> th</w:t>
      </w:r>
      <w:r w:rsidR="00244531">
        <w:t>is review</w:t>
      </w:r>
      <w:r>
        <w:t xml:space="preserve">. </w:t>
      </w:r>
    </w:p>
    <w:p w14:paraId="24085CE6" w14:textId="6FD60945" w:rsidR="00A2034B" w:rsidRPr="00A2034B" w:rsidRDefault="000037FF" w:rsidP="00A2034B">
      <w:pPr>
        <w:pStyle w:val="BodyNormal"/>
      </w:pPr>
      <w:r w:rsidRPr="00A25A52">
        <w:rPr>
          <w:noProof/>
        </w:rPr>
        <w:drawing>
          <wp:inline distT="0" distB="0" distL="0" distR="0" wp14:anchorId="012EA198" wp14:editId="458A0783">
            <wp:extent cx="4463359" cy="5712325"/>
            <wp:effectExtent l="0" t="0" r="0" b="3175"/>
            <wp:docPr id="3" name="Picture 3" descr="Figure 4-1: Threatened Species and Communities Protection Pathway (based on discussion and consultation with the Work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4-1: Threatened Species and Communities Protection Pathway (based on discussion and consultation with the Working Group)"/>
                    <pic:cNvPicPr/>
                  </pic:nvPicPr>
                  <pic:blipFill>
                    <a:blip r:embed="rId31"/>
                    <a:stretch>
                      <a:fillRect/>
                    </a:stretch>
                  </pic:blipFill>
                  <pic:spPr>
                    <a:xfrm>
                      <a:off x="0" y="0"/>
                      <a:ext cx="4535658" cy="5804856"/>
                    </a:xfrm>
                    <a:prstGeom prst="rect">
                      <a:avLst/>
                    </a:prstGeom>
                  </pic:spPr>
                </pic:pic>
              </a:graphicData>
            </a:graphic>
          </wp:inline>
        </w:drawing>
      </w:r>
    </w:p>
    <w:p w14:paraId="59D65420" w14:textId="3DB06370" w:rsidR="007E4BE2" w:rsidRPr="000037FF" w:rsidRDefault="009F16B4" w:rsidP="009F16B4">
      <w:pPr>
        <w:pStyle w:val="Caption"/>
        <w:jc w:val="both"/>
        <w:rPr>
          <w:b w:val="0"/>
        </w:rPr>
      </w:pPr>
      <w:r w:rsidRPr="00212F83">
        <w:t xml:space="preserve">Figure </w:t>
      </w:r>
      <w:r w:rsidR="00562D95" w:rsidRPr="00212F83">
        <w:t>4-1</w:t>
      </w:r>
      <w:r w:rsidRPr="00212F83">
        <w:t xml:space="preserve">: </w:t>
      </w:r>
      <w:r w:rsidR="00A05F21" w:rsidRPr="00212F83">
        <w:rPr>
          <w:bCs/>
        </w:rPr>
        <w:t xml:space="preserve">Threatened Species and Communities Protection Pathway </w:t>
      </w:r>
      <w:r w:rsidR="00A05F21" w:rsidRPr="00212F83">
        <w:rPr>
          <w:b w:val="0"/>
        </w:rPr>
        <w:t xml:space="preserve">(based on discussion and consultation with </w:t>
      </w:r>
      <w:r w:rsidR="001B45D4">
        <w:rPr>
          <w:b w:val="0"/>
        </w:rPr>
        <w:t xml:space="preserve">the </w:t>
      </w:r>
      <w:r w:rsidR="00A05F21" w:rsidRPr="00212F83">
        <w:rPr>
          <w:b w:val="0"/>
        </w:rPr>
        <w:t>Working Group)</w:t>
      </w:r>
    </w:p>
    <w:p w14:paraId="7A5B36C2" w14:textId="7A926744" w:rsidR="007E4BE2" w:rsidRDefault="007E4BE2" w:rsidP="007E4BE2">
      <w:pPr>
        <w:pStyle w:val="BodyNormal"/>
      </w:pPr>
    </w:p>
    <w:p w14:paraId="013458CB" w14:textId="20401A77" w:rsidR="00E12F1A" w:rsidRPr="00900C43" w:rsidRDefault="00DD61A5" w:rsidP="008B4D85">
      <w:pPr>
        <w:pStyle w:val="Heading2"/>
        <w:rPr>
          <w:rFonts w:hint="eastAsia"/>
        </w:rPr>
      </w:pPr>
      <w:bookmarkStart w:id="14" w:name="_Toc121258705"/>
      <w:r w:rsidRPr="00900C43">
        <w:lastRenderedPageBreak/>
        <w:t>Findings</w:t>
      </w:r>
      <w:r w:rsidR="00D8026D" w:rsidRPr="00900C43">
        <w:t xml:space="preserve"> – desktop review and consultation</w:t>
      </w:r>
      <w:bookmarkEnd w:id="14"/>
      <w:r w:rsidRPr="00900C43">
        <w:t xml:space="preserve">  </w:t>
      </w:r>
    </w:p>
    <w:p w14:paraId="47F6A5FC" w14:textId="5C4FEC98" w:rsidR="008B4D85" w:rsidRPr="008B4D85" w:rsidRDefault="008B4D85" w:rsidP="00D8026D">
      <w:pPr>
        <w:pStyle w:val="Heading3"/>
      </w:pPr>
      <w:r>
        <w:t>Overview</w:t>
      </w:r>
    </w:p>
    <w:p w14:paraId="10CF3A9A" w14:textId="4090814F" w:rsidR="00663BE1" w:rsidRDefault="00663BE1" w:rsidP="00663BE1">
      <w:pPr>
        <w:pStyle w:val="BodyNormal"/>
      </w:pPr>
      <w:r>
        <w:t>The relevant</w:t>
      </w:r>
      <w:r w:rsidR="004F7ED7">
        <w:t xml:space="preserve"> legislative</w:t>
      </w:r>
      <w:r>
        <w:t xml:space="preserve"> provisions, as identified through desktop review of the legislation and by Working Group members,</w:t>
      </w:r>
      <w:r w:rsidRPr="004D0B5D">
        <w:t xml:space="preserve"> </w:t>
      </w:r>
      <w:r w:rsidRPr="009459D7">
        <w:t xml:space="preserve">have been mapped to the ‘Pathway to Protection’ framework </w:t>
      </w:r>
      <w:r w:rsidRPr="006D64EB">
        <w:t xml:space="preserve">(Figure </w:t>
      </w:r>
      <w:r w:rsidR="00261BB2" w:rsidRPr="006D64EB">
        <w:t>4-1</w:t>
      </w:r>
      <w:r w:rsidRPr="006D64EB">
        <w:t>)</w:t>
      </w:r>
      <w:r w:rsidR="00212F83" w:rsidRPr="006D64EB">
        <w:t>.</w:t>
      </w:r>
    </w:p>
    <w:p w14:paraId="7907D958" w14:textId="77777777" w:rsidR="00663BE1" w:rsidRDefault="00663BE1" w:rsidP="00663BE1">
      <w:pPr>
        <w:pStyle w:val="BodyNormal"/>
      </w:pPr>
      <w:r>
        <w:t>This mapping exercise has been undertaken to:</w:t>
      </w:r>
    </w:p>
    <w:p w14:paraId="3D29F609" w14:textId="1887099A" w:rsidR="00663BE1" w:rsidRDefault="00663BE1" w:rsidP="00663BE1">
      <w:pPr>
        <w:pStyle w:val="ListBullet"/>
        <w:numPr>
          <w:ilvl w:val="0"/>
          <w:numId w:val="20"/>
        </w:numPr>
        <w:tabs>
          <w:tab w:val="left" w:pos="340"/>
        </w:tabs>
        <w:ind w:right="0"/>
        <w:contextualSpacing/>
        <w:jc w:val="both"/>
      </w:pPr>
      <w:r>
        <w:t>Identify how various provisions</w:t>
      </w:r>
      <w:r w:rsidR="00F003DC">
        <w:t xml:space="preserve"> </w:t>
      </w:r>
      <w:r>
        <w:t xml:space="preserve">contribute to the process of protecting </w:t>
      </w:r>
      <w:r w:rsidR="009F3932">
        <w:t>T</w:t>
      </w:r>
      <w:r>
        <w:t xml:space="preserve">hreatened </w:t>
      </w:r>
      <w:r w:rsidR="009F3932">
        <w:t>S</w:t>
      </w:r>
      <w:r>
        <w:t xml:space="preserve">pecies and </w:t>
      </w:r>
      <w:r w:rsidR="009F3932">
        <w:t>C</w:t>
      </w:r>
      <w:r>
        <w:t>ommunities</w:t>
      </w:r>
    </w:p>
    <w:p w14:paraId="0DD094DC" w14:textId="408C57FF" w:rsidR="00663BE1" w:rsidRDefault="00663BE1" w:rsidP="00663BE1">
      <w:pPr>
        <w:pStyle w:val="ListBullet"/>
        <w:numPr>
          <w:ilvl w:val="0"/>
          <w:numId w:val="20"/>
        </w:numPr>
        <w:tabs>
          <w:tab w:val="left" w:pos="340"/>
        </w:tabs>
        <w:ind w:right="0"/>
        <w:contextualSpacing/>
        <w:jc w:val="both"/>
      </w:pPr>
      <w:r>
        <w:t xml:space="preserve">Highlight the potential legislative ‘gaps’ in the pathway to protection or where there are stages that may require ‘connection’ between relevant legislation to strengthen protection of </w:t>
      </w:r>
      <w:r w:rsidR="009F3932">
        <w:t>T</w:t>
      </w:r>
      <w:r>
        <w:t xml:space="preserve">hreatened </w:t>
      </w:r>
      <w:r w:rsidR="009F3932">
        <w:t>S</w:t>
      </w:r>
      <w:r>
        <w:t xml:space="preserve">pecies and </w:t>
      </w:r>
      <w:r w:rsidR="009F3932">
        <w:t>C</w:t>
      </w:r>
      <w:r>
        <w:t>ommunities.</w:t>
      </w:r>
    </w:p>
    <w:p w14:paraId="15EB6A61" w14:textId="4E5B4AB8" w:rsidR="00663BE1" w:rsidRDefault="00A9699D" w:rsidP="00663BE1">
      <w:pPr>
        <w:pStyle w:val="BodyNormal"/>
      </w:pPr>
      <w:r>
        <w:t>An analysis of</w:t>
      </w:r>
      <w:r w:rsidR="00663BE1">
        <w:t xml:space="preserve"> relevant legislative provisions, including their relative contributions to the pathway to protection and opportunity for further exploration as part of this review, has been based on interviews with the Working Group members and from the discussions in the Working Group sessions.</w:t>
      </w:r>
    </w:p>
    <w:p w14:paraId="1F4E6610" w14:textId="77777777" w:rsidR="00EA60BA" w:rsidRDefault="00EA60BA" w:rsidP="00663BE1">
      <w:pPr>
        <w:pStyle w:val="BodyNormal"/>
      </w:pPr>
    </w:p>
    <w:p w14:paraId="7D7903AA" w14:textId="1C48BD16" w:rsidR="001B2F30" w:rsidRPr="00FF62E3" w:rsidRDefault="002D09A2" w:rsidP="34CE5C7C">
      <w:pPr>
        <w:pStyle w:val="BodyNormal"/>
        <w:rPr>
          <w:i/>
          <w:iCs/>
        </w:rPr>
      </w:pPr>
      <w:r>
        <w:rPr>
          <w:i/>
          <w:iCs/>
          <w:noProof/>
        </w:rPr>
        <w:lastRenderedPageBreak/>
        <w:drawing>
          <wp:inline distT="0" distB="0" distL="0" distR="0" wp14:anchorId="2D8AB881" wp14:editId="7A495D42">
            <wp:extent cx="6013830" cy="8177530"/>
            <wp:effectExtent l="0" t="0" r="6350" b="0"/>
            <wp:docPr id="15" name="Picture 15" descr="Figure 4-2: Legislative provisions and subordinate instruments mapped against each stage in the pathway to protection for Threatened Species and Communities in Victoria’s for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4-2: Legislative provisions and subordinate instruments mapped against each stage in the pathway to protection for Threatened Species and Communities in Victoria’s forests."/>
                    <pic:cNvPicPr/>
                  </pic:nvPicPr>
                  <pic:blipFill>
                    <a:blip r:embed="rId32" cstate="print">
                      <a:extLst>
                        <a:ext uri="{28A0092B-C50C-407E-A947-70E740481C1C}">
                          <a14:useLocalDpi xmlns:a14="http://schemas.microsoft.com/office/drawing/2010/main" val="0"/>
                        </a:ext>
                      </a:extLst>
                    </a:blip>
                    <a:srcRect t="1922" b="1922"/>
                    <a:stretch>
                      <a:fillRect/>
                    </a:stretch>
                  </pic:blipFill>
                  <pic:spPr bwMode="auto">
                    <a:xfrm>
                      <a:off x="0" y="0"/>
                      <a:ext cx="6020379" cy="8186436"/>
                    </a:xfrm>
                    <a:prstGeom prst="rect">
                      <a:avLst/>
                    </a:prstGeom>
                    <a:ln>
                      <a:noFill/>
                    </a:ln>
                    <a:extLst>
                      <a:ext uri="{53640926-AAD7-44D8-BBD7-CCE9431645EC}">
                        <a14:shadowObscured xmlns:a14="http://schemas.microsoft.com/office/drawing/2010/main"/>
                      </a:ext>
                    </a:extLst>
                  </pic:spPr>
                </pic:pic>
              </a:graphicData>
            </a:graphic>
          </wp:inline>
        </w:drawing>
      </w:r>
    </w:p>
    <w:p w14:paraId="62BE2411" w14:textId="0154150F" w:rsidR="00343440" w:rsidRDefault="00343440" w:rsidP="00343440">
      <w:pPr>
        <w:pStyle w:val="Caption"/>
      </w:pPr>
      <w:r w:rsidRPr="002056EB">
        <w:t xml:space="preserve">Figure </w:t>
      </w:r>
      <w:r w:rsidR="007706FE">
        <w:t>4-2</w:t>
      </w:r>
      <w:r w:rsidR="00AF45FB">
        <w:t>:</w:t>
      </w:r>
      <w:r w:rsidRPr="002056EB">
        <w:t xml:space="preserve"> </w:t>
      </w:r>
      <w:r w:rsidR="00282303">
        <w:t>L</w:t>
      </w:r>
      <w:r w:rsidR="00282303" w:rsidRPr="002056EB">
        <w:t>egislative</w:t>
      </w:r>
      <w:r w:rsidRPr="002056EB">
        <w:t xml:space="preserve"> provisions and subordinate instruments </w:t>
      </w:r>
      <w:r w:rsidR="00282303">
        <w:t>mapped against</w:t>
      </w:r>
      <w:r>
        <w:t xml:space="preserve"> each stage in the pathway to protection for </w:t>
      </w:r>
      <w:r w:rsidR="009F3932">
        <w:t>T</w:t>
      </w:r>
      <w:r>
        <w:t xml:space="preserve">hreatened </w:t>
      </w:r>
      <w:r w:rsidR="009F3932">
        <w:t>S</w:t>
      </w:r>
      <w:r>
        <w:t xml:space="preserve">pecies and </w:t>
      </w:r>
      <w:r w:rsidR="009F3932">
        <w:t>C</w:t>
      </w:r>
      <w:r>
        <w:t>ommunities in Victoria’s forests.</w:t>
      </w:r>
    </w:p>
    <w:p w14:paraId="68AF625B" w14:textId="26FB263B" w:rsidR="00A552A3" w:rsidRDefault="00A552A3" w:rsidP="00A552A3"/>
    <w:p w14:paraId="0BF67AC8" w14:textId="77777777" w:rsidR="00282303" w:rsidRPr="00A552A3" w:rsidRDefault="00282303" w:rsidP="00A552A3"/>
    <w:p w14:paraId="2913EBDD" w14:textId="0BF132FD" w:rsidR="00CB1534" w:rsidRDefault="00CB1534" w:rsidP="00E16666">
      <w:pPr>
        <w:pStyle w:val="Heading3"/>
      </w:pPr>
      <w:r>
        <w:lastRenderedPageBreak/>
        <w:t xml:space="preserve">pathway step 1: problem IDENTIFICATION </w:t>
      </w:r>
    </w:p>
    <w:p w14:paraId="3F3DD493" w14:textId="3B55C149" w:rsidR="00370A1F" w:rsidRPr="00370A1F" w:rsidRDefault="00370A1F" w:rsidP="00370A1F">
      <w:pPr>
        <w:pStyle w:val="BodyNormal"/>
      </w:pPr>
      <w:r>
        <w:t xml:space="preserve">From Figure 4-2: </w:t>
      </w:r>
    </w:p>
    <w:p w14:paraId="0F6F39A1" w14:textId="6A14745B" w:rsidR="00E16666" w:rsidRPr="00E16666" w:rsidRDefault="00F21BEC" w:rsidP="00E16666">
      <w:pPr>
        <w:pStyle w:val="BodyNormal"/>
      </w:pPr>
      <w:r w:rsidRPr="00F21BEC">
        <w:rPr>
          <w:noProof/>
        </w:rPr>
        <w:drawing>
          <wp:inline distT="0" distB="0" distL="0" distR="0" wp14:anchorId="2DC0B368" wp14:editId="09948E01">
            <wp:extent cx="5941060" cy="1485265"/>
            <wp:effectExtent l="0" t="0" r="2540" b="635"/>
            <wp:docPr id="16" name="Picture 16" descr="As shown in Figure 4-2, the identification of a problem for a Victorian species or ecological community occurs primarily through the nomination and formal listing processes, as provided for by the FFG 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s shown in Figure 4-2, the identification of a problem for a Victorian species or ecological community occurs primarily through the nomination and formal listing processes, as provided for by the FFG Act. "/>
                    <pic:cNvPicPr/>
                  </pic:nvPicPr>
                  <pic:blipFill>
                    <a:blip r:embed="rId33"/>
                    <a:stretch>
                      <a:fillRect/>
                    </a:stretch>
                  </pic:blipFill>
                  <pic:spPr>
                    <a:xfrm>
                      <a:off x="0" y="0"/>
                      <a:ext cx="5941060" cy="1485265"/>
                    </a:xfrm>
                    <a:prstGeom prst="rect">
                      <a:avLst/>
                    </a:prstGeom>
                  </pic:spPr>
                </pic:pic>
              </a:graphicData>
            </a:graphic>
          </wp:inline>
        </w:drawing>
      </w:r>
    </w:p>
    <w:p w14:paraId="3B5C7641" w14:textId="29646C2E" w:rsidR="00CB1534" w:rsidRDefault="000229E3" w:rsidP="00CB1534">
      <w:pPr>
        <w:pStyle w:val="BodyNormal"/>
      </w:pPr>
      <w:r>
        <w:t>As shown in Fig</w:t>
      </w:r>
      <w:r w:rsidR="006D64EB">
        <w:t>ure</w:t>
      </w:r>
      <w:r>
        <w:t xml:space="preserve"> 4-2, the identification of a problem for a Victorian species or ecological community occurs primarily through the </w:t>
      </w:r>
      <w:r w:rsidR="00CB1534">
        <w:t xml:space="preserve">nomination and formal listing </w:t>
      </w:r>
      <w:r>
        <w:t xml:space="preserve">processes, as provided for by </w:t>
      </w:r>
      <w:r w:rsidR="00CB1534">
        <w:t xml:space="preserve">the </w:t>
      </w:r>
      <w:r w:rsidR="00CB1534" w:rsidRPr="000229E3">
        <w:rPr>
          <w:i/>
          <w:iCs/>
        </w:rPr>
        <w:t>FFG Act</w:t>
      </w:r>
      <w:r w:rsidR="00CB1534">
        <w:t xml:space="preserve">. </w:t>
      </w:r>
    </w:p>
    <w:p w14:paraId="65316737" w14:textId="75034F31" w:rsidR="00CB1534" w:rsidRDefault="00CB1534" w:rsidP="00EA60BA">
      <w:pPr>
        <w:pStyle w:val="BodyNormal"/>
      </w:pPr>
      <w:r>
        <w:t xml:space="preserve">The </w:t>
      </w:r>
      <w:r w:rsidR="00BD2434">
        <w:t>l</w:t>
      </w:r>
      <w:r>
        <w:t xml:space="preserve">isting process is established in Part 3 of the </w:t>
      </w:r>
      <w:r w:rsidRPr="003127E8">
        <w:rPr>
          <w:i/>
          <w:iCs/>
        </w:rPr>
        <w:t>FFG Act</w:t>
      </w:r>
      <w:r w:rsidRPr="00EA60BA">
        <w:t xml:space="preserve">, </w:t>
      </w:r>
      <w:r>
        <w:t xml:space="preserve">and the listing of threatened species was extensively addressed in the recent review of the </w:t>
      </w:r>
      <w:r w:rsidRPr="003127E8">
        <w:rPr>
          <w:i/>
          <w:iCs/>
        </w:rPr>
        <w:t>FFG Act</w:t>
      </w:r>
      <w:r>
        <w:t xml:space="preserve"> and in the subsequent amendment in 2019. </w:t>
      </w:r>
      <w:r w:rsidR="005D6ACC">
        <w:t>Given this</w:t>
      </w:r>
      <w:r w:rsidR="006D64EB">
        <w:t>,</w:t>
      </w:r>
      <w:r w:rsidR="005D6ACC">
        <w:t xml:space="preserve"> there are no </w:t>
      </w:r>
      <w:r w:rsidR="00BD2434">
        <w:t>obvious areas</w:t>
      </w:r>
      <w:r w:rsidR="006D64EB">
        <w:t xml:space="preserve"> for improvement to the related legislative provisions, though the following considerations </w:t>
      </w:r>
      <w:r w:rsidR="008C7356">
        <w:t xml:space="preserve">that </w:t>
      </w:r>
      <w:r w:rsidR="006D64EB">
        <w:t>have been previous</w:t>
      </w:r>
      <w:r w:rsidR="009244D2">
        <w:t>ly</w:t>
      </w:r>
      <w:r w:rsidR="006D64EB">
        <w:t xml:space="preserve"> identified</w:t>
      </w:r>
      <w:r w:rsidR="002E3914">
        <w:t>,</w:t>
      </w:r>
      <w:r w:rsidR="008C7356">
        <w:t xml:space="preserve"> </w:t>
      </w:r>
      <w:r w:rsidR="002E3914">
        <w:t>may have some significance</w:t>
      </w:r>
      <w:r w:rsidR="008C7356">
        <w:t xml:space="preserve"> for this review</w:t>
      </w:r>
      <w:r w:rsidR="006D64EB">
        <w:t>:</w:t>
      </w:r>
    </w:p>
    <w:p w14:paraId="298249CF" w14:textId="2EFE141A" w:rsidR="00BC613C" w:rsidRPr="008C7356" w:rsidRDefault="00BC613C" w:rsidP="00EA60BA">
      <w:pPr>
        <w:pStyle w:val="ListBullet"/>
        <w:numPr>
          <w:ilvl w:val="0"/>
          <w:numId w:val="20"/>
        </w:numPr>
        <w:tabs>
          <w:tab w:val="left" w:pos="340"/>
        </w:tabs>
        <w:ind w:right="0"/>
        <w:contextualSpacing/>
        <w:jc w:val="both"/>
      </w:pPr>
      <w:r w:rsidRPr="008C7356">
        <w:t>Introducing a provision for five-yearly review of the Threatened Species and Communities Lists by independent scientific experts, which specifically must flag any failure to publish an Action Statement, failure to consider the need for Critical Habitat Determination</w:t>
      </w:r>
      <w:r w:rsidR="002E3914">
        <w:t xml:space="preserve"> (CHD)</w:t>
      </w:r>
      <w:r w:rsidRPr="008C7356">
        <w:t xml:space="preserve">, or failure to implement the actions specified in an Action Statement, </w:t>
      </w:r>
      <w:proofErr w:type="gramStart"/>
      <w:r w:rsidRPr="008C7356">
        <w:t>Flora</w:t>
      </w:r>
      <w:proofErr w:type="gramEnd"/>
      <w:r w:rsidRPr="008C7356">
        <w:t xml:space="preserve"> and Fauna Management Plan</w:t>
      </w:r>
      <w:r w:rsidR="002E3914">
        <w:t xml:space="preserve"> (FFMP)</w:t>
      </w:r>
      <w:r w:rsidRPr="008C7356">
        <w:t xml:space="preserve"> or relevant Habitat Conservation Order</w:t>
      </w:r>
      <w:r w:rsidR="002E3914">
        <w:t xml:space="preserve"> (HCO)</w:t>
      </w:r>
    </w:p>
    <w:p w14:paraId="065645B2" w14:textId="7003F6B1" w:rsidR="00BC613C" w:rsidRPr="008C7356" w:rsidRDefault="00BC613C" w:rsidP="00EA60BA">
      <w:pPr>
        <w:pStyle w:val="ListBullet"/>
        <w:numPr>
          <w:ilvl w:val="0"/>
          <w:numId w:val="20"/>
        </w:numPr>
        <w:tabs>
          <w:tab w:val="left" w:pos="340"/>
        </w:tabs>
        <w:ind w:right="0"/>
        <w:contextualSpacing/>
        <w:jc w:val="both"/>
      </w:pPr>
      <w:r w:rsidRPr="008C7356">
        <w:t xml:space="preserve">Introducing a provision to ensure that Victorian threatened species that are also listed under the national </w:t>
      </w:r>
      <w:r w:rsidRPr="00EA60BA">
        <w:t>EPBC Act,</w:t>
      </w:r>
      <w:r w:rsidRPr="008C7356">
        <w:t xml:space="preserve"> which currently are to be listed only with their Australian category regardless of whether the species is more particularly at threat in Victoria, be formally acknowledged as under heightened threat in Victoria</w:t>
      </w:r>
    </w:p>
    <w:p w14:paraId="3AA8DA43" w14:textId="74978565" w:rsidR="00F216C9" w:rsidRPr="002E3914" w:rsidRDefault="00F216C9" w:rsidP="00EA60BA">
      <w:pPr>
        <w:pStyle w:val="ListBullet"/>
        <w:numPr>
          <w:ilvl w:val="0"/>
          <w:numId w:val="20"/>
        </w:numPr>
        <w:tabs>
          <w:tab w:val="left" w:pos="340"/>
        </w:tabs>
        <w:ind w:right="0"/>
        <w:contextualSpacing/>
        <w:jc w:val="both"/>
      </w:pPr>
      <w:r w:rsidRPr="00EA60BA">
        <w:t>The creation of criteria</w:t>
      </w:r>
      <w:r w:rsidRPr="008C7356">
        <w:rPr>
          <w:rFonts w:cs="Arial"/>
          <w:szCs w:val="18"/>
        </w:rPr>
        <w:t xml:space="preserve"> that guide when the Minister may seek advice from the Scientific Advisory Committee could address the current legislation’s inability to provide for emergency listing of a species under imminent threat. </w:t>
      </w:r>
    </w:p>
    <w:p w14:paraId="73E5582B" w14:textId="3163D178" w:rsidR="002E3914" w:rsidRPr="006C00A7" w:rsidRDefault="002E3914" w:rsidP="002E3914">
      <w:pPr>
        <w:pStyle w:val="BodyNormal"/>
        <w:rPr>
          <w:i/>
          <w:iCs/>
        </w:rPr>
      </w:pPr>
      <w:r w:rsidRPr="006C00A7">
        <w:t xml:space="preserve">However, in reference to the first consideration, it is already a legislative requirement for Action Statements to be published. </w:t>
      </w:r>
      <w:r w:rsidR="00600102" w:rsidRPr="006C00A7">
        <w:t xml:space="preserve">Explicit requirement for the use of CHD, FFMP and HCO and / or implementation of management actions in Action Statements is not provided in the </w:t>
      </w:r>
      <w:r w:rsidR="00600102" w:rsidRPr="006C00A7">
        <w:rPr>
          <w:i/>
          <w:iCs/>
        </w:rPr>
        <w:t>FFG Act.</w:t>
      </w:r>
    </w:p>
    <w:p w14:paraId="5D67C042" w14:textId="57645F20" w:rsidR="00600102" w:rsidRPr="00600102" w:rsidRDefault="00B02AB7" w:rsidP="002E3914">
      <w:pPr>
        <w:pStyle w:val="BodyNormal"/>
      </w:pPr>
      <w:r w:rsidRPr="006C00A7">
        <w:t xml:space="preserve">With respect to emergency listing of species, </w:t>
      </w:r>
      <w:r w:rsidR="00AB4B0B" w:rsidRPr="006C00A7">
        <w:t xml:space="preserve">such a mechanism is not likely to be required given the option to implement protection measures for species facing imminent threats already exist in the </w:t>
      </w:r>
      <w:r w:rsidR="00AB4B0B" w:rsidRPr="006C00A7">
        <w:rPr>
          <w:i/>
          <w:iCs/>
        </w:rPr>
        <w:t>FFG Act</w:t>
      </w:r>
      <w:r w:rsidR="008560BB" w:rsidRPr="006C00A7">
        <w:t xml:space="preserve"> </w:t>
      </w:r>
      <w:r w:rsidR="006C00A7">
        <w:t xml:space="preserve">via </w:t>
      </w:r>
      <w:r w:rsidR="008560BB" w:rsidRPr="006C00A7">
        <w:t xml:space="preserve">the </w:t>
      </w:r>
      <w:r w:rsidR="00600102" w:rsidRPr="006C00A7">
        <w:t>potential use of C</w:t>
      </w:r>
      <w:r w:rsidR="008560BB" w:rsidRPr="006C00A7">
        <w:t>ritical Habitat Determinations (CHD) and Habitat Conservation Order</w:t>
      </w:r>
      <w:r w:rsidR="00C46577" w:rsidRPr="006C00A7">
        <w:t>s</w:t>
      </w:r>
      <w:r w:rsidR="008560BB" w:rsidRPr="006C00A7">
        <w:t xml:space="preserve"> (HCO). CHD can be made for species that are not list</w:t>
      </w:r>
      <w:r w:rsidR="00ED0446">
        <w:t>ed</w:t>
      </w:r>
      <w:r w:rsidR="008560BB" w:rsidRPr="006C00A7">
        <w:t xml:space="preserve"> and </w:t>
      </w:r>
      <w:proofErr w:type="gramStart"/>
      <w:r w:rsidR="00ED0446">
        <w:t>a</w:t>
      </w:r>
      <w:proofErr w:type="gramEnd"/>
      <w:r w:rsidR="00ED0446">
        <w:t xml:space="preserve"> </w:t>
      </w:r>
      <w:r w:rsidR="008560BB" w:rsidRPr="006C00A7">
        <w:t xml:space="preserve">HCO </w:t>
      </w:r>
      <w:r w:rsidR="00C46577" w:rsidRPr="00CC183C">
        <w:t xml:space="preserve">may be established </w:t>
      </w:r>
      <w:r w:rsidR="003127E8">
        <w:t xml:space="preserve">for a critical habitat </w:t>
      </w:r>
      <w:r w:rsidR="006C00A7" w:rsidRPr="00CC183C">
        <w:t xml:space="preserve">even if </w:t>
      </w:r>
      <w:r w:rsidR="00ED0446" w:rsidRPr="00CC183C">
        <w:t>the CHD has yet to be confirmed</w:t>
      </w:r>
      <w:r w:rsidR="003127E8">
        <w:t xml:space="preserve"> (section 26 of the </w:t>
      </w:r>
      <w:r w:rsidR="003127E8" w:rsidRPr="003127E8">
        <w:rPr>
          <w:i/>
          <w:iCs/>
        </w:rPr>
        <w:t>FFG Act</w:t>
      </w:r>
      <w:r w:rsidR="003127E8">
        <w:t>).</w:t>
      </w:r>
    </w:p>
    <w:p w14:paraId="327B922E" w14:textId="04332ED7" w:rsidR="00237C82" w:rsidRDefault="00237C82" w:rsidP="00024BA5">
      <w:pPr>
        <w:pStyle w:val="ListBullet"/>
        <w:ind w:left="340" w:hanging="340"/>
      </w:pPr>
    </w:p>
    <w:p w14:paraId="3A9897EB" w14:textId="2716C432" w:rsidR="00F47A14" w:rsidRDefault="00F47A14" w:rsidP="00024BA5">
      <w:pPr>
        <w:pStyle w:val="ListBullet"/>
        <w:ind w:left="340" w:hanging="340"/>
      </w:pPr>
    </w:p>
    <w:p w14:paraId="2F718C4E" w14:textId="5CC517EB" w:rsidR="00F47A14" w:rsidRDefault="00F47A14" w:rsidP="00024BA5">
      <w:pPr>
        <w:pStyle w:val="ListBullet"/>
        <w:ind w:left="340" w:hanging="340"/>
      </w:pPr>
    </w:p>
    <w:p w14:paraId="103373C8" w14:textId="63661CF0" w:rsidR="00F47A14" w:rsidRDefault="00F47A14" w:rsidP="00024BA5">
      <w:pPr>
        <w:pStyle w:val="ListBullet"/>
        <w:ind w:left="340" w:hanging="340"/>
      </w:pPr>
    </w:p>
    <w:p w14:paraId="5F70FCA6" w14:textId="516050B3" w:rsidR="00F47A14" w:rsidRDefault="00F47A14" w:rsidP="00024BA5">
      <w:pPr>
        <w:pStyle w:val="ListBullet"/>
        <w:ind w:left="340" w:hanging="340"/>
      </w:pPr>
    </w:p>
    <w:p w14:paraId="7704BC44" w14:textId="721ECE8E" w:rsidR="00F47A14" w:rsidRDefault="00F47A14" w:rsidP="00024BA5">
      <w:pPr>
        <w:pStyle w:val="ListBullet"/>
        <w:ind w:left="340" w:hanging="340"/>
      </w:pPr>
    </w:p>
    <w:p w14:paraId="22E72356" w14:textId="77777777" w:rsidR="00F21BEC" w:rsidRDefault="00F21BEC" w:rsidP="00024BA5">
      <w:pPr>
        <w:pStyle w:val="ListBullet"/>
        <w:ind w:left="340" w:hanging="340"/>
      </w:pPr>
    </w:p>
    <w:p w14:paraId="53CBADE9" w14:textId="77777777" w:rsidR="00F47A14" w:rsidRPr="00CB1534" w:rsidRDefault="00F47A14" w:rsidP="00024BA5">
      <w:pPr>
        <w:pStyle w:val="ListBullet"/>
        <w:ind w:left="340" w:hanging="340"/>
      </w:pPr>
    </w:p>
    <w:p w14:paraId="6FE2DC9D" w14:textId="6E91FA3E" w:rsidR="001B2F30" w:rsidRDefault="0002693C" w:rsidP="007E4BE2">
      <w:pPr>
        <w:pStyle w:val="Heading3"/>
      </w:pPr>
      <w:r>
        <w:lastRenderedPageBreak/>
        <w:t xml:space="preserve">pathway step 2: </w:t>
      </w:r>
      <w:r w:rsidR="001B2F30" w:rsidRPr="00343440">
        <w:t>RISK ASSESSMENT</w:t>
      </w:r>
    </w:p>
    <w:p w14:paraId="713A1D06" w14:textId="05FEC6F2" w:rsidR="00E077E2" w:rsidRDefault="00E077E2" w:rsidP="00E077E2">
      <w:pPr>
        <w:pStyle w:val="BodyNormal"/>
      </w:pPr>
      <w:r>
        <w:t>From Figure 4-2:</w:t>
      </w:r>
    </w:p>
    <w:p w14:paraId="1A22D86E" w14:textId="548050E3" w:rsidR="00B63CE2" w:rsidRDefault="00B63CE2" w:rsidP="00A552A3">
      <w:pPr>
        <w:pStyle w:val="BodyNormal"/>
        <w:ind w:firstLine="142"/>
      </w:pPr>
      <w:r w:rsidRPr="00B63CE2">
        <w:rPr>
          <w:noProof/>
        </w:rPr>
        <w:drawing>
          <wp:inline distT="0" distB="0" distL="0" distR="0" wp14:anchorId="59AC02C2" wp14:editId="006E2D18">
            <wp:extent cx="5816991" cy="225425"/>
            <wp:effectExtent l="0" t="0" r="0" b="5080"/>
            <wp:docPr id="24" name="Picture 24" descr="FFG Act, Forests Act, Sustainable Forests Act, Code of Practice (CFL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FG Act, Forests Act, Sustainable Forests Act, Code of Practice (CFL Act)"/>
                    <pic:cNvPicPr/>
                  </pic:nvPicPr>
                  <pic:blipFill>
                    <a:blip r:embed="rId34"/>
                    <a:stretch>
                      <a:fillRect/>
                    </a:stretch>
                  </pic:blipFill>
                  <pic:spPr>
                    <a:xfrm>
                      <a:off x="0" y="0"/>
                      <a:ext cx="5816991" cy="225425"/>
                    </a:xfrm>
                    <a:prstGeom prst="rect">
                      <a:avLst/>
                    </a:prstGeom>
                  </pic:spPr>
                </pic:pic>
              </a:graphicData>
            </a:graphic>
          </wp:inline>
        </w:drawing>
      </w:r>
    </w:p>
    <w:p w14:paraId="680F9B01" w14:textId="77AB5C5B" w:rsidR="00E16666" w:rsidRPr="00E16666" w:rsidRDefault="00B63CE2" w:rsidP="00B63CE2">
      <w:pPr>
        <w:pStyle w:val="BodyNormal"/>
        <w:ind w:hanging="142"/>
      </w:pPr>
      <w:r w:rsidRPr="00B63CE2">
        <w:rPr>
          <w:noProof/>
        </w:rPr>
        <w:drawing>
          <wp:inline distT="0" distB="0" distL="0" distR="0" wp14:anchorId="1C78697F" wp14:editId="182905D1">
            <wp:extent cx="5979746" cy="1163930"/>
            <wp:effectExtent l="12700" t="12700" r="15240" b="17780"/>
            <wp:docPr id="25" name="Picture 25" descr="Diagram showing that Victoria’s commitment as part of the modernised RFA includes a requirement for a risk assessment to be completed within six months of a species or ecological community being listed as threatened under the FFG Act or the EPBC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showing that Victoria’s commitment as part of the modernised RFA includes a requirement for a risk assessment to be completed within six months of a species or ecological community being listed as threatened under the FFG Act or the EPBC Act"/>
                    <pic:cNvPicPr/>
                  </pic:nvPicPr>
                  <pic:blipFill>
                    <a:blip r:embed="rId35"/>
                    <a:stretch>
                      <a:fillRect/>
                    </a:stretch>
                  </pic:blipFill>
                  <pic:spPr>
                    <a:xfrm>
                      <a:off x="0" y="0"/>
                      <a:ext cx="6011307" cy="1170073"/>
                    </a:xfrm>
                    <a:prstGeom prst="rect">
                      <a:avLst/>
                    </a:prstGeom>
                    <a:ln>
                      <a:solidFill>
                        <a:schemeClr val="accent1"/>
                      </a:solidFill>
                    </a:ln>
                  </pic:spPr>
                </pic:pic>
              </a:graphicData>
            </a:graphic>
          </wp:inline>
        </w:drawing>
      </w:r>
    </w:p>
    <w:p w14:paraId="2FCBC8AC" w14:textId="7CECC8B8" w:rsidR="00A92050" w:rsidRDefault="00DB53A1" w:rsidP="00D92F68">
      <w:pPr>
        <w:pStyle w:val="BodyNormal"/>
      </w:pPr>
      <w:r>
        <w:t>As shown in Fig</w:t>
      </w:r>
      <w:r w:rsidR="006D64EB">
        <w:t>ure</w:t>
      </w:r>
      <w:r>
        <w:t xml:space="preserve"> 4-2, </w:t>
      </w:r>
      <w:r w:rsidR="00A92050">
        <w:t xml:space="preserve">Victoria’s commitment as part of the modernised RFA includes </w:t>
      </w:r>
      <w:r w:rsidR="003127E8">
        <w:t xml:space="preserve">a </w:t>
      </w:r>
      <w:r w:rsidR="00A92050">
        <w:t xml:space="preserve">requirement for a risk assessment to be completed within six months of a species or ecological </w:t>
      </w:r>
      <w:r w:rsidR="00A92050" w:rsidRPr="00F21BEC">
        <w:t xml:space="preserve">community </w:t>
      </w:r>
      <w:r w:rsidR="0070374E" w:rsidRPr="00F21BEC">
        <w:t xml:space="preserve">being listed as threatened under the </w:t>
      </w:r>
      <w:r w:rsidR="0070374E" w:rsidRPr="00F21BEC">
        <w:rPr>
          <w:i/>
          <w:iCs/>
        </w:rPr>
        <w:t>FFG Act</w:t>
      </w:r>
      <w:r w:rsidR="0070374E" w:rsidRPr="00F21BEC">
        <w:t xml:space="preserve"> or the </w:t>
      </w:r>
      <w:r w:rsidR="0070374E" w:rsidRPr="00F21BEC">
        <w:rPr>
          <w:i/>
          <w:iCs/>
        </w:rPr>
        <w:t>EPBC Act</w:t>
      </w:r>
      <w:r w:rsidR="0070374E" w:rsidRPr="00F21BEC">
        <w:t>. This assessment includes determining whether additional interim or permanent protections and management actions are necessary and implement interim protections and actions where relevant.</w:t>
      </w:r>
    </w:p>
    <w:p w14:paraId="797FF6BC" w14:textId="05AC592D" w:rsidR="0070374E" w:rsidRDefault="00977A45" w:rsidP="0070374E">
      <w:pPr>
        <w:pStyle w:val="BodyNormal"/>
      </w:pPr>
      <w:r>
        <w:t>Since March 2020, t</w:t>
      </w:r>
      <w:r w:rsidR="0070374E">
        <w:t xml:space="preserve">hree risk assessments have been completed for 142 </w:t>
      </w:r>
      <w:r w:rsidR="009F3932">
        <w:t>T</w:t>
      </w:r>
      <w:r w:rsidR="0070374E">
        <w:t xml:space="preserve">hreatened </w:t>
      </w:r>
      <w:r w:rsidR="009F3932">
        <w:t>S</w:t>
      </w:r>
      <w:r w:rsidR="0070374E">
        <w:t xml:space="preserve">pecies and </w:t>
      </w:r>
      <w:r w:rsidR="009F3932">
        <w:t>C</w:t>
      </w:r>
      <w:r w:rsidR="0070374E">
        <w:t>ommunities</w:t>
      </w:r>
      <w:r w:rsidRPr="009124C2">
        <w:rPr>
          <w:rStyle w:val="FootnoteReference"/>
        </w:rPr>
        <w:footnoteReference w:id="6"/>
      </w:r>
      <w:r w:rsidR="0070374E" w:rsidRPr="009124C2">
        <w:t>:</w:t>
      </w:r>
    </w:p>
    <w:p w14:paraId="3D297944" w14:textId="77777777" w:rsidR="0070374E" w:rsidRDefault="0070374E" w:rsidP="00977A45">
      <w:pPr>
        <w:pStyle w:val="ListBullet"/>
        <w:numPr>
          <w:ilvl w:val="0"/>
          <w:numId w:val="20"/>
        </w:numPr>
        <w:tabs>
          <w:tab w:val="clear" w:pos="-31680"/>
          <w:tab w:val="left" w:pos="340"/>
        </w:tabs>
        <w:ind w:right="0"/>
        <w:contextualSpacing/>
        <w:jc w:val="both"/>
      </w:pPr>
      <w:r>
        <w:t>Tranche 1 Risk Assessment</w:t>
      </w:r>
    </w:p>
    <w:p w14:paraId="7B1DFFFD" w14:textId="77777777" w:rsidR="0070374E" w:rsidRDefault="0070374E" w:rsidP="00977A45">
      <w:pPr>
        <w:pStyle w:val="ListBullet"/>
        <w:numPr>
          <w:ilvl w:val="0"/>
          <w:numId w:val="20"/>
        </w:numPr>
        <w:tabs>
          <w:tab w:val="clear" w:pos="-31680"/>
          <w:tab w:val="left" w:pos="340"/>
        </w:tabs>
        <w:ind w:right="0"/>
        <w:contextualSpacing/>
        <w:jc w:val="both"/>
      </w:pPr>
      <w:r>
        <w:t>Platypus and Little Eagle Risk Assessment</w:t>
      </w:r>
    </w:p>
    <w:p w14:paraId="0FC84B07" w14:textId="48F28864" w:rsidR="0070374E" w:rsidRDefault="0070374E" w:rsidP="00977A45">
      <w:pPr>
        <w:pStyle w:val="ListBullet"/>
        <w:numPr>
          <w:ilvl w:val="0"/>
          <w:numId w:val="20"/>
        </w:numPr>
        <w:tabs>
          <w:tab w:val="clear" w:pos="-31680"/>
          <w:tab w:val="left" w:pos="340"/>
        </w:tabs>
        <w:ind w:right="0"/>
        <w:contextualSpacing/>
        <w:jc w:val="both"/>
      </w:pPr>
      <w:r>
        <w:t>Tranche 2 Risk Assessment</w:t>
      </w:r>
    </w:p>
    <w:p w14:paraId="4850C165" w14:textId="7E8AC36C" w:rsidR="00977A45" w:rsidRDefault="00977A45" w:rsidP="00D92F68">
      <w:pPr>
        <w:pStyle w:val="BodyNormal"/>
      </w:pPr>
      <w:r w:rsidRPr="00977A45">
        <w:t xml:space="preserve">Following the implementation of any permanent protections, new or updated </w:t>
      </w:r>
      <w:r w:rsidR="00960F75">
        <w:t>A</w:t>
      </w:r>
      <w:r w:rsidRPr="00977A45">
        <w:t xml:space="preserve">ction </w:t>
      </w:r>
      <w:r w:rsidR="00960F75">
        <w:t>S</w:t>
      </w:r>
      <w:r w:rsidRPr="00977A45">
        <w:t xml:space="preserve">tatements </w:t>
      </w:r>
      <w:r w:rsidR="00960F75">
        <w:t>are to be</w:t>
      </w:r>
      <w:r w:rsidRPr="00977A45">
        <w:t xml:space="preserve"> prepared for all species and communities subject to risk assessments, as required under the </w:t>
      </w:r>
      <w:r w:rsidRPr="00960F75">
        <w:rPr>
          <w:i/>
          <w:iCs/>
        </w:rPr>
        <w:t>FFG Act</w:t>
      </w:r>
      <w:r w:rsidR="00960F75">
        <w:t xml:space="preserve"> (section 19)</w:t>
      </w:r>
      <w:r w:rsidR="0041658B">
        <w:t>.</w:t>
      </w:r>
    </w:p>
    <w:p w14:paraId="58EF7759" w14:textId="11C4050F" w:rsidR="00934FE2" w:rsidRPr="006C00A7" w:rsidRDefault="00C40BFD" w:rsidP="00D92F68">
      <w:pPr>
        <w:pStyle w:val="BodyNormal"/>
      </w:pPr>
      <w:r w:rsidRPr="00C40BFD">
        <w:t xml:space="preserve">The </w:t>
      </w:r>
      <w:r w:rsidR="00A141F9">
        <w:t>A</w:t>
      </w:r>
      <w:r w:rsidRPr="00C40BFD">
        <w:t xml:space="preserve">ction </w:t>
      </w:r>
      <w:r w:rsidR="00A141F9">
        <w:t>S</w:t>
      </w:r>
      <w:r w:rsidRPr="00C40BFD">
        <w:t>tatement must set out what has been done to conserve and manage that taxon or community or process</w:t>
      </w:r>
      <w:r w:rsidR="00AC1104">
        <w:t>,</w:t>
      </w:r>
      <w:r w:rsidRPr="00C40BFD">
        <w:t xml:space="preserve"> what is intended to be done</w:t>
      </w:r>
      <w:r w:rsidR="00AC1104">
        <w:t>,</w:t>
      </w:r>
      <w:r w:rsidRPr="00C40BFD">
        <w:t xml:space="preserve"> and may include information on what needs to be done.</w:t>
      </w:r>
      <w:r w:rsidR="00352273">
        <w:t xml:space="preserve"> The </w:t>
      </w:r>
      <w:r w:rsidR="00352273" w:rsidRPr="00352273">
        <w:t xml:space="preserve">rate of preparation of </w:t>
      </w:r>
      <w:r w:rsidR="00352273">
        <w:t>A</w:t>
      </w:r>
      <w:r w:rsidR="00352273" w:rsidRPr="00352273">
        <w:t xml:space="preserve">ction </w:t>
      </w:r>
      <w:r w:rsidR="00352273">
        <w:t>S</w:t>
      </w:r>
      <w:r w:rsidR="00352273" w:rsidRPr="00352273">
        <w:t xml:space="preserve">tatements </w:t>
      </w:r>
      <w:r w:rsidR="00D04BCB">
        <w:t>(</w:t>
      </w:r>
      <w:r w:rsidR="00352273" w:rsidRPr="00352273">
        <w:t xml:space="preserve">and </w:t>
      </w:r>
      <w:r w:rsidR="00352273">
        <w:t>Flora and Fauna M</w:t>
      </w:r>
      <w:r w:rsidR="00352273" w:rsidRPr="00352273">
        <w:t xml:space="preserve">anagement </w:t>
      </w:r>
      <w:r w:rsidR="00352273">
        <w:t>P</w:t>
      </w:r>
      <w:r w:rsidR="00352273" w:rsidRPr="00352273">
        <w:t>lans</w:t>
      </w:r>
      <w:r w:rsidR="00D04BCB">
        <w:t>)</w:t>
      </w:r>
      <w:r w:rsidR="00352273" w:rsidRPr="00352273">
        <w:t xml:space="preserve"> is largely </w:t>
      </w:r>
      <w:r w:rsidR="00352273" w:rsidRPr="006C00A7">
        <w:t xml:space="preserve">constrained by </w:t>
      </w:r>
      <w:r w:rsidR="00C46577" w:rsidRPr="006C00A7">
        <w:t xml:space="preserve">either availability of resources and/or prioritisation issues. </w:t>
      </w:r>
      <w:r w:rsidR="001544E2">
        <w:t>While implementation of Action Statements is not mandatory,</w:t>
      </w:r>
      <w:r w:rsidR="00C46577" w:rsidRPr="006C00A7">
        <w:t xml:space="preserve"> this should not </w:t>
      </w:r>
      <w:r w:rsidR="00ED0446">
        <w:t>prevent</w:t>
      </w:r>
      <w:r w:rsidR="00C46577" w:rsidRPr="006C00A7">
        <w:t xml:space="preserve"> Action Statement</w:t>
      </w:r>
      <w:r w:rsidR="00ED0446">
        <w:t>s being developed</w:t>
      </w:r>
      <w:r w:rsidR="00352273" w:rsidRPr="006C00A7">
        <w:t>.</w:t>
      </w:r>
      <w:r w:rsidR="00776931" w:rsidRPr="006C00A7">
        <w:t xml:space="preserve"> DELWP </w:t>
      </w:r>
      <w:r w:rsidR="00ED0446">
        <w:t>is currently developing</w:t>
      </w:r>
      <w:r w:rsidR="00776931" w:rsidRPr="006C00A7">
        <w:t xml:space="preserve"> a new process to streamline </w:t>
      </w:r>
      <w:r w:rsidR="00AC1104" w:rsidRPr="006C00A7">
        <w:t xml:space="preserve">and expedite </w:t>
      </w:r>
      <w:r w:rsidR="00776931" w:rsidRPr="006C00A7">
        <w:t>the creation of Action Statements.</w:t>
      </w:r>
      <w:r w:rsidR="002801CE" w:rsidRPr="006C00A7">
        <w:t xml:space="preserve"> </w:t>
      </w:r>
    </w:p>
    <w:p w14:paraId="1E30C741" w14:textId="5A4BEA37" w:rsidR="00C40BFD" w:rsidRDefault="00C40BFD" w:rsidP="00D92F68">
      <w:pPr>
        <w:pStyle w:val="BodyNormal"/>
      </w:pPr>
      <w:r w:rsidRPr="006C00A7">
        <w:t xml:space="preserve">While there are no provisions under the </w:t>
      </w:r>
      <w:r w:rsidRPr="006C00A7">
        <w:rPr>
          <w:i/>
          <w:iCs/>
        </w:rPr>
        <w:t>FFG Act</w:t>
      </w:r>
      <w:r w:rsidRPr="006C00A7">
        <w:t xml:space="preserve"> that commit to implementation of Action Statements, the </w:t>
      </w:r>
      <w:r w:rsidR="009E7D52" w:rsidRPr="006C00A7">
        <w:t>Management Standards and Procedures 202</w:t>
      </w:r>
      <w:r w:rsidR="009E4BE9">
        <w:t>2</w:t>
      </w:r>
      <w:r w:rsidR="009E7D52" w:rsidRPr="006C00A7">
        <w:t xml:space="preserve"> (Appendix 1 of ‘Code of Practice’) </w:t>
      </w:r>
      <w:r w:rsidR="007C225F" w:rsidRPr="006C00A7">
        <w:t>is informed</w:t>
      </w:r>
      <w:r w:rsidR="00C878EF" w:rsidRPr="006C00A7">
        <w:t xml:space="preserve"> by relevant policy documents including Action Statements made under </w:t>
      </w:r>
      <w:r w:rsidR="009E7D52" w:rsidRPr="006C00A7">
        <w:t xml:space="preserve">the </w:t>
      </w:r>
      <w:r w:rsidR="009E7D52" w:rsidRPr="006C00A7">
        <w:rPr>
          <w:i/>
          <w:iCs/>
        </w:rPr>
        <w:t>FFG Act</w:t>
      </w:r>
      <w:r w:rsidR="00C878EF" w:rsidRPr="006C00A7">
        <w:t xml:space="preserve">. </w:t>
      </w:r>
      <w:r w:rsidRPr="006C00A7">
        <w:t xml:space="preserve"> </w:t>
      </w:r>
      <w:r w:rsidR="00C46577" w:rsidRPr="006C00A7">
        <w:t>Noting, however that there is no obligation</w:t>
      </w:r>
      <w:r w:rsidR="00445811" w:rsidRPr="006C00A7">
        <w:t xml:space="preserve"> on any entities to implement management actions </w:t>
      </w:r>
      <w:r w:rsidR="00672501" w:rsidRPr="006C00A7">
        <w:t>outlined in Action Statements.</w:t>
      </w:r>
    </w:p>
    <w:p w14:paraId="23225353" w14:textId="0B5D06C5" w:rsidR="00DB1FF6" w:rsidRDefault="0028373E" w:rsidP="00D92F68">
      <w:pPr>
        <w:pStyle w:val="BodyNormal"/>
      </w:pPr>
      <w:r>
        <w:t>Rapidly</w:t>
      </w:r>
      <w:r w:rsidR="00DB1FF6">
        <w:t xml:space="preserve"> updating the </w:t>
      </w:r>
      <w:r w:rsidR="00AD44A4">
        <w:t>‘</w:t>
      </w:r>
      <w:r w:rsidR="3FB92F1C">
        <w:t>Code of Practice</w:t>
      </w:r>
      <w:r w:rsidR="00AD44A4">
        <w:t>’</w:t>
      </w:r>
      <w:r w:rsidR="00DB1FF6">
        <w:t xml:space="preserve"> through formal variation </w:t>
      </w:r>
      <w:r>
        <w:t xml:space="preserve">in response to immediate biodiversity threats, new scientific </w:t>
      </w:r>
      <w:proofErr w:type="gramStart"/>
      <w:r>
        <w:t>information</w:t>
      </w:r>
      <w:proofErr w:type="gramEnd"/>
      <w:r>
        <w:t xml:space="preserve"> or updated </w:t>
      </w:r>
      <w:r w:rsidR="00DB1FF6">
        <w:t>Action Statement</w:t>
      </w:r>
      <w:r>
        <w:t>s</w:t>
      </w:r>
      <w:r w:rsidR="00DB1FF6">
        <w:t xml:space="preserve"> relevant to forestry operations </w:t>
      </w:r>
      <w:r>
        <w:t xml:space="preserve">has practical limitations due to the requirements of the </w:t>
      </w:r>
      <w:r w:rsidRPr="0028373E">
        <w:rPr>
          <w:i/>
          <w:iCs/>
        </w:rPr>
        <w:t xml:space="preserve">CFL Act </w:t>
      </w:r>
      <w:r>
        <w:t xml:space="preserve">and </w:t>
      </w:r>
      <w:r w:rsidR="00C8047A">
        <w:rPr>
          <w:i/>
          <w:iCs/>
        </w:rPr>
        <w:t>Subordinate Legislation Act 1994</w:t>
      </w:r>
      <w:r w:rsidR="001D0BDD">
        <w:t>.</w:t>
      </w:r>
      <w:r w:rsidR="007A0991">
        <w:t xml:space="preserve"> </w:t>
      </w:r>
      <w:r w:rsidR="00B36E9B">
        <w:t xml:space="preserve">Greater flexibility would enable more adaptive </w:t>
      </w:r>
      <w:r w:rsidR="00B748BA">
        <w:t xml:space="preserve">protection </w:t>
      </w:r>
      <w:r w:rsidR="001D464A">
        <w:t>requirements but</w:t>
      </w:r>
      <w:r w:rsidR="00B748BA">
        <w:t xml:space="preserve"> may also create greater uncertainty for timber harvesting operations if </w:t>
      </w:r>
      <w:r w:rsidR="003D0871">
        <w:t xml:space="preserve">protections frequently change. Nevertheless, a mechanism that enables greater ability to adapt protections to current science and status of </w:t>
      </w:r>
      <w:r w:rsidR="009F3932">
        <w:t>T</w:t>
      </w:r>
      <w:r w:rsidR="003D0871">
        <w:t xml:space="preserve">hreatened </w:t>
      </w:r>
      <w:r w:rsidR="009F3932">
        <w:t>S</w:t>
      </w:r>
      <w:r w:rsidR="003D0871">
        <w:t xml:space="preserve">pecies and </w:t>
      </w:r>
      <w:r w:rsidR="009F3932">
        <w:t>C</w:t>
      </w:r>
      <w:r w:rsidR="003D0871">
        <w:t xml:space="preserve">ommunities would be </w:t>
      </w:r>
      <w:r w:rsidR="00924941">
        <w:t xml:space="preserve">beneficial. </w:t>
      </w:r>
    </w:p>
    <w:p w14:paraId="02AEBD26" w14:textId="2A12DD11" w:rsidR="00934FE2" w:rsidRDefault="00F40BC9" w:rsidP="006D64EB">
      <w:pPr>
        <w:pStyle w:val="BodyNormal"/>
      </w:pPr>
      <w:r>
        <w:lastRenderedPageBreak/>
        <w:t xml:space="preserve">The Victorian </w:t>
      </w:r>
      <w:r w:rsidR="00556A92">
        <w:t>G</w:t>
      </w:r>
      <w:r>
        <w:t xml:space="preserve">overnment is currently </w:t>
      </w:r>
      <w:r w:rsidR="00F804E7" w:rsidRPr="00F804E7">
        <w:t xml:space="preserve">progressing ‘compliance standards’ reforms to the ‘Code of Practice’ whilst also </w:t>
      </w:r>
      <w:r>
        <w:t>a Comprehensive Review of the ‘</w:t>
      </w:r>
      <w:r w:rsidR="3FB92F1C">
        <w:t>Code of Practice</w:t>
      </w:r>
      <w:r>
        <w:t xml:space="preserve">,’ and more detailed recommendations are likely to be articulated when this Comprehensive Review is </w:t>
      </w:r>
      <w:r w:rsidR="0028373E">
        <w:t>finalised</w:t>
      </w:r>
      <w:r>
        <w:t xml:space="preserve"> in December 2023.</w:t>
      </w:r>
    </w:p>
    <w:p w14:paraId="692229F0" w14:textId="04B35AE0" w:rsidR="00DB53A1" w:rsidRPr="00D7012D" w:rsidRDefault="00AC1104" w:rsidP="00DB53A1">
      <w:pPr>
        <w:pStyle w:val="ListBullet"/>
        <w:rPr>
          <w:i/>
          <w:iCs/>
        </w:rPr>
      </w:pPr>
      <w:r>
        <w:rPr>
          <w:i/>
          <w:iCs/>
        </w:rPr>
        <w:t>R</w:t>
      </w:r>
      <w:r w:rsidR="00A41A09">
        <w:rPr>
          <w:i/>
          <w:iCs/>
        </w:rPr>
        <w:t>ecommendations</w:t>
      </w:r>
      <w:r>
        <w:rPr>
          <w:i/>
          <w:iCs/>
        </w:rPr>
        <w:t xml:space="preserve"> for consideration</w:t>
      </w:r>
      <w:r w:rsidR="00A41A09">
        <w:rPr>
          <w:i/>
          <w:iCs/>
        </w:rPr>
        <w:t>:</w:t>
      </w:r>
    </w:p>
    <w:p w14:paraId="42AC742C" w14:textId="756A3CA1" w:rsidR="005C692B" w:rsidRPr="0041658B" w:rsidRDefault="007C225F" w:rsidP="0041658B">
      <w:pPr>
        <w:pStyle w:val="ListBullet"/>
        <w:numPr>
          <w:ilvl w:val="0"/>
          <w:numId w:val="20"/>
        </w:numPr>
        <w:tabs>
          <w:tab w:val="clear" w:pos="-31680"/>
          <w:tab w:val="left" w:pos="340"/>
        </w:tabs>
        <w:ind w:right="0"/>
        <w:contextualSpacing/>
        <w:jc w:val="both"/>
        <w:rPr>
          <w:i/>
          <w:iCs/>
        </w:rPr>
      </w:pPr>
      <w:r w:rsidRPr="00ED0446">
        <w:rPr>
          <w:i/>
          <w:iCs/>
        </w:rPr>
        <w:t xml:space="preserve">A mechanism that </w:t>
      </w:r>
      <w:r w:rsidR="008B4426" w:rsidRPr="00ED0446">
        <w:rPr>
          <w:i/>
          <w:iCs/>
        </w:rPr>
        <w:t>supports greater</w:t>
      </w:r>
      <w:r w:rsidRPr="00ED0446">
        <w:rPr>
          <w:i/>
          <w:iCs/>
        </w:rPr>
        <w:t xml:space="preserve"> </w:t>
      </w:r>
      <w:r w:rsidR="0041658B" w:rsidRPr="00ED0446">
        <w:rPr>
          <w:i/>
          <w:iCs/>
        </w:rPr>
        <w:t>ability</w:t>
      </w:r>
      <w:r w:rsidR="005C692B" w:rsidRPr="00ED0446">
        <w:rPr>
          <w:i/>
          <w:iCs/>
        </w:rPr>
        <w:t xml:space="preserve"> to adapt protections to current science and status of Threatened Species and Communities</w:t>
      </w:r>
      <w:r w:rsidR="0041658B">
        <w:rPr>
          <w:i/>
          <w:iCs/>
        </w:rPr>
        <w:t>.</w:t>
      </w:r>
    </w:p>
    <w:p w14:paraId="2B9BB0A9" w14:textId="52CA3700" w:rsidR="00C607A6" w:rsidRDefault="00C607A6" w:rsidP="001E2189">
      <w:pPr>
        <w:pStyle w:val="ListBullet"/>
      </w:pPr>
    </w:p>
    <w:p w14:paraId="5B6FFE22" w14:textId="08450D95" w:rsidR="001B2F30" w:rsidRDefault="0002693C" w:rsidP="00C10320">
      <w:pPr>
        <w:pStyle w:val="Heading3"/>
      </w:pPr>
      <w:r w:rsidRPr="00A141F9">
        <w:t xml:space="preserve">pathway step 3: </w:t>
      </w:r>
      <w:r w:rsidR="001B2F30" w:rsidRPr="00A141F9">
        <w:t>CONSERVATION PLANNING</w:t>
      </w:r>
    </w:p>
    <w:p w14:paraId="5C26D4AF" w14:textId="4BDB5722" w:rsidR="00E077E2" w:rsidRDefault="00E077E2" w:rsidP="00E077E2">
      <w:pPr>
        <w:pStyle w:val="BodyNormal"/>
      </w:pPr>
      <w:r>
        <w:t xml:space="preserve">From Figure 4-2: </w:t>
      </w:r>
    </w:p>
    <w:p w14:paraId="38AA8519" w14:textId="1A98F225" w:rsidR="00740B19" w:rsidRDefault="00B63CE2" w:rsidP="00E077E2">
      <w:pPr>
        <w:pStyle w:val="BodyNormal"/>
      </w:pPr>
      <w:r w:rsidRPr="00B63CE2">
        <w:rPr>
          <w:noProof/>
        </w:rPr>
        <w:drawing>
          <wp:inline distT="0" distB="0" distL="0" distR="0" wp14:anchorId="788E289D" wp14:editId="28B0E1D6">
            <wp:extent cx="5941060" cy="225425"/>
            <wp:effectExtent l="0" t="0" r="2540" b="3175"/>
            <wp:docPr id="26" name="Picture 26" descr="FFG Act, Forests Act, Sustainable Forests Act, Code of Practice (CFL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FG Act, Forests Act, Sustainable Forests Act, Code of Practice (CFL Act)"/>
                    <pic:cNvPicPr/>
                  </pic:nvPicPr>
                  <pic:blipFill>
                    <a:blip r:embed="rId34"/>
                    <a:stretch>
                      <a:fillRect/>
                    </a:stretch>
                  </pic:blipFill>
                  <pic:spPr>
                    <a:xfrm>
                      <a:off x="0" y="0"/>
                      <a:ext cx="5941060" cy="225425"/>
                    </a:xfrm>
                    <a:prstGeom prst="rect">
                      <a:avLst/>
                    </a:prstGeom>
                  </pic:spPr>
                </pic:pic>
              </a:graphicData>
            </a:graphic>
          </wp:inline>
        </w:drawing>
      </w:r>
    </w:p>
    <w:p w14:paraId="75E925AD" w14:textId="6D189A2D" w:rsidR="00B63CE2" w:rsidRPr="00E077E2" w:rsidRDefault="00B63CE2" w:rsidP="00B63CE2">
      <w:pPr>
        <w:pStyle w:val="BodyNormal"/>
        <w:ind w:hanging="284"/>
      </w:pPr>
      <w:r w:rsidRPr="00B63CE2">
        <w:rPr>
          <w:noProof/>
        </w:rPr>
        <w:drawing>
          <wp:inline distT="0" distB="0" distL="0" distR="0" wp14:anchorId="389125AF" wp14:editId="5E6EC223">
            <wp:extent cx="6123940" cy="1541780"/>
            <wp:effectExtent l="12700" t="12700" r="10160" b="7620"/>
            <wp:docPr id="27" name="Picture 27" descr="Diagram showing the conservation planning stage under the FFG Act, Forests Act, Sustainable Forests Act, Code of Practice (CFL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showing the conservation planning stage under the FFG Act, Forests Act, Sustainable Forests Act, Code of Practice (CFL Act)."/>
                    <pic:cNvPicPr/>
                  </pic:nvPicPr>
                  <pic:blipFill>
                    <a:blip r:embed="rId36"/>
                    <a:stretch>
                      <a:fillRect/>
                    </a:stretch>
                  </pic:blipFill>
                  <pic:spPr>
                    <a:xfrm>
                      <a:off x="0" y="0"/>
                      <a:ext cx="6124359" cy="1541885"/>
                    </a:xfrm>
                    <a:prstGeom prst="rect">
                      <a:avLst/>
                    </a:prstGeom>
                    <a:ln>
                      <a:solidFill>
                        <a:schemeClr val="accent1"/>
                      </a:solidFill>
                    </a:ln>
                  </pic:spPr>
                </pic:pic>
              </a:graphicData>
            </a:graphic>
          </wp:inline>
        </w:drawing>
      </w:r>
    </w:p>
    <w:p w14:paraId="49047802" w14:textId="481AB6C3" w:rsidR="00F82B05" w:rsidRDefault="00435F50" w:rsidP="00F82B05">
      <w:pPr>
        <w:pStyle w:val="BodyNormal"/>
      </w:pPr>
      <w:r>
        <w:t xml:space="preserve">As </w:t>
      </w:r>
      <w:r w:rsidRPr="00435F50">
        <w:t xml:space="preserve">highlighted in Figure </w:t>
      </w:r>
      <w:r w:rsidRPr="00820121">
        <w:t>4-2 there</w:t>
      </w:r>
      <w:r>
        <w:t xml:space="preserve"> are several provisions and instruments across various legislation that </w:t>
      </w:r>
      <w:r w:rsidR="00AC1104">
        <w:t xml:space="preserve">could or do </w:t>
      </w:r>
      <w:r>
        <w:t xml:space="preserve">currently, have a role in the conservation planning stage of </w:t>
      </w:r>
      <w:r w:rsidR="00AC1104">
        <w:t xml:space="preserve">protection of </w:t>
      </w:r>
      <w:r>
        <w:t xml:space="preserve">listed species and communities. The challenge for this stage is having both appropriate mechanism(s) and </w:t>
      </w:r>
      <w:r w:rsidR="00AC1104">
        <w:t xml:space="preserve">the </w:t>
      </w:r>
      <w:r>
        <w:t>resources to support effective planning for conservation</w:t>
      </w:r>
      <w:r w:rsidRPr="00F82B05">
        <w:t>.  It</w:t>
      </w:r>
      <w:r w:rsidR="00E33748" w:rsidRPr="00F82B05">
        <w:t xml:space="preserve"> i</w:t>
      </w:r>
      <w:r w:rsidRPr="00F82B05">
        <w:t xml:space="preserve">s not obvious from this review process, for example, how management actions that are described in Action Statements for listed species are considered </w:t>
      </w:r>
      <w:r w:rsidR="00DB7AD8" w:rsidRPr="00F82B05">
        <w:t>in conservation planning</w:t>
      </w:r>
      <w:r w:rsidR="00F82B05" w:rsidRPr="00F82B05">
        <w:t xml:space="preserve"> to support implementation</w:t>
      </w:r>
      <w:r w:rsidR="003127E8">
        <w:t xml:space="preserve"> of such management action</w:t>
      </w:r>
      <w:r w:rsidR="00F82B05" w:rsidRPr="00F82B05">
        <w:t>.</w:t>
      </w:r>
      <w:r w:rsidR="00DB7AD8" w:rsidRPr="00F82B05">
        <w:t xml:space="preserve"> </w:t>
      </w:r>
      <w:r w:rsidR="00F82B05" w:rsidRPr="00F82B05">
        <w:t>For example, the extent to which these management actions are considered in ‘place-based’ plans, such as Forest Management Plans, is not clear.</w:t>
      </w:r>
      <w:r w:rsidR="00F82B05">
        <w:t xml:space="preserve"> </w:t>
      </w:r>
    </w:p>
    <w:p w14:paraId="666B48CA" w14:textId="0369213C" w:rsidR="00674EC1" w:rsidRDefault="00674EC1" w:rsidP="00435F50">
      <w:pPr>
        <w:pStyle w:val="BodyNormal"/>
      </w:pPr>
      <w:r>
        <w:t xml:space="preserve">The following sections discuss the </w:t>
      </w:r>
      <w:r w:rsidRPr="00E6119E">
        <w:rPr>
          <w:i/>
          <w:iCs/>
        </w:rPr>
        <w:t>Forest</w:t>
      </w:r>
      <w:r w:rsidR="003127E8">
        <w:rPr>
          <w:i/>
          <w:iCs/>
        </w:rPr>
        <w:t>s</w:t>
      </w:r>
      <w:r>
        <w:t xml:space="preserve">, </w:t>
      </w:r>
      <w:r w:rsidRPr="00D23F7B">
        <w:rPr>
          <w:i/>
          <w:iCs/>
        </w:rPr>
        <w:t xml:space="preserve">FFG </w:t>
      </w:r>
      <w:r w:rsidRPr="00D23F7B">
        <w:t>and</w:t>
      </w:r>
      <w:r w:rsidRPr="00D23F7B">
        <w:rPr>
          <w:i/>
          <w:iCs/>
        </w:rPr>
        <w:t xml:space="preserve"> SFT Act</w:t>
      </w:r>
      <w:r>
        <w:t xml:space="preserve">s and associated opportunities for improvements to conservation planning. Recommendations drawn from this discussion are presented at the end of this section.  </w:t>
      </w:r>
    </w:p>
    <w:p w14:paraId="66AF16CE" w14:textId="77777777" w:rsidR="00435F50" w:rsidRPr="00AB784E" w:rsidRDefault="00435F50" w:rsidP="00435F50">
      <w:pPr>
        <w:pStyle w:val="BodyBold"/>
        <w:rPr>
          <w:i/>
          <w:iCs/>
        </w:rPr>
      </w:pPr>
      <w:r w:rsidRPr="00AB784E">
        <w:rPr>
          <w:i/>
          <w:iCs/>
        </w:rPr>
        <w:t>Forests Act</w:t>
      </w:r>
    </w:p>
    <w:p w14:paraId="660AD997" w14:textId="60604533" w:rsidR="00435F50" w:rsidRDefault="00435F50" w:rsidP="00435F50">
      <w:pPr>
        <w:pStyle w:val="BodyNormal"/>
      </w:pPr>
      <w:r>
        <w:t>Currently, the forest management zoning system has a recognised ‘role’ in conservation planning.  Forest Management Plans (section 22 Working Plans) establish strategic objectives and strategies for management of key forest values at the landscape level. These Forest Management Plans (FMPs) create a zoning scheme (Forest Management Zoning Scheme) that has legislative recognition</w:t>
      </w:r>
      <w:r w:rsidR="00A141F9">
        <w:t>.</w:t>
      </w:r>
    </w:p>
    <w:p w14:paraId="494A6041" w14:textId="6D106717" w:rsidR="00435F50" w:rsidRDefault="00435F50" w:rsidP="00435F50">
      <w:pPr>
        <w:pStyle w:val="BodyNormal"/>
      </w:pPr>
      <w:r>
        <w:t xml:space="preserve">At present, these instruments connect the respective legislation to ‘enforce’ protection of </w:t>
      </w:r>
      <w:r w:rsidR="009F3932">
        <w:t>T</w:t>
      </w:r>
      <w:r>
        <w:t xml:space="preserve">hreatened </w:t>
      </w:r>
      <w:r w:rsidR="009F3932">
        <w:t>S</w:t>
      </w:r>
      <w:r>
        <w:t xml:space="preserve">pecies and </w:t>
      </w:r>
      <w:r w:rsidR="009F3932">
        <w:t>C</w:t>
      </w:r>
      <w:r>
        <w:t xml:space="preserve">ommunities, with the </w:t>
      </w:r>
      <w:r w:rsidR="00AD44A4">
        <w:t>‘</w:t>
      </w:r>
      <w:r w:rsidR="3FB92F1C">
        <w:t>Code of Practice</w:t>
      </w:r>
      <w:r w:rsidR="00AD44A4">
        <w:t>’</w:t>
      </w:r>
      <w:r>
        <w:t xml:space="preserve"> requiring timber harvesting entities </w:t>
      </w:r>
      <w:r w:rsidR="00637B6D">
        <w:t xml:space="preserve">to comply </w:t>
      </w:r>
      <w:r>
        <w:t>with the FMZ</w:t>
      </w:r>
      <w:r w:rsidR="00637B6D">
        <w:t>S</w:t>
      </w:r>
      <w:r>
        <w:t xml:space="preserve">. The </w:t>
      </w:r>
      <w:r w:rsidRPr="3DAA379F">
        <w:rPr>
          <w:i/>
          <w:iCs/>
        </w:rPr>
        <w:t>SFT Act</w:t>
      </w:r>
      <w:r>
        <w:t xml:space="preserve">, via the Allocation Order, also requires the managing authority for timber harvesting (VicForests) to comply with the </w:t>
      </w:r>
      <w:r w:rsidR="00AD44A4">
        <w:t>‘</w:t>
      </w:r>
      <w:r w:rsidR="3FB92F1C">
        <w:t>Code of Practice</w:t>
      </w:r>
      <w:r w:rsidR="00AD44A4">
        <w:t>’</w:t>
      </w:r>
      <w:r>
        <w:t xml:space="preserve"> and the FMZ</w:t>
      </w:r>
      <w:r w:rsidR="00637B6D">
        <w:t>S</w:t>
      </w:r>
      <w:r>
        <w:t xml:space="preserve">. </w:t>
      </w:r>
    </w:p>
    <w:p w14:paraId="455B74C1" w14:textId="2737CF3F" w:rsidR="00435F50" w:rsidRDefault="00435F50" w:rsidP="00435F50">
      <w:pPr>
        <w:pStyle w:val="BodyNormal"/>
        <w:rPr>
          <w:bCs/>
        </w:rPr>
      </w:pPr>
      <w:r>
        <w:t xml:space="preserve">For some listed species, protection is provided via the Special Protection Zones of the FMZS and the CAR Reserve System. </w:t>
      </w:r>
      <w:r w:rsidR="00E33748">
        <w:t>The latter</w:t>
      </w:r>
      <w:r>
        <w:t xml:space="preserve"> is the primary mechanism within the </w:t>
      </w:r>
      <w:r w:rsidR="00E33748">
        <w:t xml:space="preserve">five </w:t>
      </w:r>
      <w:r>
        <w:t>RFA region</w:t>
      </w:r>
      <w:r w:rsidR="00E33748">
        <w:t>s</w:t>
      </w:r>
      <w:r>
        <w:t xml:space="preserve"> for protection of biodiversity, old growth forests and wilderness values.</w:t>
      </w:r>
    </w:p>
    <w:p w14:paraId="55EC0959" w14:textId="77777777" w:rsidR="00F82B05" w:rsidRDefault="00F82B05" w:rsidP="00F82B05">
      <w:pPr>
        <w:pStyle w:val="BodyNormal"/>
      </w:pPr>
      <w:r>
        <w:lastRenderedPageBreak/>
        <w:t>There is a strong reliance on the FMZS to provide species protection, and therefore the zoning system is considered a ‘tool’ for conservation planning. This review identified that the zoning system is best for addressing discrete conservation values but there may be a risk of over-dependence on this zoning system for broader purposes (</w:t>
      </w:r>
      <w:proofErr w:type="gramStart"/>
      <w:r>
        <w:t>i.e.</w:t>
      </w:r>
      <w:proofErr w:type="gramEnd"/>
      <w:r>
        <w:t xml:space="preserve"> it is unclear whether the FMZS is the appropriate tool for landscape or ecosystem level management). However, the TSCRA Tranche 1 Permanent Protections are an example of where FMZS zoning has been selected as a tool for strategic biodiversity protection. This could be an important example of using the FMPs and FMZS together to strategically manage biodiversity. </w:t>
      </w:r>
    </w:p>
    <w:p w14:paraId="337B16E4" w14:textId="77777777" w:rsidR="00435F50" w:rsidRPr="00AB784E" w:rsidRDefault="00435F50" w:rsidP="00435F50">
      <w:pPr>
        <w:pStyle w:val="BodyNormal"/>
        <w:rPr>
          <w:b/>
          <w:bCs/>
          <w:i/>
          <w:iCs/>
        </w:rPr>
      </w:pPr>
      <w:r w:rsidRPr="00AB784E">
        <w:rPr>
          <w:b/>
          <w:bCs/>
          <w:i/>
          <w:iCs/>
        </w:rPr>
        <w:t>FFG Act</w:t>
      </w:r>
    </w:p>
    <w:p w14:paraId="1429E992" w14:textId="0A518C34" w:rsidR="00435F50" w:rsidRDefault="00435F50" w:rsidP="00435F50">
      <w:pPr>
        <w:pStyle w:val="BodyNormal"/>
      </w:pPr>
      <w:r>
        <w:t xml:space="preserve">Provisions from this Act </w:t>
      </w:r>
      <w:r w:rsidR="00637B6D">
        <w:t>relevant for</w:t>
      </w:r>
      <w:r>
        <w:t xml:space="preserve"> pathway step</w:t>
      </w:r>
      <w:r w:rsidR="00637B6D">
        <w:t xml:space="preserve"> 3</w:t>
      </w:r>
      <w:r>
        <w:t xml:space="preserve"> include</w:t>
      </w:r>
      <w:r w:rsidRPr="00E6757B">
        <w:t>:</w:t>
      </w:r>
    </w:p>
    <w:p w14:paraId="26F2371E" w14:textId="77777777" w:rsidR="00435F50" w:rsidRPr="0041658B" w:rsidRDefault="00435F50" w:rsidP="0041658B">
      <w:pPr>
        <w:pStyle w:val="ListBullet"/>
        <w:numPr>
          <w:ilvl w:val="0"/>
          <w:numId w:val="20"/>
        </w:numPr>
        <w:tabs>
          <w:tab w:val="clear" w:pos="-31680"/>
          <w:tab w:val="left" w:pos="340"/>
        </w:tabs>
        <w:ind w:right="0"/>
        <w:contextualSpacing/>
        <w:jc w:val="both"/>
        <w:rPr>
          <w:i/>
          <w:iCs/>
        </w:rPr>
      </w:pPr>
      <w:r>
        <w:t xml:space="preserve">Critical </w:t>
      </w:r>
      <w:r w:rsidRPr="003127E8">
        <w:t>Habitat Determinations</w:t>
      </w:r>
      <w:r w:rsidRPr="0041658B">
        <w:rPr>
          <w:i/>
          <w:iCs/>
        </w:rPr>
        <w:t xml:space="preserve"> </w:t>
      </w:r>
      <w:r w:rsidRPr="003127E8">
        <w:t>(section 20)</w:t>
      </w:r>
    </w:p>
    <w:p w14:paraId="353952C4" w14:textId="77777777" w:rsidR="00435F50" w:rsidRDefault="00435F50" w:rsidP="0041658B">
      <w:pPr>
        <w:pStyle w:val="ListBullet"/>
        <w:numPr>
          <w:ilvl w:val="0"/>
          <w:numId w:val="20"/>
        </w:numPr>
        <w:tabs>
          <w:tab w:val="clear" w:pos="-31680"/>
          <w:tab w:val="left" w:pos="340"/>
        </w:tabs>
        <w:ind w:right="0"/>
        <w:contextualSpacing/>
        <w:jc w:val="both"/>
      </w:pPr>
      <w:r w:rsidRPr="00B63CE2">
        <w:t>Flora and Fauna Management Plans</w:t>
      </w:r>
      <w:r>
        <w:t xml:space="preserve"> (section 21)</w:t>
      </w:r>
    </w:p>
    <w:p w14:paraId="15456917" w14:textId="1A0B1217" w:rsidR="006134AE" w:rsidRDefault="00C46627" w:rsidP="00435F50">
      <w:pPr>
        <w:pStyle w:val="BodyNormal"/>
      </w:pPr>
      <w:r>
        <w:t>T</w:t>
      </w:r>
      <w:r w:rsidR="00435F50">
        <w:t>hese provisions</w:t>
      </w:r>
      <w:r w:rsidR="000C09DC">
        <w:t xml:space="preserve"> are intended to have a role in conservation planning</w:t>
      </w:r>
      <w:r w:rsidR="00435F50">
        <w:t xml:space="preserve">, however their effectiveness regarding species and community protection in State forests is yet to be determined </w:t>
      </w:r>
      <w:r w:rsidR="001D464A">
        <w:t xml:space="preserve">given </w:t>
      </w:r>
      <w:r w:rsidR="00435F50">
        <w:t xml:space="preserve">they have not been implemented. </w:t>
      </w:r>
    </w:p>
    <w:p w14:paraId="7328ED03" w14:textId="534C055D" w:rsidR="00435F50" w:rsidRDefault="00435F50" w:rsidP="00435F50">
      <w:pPr>
        <w:pStyle w:val="BodyNormal"/>
      </w:pPr>
      <w:r>
        <w:t>Critical Habitat Determinations indicate an area that has biodiversity significance for the Stat</w:t>
      </w:r>
      <w:r w:rsidR="00C9042D">
        <w:t>e.</w:t>
      </w:r>
      <w:r>
        <w:t xml:space="preserve"> Ministerial guidelines</w:t>
      </w:r>
      <w:r w:rsidR="006134AE">
        <w:t xml:space="preserve"> for CHDs</w:t>
      </w:r>
      <w:r>
        <w:t xml:space="preserve"> </w:t>
      </w:r>
      <w:r w:rsidR="006134AE">
        <w:t>(based on</w:t>
      </w:r>
      <w:r>
        <w:t xml:space="preserve"> </w:t>
      </w:r>
      <w:r w:rsidR="006134AE">
        <w:t xml:space="preserve">the recent </w:t>
      </w:r>
      <w:r>
        <w:t xml:space="preserve">amendments to the </w:t>
      </w:r>
      <w:r w:rsidRPr="00EF65EF">
        <w:rPr>
          <w:i/>
          <w:iCs/>
        </w:rPr>
        <w:t>FFG Act</w:t>
      </w:r>
      <w:r w:rsidR="006134AE">
        <w:rPr>
          <w:i/>
          <w:iCs/>
        </w:rPr>
        <w:t>)</w:t>
      </w:r>
      <w:r>
        <w:t xml:space="preserve"> are being drafted to support their future </w:t>
      </w:r>
      <w:r w:rsidR="006134AE">
        <w:t>use</w:t>
      </w:r>
      <w:r>
        <w:t>. While a CHD would signal the importance of an area or habitat and may lead to other processes (</w:t>
      </w:r>
      <w:proofErr w:type="gramStart"/>
      <w:r>
        <w:t>e.g.</w:t>
      </w:r>
      <w:proofErr w:type="gramEnd"/>
      <w:r>
        <w:t xml:space="preserve"> Habitat</w:t>
      </w:r>
      <w:r w:rsidR="008F6752">
        <w:t xml:space="preserve"> Conservation</w:t>
      </w:r>
      <w:r>
        <w:t xml:space="preserve"> Orders being created),</w:t>
      </w:r>
      <w:r w:rsidR="001D5842">
        <w:t xml:space="preserve"> though there are no automatic regulatory implications once they are established. </w:t>
      </w:r>
      <w:r>
        <w:t xml:space="preserve"> </w:t>
      </w:r>
      <w:r w:rsidR="001D5842">
        <w:t>T</w:t>
      </w:r>
      <w:r>
        <w:t xml:space="preserve">hey are </w:t>
      </w:r>
      <w:r w:rsidR="001D5842">
        <w:t xml:space="preserve">also </w:t>
      </w:r>
      <w:r>
        <w:t>difficult to implement</w:t>
      </w:r>
      <w:r w:rsidR="008152D7">
        <w:t xml:space="preserve"> </w:t>
      </w:r>
      <w:r w:rsidR="000E3661">
        <w:t xml:space="preserve">potentially </w:t>
      </w:r>
      <w:r w:rsidR="008152D7">
        <w:t>requiring resolution of multiple perspectives and inputs</w:t>
      </w:r>
      <w:r w:rsidR="000E3661">
        <w:t xml:space="preserve"> relating to ecological matters and community perspectives</w:t>
      </w:r>
      <w:r>
        <w:t xml:space="preserve"> (</w:t>
      </w:r>
      <w:proofErr w:type="gramStart"/>
      <w:r>
        <w:t>e.g.</w:t>
      </w:r>
      <w:proofErr w:type="gramEnd"/>
      <w:r>
        <w:t xml:space="preserve"> the Secretary </w:t>
      </w:r>
      <w:r w:rsidRPr="004E432A">
        <w:t xml:space="preserve">must take </w:t>
      </w:r>
      <w:r>
        <w:t>‘</w:t>
      </w:r>
      <w:r w:rsidRPr="004E432A">
        <w:t>reasonable steps</w:t>
      </w:r>
      <w:r>
        <w:t>’</w:t>
      </w:r>
      <w:r w:rsidRPr="004E432A">
        <w:t xml:space="preserve"> to enter into agreements with managers for the area covered by the determination</w:t>
      </w:r>
      <w:r>
        <w:t>)</w:t>
      </w:r>
      <w:r w:rsidRPr="004E432A">
        <w:t>.</w:t>
      </w:r>
      <w:r>
        <w:t xml:space="preserve"> </w:t>
      </w:r>
      <w:r w:rsidR="00A67D4E">
        <w:t>P</w:t>
      </w:r>
      <w:r>
        <w:t xml:space="preserve">rotection of </w:t>
      </w:r>
      <w:r w:rsidR="009F3932">
        <w:t>T</w:t>
      </w:r>
      <w:r>
        <w:t xml:space="preserve">hreatened </w:t>
      </w:r>
      <w:r w:rsidR="009F3932">
        <w:t>S</w:t>
      </w:r>
      <w:r>
        <w:t xml:space="preserve">pecies and </w:t>
      </w:r>
      <w:r w:rsidR="009F3932">
        <w:t>C</w:t>
      </w:r>
      <w:r>
        <w:t>ommunities, with respect to State forests, can be achieved more simply through the FMZS.</w:t>
      </w:r>
    </w:p>
    <w:p w14:paraId="041974B2" w14:textId="49D31600" w:rsidR="00435F50" w:rsidRDefault="00435F50" w:rsidP="00435F50">
      <w:pPr>
        <w:pStyle w:val="BodyNormal"/>
      </w:pPr>
      <w:r w:rsidRPr="007354FE">
        <w:t xml:space="preserve">The </w:t>
      </w:r>
      <w:r w:rsidR="00C61E67" w:rsidRPr="007354FE">
        <w:t>potential for</w:t>
      </w:r>
      <w:r w:rsidRPr="007354FE">
        <w:t xml:space="preserve"> Flora and Fauna Management Plans (FFMP), as distinct from Action Statements</w:t>
      </w:r>
      <w:r w:rsidR="00C61E67" w:rsidRPr="007354FE">
        <w:t>,</w:t>
      </w:r>
      <w:r w:rsidRPr="007354FE">
        <w:t xml:space="preserve"> is unclear</w:t>
      </w:r>
      <w:r w:rsidR="00BB16FC" w:rsidRPr="007354FE">
        <w:t>, given they have not been used to date and so are ‘untested’</w:t>
      </w:r>
      <w:r w:rsidRPr="007354FE">
        <w:t>.</w:t>
      </w:r>
      <w:r>
        <w:t xml:space="preserve"> </w:t>
      </w:r>
      <w:r w:rsidR="00C61E67">
        <w:t>The i</w:t>
      </w:r>
      <w:r>
        <w:t xml:space="preserve">ntent of this provision is to set out how flora and fauna conservation and management objectives are to be implemented. They are intended to be a more detailed management plan than Action Statements and could therefore be used for ‘high profile’ species or those with complex management needs. They can be prepared for any species, including those that are not listed, but </w:t>
      </w:r>
      <w:r w:rsidR="00C61E67">
        <w:t xml:space="preserve">they </w:t>
      </w:r>
      <w:r>
        <w:t xml:space="preserve">are not mandatory. </w:t>
      </w:r>
      <w:r w:rsidR="00C61E67">
        <w:t xml:space="preserve">They do not have to be confined to a single </w:t>
      </w:r>
      <w:r w:rsidR="00A428C4">
        <w:t>species and</w:t>
      </w:r>
      <w:r w:rsidR="00C61E67">
        <w:t xml:space="preserve"> could be used to manage habitat or a vegetation community. </w:t>
      </w:r>
      <w:r w:rsidR="00BB16FC">
        <w:t>As they have yet to be used</w:t>
      </w:r>
      <w:r w:rsidR="00C61E67">
        <w:t xml:space="preserve">, </w:t>
      </w:r>
      <w:r>
        <w:t>it</w:t>
      </w:r>
      <w:r w:rsidR="00C61E67">
        <w:t xml:space="preserve"> is</w:t>
      </w:r>
      <w:r>
        <w:t xml:space="preserve"> difficult to assess their effectiveness. </w:t>
      </w:r>
    </w:p>
    <w:p w14:paraId="07848973" w14:textId="698CD0B4" w:rsidR="00C95230" w:rsidRPr="00BE6F55" w:rsidRDefault="00435F50" w:rsidP="00BE6F55">
      <w:pPr>
        <w:pStyle w:val="BodyNormal"/>
      </w:pPr>
      <w:r w:rsidRPr="005D4A22">
        <w:t>While resourcing</w:t>
      </w:r>
      <w:r>
        <w:t xml:space="preserve"> </w:t>
      </w:r>
      <w:r w:rsidR="00C61E67">
        <w:t xml:space="preserve">requirements for FFMPs are unclear, </w:t>
      </w:r>
      <w:r>
        <w:t>the</w:t>
      </w:r>
      <w:r w:rsidR="00C61E67">
        <w:t>y appear to be</w:t>
      </w:r>
      <w:r>
        <w:t xml:space="preserve"> an opportunity </w:t>
      </w:r>
      <w:r w:rsidR="00C61E67">
        <w:t xml:space="preserve">that could be </w:t>
      </w:r>
      <w:r>
        <w:t>explore</w:t>
      </w:r>
      <w:r w:rsidR="00C61E67">
        <w:t xml:space="preserve">d further. One area where they may present unique opportunities is in </w:t>
      </w:r>
      <w:r>
        <w:t xml:space="preserve">landscape scale </w:t>
      </w:r>
      <w:r w:rsidR="00C61E67">
        <w:t xml:space="preserve">management. The current management of threatened species tends to be dominated by single species </w:t>
      </w:r>
      <w:r w:rsidR="00A428C4">
        <w:t>approaches and</w:t>
      </w:r>
      <w:r w:rsidR="00C61E67">
        <w:t xml:space="preserve"> is often driven by detection of the given species. </w:t>
      </w:r>
      <w:r w:rsidR="00370A1F">
        <w:t>This model can mean it is difficult to take a landscape or ecosystem-based approach to managing threatened species. An FFMP could allow a more integrated approach to managing a landscape area according</w:t>
      </w:r>
      <w:r w:rsidR="00FB6A75">
        <w:t xml:space="preserve"> to</w:t>
      </w:r>
      <w:r w:rsidR="00370A1F">
        <w:t xml:space="preserve"> the needs of multiple species (listed and non-listed). </w:t>
      </w:r>
      <w:r>
        <w:t>However, ‘</w:t>
      </w:r>
      <w:r w:rsidRPr="004868D8">
        <w:t>place</w:t>
      </w:r>
      <w:r>
        <w:t xml:space="preserve"> based’ management plans (</w:t>
      </w:r>
      <w:proofErr w:type="gramStart"/>
      <w:r>
        <w:t>e.g.</w:t>
      </w:r>
      <w:proofErr w:type="gramEnd"/>
      <w:r>
        <w:t xml:space="preserve"> Forest Management Plans, national park</w:t>
      </w:r>
      <w:r w:rsidR="00370A1F">
        <w:t xml:space="preserve"> management plans</w:t>
      </w:r>
      <w:r>
        <w:t xml:space="preserve">) already exist </w:t>
      </w:r>
      <w:r w:rsidR="00C550C0">
        <w:t xml:space="preserve">so </w:t>
      </w:r>
      <w:r w:rsidR="00370A1F">
        <w:t>use of</w:t>
      </w:r>
      <w:r w:rsidR="00C550C0">
        <w:t xml:space="preserve"> FFMP</w:t>
      </w:r>
      <w:r w:rsidR="00370A1F">
        <w:t>s would need to be coordinated with these existing approaches</w:t>
      </w:r>
      <w:r w:rsidR="00C550C0">
        <w:t>.</w:t>
      </w:r>
    </w:p>
    <w:p w14:paraId="636D0EC9" w14:textId="77777777" w:rsidR="007936BA" w:rsidRDefault="007936BA" w:rsidP="00AF45FB">
      <w:pPr>
        <w:pStyle w:val="BodyBold"/>
        <w:rPr>
          <w:i/>
          <w:iCs/>
        </w:rPr>
      </w:pPr>
    </w:p>
    <w:p w14:paraId="08C8ED8F" w14:textId="77777777" w:rsidR="007936BA" w:rsidRDefault="007936BA" w:rsidP="00AF45FB">
      <w:pPr>
        <w:pStyle w:val="BodyBold"/>
        <w:rPr>
          <w:i/>
          <w:iCs/>
        </w:rPr>
      </w:pPr>
    </w:p>
    <w:p w14:paraId="1691AD1E" w14:textId="77777777" w:rsidR="00384596" w:rsidRPr="00384596" w:rsidRDefault="00384596" w:rsidP="00384596">
      <w:pPr>
        <w:pStyle w:val="BodyNormal"/>
      </w:pPr>
    </w:p>
    <w:p w14:paraId="7731E131" w14:textId="7CC0BABD" w:rsidR="00435F50" w:rsidRPr="00AF45FB" w:rsidRDefault="00435F50" w:rsidP="00AF45FB">
      <w:pPr>
        <w:pStyle w:val="BodyBold"/>
        <w:rPr>
          <w:i/>
          <w:iCs/>
        </w:rPr>
      </w:pPr>
      <w:r w:rsidRPr="00AF45FB">
        <w:rPr>
          <w:i/>
          <w:iCs/>
        </w:rPr>
        <w:lastRenderedPageBreak/>
        <w:t>SFT Act</w:t>
      </w:r>
    </w:p>
    <w:p w14:paraId="4F9903B2" w14:textId="2E9EF86D" w:rsidR="00435F50" w:rsidRDefault="00435F50" w:rsidP="00435F50">
      <w:pPr>
        <w:pStyle w:val="BodyNormal"/>
      </w:pPr>
      <w:r>
        <w:t>The role of Allocation Order</w:t>
      </w:r>
      <w:r w:rsidR="00370A1F">
        <w:t>s</w:t>
      </w:r>
      <w:r>
        <w:t xml:space="preserve"> (section </w:t>
      </w:r>
      <w:r w:rsidR="00EE14D7">
        <w:t>13</w:t>
      </w:r>
      <w:r w:rsidR="00B95EE9">
        <w:t xml:space="preserve"> of the</w:t>
      </w:r>
      <w:r w:rsidR="005062D5">
        <w:t xml:space="preserve"> SFT Act</w:t>
      </w:r>
      <w:r>
        <w:t>) and Timber Release Plans (TRP) in conservation planning ha</w:t>
      </w:r>
      <w:r w:rsidR="00370A1F">
        <w:t>s</w:t>
      </w:r>
      <w:r>
        <w:t xml:space="preserve"> been considered, particularly with reference to management actions described in Action Statements. The Allocation Order requires VicForests to comply with the </w:t>
      </w:r>
      <w:r w:rsidR="00AD44A4">
        <w:t>‘</w:t>
      </w:r>
      <w:r w:rsidR="3FB92F1C">
        <w:t>Code of Practice</w:t>
      </w:r>
      <w:r w:rsidR="00AD44A4">
        <w:t>’</w:t>
      </w:r>
      <w:r>
        <w:t xml:space="preserve"> and FMZS, as part of allocating timber resources from State </w:t>
      </w:r>
      <w:r w:rsidR="00370A1F">
        <w:t>F</w:t>
      </w:r>
      <w:r>
        <w:t>orests for harvesting and/or sale. Th</w:t>
      </w:r>
      <w:r w:rsidR="00370A1F">
        <w:t xml:space="preserve">is approach </w:t>
      </w:r>
      <w:r>
        <w:t>reli</w:t>
      </w:r>
      <w:r w:rsidR="00370A1F">
        <w:t>es</w:t>
      </w:r>
      <w:r>
        <w:t xml:space="preserve"> on relevant management actions from Action Statements be</w:t>
      </w:r>
      <w:r w:rsidR="00370A1F">
        <w:t>ing</w:t>
      </w:r>
      <w:r>
        <w:t xml:space="preserve"> embedded in the </w:t>
      </w:r>
      <w:r w:rsidR="00AD44A4">
        <w:t>‘</w:t>
      </w:r>
      <w:r w:rsidR="3FB92F1C">
        <w:t>Code of Practice</w:t>
      </w:r>
      <w:r w:rsidR="00AD44A4">
        <w:t>’</w:t>
      </w:r>
      <w:r>
        <w:t>, noting that management actions</w:t>
      </w:r>
      <w:r w:rsidR="0066771A">
        <w:t xml:space="preserve"> specified in Action Statements</w:t>
      </w:r>
      <w:r>
        <w:t xml:space="preserve"> are not </w:t>
      </w:r>
      <w:proofErr w:type="gramStart"/>
      <w:r>
        <w:t>enforceable</w:t>
      </w:r>
      <w:r w:rsidR="0066771A">
        <w:t xml:space="preserve"> in their own right</w:t>
      </w:r>
      <w:proofErr w:type="gramEnd"/>
      <w:r>
        <w:t xml:space="preserve">. </w:t>
      </w:r>
    </w:p>
    <w:p w14:paraId="429F72A4" w14:textId="5FA58752" w:rsidR="00F82B05" w:rsidRDefault="00F82B05" w:rsidP="00F82B05">
      <w:pPr>
        <w:pStyle w:val="BodyNormal"/>
      </w:pPr>
      <w:r>
        <w:t>The TRPs are scheduling documents that identify the forest coupes available for harvest. In preparing a TRP, VicForests consults with DE</w:t>
      </w:r>
      <w:r w:rsidR="00FB6A75">
        <w:t>LW</w:t>
      </w:r>
      <w:r>
        <w:t xml:space="preserve">P, DJPR, Traditional Owners and the public before approval. While the TRP and other timber resource information is available on VicForests’ website, the required </w:t>
      </w:r>
      <w:proofErr w:type="gramStart"/>
      <w:r>
        <w:t>28 day</w:t>
      </w:r>
      <w:proofErr w:type="gramEnd"/>
      <w:r>
        <w:t xml:space="preserve"> consultation period (specified in the </w:t>
      </w:r>
      <w:r w:rsidRPr="00AA420E">
        <w:rPr>
          <w:i/>
          <w:iCs/>
        </w:rPr>
        <w:t>Subordinate Legislation Act 1994</w:t>
      </w:r>
      <w:r>
        <w:t xml:space="preserve">) may be too short a period for meaningful input to be collected, clarified and acted on by VicForests. This could be a particularly significant limitation to ensure threatened species (and their associated Action Statements) are appropriately </w:t>
      </w:r>
      <w:r w:rsidRPr="00F82B05">
        <w:t xml:space="preserve">considered. </w:t>
      </w:r>
      <w:r w:rsidR="00845AB5">
        <w:t xml:space="preserve">It would be desirable for relevant agencies to identify, what, if any, timber resource information could be shared in real time across these agencies. </w:t>
      </w:r>
      <w:r>
        <w:t>This could be established via a Memorandum of Understanding (MOU) or considered through the ‘Code of Practice’ Review.</w:t>
      </w:r>
    </w:p>
    <w:p w14:paraId="517C9311" w14:textId="3B264504" w:rsidR="00DA7CE2" w:rsidRDefault="00DA7CE2" w:rsidP="00435F50">
      <w:pPr>
        <w:pStyle w:val="BodyNormal"/>
      </w:pPr>
      <w:r w:rsidRPr="008F02B3">
        <w:t xml:space="preserve">Finally, </w:t>
      </w:r>
      <w:r w:rsidR="00BD5701" w:rsidRPr="00BD5701">
        <w:t xml:space="preserve">opportunities for legislative reform </w:t>
      </w:r>
      <w:proofErr w:type="gramStart"/>
      <w:r w:rsidR="00BD5701" w:rsidRPr="00BD5701">
        <w:t>subsequent to</w:t>
      </w:r>
      <w:proofErr w:type="gramEnd"/>
      <w:r w:rsidR="00BD5701" w:rsidRPr="00BD5701">
        <w:t xml:space="preserve"> the cessation of native timber harvesting in 2030 should be considered</w:t>
      </w:r>
      <w:r w:rsidRPr="008F02B3">
        <w:t xml:space="preserve">. This could include repealing the </w:t>
      </w:r>
      <w:r w:rsidRPr="008F02B3">
        <w:rPr>
          <w:i/>
          <w:iCs/>
        </w:rPr>
        <w:t>SFT Act</w:t>
      </w:r>
      <w:r w:rsidRPr="008F02B3">
        <w:t xml:space="preserve"> and modernising the </w:t>
      </w:r>
      <w:r w:rsidRPr="008F02B3">
        <w:rPr>
          <w:i/>
          <w:iCs/>
        </w:rPr>
        <w:t>Forests Act</w:t>
      </w:r>
      <w:r w:rsidRPr="008F02B3">
        <w:t xml:space="preserve"> to incorporate relevant existing principles (</w:t>
      </w:r>
      <w:proofErr w:type="gramStart"/>
      <w:r w:rsidRPr="008F02B3">
        <w:t>e.g.</w:t>
      </w:r>
      <w:proofErr w:type="gramEnd"/>
      <w:r w:rsidRPr="008F02B3">
        <w:t xml:space="preserve"> Precautionary Principle, Ecological Sustainable Development) and other relevant objectives, such as climate change adaptation, Traditional Owner self-determination and those listed in </w:t>
      </w:r>
      <w:r w:rsidRPr="008F02B3">
        <w:rPr>
          <w:i/>
          <w:iCs/>
        </w:rPr>
        <w:t>FFG Act</w:t>
      </w:r>
      <w:r w:rsidRPr="008F02B3">
        <w:t>.</w:t>
      </w:r>
      <w:r>
        <w:t xml:space="preserve"> </w:t>
      </w:r>
    </w:p>
    <w:p w14:paraId="08BD3AEB" w14:textId="646BD51C" w:rsidR="00435F50" w:rsidRPr="001E2189" w:rsidRDefault="007D698A" w:rsidP="00AF45FB">
      <w:pPr>
        <w:pStyle w:val="Italic"/>
      </w:pPr>
      <w:r>
        <w:t>Recommendations for consideration:</w:t>
      </w:r>
    </w:p>
    <w:p w14:paraId="093BE58F" w14:textId="65839E3C" w:rsidR="00820121" w:rsidRDefault="00820121" w:rsidP="003127E8">
      <w:pPr>
        <w:pStyle w:val="ListBullet"/>
        <w:numPr>
          <w:ilvl w:val="0"/>
          <w:numId w:val="20"/>
        </w:numPr>
        <w:tabs>
          <w:tab w:val="clear" w:pos="-31680"/>
          <w:tab w:val="left" w:pos="340"/>
        </w:tabs>
        <w:snapToGrid w:val="0"/>
        <w:spacing w:after="120"/>
        <w:ind w:right="0"/>
        <w:jc w:val="both"/>
        <w:rPr>
          <w:i/>
          <w:iCs/>
        </w:rPr>
      </w:pPr>
      <w:r w:rsidRPr="00370A1F">
        <w:rPr>
          <w:i/>
          <w:iCs/>
        </w:rPr>
        <w:t>Placing greater emphasis</w:t>
      </w:r>
      <w:r w:rsidR="00BD2434" w:rsidRPr="00370A1F">
        <w:rPr>
          <w:i/>
          <w:iCs/>
        </w:rPr>
        <w:t xml:space="preserve"> </w:t>
      </w:r>
      <w:r w:rsidRPr="00370A1F">
        <w:rPr>
          <w:i/>
          <w:iCs/>
        </w:rPr>
        <w:t xml:space="preserve">on </w:t>
      </w:r>
      <w:r w:rsidR="00565ED4">
        <w:rPr>
          <w:i/>
          <w:iCs/>
        </w:rPr>
        <w:t>the</w:t>
      </w:r>
      <w:r w:rsidRPr="00370A1F">
        <w:rPr>
          <w:i/>
          <w:iCs/>
        </w:rPr>
        <w:t xml:space="preserve"> </w:t>
      </w:r>
      <w:r w:rsidR="00565ED4">
        <w:rPr>
          <w:i/>
          <w:iCs/>
        </w:rPr>
        <w:t>best use</w:t>
      </w:r>
      <w:r w:rsidR="00B4020A">
        <w:rPr>
          <w:i/>
          <w:iCs/>
        </w:rPr>
        <w:t xml:space="preserve"> of</w:t>
      </w:r>
      <w:r w:rsidR="00565ED4">
        <w:rPr>
          <w:i/>
          <w:iCs/>
        </w:rPr>
        <w:t xml:space="preserve"> </w:t>
      </w:r>
      <w:r w:rsidRPr="00370A1F">
        <w:rPr>
          <w:i/>
          <w:iCs/>
        </w:rPr>
        <w:t>FMP</w:t>
      </w:r>
      <w:r w:rsidR="000221ED">
        <w:rPr>
          <w:i/>
          <w:iCs/>
        </w:rPr>
        <w:t>s</w:t>
      </w:r>
      <w:r w:rsidRPr="00370A1F">
        <w:rPr>
          <w:i/>
          <w:iCs/>
        </w:rPr>
        <w:t xml:space="preserve"> and FMZS </w:t>
      </w:r>
      <w:r w:rsidR="00565ED4">
        <w:rPr>
          <w:i/>
          <w:iCs/>
        </w:rPr>
        <w:t xml:space="preserve">to transparently and </w:t>
      </w:r>
      <w:r w:rsidRPr="00370A1F">
        <w:rPr>
          <w:i/>
          <w:iCs/>
        </w:rPr>
        <w:t>strategically manage where timber harvesting should occur</w:t>
      </w:r>
      <w:r w:rsidR="00565ED4">
        <w:rPr>
          <w:i/>
          <w:iCs/>
        </w:rPr>
        <w:t>, and to demonstrate how this reduces impacts on listed species and communities</w:t>
      </w:r>
      <w:r w:rsidRPr="00370A1F">
        <w:rPr>
          <w:i/>
          <w:iCs/>
        </w:rPr>
        <w:t>. (Note the future role of FMZS will need to be considered</w:t>
      </w:r>
      <w:r w:rsidR="000736A7">
        <w:rPr>
          <w:i/>
          <w:iCs/>
        </w:rPr>
        <w:t>,</w:t>
      </w:r>
      <w:r w:rsidRPr="00370A1F">
        <w:rPr>
          <w:i/>
          <w:iCs/>
        </w:rPr>
        <w:t xml:space="preserve"> </w:t>
      </w:r>
      <w:r w:rsidR="000736A7">
        <w:rPr>
          <w:i/>
          <w:iCs/>
        </w:rPr>
        <w:t>with the increase in declarations of Special Protection Zones likely</w:t>
      </w:r>
      <w:r w:rsidR="003127E8">
        <w:rPr>
          <w:i/>
          <w:iCs/>
        </w:rPr>
        <w:t xml:space="preserve"> as</w:t>
      </w:r>
      <w:r w:rsidR="000736A7">
        <w:rPr>
          <w:i/>
          <w:iCs/>
        </w:rPr>
        <w:t xml:space="preserve"> </w:t>
      </w:r>
      <w:r w:rsidRPr="00370A1F">
        <w:rPr>
          <w:i/>
          <w:iCs/>
        </w:rPr>
        <w:t xml:space="preserve">timber harvesting </w:t>
      </w:r>
      <w:r w:rsidR="003127E8">
        <w:rPr>
          <w:i/>
          <w:iCs/>
        </w:rPr>
        <w:t>will cease i</w:t>
      </w:r>
      <w:r w:rsidRPr="00370A1F">
        <w:rPr>
          <w:i/>
          <w:iCs/>
        </w:rPr>
        <w:t>n State forests by 2030</w:t>
      </w:r>
      <w:r w:rsidR="00565ED4">
        <w:rPr>
          <w:i/>
          <w:iCs/>
        </w:rPr>
        <w:t>.</w:t>
      </w:r>
      <w:r w:rsidRPr="00370A1F">
        <w:rPr>
          <w:i/>
          <w:iCs/>
        </w:rPr>
        <w:t>)</w:t>
      </w:r>
    </w:p>
    <w:p w14:paraId="090DEBE0" w14:textId="42928C50" w:rsidR="00F82B05" w:rsidRPr="00370A1F" w:rsidRDefault="00F82B05" w:rsidP="003127E8">
      <w:pPr>
        <w:pStyle w:val="ListBullet"/>
        <w:numPr>
          <w:ilvl w:val="0"/>
          <w:numId w:val="20"/>
        </w:numPr>
        <w:tabs>
          <w:tab w:val="clear" w:pos="-31680"/>
          <w:tab w:val="left" w:pos="340"/>
        </w:tabs>
        <w:snapToGrid w:val="0"/>
        <w:spacing w:after="120"/>
        <w:ind w:right="0"/>
        <w:jc w:val="both"/>
        <w:rPr>
          <w:i/>
          <w:iCs/>
        </w:rPr>
      </w:pPr>
      <w:r>
        <w:rPr>
          <w:i/>
          <w:iCs/>
        </w:rPr>
        <w:t>Continue the development of guidelines for Critical Habitat Determinations and identify potential examples where the guidelines can be tested (</w:t>
      </w:r>
      <w:proofErr w:type="gramStart"/>
      <w:r>
        <w:rPr>
          <w:i/>
          <w:iCs/>
        </w:rPr>
        <w:t>e.g.</w:t>
      </w:r>
      <w:proofErr w:type="gramEnd"/>
      <w:r>
        <w:rPr>
          <w:i/>
          <w:iCs/>
        </w:rPr>
        <w:t xml:space="preserve"> via a </w:t>
      </w:r>
      <w:r w:rsidR="003127E8">
        <w:rPr>
          <w:i/>
          <w:iCs/>
        </w:rPr>
        <w:t xml:space="preserve">concept such as a </w:t>
      </w:r>
      <w:r>
        <w:rPr>
          <w:i/>
          <w:iCs/>
        </w:rPr>
        <w:t>regulatory sandbox process</w:t>
      </w:r>
      <w:r>
        <w:rPr>
          <w:rStyle w:val="FootnoteReference"/>
          <w:i/>
          <w:iCs/>
        </w:rPr>
        <w:footnoteReference w:id="7"/>
      </w:r>
      <w:r>
        <w:rPr>
          <w:i/>
          <w:iCs/>
        </w:rPr>
        <w:t xml:space="preserve">) so that the practical implications of using the CHD could be assessed in detail (before actually implementing). </w:t>
      </w:r>
    </w:p>
    <w:p w14:paraId="761EB3A8" w14:textId="77777777" w:rsidR="00F82B05" w:rsidRPr="00370A1F" w:rsidRDefault="00F82B05" w:rsidP="003127E8">
      <w:pPr>
        <w:pStyle w:val="ListBullet"/>
        <w:numPr>
          <w:ilvl w:val="0"/>
          <w:numId w:val="20"/>
        </w:numPr>
        <w:tabs>
          <w:tab w:val="clear" w:pos="-31680"/>
          <w:tab w:val="left" w:pos="340"/>
        </w:tabs>
        <w:snapToGrid w:val="0"/>
        <w:spacing w:after="120"/>
        <w:ind w:right="0"/>
        <w:jc w:val="both"/>
        <w:rPr>
          <w:i/>
          <w:iCs/>
        </w:rPr>
      </w:pPr>
      <w:r>
        <w:rPr>
          <w:i/>
          <w:iCs/>
        </w:rPr>
        <w:t>Build internal capacity t</w:t>
      </w:r>
      <w:r w:rsidRPr="00370A1F">
        <w:rPr>
          <w:i/>
          <w:iCs/>
        </w:rPr>
        <w:t xml:space="preserve">o support effective </w:t>
      </w:r>
      <w:r>
        <w:rPr>
          <w:i/>
          <w:iCs/>
        </w:rPr>
        <w:t>use</w:t>
      </w:r>
      <w:r w:rsidRPr="00370A1F">
        <w:rPr>
          <w:i/>
          <w:iCs/>
        </w:rPr>
        <w:t xml:space="preserve"> of Flora and Fauna Management Plans</w:t>
      </w:r>
      <w:r>
        <w:rPr>
          <w:i/>
          <w:iCs/>
        </w:rPr>
        <w:t xml:space="preserve"> by </w:t>
      </w:r>
      <w:r w:rsidRPr="00370A1F">
        <w:rPr>
          <w:i/>
          <w:iCs/>
        </w:rPr>
        <w:t>develop</w:t>
      </w:r>
      <w:r>
        <w:rPr>
          <w:i/>
          <w:iCs/>
        </w:rPr>
        <w:t>ing</w:t>
      </w:r>
      <w:r w:rsidRPr="00370A1F">
        <w:rPr>
          <w:i/>
          <w:iCs/>
        </w:rPr>
        <w:t xml:space="preserve"> guidelines</w:t>
      </w:r>
      <w:r>
        <w:rPr>
          <w:i/>
          <w:iCs/>
        </w:rPr>
        <w:t xml:space="preserve"> and </w:t>
      </w:r>
      <w:r w:rsidRPr="00370A1F">
        <w:rPr>
          <w:i/>
          <w:iCs/>
        </w:rPr>
        <w:t>‘test</w:t>
      </w:r>
      <w:r>
        <w:rPr>
          <w:i/>
          <w:iCs/>
        </w:rPr>
        <w:t>ing</w:t>
      </w:r>
      <w:r w:rsidRPr="00370A1F">
        <w:rPr>
          <w:i/>
          <w:iCs/>
        </w:rPr>
        <w:t>’ their possible role for landscape scale or multi-species focus</w:t>
      </w:r>
      <w:r>
        <w:rPr>
          <w:i/>
          <w:iCs/>
        </w:rPr>
        <w:t>.</w:t>
      </w:r>
    </w:p>
    <w:p w14:paraId="12DF3895" w14:textId="0D23C62B" w:rsidR="00F82B05" w:rsidRDefault="00F82B05" w:rsidP="003127E8">
      <w:pPr>
        <w:pStyle w:val="ListBullet"/>
        <w:numPr>
          <w:ilvl w:val="0"/>
          <w:numId w:val="20"/>
        </w:numPr>
        <w:tabs>
          <w:tab w:val="clear" w:pos="-31680"/>
          <w:tab w:val="left" w:pos="340"/>
        </w:tabs>
        <w:snapToGrid w:val="0"/>
        <w:spacing w:after="120"/>
        <w:ind w:right="0"/>
        <w:jc w:val="both"/>
        <w:rPr>
          <w:i/>
          <w:iCs/>
        </w:rPr>
      </w:pPr>
      <w:r>
        <w:rPr>
          <w:i/>
          <w:iCs/>
        </w:rPr>
        <w:t xml:space="preserve">Bring together relevant agencies to identify critical timber resource information and to define timely access to that information. Capture these requirements in a joint agreement between the agencies involved. </w:t>
      </w:r>
    </w:p>
    <w:p w14:paraId="307620CF" w14:textId="3A6A8E55" w:rsidR="00F82B05" w:rsidRPr="00F82B05" w:rsidRDefault="00F82B05" w:rsidP="003127E8">
      <w:pPr>
        <w:pStyle w:val="ListBullet"/>
        <w:numPr>
          <w:ilvl w:val="0"/>
          <w:numId w:val="20"/>
        </w:numPr>
        <w:tabs>
          <w:tab w:val="clear" w:pos="-31680"/>
          <w:tab w:val="left" w:pos="340"/>
        </w:tabs>
        <w:snapToGrid w:val="0"/>
        <w:spacing w:after="120"/>
        <w:ind w:right="0"/>
        <w:jc w:val="both"/>
      </w:pPr>
      <w:r>
        <w:rPr>
          <w:rStyle w:val="BoldCharacter"/>
          <w:b w:val="0"/>
          <w:i/>
          <w:iCs/>
        </w:rPr>
        <w:t>C</w:t>
      </w:r>
      <w:r w:rsidRPr="00055E0B">
        <w:rPr>
          <w:rStyle w:val="BoldCharacter"/>
          <w:b w:val="0"/>
          <w:i/>
          <w:iCs/>
        </w:rPr>
        <w:t xml:space="preserve">reate a </w:t>
      </w:r>
      <w:r>
        <w:rPr>
          <w:rStyle w:val="BoldCharacter"/>
          <w:b w:val="0"/>
          <w:i/>
          <w:iCs/>
        </w:rPr>
        <w:t>stronger (and more formal)</w:t>
      </w:r>
      <w:r w:rsidRPr="00055E0B">
        <w:rPr>
          <w:rStyle w:val="BoldCharacter"/>
          <w:b w:val="0"/>
          <w:i/>
          <w:iCs/>
        </w:rPr>
        <w:t xml:space="preserve"> </w:t>
      </w:r>
      <w:r>
        <w:rPr>
          <w:rStyle w:val="BoldCharacter"/>
          <w:b w:val="0"/>
          <w:i/>
          <w:iCs/>
        </w:rPr>
        <w:t xml:space="preserve">requirement that </w:t>
      </w:r>
      <w:r w:rsidRPr="00055E0B">
        <w:rPr>
          <w:rStyle w:val="BoldCharacter"/>
          <w:b w:val="0"/>
          <w:i/>
          <w:iCs/>
        </w:rPr>
        <w:t>FFG Act listed species</w:t>
      </w:r>
      <w:r>
        <w:rPr>
          <w:rStyle w:val="BoldCharacter"/>
          <w:b w:val="0"/>
          <w:i/>
          <w:iCs/>
        </w:rPr>
        <w:t xml:space="preserve"> information (</w:t>
      </w:r>
      <w:proofErr w:type="gramStart"/>
      <w:r>
        <w:rPr>
          <w:rStyle w:val="BoldCharacter"/>
          <w:b w:val="0"/>
          <w:i/>
          <w:iCs/>
        </w:rPr>
        <w:t>e.g.</w:t>
      </w:r>
      <w:proofErr w:type="gramEnd"/>
      <w:r>
        <w:rPr>
          <w:rStyle w:val="BoldCharacter"/>
          <w:b w:val="0"/>
          <w:i/>
          <w:iCs/>
        </w:rPr>
        <w:t xml:space="preserve"> provisions set out in Action Statements or TSCRA findings)</w:t>
      </w:r>
      <w:r w:rsidRPr="00055E0B">
        <w:rPr>
          <w:rStyle w:val="BoldCharacter"/>
          <w:b w:val="0"/>
          <w:i/>
          <w:iCs/>
        </w:rPr>
        <w:t xml:space="preserve"> inform</w:t>
      </w:r>
      <w:r>
        <w:rPr>
          <w:rStyle w:val="BoldCharacter"/>
          <w:b w:val="0"/>
          <w:i/>
          <w:iCs/>
        </w:rPr>
        <w:t>s</w:t>
      </w:r>
      <w:r w:rsidRPr="00055E0B">
        <w:rPr>
          <w:rStyle w:val="BoldCharacter"/>
          <w:b w:val="0"/>
          <w:i/>
          <w:iCs/>
        </w:rPr>
        <w:t xml:space="preserve"> timber harvesting planning</w:t>
      </w:r>
      <w:r>
        <w:rPr>
          <w:rStyle w:val="BoldCharacter"/>
          <w:b w:val="0"/>
          <w:i/>
          <w:iCs/>
        </w:rPr>
        <w:t xml:space="preserve">. </w:t>
      </w:r>
    </w:p>
    <w:p w14:paraId="011D5814" w14:textId="77777777" w:rsidR="00B52AF5" w:rsidRDefault="00B52AF5">
      <w:pPr>
        <w:spacing w:before="0" w:after="0"/>
        <w:ind w:left="115" w:right="115"/>
        <w:rPr>
          <w:rFonts w:ascii="Arial Bold" w:hAnsi="Arial Bold"/>
          <w:b/>
          <w:caps/>
          <w:color w:val="213144"/>
          <w:spacing w:val="30"/>
          <w:sz w:val="20"/>
        </w:rPr>
      </w:pPr>
      <w:r>
        <w:br w:type="page"/>
      </w:r>
    </w:p>
    <w:p w14:paraId="264D3E6F" w14:textId="431E6BE0" w:rsidR="004D089D" w:rsidRDefault="0002693C" w:rsidP="007626AA">
      <w:pPr>
        <w:pStyle w:val="Heading3"/>
      </w:pPr>
      <w:r w:rsidRPr="00C550C0">
        <w:lastRenderedPageBreak/>
        <w:t xml:space="preserve">pathway step 4: </w:t>
      </w:r>
      <w:r w:rsidR="001B2F30" w:rsidRPr="00C550C0">
        <w:t xml:space="preserve">IMPLEMENTATION OF CONSERVATION </w:t>
      </w:r>
      <w:r w:rsidR="00C95230">
        <w:t xml:space="preserve">and protection </w:t>
      </w:r>
      <w:r w:rsidR="001B2F30" w:rsidRPr="00C550C0">
        <w:t xml:space="preserve">ACTIONS </w:t>
      </w:r>
    </w:p>
    <w:p w14:paraId="359CF248" w14:textId="77777777" w:rsidR="00740B19" w:rsidRDefault="00740B19" w:rsidP="00740B19">
      <w:pPr>
        <w:pStyle w:val="BodyNormal"/>
      </w:pPr>
      <w:r>
        <w:t xml:space="preserve">From Figure 4-2: </w:t>
      </w:r>
    </w:p>
    <w:p w14:paraId="485E345F" w14:textId="28569DDC" w:rsidR="00740B19" w:rsidRDefault="002118C9" w:rsidP="00740B19">
      <w:pPr>
        <w:pStyle w:val="BodyNormal"/>
      </w:pPr>
      <w:r w:rsidRPr="002118C9">
        <w:rPr>
          <w:noProof/>
        </w:rPr>
        <w:drawing>
          <wp:inline distT="0" distB="0" distL="0" distR="0" wp14:anchorId="5998517F" wp14:editId="61B2F025">
            <wp:extent cx="654084" cy="495325"/>
            <wp:effectExtent l="0" t="0" r="0" b="0"/>
            <wp:docPr id="17" name="Picture 17" descr="Allocation order 2013. Requires VicForests to comply with the Code and the FMZS (cls 10(2) and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llocation order 2013. Requires VicForests to comply with the Code and the FMZS (cls 10(2) and 10(3)."/>
                    <pic:cNvPicPr/>
                  </pic:nvPicPr>
                  <pic:blipFill>
                    <a:blip r:embed="rId37">
                      <a:extLst>
                        <a:ext uri="{28A0092B-C50C-407E-A947-70E740481C1C}">
                          <a14:useLocalDpi xmlns:a14="http://schemas.microsoft.com/office/drawing/2010/main" val="0"/>
                        </a:ext>
                      </a:extLst>
                    </a:blip>
                    <a:stretch>
                      <a:fillRect/>
                    </a:stretch>
                  </pic:blipFill>
                  <pic:spPr>
                    <a:xfrm>
                      <a:off x="0" y="0"/>
                      <a:ext cx="654084" cy="495325"/>
                    </a:xfrm>
                    <a:prstGeom prst="rect">
                      <a:avLst/>
                    </a:prstGeom>
                  </pic:spPr>
                </pic:pic>
              </a:graphicData>
            </a:graphic>
          </wp:inline>
        </w:drawing>
      </w:r>
      <w:r w:rsidR="00B63CE2" w:rsidRPr="00B63CE2">
        <w:rPr>
          <w:noProof/>
        </w:rPr>
        <w:drawing>
          <wp:inline distT="0" distB="0" distL="0" distR="0" wp14:anchorId="037E1C09" wp14:editId="55F1E4FA">
            <wp:extent cx="5941060" cy="225425"/>
            <wp:effectExtent l="0" t="0" r="2540" b="3175"/>
            <wp:docPr id="29" name="Picture 29" descr="FFG Act, Forests Act, Sustainable Forests Act, Code of Practice (CFL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FG Act, Forests Act, Sustainable Forests Act, Code of Practice (CFL Act)"/>
                    <pic:cNvPicPr/>
                  </pic:nvPicPr>
                  <pic:blipFill>
                    <a:blip r:embed="rId34"/>
                    <a:stretch>
                      <a:fillRect/>
                    </a:stretch>
                  </pic:blipFill>
                  <pic:spPr>
                    <a:xfrm>
                      <a:off x="0" y="0"/>
                      <a:ext cx="5941060" cy="225425"/>
                    </a:xfrm>
                    <a:prstGeom prst="rect">
                      <a:avLst/>
                    </a:prstGeom>
                  </pic:spPr>
                </pic:pic>
              </a:graphicData>
            </a:graphic>
          </wp:inline>
        </w:drawing>
      </w:r>
    </w:p>
    <w:p w14:paraId="0C10948A" w14:textId="465FF70B" w:rsidR="00B63CE2" w:rsidRDefault="00B63CE2" w:rsidP="00B63CE2">
      <w:pPr>
        <w:pStyle w:val="BodyNormal"/>
        <w:ind w:hanging="284"/>
      </w:pPr>
      <w:r w:rsidRPr="00B63CE2">
        <w:rPr>
          <w:noProof/>
        </w:rPr>
        <w:drawing>
          <wp:inline distT="0" distB="0" distL="0" distR="0" wp14:anchorId="2B9FA239" wp14:editId="775EF131">
            <wp:extent cx="6123940" cy="2544445"/>
            <wp:effectExtent l="19050" t="19050" r="10160" b="27305"/>
            <wp:docPr id="30" name="Picture 30" descr="Diagram showing Conservation and Protection Actions under the FFG Act, Forests Act, Sustainable Forests Act, Code of Practice (CFL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showing Conservation and Protection Actions under the FFG Act, Forests Act, Sustainable Forests Act, Code of Practice (CFL Act)"/>
                    <pic:cNvPicPr/>
                  </pic:nvPicPr>
                  <pic:blipFill>
                    <a:blip r:embed="rId38">
                      <a:extLst>
                        <a:ext uri="{28A0092B-C50C-407E-A947-70E740481C1C}">
                          <a14:useLocalDpi xmlns:a14="http://schemas.microsoft.com/office/drawing/2010/main" val="0"/>
                        </a:ext>
                      </a:extLst>
                    </a:blip>
                    <a:stretch>
                      <a:fillRect/>
                    </a:stretch>
                  </pic:blipFill>
                  <pic:spPr>
                    <a:xfrm>
                      <a:off x="0" y="0"/>
                      <a:ext cx="6123940" cy="2544445"/>
                    </a:xfrm>
                    <a:prstGeom prst="rect">
                      <a:avLst/>
                    </a:prstGeom>
                    <a:ln>
                      <a:solidFill>
                        <a:schemeClr val="accent1"/>
                      </a:solidFill>
                    </a:ln>
                  </pic:spPr>
                </pic:pic>
              </a:graphicData>
            </a:graphic>
          </wp:inline>
        </w:drawing>
      </w:r>
    </w:p>
    <w:p w14:paraId="30A33519" w14:textId="1CC25AD7" w:rsidR="00B63CE2" w:rsidRPr="00740B19" w:rsidRDefault="00B63CE2" w:rsidP="00740B19">
      <w:pPr>
        <w:pStyle w:val="BodyNormal"/>
      </w:pPr>
    </w:p>
    <w:p w14:paraId="590180C4" w14:textId="608D07F2" w:rsidR="00565ED4" w:rsidRDefault="00565ED4" w:rsidP="00565ED4">
      <w:pPr>
        <w:pStyle w:val="BodyNormal"/>
      </w:pPr>
      <w:r>
        <w:t xml:space="preserve">In this section, the role of the </w:t>
      </w:r>
      <w:r w:rsidR="00AD44A4">
        <w:t>‘</w:t>
      </w:r>
      <w:r w:rsidR="3FB92F1C">
        <w:t>Code of Practice</w:t>
      </w:r>
      <w:r w:rsidR="00AD44A4">
        <w:t>’</w:t>
      </w:r>
      <w:r>
        <w:t xml:space="preserve"> and the </w:t>
      </w:r>
      <w:r w:rsidRPr="3DAA379F">
        <w:rPr>
          <w:i/>
          <w:iCs/>
        </w:rPr>
        <w:t>FFG Act</w:t>
      </w:r>
      <w:r>
        <w:t xml:space="preserve"> in</w:t>
      </w:r>
      <w:r w:rsidR="00BC15C0">
        <w:t xml:space="preserve"> the</w:t>
      </w:r>
      <w:r>
        <w:t xml:space="preserve"> implementation of conservation actions and threat mitigation are discussed. Recommendations drawn from this discussion are presented at the end of this section. </w:t>
      </w:r>
    </w:p>
    <w:p w14:paraId="4AA4CDCD" w14:textId="2FD5637E" w:rsidR="008E6411" w:rsidRPr="00565ED4" w:rsidRDefault="008E6411" w:rsidP="00565ED4">
      <w:pPr>
        <w:pStyle w:val="BodyNormal"/>
      </w:pPr>
    </w:p>
    <w:p w14:paraId="12D6D134" w14:textId="6A3C07BB" w:rsidR="00A840E0" w:rsidRPr="004E432A" w:rsidRDefault="3FB92F1C" w:rsidP="00A840E0">
      <w:pPr>
        <w:pStyle w:val="BodyNormal"/>
        <w:rPr>
          <w:b/>
          <w:bCs/>
        </w:rPr>
      </w:pPr>
      <w:r w:rsidRPr="3DAA379F">
        <w:rPr>
          <w:b/>
          <w:bCs/>
        </w:rPr>
        <w:t>Code of Practice</w:t>
      </w:r>
    </w:p>
    <w:p w14:paraId="4FC474F9" w14:textId="33771F5D" w:rsidR="00A840E0" w:rsidRPr="00E41389" w:rsidRDefault="00A840E0" w:rsidP="3DAA379F">
      <w:pPr>
        <w:pStyle w:val="BodyNormal"/>
      </w:pPr>
      <w:r>
        <w:t xml:space="preserve">In analysing legislation for this step of the ‘Pathway to Protection’, there is significant reliance on the </w:t>
      </w:r>
      <w:r w:rsidR="00AD44A4">
        <w:t>‘</w:t>
      </w:r>
      <w:r w:rsidR="3FB92F1C">
        <w:t>Code of Practice</w:t>
      </w:r>
      <w:r w:rsidR="00AD44A4">
        <w:t>’</w:t>
      </w:r>
      <w:r>
        <w:t xml:space="preserve"> to ‘capture’ and interpret relevant provisions and any technical measures or prescriptions to protect </w:t>
      </w:r>
      <w:r w:rsidR="009F3932">
        <w:t>T</w:t>
      </w:r>
      <w:r>
        <w:t xml:space="preserve">hreatened </w:t>
      </w:r>
      <w:r w:rsidR="009F3932">
        <w:t>S</w:t>
      </w:r>
      <w:r>
        <w:t xml:space="preserve">pecies and </w:t>
      </w:r>
      <w:r w:rsidR="009F3932">
        <w:t>C</w:t>
      </w:r>
      <w:r>
        <w:t xml:space="preserve">ommunities dependent on State forests. However, </w:t>
      </w:r>
      <w:r w:rsidR="00C27FCA">
        <w:t>as noted in section 4.2.2 (</w:t>
      </w:r>
      <w:r w:rsidR="00556A92">
        <w:t>Risk Assessment pathway step) a</w:t>
      </w:r>
      <w:r>
        <w:t xml:space="preserve"> key issue is the ability for the </w:t>
      </w:r>
      <w:r w:rsidR="00AD44A4">
        <w:t>‘</w:t>
      </w:r>
      <w:r w:rsidR="3FB92F1C">
        <w:t>Code of Practice</w:t>
      </w:r>
      <w:r w:rsidR="00AD44A4">
        <w:t>’</w:t>
      </w:r>
      <w:r>
        <w:t xml:space="preserve"> to be </w:t>
      </w:r>
      <w:r w:rsidR="00E75359">
        <w:t>rapidly</w:t>
      </w:r>
      <w:r>
        <w:t xml:space="preserve"> updated, therefore ensuring relevant technical or management measures regarding threatened species are incorporated in a timely fashion.</w:t>
      </w:r>
      <w:r w:rsidR="00E41389">
        <w:t xml:space="preserve"> </w:t>
      </w:r>
      <w:r w:rsidR="00E41389" w:rsidRPr="00EC3CD5">
        <w:t xml:space="preserve">Consideration of a more flexible mechanism that enables greater ability to adapt protections to current science and status of </w:t>
      </w:r>
      <w:r w:rsidR="009F3932">
        <w:t>T</w:t>
      </w:r>
      <w:r w:rsidR="00E41389" w:rsidRPr="00EC3CD5">
        <w:t xml:space="preserve">hreatened </w:t>
      </w:r>
      <w:r w:rsidR="009F3932">
        <w:t>S</w:t>
      </w:r>
      <w:r w:rsidR="00E41389" w:rsidRPr="00EC3CD5">
        <w:t xml:space="preserve">pecies and </w:t>
      </w:r>
      <w:r w:rsidR="009F3932">
        <w:t>C</w:t>
      </w:r>
      <w:r w:rsidR="00E41389" w:rsidRPr="00EC3CD5">
        <w:t>ommunities is warranted.</w:t>
      </w:r>
    </w:p>
    <w:p w14:paraId="3EC85497" w14:textId="0ABEDCC4" w:rsidR="00A840E0" w:rsidRPr="00A201F1" w:rsidRDefault="00A840E0" w:rsidP="00A840E0">
      <w:pPr>
        <w:pStyle w:val="BodyNormal"/>
      </w:pPr>
      <w:r>
        <w:t xml:space="preserve">The Precautionary Principle is a mandatory and enforceable action of the </w:t>
      </w:r>
      <w:r w:rsidR="00AD44A4">
        <w:t>‘</w:t>
      </w:r>
      <w:r w:rsidR="3FB92F1C">
        <w:t>Code of Practice</w:t>
      </w:r>
      <w:r w:rsidR="00AD44A4">
        <w:t>’</w:t>
      </w:r>
      <w:r>
        <w:t>. It is a ‘catch all’ clause to ensure the risk of harm is minimised without prescribing a specific management approach</w:t>
      </w:r>
      <w:r w:rsidR="00565ED4">
        <w:t xml:space="preserve"> or requiring complete information</w:t>
      </w:r>
      <w:r>
        <w:t xml:space="preserve">. However, its interpretation is </w:t>
      </w:r>
      <w:r w:rsidR="04D1C6B9">
        <w:t>highly contestable</w:t>
      </w:r>
      <w:r>
        <w:t xml:space="preserve">, and </w:t>
      </w:r>
      <w:r w:rsidR="00565ED4">
        <w:t xml:space="preserve">compliance standards </w:t>
      </w:r>
      <w:r>
        <w:t xml:space="preserve">are currently being developed by DELWP to support interpretation of the </w:t>
      </w:r>
      <w:proofErr w:type="gramStart"/>
      <w:r>
        <w:t>Principle</w:t>
      </w:r>
      <w:proofErr w:type="gramEnd"/>
      <w:r>
        <w:t xml:space="preserve">. </w:t>
      </w:r>
      <w:r w:rsidR="00E75359">
        <w:t xml:space="preserve">There is potential for such compliance standards to provide interim guidance regarding measures that would be deemed to comply with the </w:t>
      </w:r>
      <w:proofErr w:type="gramStart"/>
      <w:r w:rsidR="00E75359">
        <w:t>Principle</w:t>
      </w:r>
      <w:proofErr w:type="gramEnd"/>
      <w:r w:rsidR="00E75359">
        <w:t xml:space="preserve">, providing a level of </w:t>
      </w:r>
      <w:r w:rsidR="009F3932">
        <w:t>T</w:t>
      </w:r>
      <w:r w:rsidR="00E75359">
        <w:t xml:space="preserve">hreatened </w:t>
      </w:r>
      <w:r w:rsidR="009F3932">
        <w:t>S</w:t>
      </w:r>
      <w:r w:rsidR="00E75359">
        <w:t xml:space="preserve">pecies and </w:t>
      </w:r>
      <w:r w:rsidR="009F3932">
        <w:t>C</w:t>
      </w:r>
      <w:r w:rsidR="00E75359">
        <w:t>ommunities protection and regulatory certainty, while allowing longer term Code variations to be developed in the meantime</w:t>
      </w:r>
      <w:r w:rsidR="00B4020A">
        <w:t>.</w:t>
      </w:r>
    </w:p>
    <w:p w14:paraId="2C6E011E" w14:textId="77777777" w:rsidR="00384596" w:rsidRDefault="00384596" w:rsidP="00A840E0">
      <w:pPr>
        <w:pStyle w:val="BodyBold"/>
        <w:rPr>
          <w:i/>
          <w:iCs/>
        </w:rPr>
      </w:pPr>
    </w:p>
    <w:p w14:paraId="624C2C80" w14:textId="77777777" w:rsidR="00384596" w:rsidRDefault="00384596" w:rsidP="00A840E0">
      <w:pPr>
        <w:pStyle w:val="BodyBold"/>
        <w:rPr>
          <w:i/>
          <w:iCs/>
        </w:rPr>
      </w:pPr>
    </w:p>
    <w:p w14:paraId="2662006B" w14:textId="173EE10B" w:rsidR="00A840E0" w:rsidRPr="00FA08BD" w:rsidRDefault="00A840E0" w:rsidP="00A840E0">
      <w:pPr>
        <w:pStyle w:val="BodyBold"/>
        <w:rPr>
          <w:i/>
          <w:iCs/>
        </w:rPr>
      </w:pPr>
      <w:r w:rsidRPr="00FA08BD">
        <w:rPr>
          <w:i/>
          <w:iCs/>
        </w:rPr>
        <w:t>FFG Act</w:t>
      </w:r>
    </w:p>
    <w:p w14:paraId="438DDE2A" w14:textId="2EB43B7B" w:rsidR="00D641F1" w:rsidRPr="00763B81" w:rsidRDefault="00C550C0" w:rsidP="00A840E0">
      <w:pPr>
        <w:pStyle w:val="BodyNormal"/>
      </w:pPr>
      <w:r>
        <w:t xml:space="preserve">The critical issue for the </w:t>
      </w:r>
      <w:r w:rsidRPr="3DAA379F">
        <w:rPr>
          <w:i/>
          <w:iCs/>
        </w:rPr>
        <w:t>FFG Act</w:t>
      </w:r>
      <w:r>
        <w:t xml:space="preserve"> in this step of the pathway </w:t>
      </w:r>
      <w:r w:rsidR="00326761">
        <w:t xml:space="preserve">is the </w:t>
      </w:r>
      <w:r w:rsidR="00D641F1">
        <w:t xml:space="preserve">inability </w:t>
      </w:r>
      <w:r w:rsidR="00824790">
        <w:t>to deploy</w:t>
      </w:r>
      <w:r w:rsidR="00D641F1">
        <w:t xml:space="preserve"> time-bound enforceable prescriptions, </w:t>
      </w:r>
      <w:r w:rsidR="0002077F">
        <w:t xml:space="preserve">including those </w:t>
      </w:r>
      <w:r w:rsidR="00D641F1">
        <w:t xml:space="preserve">measures generated through the Threatened Species and Communities Risk Assessment. As noted previously, </w:t>
      </w:r>
      <w:r w:rsidR="00763B81">
        <w:t xml:space="preserve">there is a reliance on </w:t>
      </w:r>
      <w:r w:rsidR="00824790">
        <w:t xml:space="preserve">Action Statements </w:t>
      </w:r>
      <w:r w:rsidR="00D641F1">
        <w:t>requirements be</w:t>
      </w:r>
      <w:r w:rsidR="00824790">
        <w:t>ing</w:t>
      </w:r>
      <w:r w:rsidR="00D641F1">
        <w:t xml:space="preserve"> incorporated into the </w:t>
      </w:r>
      <w:r w:rsidR="00AD44A4">
        <w:t>‘</w:t>
      </w:r>
      <w:r w:rsidR="3FB92F1C">
        <w:t>Code of Practice</w:t>
      </w:r>
      <w:r w:rsidR="00AD44A4">
        <w:t>’</w:t>
      </w:r>
      <w:r w:rsidR="00763B81">
        <w:t xml:space="preserve">. </w:t>
      </w:r>
    </w:p>
    <w:p w14:paraId="0AE469BF" w14:textId="5DBD4B91" w:rsidR="0009319B" w:rsidRPr="00BC3C47" w:rsidRDefault="00BC3C47" w:rsidP="00BC3C47">
      <w:pPr>
        <w:pStyle w:val="BodyNormal"/>
      </w:pPr>
      <w:r w:rsidRPr="00BC3C47">
        <w:t>Other provisions in this Act relating to implementation of conservation actions include t</w:t>
      </w:r>
      <w:r w:rsidR="00A840E0" w:rsidRPr="00BC3C47">
        <w:t>he Habitat Conservation Order (HCO) provision (section 26 – 42)</w:t>
      </w:r>
      <w:r w:rsidRPr="00BC3C47">
        <w:t xml:space="preserve">. </w:t>
      </w:r>
      <w:proofErr w:type="gramStart"/>
      <w:r w:rsidR="008E5EAC">
        <w:t>A</w:t>
      </w:r>
      <w:proofErr w:type="gramEnd"/>
      <w:r w:rsidR="008E5EAC">
        <w:t xml:space="preserve"> </w:t>
      </w:r>
      <w:r w:rsidRPr="00BC3C47">
        <w:t>HCO</w:t>
      </w:r>
      <w:r w:rsidR="00A840E0" w:rsidRPr="00BC3C47">
        <w:t xml:space="preserve"> prohibits further damage or requires remediation of previous damage to habitat. It was updated from the previous ‘interim conservation orders’</w:t>
      </w:r>
      <w:r w:rsidR="003E1429">
        <w:t xml:space="preserve"> (ICO)</w:t>
      </w:r>
      <w:r w:rsidR="00A840E0" w:rsidRPr="00BC3C47">
        <w:t xml:space="preserve"> via the </w:t>
      </w:r>
      <w:r w:rsidR="00824790">
        <w:t xml:space="preserve">most recent </w:t>
      </w:r>
      <w:r w:rsidR="00A840E0" w:rsidRPr="00BC3C47">
        <w:t>amendment</w:t>
      </w:r>
      <w:r w:rsidR="00824790">
        <w:t>s</w:t>
      </w:r>
      <w:r w:rsidR="00A840E0" w:rsidRPr="00BC3C47">
        <w:t xml:space="preserve"> to the Act. While </w:t>
      </w:r>
      <w:r w:rsidRPr="00BC3C47">
        <w:t xml:space="preserve">there is potential for </w:t>
      </w:r>
      <w:r w:rsidR="00824790">
        <w:t>HCOs to have a</w:t>
      </w:r>
      <w:r w:rsidRPr="00BC3C47">
        <w:t xml:space="preserve"> role in implementation</w:t>
      </w:r>
      <w:r w:rsidR="00A840E0" w:rsidRPr="00BC3C47">
        <w:t>, it is difficult to determine their effectiveness given that no HCOs have been created to date.</w:t>
      </w:r>
      <w:r w:rsidRPr="00BC3C47">
        <w:t xml:space="preserve"> </w:t>
      </w:r>
      <w:r w:rsidR="003E1429">
        <w:t xml:space="preserve">Establishing the </w:t>
      </w:r>
      <w:r w:rsidR="00A840E0" w:rsidRPr="00BC3C47">
        <w:t xml:space="preserve">HCO process </w:t>
      </w:r>
      <w:r w:rsidR="00824790">
        <w:t xml:space="preserve">would be </w:t>
      </w:r>
      <w:r w:rsidR="00A840E0" w:rsidRPr="00BC3C47">
        <w:t>challenging</w:t>
      </w:r>
      <w:r w:rsidR="003E1429">
        <w:t xml:space="preserve">, as it is a complex process and </w:t>
      </w:r>
      <w:r w:rsidR="005A7E85">
        <w:t>mainly</w:t>
      </w:r>
      <w:r w:rsidR="000736A7">
        <w:t xml:space="preserve"> </w:t>
      </w:r>
      <w:r w:rsidR="00A840E0" w:rsidRPr="00BC3C47">
        <w:t>rel</w:t>
      </w:r>
      <w:r w:rsidR="000736A7">
        <w:t>ies</w:t>
      </w:r>
      <w:r w:rsidR="00A840E0" w:rsidRPr="00BC3C47">
        <w:t xml:space="preserve"> on </w:t>
      </w:r>
      <w:r w:rsidR="00824790">
        <w:t>a Critical Habitat Determination (</w:t>
      </w:r>
      <w:r w:rsidR="00A840E0" w:rsidRPr="00BC3C47">
        <w:t>CHD</w:t>
      </w:r>
      <w:r w:rsidR="00824790">
        <w:t>)</w:t>
      </w:r>
      <w:r w:rsidR="00A840E0" w:rsidRPr="00BC3C47">
        <w:t xml:space="preserve"> to be established</w:t>
      </w:r>
      <w:r w:rsidR="00824790">
        <w:t xml:space="preserve"> first. </w:t>
      </w:r>
      <w:r w:rsidR="000736A7">
        <w:t xml:space="preserve">Due to </w:t>
      </w:r>
      <w:r w:rsidR="00824790">
        <w:t>this complexity, t</w:t>
      </w:r>
      <w:r w:rsidR="00A840E0" w:rsidRPr="00BC3C47">
        <w:t>he</w:t>
      </w:r>
      <w:r w:rsidR="00824790">
        <w:t>y are</w:t>
      </w:r>
      <w:r w:rsidR="00A840E0" w:rsidRPr="00BC3C47">
        <w:t xml:space="preserve"> likely to be confined to exceptional circumstances, mainly relat</w:t>
      </w:r>
      <w:r w:rsidR="00824790">
        <w:t>ing</w:t>
      </w:r>
      <w:r w:rsidR="00A840E0" w:rsidRPr="00BC3C47">
        <w:t xml:space="preserve"> to </w:t>
      </w:r>
      <w:r w:rsidR="00824790">
        <w:t xml:space="preserve">conservation on </w:t>
      </w:r>
      <w:r w:rsidR="00A840E0" w:rsidRPr="00BC3C47">
        <w:t>private land.</w:t>
      </w:r>
      <w:r w:rsidR="0009319B">
        <w:t xml:space="preserve"> Consideration could be given to developing guidelines, similar to those discussed previously for CHDs, and examples where the guidelines could be tested (</w:t>
      </w:r>
      <w:proofErr w:type="gramStart"/>
      <w:r w:rsidR="0009319B">
        <w:t>e.g.</w:t>
      </w:r>
      <w:proofErr w:type="gramEnd"/>
      <w:r w:rsidR="0009319B">
        <w:t xml:space="preserve"> via a</w:t>
      </w:r>
      <w:r w:rsidR="003127E8">
        <w:t xml:space="preserve"> concept such as</w:t>
      </w:r>
      <w:r w:rsidR="0009319B">
        <w:t xml:space="preserve"> ‘regulatory sandbox process’), to support the potential future use of </w:t>
      </w:r>
      <w:r w:rsidR="005A7E85">
        <w:t>HC</w:t>
      </w:r>
      <w:r w:rsidR="0009319B">
        <w:t>Os</w:t>
      </w:r>
      <w:r w:rsidR="009124C2">
        <w:t>.</w:t>
      </w:r>
    </w:p>
    <w:p w14:paraId="70113C3A" w14:textId="3981C705" w:rsidR="0017571B" w:rsidRDefault="0017571B" w:rsidP="0017571B">
      <w:pPr>
        <w:pStyle w:val="BodyNormal"/>
      </w:pPr>
      <w:r>
        <w:t xml:space="preserve">Another provision, the Public Authority Duty establishes a general obligation </w:t>
      </w:r>
      <w:r w:rsidR="003E1429">
        <w:t xml:space="preserve">on Ministers and public authorities </w:t>
      </w:r>
      <w:r>
        <w:t xml:space="preserve">to ensure </w:t>
      </w:r>
      <w:r w:rsidR="003E1429">
        <w:t>proper consideration of conservation actions (</w:t>
      </w:r>
      <w:proofErr w:type="gramStart"/>
      <w:r w:rsidR="003E1429">
        <w:t>e.g.</w:t>
      </w:r>
      <w:proofErr w:type="gramEnd"/>
      <w:r w:rsidR="003E1429">
        <w:t xml:space="preserve"> Action Statements)</w:t>
      </w:r>
      <w:r>
        <w:t>.</w:t>
      </w:r>
      <w:r w:rsidRPr="0017571B">
        <w:t xml:space="preserve"> </w:t>
      </w:r>
      <w:r>
        <w:t xml:space="preserve">This provision was clarified and strengthened as part of the amendments to the </w:t>
      </w:r>
      <w:r w:rsidRPr="3DAA379F">
        <w:rPr>
          <w:i/>
          <w:iCs/>
        </w:rPr>
        <w:t>FFG Act</w:t>
      </w:r>
      <w:r>
        <w:t xml:space="preserve">, requiring all public authorities and ministers to ‘give proper consideration’ to any instrument of the </w:t>
      </w:r>
      <w:r w:rsidRPr="3DAA379F">
        <w:rPr>
          <w:i/>
          <w:iCs/>
        </w:rPr>
        <w:t>FFG Act</w:t>
      </w:r>
      <w:r>
        <w:t xml:space="preserve">, including Action Statements. </w:t>
      </w:r>
      <w:r w:rsidRPr="000736A7">
        <w:t xml:space="preserve">Public authorities are defined as bodies established for a public purpose under any act, including administrative offices, departments, councils, public </w:t>
      </w:r>
      <w:proofErr w:type="gramStart"/>
      <w:r w:rsidRPr="000736A7">
        <w:t>entities</w:t>
      </w:r>
      <w:proofErr w:type="gramEnd"/>
      <w:r w:rsidRPr="000736A7">
        <w:t xml:space="preserve"> and state-owned enterprises (including VicForest</w:t>
      </w:r>
      <w:r w:rsidR="00282303">
        <w:t>s</w:t>
      </w:r>
      <w:r w:rsidRPr="000736A7">
        <w:t>). The duty does not override an authority’s existing statutory obligations, but biodiversity considerations are to be integrated as far as possible</w:t>
      </w:r>
      <w:r w:rsidRPr="000736A7">
        <w:rPr>
          <w:rStyle w:val="FootnoteReference"/>
        </w:rPr>
        <w:footnoteReference w:id="8"/>
      </w:r>
      <w:r w:rsidRPr="000736A7">
        <w:t>.</w:t>
      </w:r>
    </w:p>
    <w:p w14:paraId="604067B1" w14:textId="4C30288A" w:rsidR="0017571B" w:rsidRDefault="0017571B" w:rsidP="0017571B">
      <w:pPr>
        <w:pStyle w:val="BodyNormal"/>
      </w:pPr>
      <w:r>
        <w:t xml:space="preserve">In practical terms there is a need </w:t>
      </w:r>
      <w:r w:rsidR="00984B03">
        <w:t>for</w:t>
      </w:r>
      <w:r>
        <w:t xml:space="preserve"> relevant public authorities aware</w:t>
      </w:r>
      <w:r w:rsidR="00984B03">
        <w:t>ness</w:t>
      </w:r>
      <w:r>
        <w:t xml:space="preserve"> </w:t>
      </w:r>
      <w:r w:rsidR="0013705C">
        <w:t>and knowledge</w:t>
      </w:r>
      <w:r>
        <w:t xml:space="preserve"> to meet their duty. </w:t>
      </w:r>
      <w:r w:rsidRPr="009124C2">
        <w:t xml:space="preserve">The </w:t>
      </w:r>
      <w:r w:rsidRPr="009124C2">
        <w:rPr>
          <w:i/>
          <w:iCs/>
        </w:rPr>
        <w:t>FFG Act</w:t>
      </w:r>
      <w:r w:rsidRPr="009124C2">
        <w:t xml:space="preserve"> establishes tools to provide guidance to public authorities in considering biodiversity, including ministerial guidelines and public authority management guidelines.  Such guidelines are under development and provide an opportunity to raise awareness with relevant public authorities of this duty and explicitly clarify key</w:t>
      </w:r>
      <w:r>
        <w:t xml:space="preserve"> provisions in the </w:t>
      </w:r>
      <w:r w:rsidRPr="3DAA379F">
        <w:rPr>
          <w:i/>
          <w:iCs/>
        </w:rPr>
        <w:t>FFG Act</w:t>
      </w:r>
      <w:r>
        <w:t xml:space="preserve">. This could include </w:t>
      </w:r>
      <w:r w:rsidR="00CC183C">
        <w:t>encouragement to</w:t>
      </w:r>
      <w:r>
        <w:t xml:space="preserve"> align various plans, </w:t>
      </w:r>
      <w:proofErr w:type="gramStart"/>
      <w:r>
        <w:t>programs</w:t>
      </w:r>
      <w:proofErr w:type="gramEnd"/>
      <w:r>
        <w:t xml:space="preserve"> and activities to Action Statements, including </w:t>
      </w:r>
      <w:r w:rsidR="00CC183C">
        <w:t>improved</w:t>
      </w:r>
      <w:r>
        <w:t xml:space="preserve"> monitor</w:t>
      </w:r>
      <w:r w:rsidR="00CC183C">
        <w:t>ing of</w:t>
      </w:r>
      <w:r>
        <w:t xml:space="preserve"> relevant management actions relating to protection of </w:t>
      </w:r>
      <w:r w:rsidR="009F3932">
        <w:t>T</w:t>
      </w:r>
      <w:r>
        <w:t xml:space="preserve">hreatened </w:t>
      </w:r>
      <w:r w:rsidR="009F3932">
        <w:t>S</w:t>
      </w:r>
      <w:r>
        <w:t xml:space="preserve">pecies and </w:t>
      </w:r>
      <w:r w:rsidR="009F3932">
        <w:t>C</w:t>
      </w:r>
      <w:r>
        <w:t>ommunities.</w:t>
      </w:r>
    </w:p>
    <w:p w14:paraId="50FA5168" w14:textId="1F084689" w:rsidR="004D089D" w:rsidRPr="00416385" w:rsidRDefault="00BC3C47" w:rsidP="00BC3C47">
      <w:pPr>
        <w:pStyle w:val="BodyNormal"/>
      </w:pPr>
      <w:r w:rsidRPr="00BC3C47">
        <w:t>With</w:t>
      </w:r>
      <w:r>
        <w:t xml:space="preserve"> respect to m</w:t>
      </w:r>
      <w:r w:rsidRPr="00BC3C47">
        <w:t xml:space="preserve">itigating threats, </w:t>
      </w:r>
      <w:r>
        <w:t xml:space="preserve">the </w:t>
      </w:r>
      <w:r w:rsidRPr="00BC3C47">
        <w:rPr>
          <w:i/>
          <w:iCs/>
        </w:rPr>
        <w:t>FFG Act</w:t>
      </w:r>
      <w:r w:rsidRPr="00BC3C47">
        <w:t xml:space="preserve"> does not directly refer to climate change as a relevant consideration although habitat loss from climate change is identified as a threatening process</w:t>
      </w:r>
      <w:r>
        <w:t xml:space="preserve">. </w:t>
      </w:r>
      <w:r w:rsidR="00416385">
        <w:t>The</w:t>
      </w:r>
      <w:r>
        <w:t xml:space="preserve"> </w:t>
      </w:r>
      <w:r w:rsidRPr="00BC3C47">
        <w:rPr>
          <w:i/>
          <w:iCs/>
        </w:rPr>
        <w:t>Climate Change Act</w:t>
      </w:r>
      <w:r w:rsidRPr="00BC3C47">
        <w:t xml:space="preserve"> 2010 (</w:t>
      </w:r>
      <w:r w:rsidRPr="00D23F7B">
        <w:rPr>
          <w:i/>
          <w:iCs/>
        </w:rPr>
        <w:t>CC Act</w:t>
      </w:r>
      <w:r w:rsidRPr="00BC3C47">
        <w:t>) creates an obligation for decision makers to consider climate change</w:t>
      </w:r>
      <w:r w:rsidR="00556A92">
        <w:t xml:space="preserve">, </w:t>
      </w:r>
      <w:r w:rsidR="00416385">
        <w:t xml:space="preserve">with Schedule 1 of the </w:t>
      </w:r>
      <w:r w:rsidR="00416385" w:rsidRPr="00416385">
        <w:rPr>
          <w:i/>
          <w:iCs/>
        </w:rPr>
        <w:t>CC Act</w:t>
      </w:r>
      <w:r w:rsidR="00416385">
        <w:rPr>
          <w:i/>
          <w:iCs/>
        </w:rPr>
        <w:t xml:space="preserve"> </w:t>
      </w:r>
      <w:r w:rsidR="00416385">
        <w:t>specifying the actions and decisions when climate change must be considered.</w:t>
      </w:r>
    </w:p>
    <w:p w14:paraId="05C647ED" w14:textId="77777777" w:rsidR="0055096B" w:rsidRPr="00D7012D" w:rsidRDefault="0055096B" w:rsidP="0055096B">
      <w:pPr>
        <w:pStyle w:val="Italic"/>
      </w:pPr>
      <w:r>
        <w:t>Recommendation for consideration:</w:t>
      </w:r>
    </w:p>
    <w:p w14:paraId="22C1F10B" w14:textId="4E970EBC" w:rsidR="0055096B" w:rsidRDefault="0017571B" w:rsidP="0017571B">
      <w:pPr>
        <w:pStyle w:val="ListBullet"/>
        <w:numPr>
          <w:ilvl w:val="0"/>
          <w:numId w:val="20"/>
        </w:numPr>
        <w:tabs>
          <w:tab w:val="clear" w:pos="-31680"/>
          <w:tab w:val="left" w:pos="340"/>
        </w:tabs>
        <w:ind w:right="0"/>
        <w:contextualSpacing/>
        <w:jc w:val="both"/>
        <w:rPr>
          <w:i/>
          <w:iCs/>
        </w:rPr>
      </w:pPr>
      <w:r>
        <w:rPr>
          <w:i/>
          <w:iCs/>
        </w:rPr>
        <w:t>Continue d</w:t>
      </w:r>
      <w:r w:rsidR="0055096B" w:rsidRPr="00D7012D">
        <w:rPr>
          <w:i/>
          <w:iCs/>
        </w:rPr>
        <w:t>evelopment of public authority</w:t>
      </w:r>
      <w:r w:rsidR="0055096B">
        <w:rPr>
          <w:i/>
          <w:iCs/>
        </w:rPr>
        <w:t xml:space="preserve"> duty</w:t>
      </w:r>
      <w:r w:rsidR="0055096B" w:rsidRPr="00D7012D">
        <w:rPr>
          <w:i/>
          <w:iCs/>
        </w:rPr>
        <w:t xml:space="preserve"> ‘guidelines’ that would explicitly outline key provisions in the </w:t>
      </w:r>
      <w:r w:rsidR="0055096B" w:rsidRPr="0017571B">
        <w:rPr>
          <w:i/>
          <w:iCs/>
        </w:rPr>
        <w:t>FFG Act</w:t>
      </w:r>
      <w:r w:rsidR="0055096B">
        <w:rPr>
          <w:i/>
          <w:iCs/>
        </w:rPr>
        <w:t xml:space="preserve"> </w:t>
      </w:r>
    </w:p>
    <w:p w14:paraId="37EAA1E3" w14:textId="44156495" w:rsidR="009124C2" w:rsidRPr="00370A1F" w:rsidRDefault="009124C2" w:rsidP="009124C2">
      <w:pPr>
        <w:pStyle w:val="ListBullet"/>
        <w:numPr>
          <w:ilvl w:val="0"/>
          <w:numId w:val="20"/>
        </w:numPr>
        <w:tabs>
          <w:tab w:val="clear" w:pos="-31680"/>
          <w:tab w:val="left" w:pos="340"/>
        </w:tabs>
        <w:ind w:right="0"/>
        <w:contextualSpacing/>
        <w:jc w:val="both"/>
        <w:rPr>
          <w:i/>
          <w:iCs/>
        </w:rPr>
      </w:pPr>
      <w:r>
        <w:rPr>
          <w:i/>
          <w:iCs/>
        </w:rPr>
        <w:t xml:space="preserve">Consider development of guidelines for </w:t>
      </w:r>
      <w:r w:rsidR="00D37964">
        <w:rPr>
          <w:i/>
          <w:iCs/>
        </w:rPr>
        <w:t>Habitat</w:t>
      </w:r>
      <w:r>
        <w:rPr>
          <w:i/>
          <w:iCs/>
        </w:rPr>
        <w:t xml:space="preserve"> Conservation Orders and identify potential examples where such guidelines can be tested (</w:t>
      </w:r>
      <w:proofErr w:type="gramStart"/>
      <w:r>
        <w:rPr>
          <w:i/>
          <w:iCs/>
        </w:rPr>
        <w:t>e.g.</w:t>
      </w:r>
      <w:proofErr w:type="gramEnd"/>
      <w:r>
        <w:rPr>
          <w:i/>
          <w:iCs/>
        </w:rPr>
        <w:t xml:space="preserve"> via a regulatory sandbox process) so that the practical implications of using the </w:t>
      </w:r>
      <w:r w:rsidR="00D37964">
        <w:rPr>
          <w:i/>
          <w:iCs/>
        </w:rPr>
        <w:t>HC</w:t>
      </w:r>
      <w:r>
        <w:rPr>
          <w:i/>
          <w:iCs/>
        </w:rPr>
        <w:t xml:space="preserve">O could be assessed in detail (before implementation). </w:t>
      </w:r>
    </w:p>
    <w:p w14:paraId="6767B136" w14:textId="77777777" w:rsidR="00CC183C" w:rsidRDefault="00CC183C">
      <w:pPr>
        <w:spacing w:before="0" w:after="0"/>
        <w:ind w:left="115" w:right="115"/>
        <w:rPr>
          <w:rFonts w:ascii="Arial Bold" w:hAnsi="Arial Bold"/>
          <w:b/>
          <w:caps/>
          <w:color w:val="213144"/>
          <w:spacing w:val="30"/>
          <w:sz w:val="20"/>
        </w:rPr>
      </w:pPr>
      <w:r>
        <w:lastRenderedPageBreak/>
        <w:br w:type="page"/>
      </w:r>
    </w:p>
    <w:p w14:paraId="0800AC1B" w14:textId="49E16836" w:rsidR="001B2F30" w:rsidRDefault="0002693C" w:rsidP="00C10320">
      <w:pPr>
        <w:pStyle w:val="Heading3"/>
      </w:pPr>
      <w:r>
        <w:lastRenderedPageBreak/>
        <w:t xml:space="preserve">pathway step 5: </w:t>
      </w:r>
      <w:r w:rsidR="001B2F30">
        <w:t xml:space="preserve">MONITORING, EVALUATION, </w:t>
      </w:r>
      <w:proofErr w:type="gramStart"/>
      <w:r w:rsidR="001B2F30">
        <w:t>REPORTING</w:t>
      </w:r>
      <w:proofErr w:type="gramEnd"/>
      <w:r w:rsidR="001B2F30">
        <w:t xml:space="preserve"> AND IMPROVEMENT</w:t>
      </w:r>
    </w:p>
    <w:p w14:paraId="7D205FF3" w14:textId="77777777" w:rsidR="00740B19" w:rsidRDefault="00740B19" w:rsidP="00740B19">
      <w:pPr>
        <w:pStyle w:val="BodyNormal"/>
      </w:pPr>
      <w:r>
        <w:t xml:space="preserve">From Figure 4-2: </w:t>
      </w:r>
    </w:p>
    <w:p w14:paraId="1BB64DF7" w14:textId="32850384" w:rsidR="00740B19" w:rsidRDefault="00C95230" w:rsidP="00740B19">
      <w:pPr>
        <w:pStyle w:val="BodyNormal"/>
      </w:pPr>
      <w:r w:rsidRPr="00B63CE2">
        <w:rPr>
          <w:noProof/>
        </w:rPr>
        <w:drawing>
          <wp:inline distT="0" distB="0" distL="0" distR="0" wp14:anchorId="33E4A71C" wp14:editId="1490BB2A">
            <wp:extent cx="5941060" cy="225425"/>
            <wp:effectExtent l="0" t="0" r="2540" b="3175"/>
            <wp:docPr id="31" name="Picture 31" descr="FFG Act, Forests Act, Sustainable Forests Act, Code of Practice (CFL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FG Act, Forests Act, Sustainable Forests Act, Code of Practice (CFL Act)"/>
                    <pic:cNvPicPr/>
                  </pic:nvPicPr>
                  <pic:blipFill>
                    <a:blip r:embed="rId34"/>
                    <a:stretch>
                      <a:fillRect/>
                    </a:stretch>
                  </pic:blipFill>
                  <pic:spPr>
                    <a:xfrm>
                      <a:off x="0" y="0"/>
                      <a:ext cx="5941060" cy="225425"/>
                    </a:xfrm>
                    <a:prstGeom prst="rect">
                      <a:avLst/>
                    </a:prstGeom>
                  </pic:spPr>
                </pic:pic>
              </a:graphicData>
            </a:graphic>
          </wp:inline>
        </w:drawing>
      </w:r>
    </w:p>
    <w:p w14:paraId="6F091E37" w14:textId="6F6DB23F" w:rsidR="00C95230" w:rsidRDefault="00C95230" w:rsidP="00C95230">
      <w:pPr>
        <w:pStyle w:val="BodyNormal"/>
        <w:ind w:hanging="284"/>
      </w:pPr>
      <w:r w:rsidRPr="00C95230">
        <w:rPr>
          <w:noProof/>
        </w:rPr>
        <w:drawing>
          <wp:inline distT="0" distB="0" distL="0" distR="0" wp14:anchorId="5E5C122C" wp14:editId="2BE1CDA3">
            <wp:extent cx="6123940" cy="1130935"/>
            <wp:effectExtent l="12700" t="12700" r="10160" b="12065"/>
            <wp:docPr id="32" name="Picture 32" descr="Diagram showing Monitoring, Evaluation, Reporting and Improvement under the FFG Act, Forests Act, Sustainable Forests Act, Code of Practice (CFL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showing Monitoring, Evaluation, Reporting and Improvement under the FFG Act, Forests Act, Sustainable Forests Act, Code of Practice (CFL Act)"/>
                    <pic:cNvPicPr/>
                  </pic:nvPicPr>
                  <pic:blipFill>
                    <a:blip r:embed="rId39"/>
                    <a:stretch>
                      <a:fillRect/>
                    </a:stretch>
                  </pic:blipFill>
                  <pic:spPr>
                    <a:xfrm>
                      <a:off x="0" y="0"/>
                      <a:ext cx="6126842" cy="1131471"/>
                    </a:xfrm>
                    <a:prstGeom prst="rect">
                      <a:avLst/>
                    </a:prstGeom>
                    <a:ln>
                      <a:solidFill>
                        <a:schemeClr val="accent1"/>
                      </a:solidFill>
                    </a:ln>
                  </pic:spPr>
                </pic:pic>
              </a:graphicData>
            </a:graphic>
          </wp:inline>
        </w:drawing>
      </w:r>
    </w:p>
    <w:p w14:paraId="237EAE19" w14:textId="2EA3AB6A" w:rsidR="00C85F76" w:rsidRDefault="00BD62C7" w:rsidP="00E96C1E">
      <w:pPr>
        <w:pStyle w:val="BodyNormal"/>
      </w:pPr>
      <w:r w:rsidRPr="003849DE">
        <w:t>There are</w:t>
      </w:r>
      <w:r w:rsidR="003849DE">
        <w:t xml:space="preserve"> a range of </w:t>
      </w:r>
      <w:r w:rsidR="00892C3F">
        <w:t xml:space="preserve">monitoring and </w:t>
      </w:r>
      <w:r w:rsidR="003849DE">
        <w:t xml:space="preserve">reporting </w:t>
      </w:r>
      <w:r w:rsidR="00892C3F">
        <w:t xml:space="preserve">mechanisms related to objectives of the </w:t>
      </w:r>
      <w:r w:rsidR="00892C3F" w:rsidRPr="00892C3F">
        <w:rPr>
          <w:i/>
          <w:iCs/>
        </w:rPr>
        <w:t>FFG Act</w:t>
      </w:r>
      <w:r w:rsidR="00892C3F">
        <w:t xml:space="preserve"> and Victoria’s native forest and biodiversity, including threatened species. These are highlighted in </w:t>
      </w:r>
      <w:r w:rsidR="00892C3F" w:rsidRPr="00E4002A">
        <w:t>Figure 4-2 an</w:t>
      </w:r>
      <w:r w:rsidR="00754011" w:rsidRPr="00E4002A">
        <w:t>d include:</w:t>
      </w:r>
    </w:p>
    <w:p w14:paraId="4D0B2B81" w14:textId="50B6A914" w:rsidR="00754011" w:rsidRDefault="00754011" w:rsidP="007A0991">
      <w:pPr>
        <w:pStyle w:val="ListBullet"/>
        <w:numPr>
          <w:ilvl w:val="0"/>
          <w:numId w:val="20"/>
        </w:numPr>
        <w:tabs>
          <w:tab w:val="clear" w:pos="-31680"/>
          <w:tab w:val="left" w:pos="340"/>
        </w:tabs>
        <w:ind w:right="0"/>
        <w:contextualSpacing/>
        <w:jc w:val="both"/>
      </w:pPr>
      <w:r>
        <w:t>State of the Environment reporting</w:t>
      </w:r>
    </w:p>
    <w:p w14:paraId="0A8153D6" w14:textId="02B7E7A0" w:rsidR="00754011" w:rsidRDefault="00754011" w:rsidP="007A0991">
      <w:pPr>
        <w:pStyle w:val="ListBullet"/>
        <w:numPr>
          <w:ilvl w:val="0"/>
          <w:numId w:val="20"/>
        </w:numPr>
        <w:tabs>
          <w:tab w:val="clear" w:pos="-31680"/>
          <w:tab w:val="left" w:pos="340"/>
        </w:tabs>
        <w:ind w:right="0"/>
        <w:contextualSpacing/>
        <w:jc w:val="both"/>
      </w:pPr>
      <w:r>
        <w:t>State of Forests report</w:t>
      </w:r>
      <w:r w:rsidR="00803CD3">
        <w:t>ing</w:t>
      </w:r>
    </w:p>
    <w:p w14:paraId="2415D932" w14:textId="17D3D387" w:rsidR="00754011" w:rsidRDefault="00754011" w:rsidP="007A0991">
      <w:pPr>
        <w:pStyle w:val="ListBullet"/>
        <w:numPr>
          <w:ilvl w:val="0"/>
          <w:numId w:val="20"/>
        </w:numPr>
        <w:tabs>
          <w:tab w:val="clear" w:pos="-31680"/>
          <w:tab w:val="left" w:pos="340"/>
        </w:tabs>
        <w:ind w:right="0"/>
        <w:contextualSpacing/>
        <w:jc w:val="both"/>
      </w:pPr>
      <w:r>
        <w:t xml:space="preserve">Reporting provisions in the </w:t>
      </w:r>
      <w:r w:rsidRPr="009124C2">
        <w:rPr>
          <w:i/>
          <w:iCs/>
        </w:rPr>
        <w:t>FFG Act</w:t>
      </w:r>
    </w:p>
    <w:p w14:paraId="291322A0" w14:textId="086EA566" w:rsidR="00754011" w:rsidRDefault="00E96C1E" w:rsidP="007A0991">
      <w:pPr>
        <w:pStyle w:val="ListBullet"/>
        <w:numPr>
          <w:ilvl w:val="0"/>
          <w:numId w:val="20"/>
        </w:numPr>
        <w:tabs>
          <w:tab w:val="clear" w:pos="-31680"/>
          <w:tab w:val="left" w:pos="340"/>
        </w:tabs>
        <w:ind w:right="0"/>
        <w:contextualSpacing/>
        <w:jc w:val="both"/>
      </w:pPr>
      <w:r>
        <w:t>T</w:t>
      </w:r>
      <w:r w:rsidR="00E4002A">
        <w:t>he</w:t>
      </w:r>
      <w:r w:rsidR="00754011">
        <w:t xml:space="preserve"> </w:t>
      </w:r>
      <w:r w:rsidR="00E4002A">
        <w:t>Forest Management Zoning Accountability Framework 2022</w:t>
      </w:r>
      <w:r w:rsidR="00803CD3" w:rsidRPr="009124C2">
        <w:rPr>
          <w:vertAlign w:val="superscript"/>
        </w:rPr>
        <w:footnoteReference w:id="9"/>
      </w:r>
    </w:p>
    <w:p w14:paraId="27D6824D" w14:textId="2983B836" w:rsidR="0061664B" w:rsidRDefault="00754011" w:rsidP="007A0991">
      <w:pPr>
        <w:pStyle w:val="ListBullet"/>
        <w:numPr>
          <w:ilvl w:val="0"/>
          <w:numId w:val="20"/>
        </w:numPr>
        <w:tabs>
          <w:tab w:val="clear" w:pos="-31680"/>
          <w:tab w:val="left" w:pos="340"/>
        </w:tabs>
        <w:ind w:right="0"/>
        <w:contextualSpacing/>
        <w:jc w:val="both"/>
      </w:pPr>
      <w:r>
        <w:t>Requirement for five yearly reviews of the RFA</w:t>
      </w:r>
    </w:p>
    <w:p w14:paraId="1151DABE" w14:textId="6B476DB3" w:rsidR="00754011" w:rsidRDefault="00754011" w:rsidP="00E4002A">
      <w:pPr>
        <w:pStyle w:val="BodyNormal"/>
      </w:pPr>
      <w:r>
        <w:t xml:space="preserve">Regarding the </w:t>
      </w:r>
      <w:r w:rsidR="00E4002A" w:rsidRPr="00D23F7B">
        <w:rPr>
          <w:i/>
          <w:iCs/>
        </w:rPr>
        <w:t>FFG Act</w:t>
      </w:r>
      <w:r w:rsidR="00E4002A">
        <w:t xml:space="preserve"> </w:t>
      </w:r>
      <w:r>
        <w:t>provisions</w:t>
      </w:r>
      <w:r w:rsidR="00E4002A">
        <w:t>, section 68 requires DELWP</w:t>
      </w:r>
      <w:r w:rsidR="00EA0233">
        <w:t>’s</w:t>
      </w:r>
      <w:r w:rsidR="00E4002A">
        <w:t xml:space="preserve"> annual report to include an assessment of progress made towards achieving the Act’s objectives, while section 18D requires reporting on progress of the biodiversity strategy (</w:t>
      </w:r>
      <w:proofErr w:type="gramStart"/>
      <w:r w:rsidR="00E4002A">
        <w:t>i.e.</w:t>
      </w:r>
      <w:proofErr w:type="gramEnd"/>
      <w:r w:rsidR="00E4002A">
        <w:t xml:space="preserve"> Biodiversity 2037). The lat</w:t>
      </w:r>
      <w:r w:rsidR="00EA0233">
        <w:t>t</w:t>
      </w:r>
      <w:r w:rsidR="00E4002A">
        <w:t xml:space="preserve">er </w:t>
      </w:r>
      <w:r w:rsidR="00EA0233">
        <w:t xml:space="preserve">also </w:t>
      </w:r>
      <w:r w:rsidR="00E4002A">
        <w:t>requires the Commissioner for Environmental Sustainability</w:t>
      </w:r>
      <w:r w:rsidR="00803CD3">
        <w:t xml:space="preserve"> (CES)</w:t>
      </w:r>
      <w:r w:rsidR="00E4002A">
        <w:rPr>
          <w:rStyle w:val="FootnoteReference"/>
        </w:rPr>
        <w:footnoteReference w:id="10"/>
      </w:r>
      <w:r w:rsidR="00E4002A">
        <w:t xml:space="preserve"> to conduct five yearly reporting on achievement of targets and pro</w:t>
      </w:r>
      <w:r w:rsidR="00EA0233">
        <w:t>gress</w:t>
      </w:r>
      <w:r w:rsidR="00E4002A">
        <w:t xml:space="preserve">. </w:t>
      </w:r>
    </w:p>
    <w:p w14:paraId="2C516966" w14:textId="1F974F83" w:rsidR="00803CD3" w:rsidRDefault="00803CD3" w:rsidP="00E4002A">
      <w:pPr>
        <w:pStyle w:val="BodyNormal"/>
      </w:pPr>
      <w:r w:rsidRPr="00803CD3">
        <w:t>The CES also prepares the State of the Forest</w:t>
      </w:r>
      <w:r w:rsidR="00330557">
        <w:t>s</w:t>
      </w:r>
      <w:r w:rsidRPr="00803CD3">
        <w:t xml:space="preserve"> report, which is a legislative requirement under the </w:t>
      </w:r>
      <w:r w:rsidRPr="00D23F7B">
        <w:rPr>
          <w:i/>
          <w:iCs/>
        </w:rPr>
        <w:t>SFT Act</w:t>
      </w:r>
      <w:r w:rsidRPr="00803CD3">
        <w:t xml:space="preserve">. This report is used to assess </w:t>
      </w:r>
      <w:r>
        <w:t xml:space="preserve">progress towards the criteria and indicators for sustainable forest management in Victoria. </w:t>
      </w:r>
      <w:r w:rsidR="008F02B3">
        <w:t>These criteria are outlined in the Sustainability Charter which is currently linked to the Montreal global criteria and are due for review in 2023.</w:t>
      </w:r>
    </w:p>
    <w:p w14:paraId="01E20E8C" w14:textId="3823CC5D" w:rsidR="007E4BE2" w:rsidRDefault="007E4BE2" w:rsidP="007E4BE2">
      <w:pPr>
        <w:pStyle w:val="Heading2"/>
        <w:rPr>
          <w:rFonts w:hint="eastAsia"/>
        </w:rPr>
      </w:pPr>
      <w:bookmarkStart w:id="15" w:name="_Toc121258706"/>
      <w:r>
        <w:t>key observations from review process</w:t>
      </w:r>
      <w:bookmarkEnd w:id="15"/>
    </w:p>
    <w:p w14:paraId="18E696DA" w14:textId="2B10D6EF" w:rsidR="00B24433" w:rsidRDefault="00705F04" w:rsidP="0017571B">
      <w:pPr>
        <w:pStyle w:val="ListBullet"/>
      </w:pPr>
      <w:r>
        <w:t>T</w:t>
      </w:r>
      <w:r w:rsidR="0029138F">
        <w:t>his review has identified several strengths of the legislation considered</w:t>
      </w:r>
      <w:r w:rsidR="008876C0">
        <w:t>. These include</w:t>
      </w:r>
      <w:r w:rsidR="00B24433">
        <w:t>:</w:t>
      </w:r>
      <w:r w:rsidR="008876C0">
        <w:t xml:space="preserve"> </w:t>
      </w:r>
    </w:p>
    <w:p w14:paraId="39D1A39A" w14:textId="77777777" w:rsidR="0013705C" w:rsidRPr="0017571B" w:rsidRDefault="0013705C" w:rsidP="0017571B">
      <w:pPr>
        <w:pStyle w:val="ListBullet"/>
      </w:pPr>
    </w:p>
    <w:p w14:paraId="7E000963" w14:textId="29FC1069" w:rsidR="00B24433" w:rsidRDefault="00E96C1E" w:rsidP="0017571B">
      <w:pPr>
        <w:pStyle w:val="ListBullet"/>
        <w:numPr>
          <w:ilvl w:val="0"/>
          <w:numId w:val="20"/>
        </w:numPr>
        <w:tabs>
          <w:tab w:val="clear" w:pos="-31680"/>
          <w:tab w:val="left" w:pos="340"/>
        </w:tabs>
        <w:ind w:right="0"/>
        <w:contextualSpacing/>
        <w:jc w:val="both"/>
      </w:pPr>
      <w:r>
        <w:t>T</w:t>
      </w:r>
      <w:r w:rsidR="008876C0">
        <w:t xml:space="preserve">he </w:t>
      </w:r>
      <w:r w:rsidR="00B24433">
        <w:t xml:space="preserve">Forest Management Zoning System </w:t>
      </w:r>
      <w:r w:rsidR="008876C0">
        <w:t xml:space="preserve">that </w:t>
      </w:r>
      <w:r w:rsidR="00BC177B">
        <w:t>can be used strategically to</w:t>
      </w:r>
      <w:r w:rsidR="008876C0">
        <w:t xml:space="preserve"> provide </w:t>
      </w:r>
      <w:r w:rsidR="0029138F">
        <w:t xml:space="preserve">habitat </w:t>
      </w:r>
      <w:r w:rsidR="008876C0">
        <w:t>protection</w:t>
      </w:r>
      <w:r w:rsidR="000838E2">
        <w:t xml:space="preserve"> </w:t>
      </w:r>
    </w:p>
    <w:p w14:paraId="75042CC3" w14:textId="42DDE005" w:rsidR="00B24433" w:rsidRDefault="0029138F" w:rsidP="0017571B">
      <w:pPr>
        <w:pStyle w:val="ListBullet"/>
        <w:numPr>
          <w:ilvl w:val="0"/>
          <w:numId w:val="20"/>
        </w:numPr>
        <w:tabs>
          <w:tab w:val="clear" w:pos="-31680"/>
          <w:tab w:val="left" w:pos="340"/>
        </w:tabs>
        <w:ind w:right="0"/>
        <w:contextualSpacing/>
        <w:jc w:val="both"/>
      </w:pPr>
      <w:r>
        <w:t xml:space="preserve">Recent amendments to the </w:t>
      </w:r>
      <w:r w:rsidRPr="000838E2">
        <w:rPr>
          <w:i/>
          <w:iCs/>
        </w:rPr>
        <w:t>FFG Act</w:t>
      </w:r>
      <w:r>
        <w:t xml:space="preserve"> and subsequent implementation of processes to support these amendments</w:t>
      </w:r>
      <w:r w:rsidR="0009294D">
        <w:t>, including ‘streamlining’ production of Action Statements</w:t>
      </w:r>
      <w:r w:rsidR="000838E2">
        <w:t xml:space="preserve"> and</w:t>
      </w:r>
    </w:p>
    <w:p w14:paraId="01D4A046" w14:textId="58F4A71B" w:rsidR="00B8255E" w:rsidRDefault="00B8255E" w:rsidP="0017571B">
      <w:pPr>
        <w:pStyle w:val="ListBullet"/>
        <w:numPr>
          <w:ilvl w:val="0"/>
          <w:numId w:val="20"/>
        </w:numPr>
        <w:tabs>
          <w:tab w:val="clear" w:pos="-31680"/>
          <w:tab w:val="left" w:pos="340"/>
        </w:tabs>
        <w:ind w:right="0"/>
        <w:contextualSpacing/>
        <w:jc w:val="both"/>
      </w:pPr>
      <w:r>
        <w:t>Review and amendments to other relevant legislation has</w:t>
      </w:r>
      <w:r w:rsidR="00D04BCB">
        <w:t xml:space="preserve"> also</w:t>
      </w:r>
      <w:r>
        <w:t xml:space="preserve"> </w:t>
      </w:r>
      <w:r w:rsidR="00D04BCB">
        <w:t>improved protection measures for threatened species through</w:t>
      </w:r>
      <w:r>
        <w:t xml:space="preserve"> </w:t>
      </w:r>
      <w:r w:rsidR="00D04BCB">
        <w:t>strengthening of</w:t>
      </w:r>
      <w:r>
        <w:t xml:space="preserve"> environmental regulation </w:t>
      </w:r>
      <w:r w:rsidR="00D04BCB">
        <w:t>for timber harvesting.</w:t>
      </w:r>
    </w:p>
    <w:p w14:paraId="5B3639C1" w14:textId="01C864F5" w:rsidR="00C7426E" w:rsidRDefault="00D04BCB" w:rsidP="008876C0">
      <w:pPr>
        <w:pStyle w:val="BodyNormal"/>
      </w:pPr>
      <w:r>
        <w:t>Other notable strengths of the</w:t>
      </w:r>
      <w:r w:rsidR="0029138F">
        <w:t xml:space="preserve"> legislative framework </w:t>
      </w:r>
      <w:r>
        <w:t>are the</w:t>
      </w:r>
      <w:r w:rsidR="0029138F">
        <w:t xml:space="preserve"> broad ‘preventive measures’ </w:t>
      </w:r>
      <w:r w:rsidR="00B24433">
        <w:t xml:space="preserve">(potentially) </w:t>
      </w:r>
      <w:r>
        <w:t xml:space="preserve">provided </w:t>
      </w:r>
      <w:r w:rsidR="0029138F">
        <w:t xml:space="preserve">through the </w:t>
      </w:r>
      <w:r w:rsidR="00B24433">
        <w:t xml:space="preserve">Public Authority Duty </w:t>
      </w:r>
      <w:r w:rsidR="0029138F">
        <w:t>(</w:t>
      </w:r>
      <w:r w:rsidR="0029138F" w:rsidRPr="3DAA379F">
        <w:rPr>
          <w:i/>
          <w:iCs/>
        </w:rPr>
        <w:t>FFG Act</w:t>
      </w:r>
      <w:r w:rsidR="0029138F">
        <w:t>) and the Precautionary Principle (</w:t>
      </w:r>
      <w:r w:rsidR="00121F71">
        <w:t xml:space="preserve">a </w:t>
      </w:r>
      <w:r w:rsidR="00F100E4">
        <w:t xml:space="preserve">requirement of the </w:t>
      </w:r>
      <w:r w:rsidR="00AD44A4">
        <w:t>‘</w:t>
      </w:r>
      <w:r w:rsidR="3FB92F1C">
        <w:t>Code of Practice</w:t>
      </w:r>
      <w:r w:rsidR="00AD44A4">
        <w:t>’</w:t>
      </w:r>
      <w:r w:rsidR="000838E2">
        <w:t xml:space="preserve"> </w:t>
      </w:r>
      <w:proofErr w:type="gramStart"/>
      <w:r w:rsidR="000838E2">
        <w:t>and also</w:t>
      </w:r>
      <w:proofErr w:type="gramEnd"/>
      <w:r w:rsidR="000838E2">
        <w:t xml:space="preserve"> a principle of the </w:t>
      </w:r>
      <w:r w:rsidR="000838E2" w:rsidRPr="000838E2">
        <w:rPr>
          <w:i/>
          <w:iCs/>
        </w:rPr>
        <w:t>FFG Act</w:t>
      </w:r>
      <w:r w:rsidR="000838E2">
        <w:t>, section 4A (d)</w:t>
      </w:r>
      <w:r w:rsidR="00F100E4">
        <w:t>)</w:t>
      </w:r>
      <w:r w:rsidR="0009294D">
        <w:t>.</w:t>
      </w:r>
      <w:r>
        <w:t xml:space="preserve"> </w:t>
      </w:r>
      <w:r w:rsidR="00B24433">
        <w:t xml:space="preserve">These strengths are countered by </w:t>
      </w:r>
      <w:r>
        <w:lastRenderedPageBreak/>
        <w:t xml:space="preserve">the difficulty in </w:t>
      </w:r>
      <w:r w:rsidR="0013705C">
        <w:t xml:space="preserve">enabling </w:t>
      </w:r>
      <w:r>
        <w:t>awareness, interpretation and ‘compliance’ with the duty and the Precautionary Principle.</w:t>
      </w:r>
    </w:p>
    <w:p w14:paraId="592566B2" w14:textId="6CCBFB5A" w:rsidR="0007312D" w:rsidRDefault="00902407" w:rsidP="008876C0">
      <w:pPr>
        <w:pStyle w:val="BodyNormal"/>
      </w:pPr>
      <w:r>
        <w:t>An</w:t>
      </w:r>
      <w:r w:rsidR="00D04BCB">
        <w:t xml:space="preserve"> operational challenge</w:t>
      </w:r>
      <w:r w:rsidR="0007312D">
        <w:t xml:space="preserve"> </w:t>
      </w:r>
      <w:r w:rsidR="00B24433">
        <w:t>that arises across the system</w:t>
      </w:r>
      <w:r w:rsidR="00D04BCB">
        <w:t xml:space="preserve"> is the </w:t>
      </w:r>
      <w:r w:rsidR="0007312D">
        <w:t xml:space="preserve">significant </w:t>
      </w:r>
      <w:r w:rsidR="00D04BCB">
        <w:t>reliance on the</w:t>
      </w:r>
      <w:r w:rsidR="0007312D">
        <w:t xml:space="preserve"> </w:t>
      </w:r>
      <w:r w:rsidR="00AD44A4">
        <w:t>‘</w:t>
      </w:r>
      <w:r w:rsidR="3FB92F1C">
        <w:t>Code of Practice</w:t>
      </w:r>
      <w:r w:rsidR="00AD44A4">
        <w:t>’</w:t>
      </w:r>
      <w:r w:rsidR="0007312D">
        <w:t xml:space="preserve">. Given the </w:t>
      </w:r>
      <w:r w:rsidR="00AD44A4">
        <w:t>‘</w:t>
      </w:r>
      <w:r w:rsidR="3FB92F1C">
        <w:t>Code of Practice</w:t>
      </w:r>
      <w:r w:rsidR="00AD44A4">
        <w:t>’</w:t>
      </w:r>
      <w:r w:rsidR="0007312D">
        <w:t xml:space="preserve"> is considered the primary instrument to regulate timber harvesting in Victoria, any relevant </w:t>
      </w:r>
      <w:r w:rsidR="00CC05CA">
        <w:t xml:space="preserve">technical measures or prescriptions relating to </w:t>
      </w:r>
      <w:r w:rsidR="00B24433">
        <w:t xml:space="preserve">species </w:t>
      </w:r>
      <w:r w:rsidR="00CC05CA">
        <w:t xml:space="preserve">protection </w:t>
      </w:r>
      <w:r w:rsidR="00B24433">
        <w:t xml:space="preserve">must </w:t>
      </w:r>
      <w:r w:rsidR="00CC05CA">
        <w:t xml:space="preserve">be incorporated in the </w:t>
      </w:r>
      <w:r w:rsidR="00AD44A4">
        <w:t>‘</w:t>
      </w:r>
      <w:r w:rsidR="3FB92F1C">
        <w:t>Code of Practice</w:t>
      </w:r>
      <w:r w:rsidR="00AD44A4">
        <w:t>’</w:t>
      </w:r>
      <w:r w:rsidR="00CC05CA">
        <w:t xml:space="preserve"> for them to have effect</w:t>
      </w:r>
      <w:r w:rsidR="00B24433">
        <w:t xml:space="preserve">. </w:t>
      </w:r>
      <w:r w:rsidR="00BB16FC">
        <w:t>F</w:t>
      </w:r>
      <w:r w:rsidR="00B24433">
        <w:t>or example,</w:t>
      </w:r>
      <w:r w:rsidR="00CC05CA">
        <w:t xml:space="preserve"> </w:t>
      </w:r>
      <w:r w:rsidR="00BC177B">
        <w:t>the issue of time</w:t>
      </w:r>
      <w:r w:rsidR="00CC05CA">
        <w:t xml:space="preserve"> delay for </w:t>
      </w:r>
      <w:r w:rsidR="00BC177B">
        <w:t>‘</w:t>
      </w:r>
      <w:r w:rsidR="00CC05CA">
        <w:t>science</w:t>
      </w:r>
      <w:r w:rsidR="00BC177B">
        <w:t>’</w:t>
      </w:r>
      <w:r w:rsidR="00CC05CA">
        <w:t xml:space="preserve"> to inform timber harvesting regulations for native forests.</w:t>
      </w:r>
      <w:r w:rsidR="00173F1D">
        <w:t xml:space="preserve"> </w:t>
      </w:r>
    </w:p>
    <w:p w14:paraId="23BC04D1" w14:textId="75977EAF" w:rsidR="009124C2" w:rsidRDefault="009124C2" w:rsidP="009124C2">
      <w:pPr>
        <w:pStyle w:val="BodyNormal"/>
      </w:pPr>
      <w:r>
        <w:t xml:space="preserve">The operating context for the ‘Code of Practice’ is very complex. The settings and physical environments for timber harvesting across the state vary widely and are dynamic. Having a single code that accommodates such variability is very challenging. The ‘Code of Practice’ has become more complex over </w:t>
      </w:r>
      <w:r w:rsidR="000838E2">
        <w:t>time and</w:t>
      </w:r>
      <w:r>
        <w:t xml:space="preserve"> </w:t>
      </w:r>
      <w:r w:rsidR="000838E2">
        <w:t xml:space="preserve">rapidly </w:t>
      </w:r>
      <w:r>
        <w:t xml:space="preserve">keeping it </w:t>
      </w:r>
      <w:r w:rsidR="00282303">
        <w:t>up to date</w:t>
      </w:r>
      <w:r>
        <w:t xml:space="preserve"> has also become more challenging and time consuming. </w:t>
      </w:r>
    </w:p>
    <w:p w14:paraId="7F119CB0" w14:textId="3C3DB3D5" w:rsidR="009124C2" w:rsidRDefault="009124C2" w:rsidP="009124C2">
      <w:pPr>
        <w:pStyle w:val="BodyNormal"/>
      </w:pPr>
      <w:r>
        <w:t xml:space="preserve">Finally, in the introduction to this review, the need to be pragmatic was highlighted, particularly given that native forest timber harvesting will cease by 2030 as part of the Victorian Forestry Plan. This does not mean that significant changes to regulation or legislation should be ruled out, but it does point to the need to maximise the utility of existing legislative instruments and policy tools. </w:t>
      </w:r>
      <w:proofErr w:type="gramStart"/>
      <w:r>
        <w:t>With this in mind, it</w:t>
      </w:r>
      <w:proofErr w:type="gramEnd"/>
      <w:r>
        <w:t xml:space="preserve"> may be timely for the government agencies (and stakeholders) to ‘test’ some of the existing provisions, particularly those that have not previously been used. </w:t>
      </w:r>
      <w:r w:rsidR="000838E2">
        <w:t>As such,</w:t>
      </w:r>
      <w:r>
        <w:t xml:space="preserve"> the recommendations included here bring together some of the similar ideas noted in the analysis above: </w:t>
      </w:r>
    </w:p>
    <w:p w14:paraId="61B5192D" w14:textId="60419C6A" w:rsidR="009124C2" w:rsidRPr="00DA7CE2" w:rsidRDefault="00C95230" w:rsidP="00CC183C">
      <w:pPr>
        <w:pStyle w:val="ListBullet"/>
        <w:numPr>
          <w:ilvl w:val="0"/>
          <w:numId w:val="20"/>
        </w:numPr>
        <w:tabs>
          <w:tab w:val="clear" w:pos="-31680"/>
          <w:tab w:val="left" w:pos="340"/>
        </w:tabs>
        <w:snapToGrid w:val="0"/>
        <w:spacing w:after="120"/>
        <w:ind w:right="0"/>
        <w:jc w:val="both"/>
      </w:pPr>
      <w:r>
        <w:t>Consider using a</w:t>
      </w:r>
      <w:r w:rsidR="009124C2">
        <w:t xml:space="preserve"> </w:t>
      </w:r>
      <w:r>
        <w:t>‘</w:t>
      </w:r>
      <w:r w:rsidR="009124C2">
        <w:t>regulatory sandbox</w:t>
      </w:r>
      <w:r>
        <w:t>’</w:t>
      </w:r>
      <w:r w:rsidR="009124C2">
        <w:t xml:space="preserve"> approach to test how </w:t>
      </w:r>
      <w:r w:rsidR="009124C2" w:rsidRPr="00DA7CE2">
        <w:t xml:space="preserve">a particular threatened species or community </w:t>
      </w:r>
      <w:r w:rsidR="009124C2">
        <w:t xml:space="preserve">would progress </w:t>
      </w:r>
      <w:r w:rsidR="009124C2" w:rsidRPr="00DA7CE2">
        <w:t xml:space="preserve">through the ‘Pathway for Protection’ framework and </w:t>
      </w:r>
      <w:r w:rsidR="009124C2">
        <w:t xml:space="preserve">the role that </w:t>
      </w:r>
      <w:r w:rsidR="009124C2" w:rsidRPr="00DA7CE2">
        <w:t>relevant legislative provisions and instruments identified in this review</w:t>
      </w:r>
      <w:r w:rsidR="009124C2">
        <w:t xml:space="preserve"> could play</w:t>
      </w:r>
    </w:p>
    <w:p w14:paraId="7B93BC52" w14:textId="1D598C8A" w:rsidR="009124C2" w:rsidRPr="007626AA" w:rsidRDefault="009124C2" w:rsidP="009124C2">
      <w:pPr>
        <w:pStyle w:val="ListBullet"/>
        <w:numPr>
          <w:ilvl w:val="0"/>
          <w:numId w:val="20"/>
        </w:numPr>
        <w:tabs>
          <w:tab w:val="clear" w:pos="-31680"/>
          <w:tab w:val="left" w:pos="340"/>
        </w:tabs>
        <w:ind w:right="0"/>
        <w:contextualSpacing/>
        <w:jc w:val="both"/>
        <w:rPr>
          <w:i/>
          <w:iCs/>
        </w:rPr>
      </w:pPr>
      <w:r>
        <w:t xml:space="preserve">Use </w:t>
      </w:r>
      <w:r w:rsidRPr="00DA7CE2">
        <w:t xml:space="preserve">this </w:t>
      </w:r>
      <w:r w:rsidR="00C95230">
        <w:t>‘</w:t>
      </w:r>
      <w:r>
        <w:t>regulatory sandbox</w:t>
      </w:r>
      <w:r w:rsidR="00C95230">
        <w:t>’</w:t>
      </w:r>
      <w:r>
        <w:t xml:space="preserve"> approach to </w:t>
      </w:r>
      <w:r w:rsidRPr="00DA7CE2">
        <w:t xml:space="preserve">develop guidance to assist policy officers and others </w:t>
      </w:r>
      <w:r>
        <w:t>to identify</w:t>
      </w:r>
      <w:r w:rsidRPr="00DA7CE2">
        <w:t xml:space="preserve"> potential use of relevant legislative instruments. In particular, </w:t>
      </w:r>
      <w:r w:rsidRPr="001B0C91">
        <w:t>this approach</w:t>
      </w:r>
      <w:r w:rsidRPr="000C7075">
        <w:t xml:space="preserve"> could develop specific guidance on the use of the provisions that have not </w:t>
      </w:r>
      <w:r w:rsidR="00996279">
        <w:t xml:space="preserve">or only rarely </w:t>
      </w:r>
      <w:r w:rsidRPr="000C7075">
        <w:t xml:space="preserve">been used to date </w:t>
      </w:r>
      <w:r w:rsidRPr="000838E2">
        <w:t>(</w:t>
      </w:r>
      <w:proofErr w:type="gramStart"/>
      <w:r w:rsidRPr="000838E2">
        <w:t>e.g.</w:t>
      </w:r>
      <w:proofErr w:type="gramEnd"/>
      <w:r w:rsidRPr="000838E2">
        <w:t xml:space="preserve"> Critical Habitat Determinations, Flora and Fauna Management Plans and Habitat Conservation Orders).</w:t>
      </w:r>
      <w:r>
        <w:rPr>
          <w:i/>
          <w:iCs/>
        </w:rPr>
        <w:t xml:space="preserve"> </w:t>
      </w:r>
    </w:p>
    <w:p w14:paraId="74A17104" w14:textId="6C5A0981" w:rsidR="00963FA9" w:rsidRDefault="00011097">
      <w:pPr>
        <w:pStyle w:val="Heading1"/>
      </w:pPr>
      <w:bookmarkStart w:id="16" w:name="_Toc121258707"/>
      <w:r>
        <w:lastRenderedPageBreak/>
        <w:t xml:space="preserve">Conclusions and </w:t>
      </w:r>
      <w:r w:rsidR="0094093D">
        <w:t>recommendations</w:t>
      </w:r>
      <w:bookmarkEnd w:id="16"/>
      <w:r w:rsidR="008D72BE">
        <w:t xml:space="preserve"> </w:t>
      </w:r>
    </w:p>
    <w:p w14:paraId="3BAEC181" w14:textId="7C9BB4B8" w:rsidR="00BC177B" w:rsidRDefault="00E077E2" w:rsidP="00E077E2">
      <w:pPr>
        <w:pStyle w:val="BodyNormal"/>
      </w:pPr>
      <w:r>
        <w:t>A s</w:t>
      </w:r>
      <w:r w:rsidR="00BC177B">
        <w:t xml:space="preserve">ummary of recommendations </w:t>
      </w:r>
      <w:r>
        <w:t>proposed through section 4 of this review is presented here</w:t>
      </w:r>
      <w:r w:rsidR="00BC177B">
        <w:t xml:space="preserve">: </w:t>
      </w:r>
    </w:p>
    <w:p w14:paraId="4A609F63" w14:textId="1BCB340F" w:rsidR="007D698A" w:rsidRDefault="009F3932" w:rsidP="00D7012D">
      <w:pPr>
        <w:pStyle w:val="BodyNormal"/>
        <w:rPr>
          <w:u w:val="single"/>
        </w:rPr>
      </w:pPr>
      <w:r>
        <w:rPr>
          <w:u w:val="single"/>
        </w:rPr>
        <w:t>Supporting r</w:t>
      </w:r>
      <w:r w:rsidRPr="007D698A">
        <w:rPr>
          <w:u w:val="single"/>
        </w:rPr>
        <w:t xml:space="preserve">isk </w:t>
      </w:r>
      <w:r w:rsidR="007D698A" w:rsidRPr="007D698A">
        <w:rPr>
          <w:u w:val="single"/>
        </w:rPr>
        <w:t>assessment</w:t>
      </w:r>
      <w:r w:rsidR="007D698A">
        <w:rPr>
          <w:u w:val="single"/>
        </w:rPr>
        <w:t xml:space="preserve"> (Step 2):</w:t>
      </w:r>
    </w:p>
    <w:p w14:paraId="4B51DAC8" w14:textId="18C40EC2" w:rsidR="00C95230" w:rsidRPr="00C95230" w:rsidRDefault="00C95230" w:rsidP="00D7012D">
      <w:pPr>
        <w:pStyle w:val="ListBullet"/>
        <w:numPr>
          <w:ilvl w:val="0"/>
          <w:numId w:val="20"/>
        </w:numPr>
        <w:tabs>
          <w:tab w:val="clear" w:pos="-31680"/>
          <w:tab w:val="left" w:pos="340"/>
        </w:tabs>
        <w:ind w:right="0"/>
        <w:contextualSpacing/>
        <w:jc w:val="both"/>
        <w:rPr>
          <w:i/>
          <w:iCs/>
        </w:rPr>
      </w:pPr>
      <w:r>
        <w:rPr>
          <w:i/>
          <w:iCs/>
        </w:rPr>
        <w:t>Consider a</w:t>
      </w:r>
      <w:r w:rsidRPr="00ED0446">
        <w:rPr>
          <w:i/>
          <w:iCs/>
        </w:rPr>
        <w:t xml:space="preserve"> mechanism that supports greater ability to adapt protections to current science and status of Threatened Species and Communities</w:t>
      </w:r>
      <w:r>
        <w:rPr>
          <w:i/>
          <w:iCs/>
        </w:rPr>
        <w:t>.</w:t>
      </w:r>
    </w:p>
    <w:p w14:paraId="2C006040" w14:textId="42415FE9" w:rsidR="007626AA" w:rsidRDefault="007626AA" w:rsidP="00D7012D">
      <w:pPr>
        <w:pStyle w:val="BodyNormal"/>
        <w:rPr>
          <w:u w:val="single"/>
        </w:rPr>
      </w:pPr>
      <w:r>
        <w:rPr>
          <w:u w:val="single"/>
        </w:rPr>
        <w:t>Supporting conservation planning</w:t>
      </w:r>
      <w:r w:rsidR="007D698A">
        <w:rPr>
          <w:u w:val="single"/>
        </w:rPr>
        <w:t xml:space="preserve"> (Step 3):</w:t>
      </w:r>
    </w:p>
    <w:p w14:paraId="331DE5B3" w14:textId="77777777" w:rsidR="00BE7EFC" w:rsidRPr="00BE7EFC" w:rsidRDefault="00BE7EFC" w:rsidP="00BE7EFC">
      <w:pPr>
        <w:pStyle w:val="ListBullet"/>
        <w:numPr>
          <w:ilvl w:val="0"/>
          <w:numId w:val="20"/>
        </w:numPr>
        <w:tabs>
          <w:tab w:val="clear" w:pos="-31680"/>
          <w:tab w:val="left" w:pos="340"/>
        </w:tabs>
        <w:snapToGrid w:val="0"/>
        <w:spacing w:after="120"/>
        <w:ind w:right="0"/>
        <w:jc w:val="both"/>
        <w:rPr>
          <w:i/>
          <w:iCs/>
        </w:rPr>
      </w:pPr>
      <w:r w:rsidRPr="00BE7EFC">
        <w:rPr>
          <w:i/>
          <w:iCs/>
        </w:rPr>
        <w:t>Place greater emphasis on the best use of Forest Management Plans and the Forest Management Zoning Scheme to transparently and strategically manage where timber harvesting should occur, and to demonstrate how this reduces impacts on listed species and communities. (Note the future role of Forest Management Zoning Scheme will need to be considered, with the increase in declarations of Special Protection Zones likely, with timber harvesting in State forests ceasing by 2030).</w:t>
      </w:r>
    </w:p>
    <w:p w14:paraId="1D01D57A" w14:textId="77777777" w:rsidR="00BE7EFC" w:rsidRPr="00BE7EFC" w:rsidRDefault="00BE7EFC" w:rsidP="00BE7EFC">
      <w:pPr>
        <w:pStyle w:val="ListBullet"/>
        <w:numPr>
          <w:ilvl w:val="0"/>
          <w:numId w:val="20"/>
        </w:numPr>
        <w:tabs>
          <w:tab w:val="clear" w:pos="-31680"/>
          <w:tab w:val="left" w:pos="340"/>
        </w:tabs>
        <w:snapToGrid w:val="0"/>
        <w:spacing w:after="120"/>
        <w:ind w:right="0"/>
        <w:jc w:val="both"/>
        <w:rPr>
          <w:i/>
          <w:iCs/>
        </w:rPr>
      </w:pPr>
      <w:r w:rsidRPr="00BE7EFC">
        <w:rPr>
          <w:i/>
          <w:iCs/>
        </w:rPr>
        <w:t>Continue the development of guidelines for Critical Habitat Determinations and identify potential examples where it can be tested (</w:t>
      </w:r>
      <w:proofErr w:type="gramStart"/>
      <w:r w:rsidRPr="00BE7EFC">
        <w:rPr>
          <w:i/>
          <w:iCs/>
        </w:rPr>
        <w:t>e.g.</w:t>
      </w:r>
      <w:proofErr w:type="gramEnd"/>
      <w:r w:rsidRPr="00BE7EFC">
        <w:rPr>
          <w:i/>
          <w:iCs/>
        </w:rPr>
        <w:t xml:space="preserve"> via a ‘regulatory sandbox’ process) so that the practical implications of its use can be assessed in detail (before actually implementing). </w:t>
      </w:r>
    </w:p>
    <w:p w14:paraId="6A676DCD" w14:textId="77777777" w:rsidR="00BE7EFC" w:rsidRPr="00BE7EFC" w:rsidRDefault="00BE7EFC" w:rsidP="00BE7EFC">
      <w:pPr>
        <w:pStyle w:val="ListBullet"/>
        <w:numPr>
          <w:ilvl w:val="0"/>
          <w:numId w:val="20"/>
        </w:numPr>
        <w:tabs>
          <w:tab w:val="clear" w:pos="-31680"/>
          <w:tab w:val="left" w:pos="340"/>
        </w:tabs>
        <w:snapToGrid w:val="0"/>
        <w:spacing w:after="120"/>
        <w:ind w:right="0"/>
        <w:jc w:val="both"/>
        <w:rPr>
          <w:i/>
          <w:iCs/>
        </w:rPr>
      </w:pPr>
      <w:r w:rsidRPr="00BE7EFC">
        <w:rPr>
          <w:i/>
          <w:iCs/>
        </w:rPr>
        <w:t>Build internal capacity to support effective use of Flora and Fauna Management Plans by developing guidelines and ‘testing’ their possible role for landscape scale or multi-species focus.</w:t>
      </w:r>
    </w:p>
    <w:p w14:paraId="1CEC526D" w14:textId="77777777" w:rsidR="00BE7EFC" w:rsidRPr="00BE7EFC" w:rsidRDefault="00BE7EFC" w:rsidP="00BE7EFC">
      <w:pPr>
        <w:pStyle w:val="ListBullet"/>
        <w:numPr>
          <w:ilvl w:val="0"/>
          <w:numId w:val="20"/>
        </w:numPr>
        <w:tabs>
          <w:tab w:val="clear" w:pos="-31680"/>
          <w:tab w:val="left" w:pos="340"/>
        </w:tabs>
        <w:snapToGrid w:val="0"/>
        <w:spacing w:after="120"/>
        <w:ind w:right="0"/>
        <w:jc w:val="both"/>
        <w:rPr>
          <w:i/>
          <w:iCs/>
        </w:rPr>
      </w:pPr>
      <w:r w:rsidRPr="00BE7EFC">
        <w:rPr>
          <w:i/>
          <w:iCs/>
        </w:rPr>
        <w:t xml:space="preserve">Bring together relevant agencies to identify critical timber resource information and to define timely access to that information. Capture these requirements in a joint agreement between the agencies involved. </w:t>
      </w:r>
    </w:p>
    <w:p w14:paraId="610957AB" w14:textId="2E83C2E5" w:rsidR="00BE7EFC" w:rsidRPr="00BE7EFC" w:rsidRDefault="00BE7EFC" w:rsidP="00D7012D">
      <w:pPr>
        <w:pStyle w:val="ListBullet"/>
        <w:numPr>
          <w:ilvl w:val="0"/>
          <w:numId w:val="20"/>
        </w:numPr>
        <w:tabs>
          <w:tab w:val="clear" w:pos="-31680"/>
          <w:tab w:val="left" w:pos="340"/>
        </w:tabs>
        <w:spacing w:after="120"/>
        <w:ind w:right="0"/>
        <w:contextualSpacing/>
        <w:jc w:val="both"/>
        <w:rPr>
          <w:i/>
          <w:iCs/>
        </w:rPr>
      </w:pPr>
      <w:r w:rsidRPr="00BE7EFC">
        <w:rPr>
          <w:rStyle w:val="BoldCharacter"/>
          <w:b w:val="0"/>
          <w:i/>
          <w:iCs/>
        </w:rPr>
        <w:t xml:space="preserve">Create a stronger (and more formal) requirement that </w:t>
      </w:r>
      <w:r w:rsidRPr="00BE7EFC">
        <w:rPr>
          <w:i/>
          <w:iCs/>
        </w:rPr>
        <w:t xml:space="preserve">Flora and Fauna Guarantee Act 1988 </w:t>
      </w:r>
      <w:r w:rsidRPr="00BE7EFC">
        <w:rPr>
          <w:rStyle w:val="BoldCharacter"/>
          <w:b w:val="0"/>
          <w:i/>
          <w:iCs/>
        </w:rPr>
        <w:t>listed species information (</w:t>
      </w:r>
      <w:proofErr w:type="gramStart"/>
      <w:r w:rsidRPr="00BE7EFC">
        <w:rPr>
          <w:rStyle w:val="BoldCharacter"/>
          <w:b w:val="0"/>
          <w:i/>
          <w:iCs/>
        </w:rPr>
        <w:t>e.g.</w:t>
      </w:r>
      <w:proofErr w:type="gramEnd"/>
      <w:r w:rsidRPr="00BE7EFC">
        <w:rPr>
          <w:rStyle w:val="BoldCharacter"/>
          <w:b w:val="0"/>
          <w:i/>
          <w:iCs/>
        </w:rPr>
        <w:t xml:space="preserve"> provisions set out in Action Statements or Threatened Species and Communities Risk Assessment findings) informs timber harvesting planning. </w:t>
      </w:r>
    </w:p>
    <w:p w14:paraId="53738A1B" w14:textId="610E0AB3" w:rsidR="007626AA" w:rsidRDefault="007626AA" w:rsidP="00E96C1E">
      <w:pPr>
        <w:pStyle w:val="BodyNormal"/>
        <w:rPr>
          <w:u w:val="single"/>
        </w:rPr>
      </w:pPr>
      <w:r w:rsidRPr="00E96C1E">
        <w:rPr>
          <w:u w:val="single"/>
        </w:rPr>
        <w:t xml:space="preserve">Supporting implementation of conservation </w:t>
      </w:r>
      <w:r w:rsidR="009F3932">
        <w:rPr>
          <w:u w:val="single"/>
        </w:rPr>
        <w:t xml:space="preserve">and protection </w:t>
      </w:r>
      <w:r w:rsidRPr="00E96C1E">
        <w:rPr>
          <w:u w:val="single"/>
        </w:rPr>
        <w:t>actions</w:t>
      </w:r>
      <w:r w:rsidR="00E077E2" w:rsidRPr="00E96C1E">
        <w:rPr>
          <w:u w:val="single"/>
        </w:rPr>
        <w:t xml:space="preserve"> (Step 4)</w:t>
      </w:r>
    </w:p>
    <w:p w14:paraId="3999986F" w14:textId="77777777" w:rsidR="00BE7EFC" w:rsidRPr="00BE7EFC" w:rsidRDefault="00BE7EFC" w:rsidP="00BE7EFC">
      <w:pPr>
        <w:pStyle w:val="ListBullet"/>
        <w:numPr>
          <w:ilvl w:val="0"/>
          <w:numId w:val="20"/>
        </w:numPr>
        <w:tabs>
          <w:tab w:val="clear" w:pos="-31680"/>
          <w:tab w:val="left" w:pos="340"/>
        </w:tabs>
        <w:snapToGrid w:val="0"/>
        <w:spacing w:after="120"/>
        <w:ind w:right="0"/>
        <w:jc w:val="both"/>
        <w:rPr>
          <w:i/>
          <w:iCs/>
        </w:rPr>
      </w:pPr>
      <w:r w:rsidRPr="00BE7EFC">
        <w:rPr>
          <w:i/>
          <w:iCs/>
        </w:rPr>
        <w:t>Continue development of Public Authority Duty ‘guidelines’ that would explicitly outline key provisions in the Flora and Fauna Guarantee Act 1988 and raise awareness of this duty with relevant public authorities.</w:t>
      </w:r>
    </w:p>
    <w:p w14:paraId="4107FF2E" w14:textId="2A827252" w:rsidR="00BE7EFC" w:rsidRPr="00BE7EFC" w:rsidRDefault="00BE7EFC" w:rsidP="00BE7EFC">
      <w:pPr>
        <w:pStyle w:val="ListBullet"/>
        <w:numPr>
          <w:ilvl w:val="0"/>
          <w:numId w:val="20"/>
        </w:numPr>
        <w:tabs>
          <w:tab w:val="clear" w:pos="-31680"/>
          <w:tab w:val="left" w:pos="340"/>
        </w:tabs>
        <w:ind w:right="0"/>
        <w:contextualSpacing/>
        <w:jc w:val="both"/>
        <w:rPr>
          <w:i/>
          <w:iCs/>
        </w:rPr>
      </w:pPr>
      <w:r w:rsidRPr="00BE7EFC">
        <w:rPr>
          <w:i/>
          <w:iCs/>
        </w:rPr>
        <w:t xml:space="preserve">Consider development of guidelines for </w:t>
      </w:r>
      <w:r w:rsidR="00064290">
        <w:rPr>
          <w:i/>
          <w:iCs/>
        </w:rPr>
        <w:t>Habitat</w:t>
      </w:r>
      <w:r w:rsidRPr="00BE7EFC">
        <w:rPr>
          <w:i/>
          <w:iCs/>
        </w:rPr>
        <w:t xml:space="preserve"> Conservation Orders and identify potential examples where it can be tested (</w:t>
      </w:r>
      <w:proofErr w:type="gramStart"/>
      <w:r w:rsidRPr="00BE7EFC">
        <w:rPr>
          <w:i/>
          <w:iCs/>
        </w:rPr>
        <w:t>e.g.</w:t>
      </w:r>
      <w:proofErr w:type="gramEnd"/>
      <w:r w:rsidRPr="00BE7EFC">
        <w:rPr>
          <w:i/>
          <w:iCs/>
        </w:rPr>
        <w:t xml:space="preserve"> via a ‘regulatory sandbox’ process) so that the practical implications of its use can be assessed in detail (before implementation). </w:t>
      </w:r>
    </w:p>
    <w:p w14:paraId="5835CF99" w14:textId="11503B8B" w:rsidR="00C95230" w:rsidRPr="00BE7EFC" w:rsidRDefault="007626AA" w:rsidP="00C95230">
      <w:pPr>
        <w:pStyle w:val="BodyNormal"/>
        <w:rPr>
          <w:u w:val="single"/>
        </w:rPr>
      </w:pPr>
      <w:r w:rsidRPr="00E96C1E">
        <w:rPr>
          <w:u w:val="single"/>
        </w:rPr>
        <w:t xml:space="preserve">General – use of current legislative instruments for protecting </w:t>
      </w:r>
      <w:r w:rsidR="00BE7EFC">
        <w:rPr>
          <w:u w:val="single"/>
        </w:rPr>
        <w:t>T</w:t>
      </w:r>
      <w:r w:rsidRPr="00E96C1E">
        <w:rPr>
          <w:u w:val="single"/>
        </w:rPr>
        <w:t xml:space="preserve">hreatened </w:t>
      </w:r>
      <w:r w:rsidR="00BE7EFC">
        <w:rPr>
          <w:u w:val="single"/>
        </w:rPr>
        <w:t>S</w:t>
      </w:r>
      <w:r w:rsidRPr="00E96C1E">
        <w:rPr>
          <w:u w:val="single"/>
        </w:rPr>
        <w:t xml:space="preserve">pecies and </w:t>
      </w:r>
      <w:r w:rsidR="00BE7EFC">
        <w:rPr>
          <w:u w:val="single"/>
        </w:rPr>
        <w:t>C</w:t>
      </w:r>
      <w:r w:rsidRPr="00E96C1E">
        <w:rPr>
          <w:u w:val="single"/>
        </w:rPr>
        <w:t>ommunities</w:t>
      </w:r>
    </w:p>
    <w:p w14:paraId="231D64AC" w14:textId="77777777" w:rsidR="00BE7EFC" w:rsidRPr="00BE7EFC" w:rsidRDefault="00BE7EFC" w:rsidP="00BE7EFC">
      <w:pPr>
        <w:pStyle w:val="ListBullet"/>
        <w:numPr>
          <w:ilvl w:val="0"/>
          <w:numId w:val="20"/>
        </w:numPr>
        <w:tabs>
          <w:tab w:val="clear" w:pos="-31680"/>
          <w:tab w:val="left" w:pos="340"/>
        </w:tabs>
        <w:snapToGrid w:val="0"/>
        <w:spacing w:after="120"/>
        <w:ind w:right="0"/>
        <w:jc w:val="both"/>
        <w:rPr>
          <w:i/>
          <w:iCs/>
        </w:rPr>
      </w:pPr>
      <w:r w:rsidRPr="00BE7EFC">
        <w:rPr>
          <w:i/>
          <w:iCs/>
        </w:rPr>
        <w:t>Consider using a ‘regulatory sandbox’ approach to comprehensively test how a particular threatened species or community would progress through the ‘Pathway for Protection’ framework and the role that relevant legislative provisions and instruments identified in this review could play.</w:t>
      </w:r>
    </w:p>
    <w:p w14:paraId="39ABF287" w14:textId="5E65FD6A" w:rsidR="00BE7EFC" w:rsidRPr="00BE7EFC" w:rsidRDefault="00BE7EFC" w:rsidP="00BE7EFC">
      <w:pPr>
        <w:pStyle w:val="ListBullet"/>
        <w:numPr>
          <w:ilvl w:val="0"/>
          <w:numId w:val="20"/>
        </w:numPr>
        <w:tabs>
          <w:tab w:val="clear" w:pos="-31680"/>
          <w:tab w:val="left" w:pos="340"/>
        </w:tabs>
        <w:ind w:right="0"/>
        <w:contextualSpacing/>
        <w:jc w:val="both"/>
        <w:rPr>
          <w:i/>
          <w:iCs/>
        </w:rPr>
      </w:pPr>
      <w:r w:rsidRPr="00BE7EFC">
        <w:rPr>
          <w:i/>
          <w:iCs/>
        </w:rPr>
        <w:t>Use this ‘regulatory sandbox’ approach to develop guidance to assist policy officers and others to identify potential use of relevant legislative instruments. In particular, this approach could develop specific guidance on the use of the provisions that have not</w:t>
      </w:r>
      <w:r w:rsidR="00F200F1">
        <w:rPr>
          <w:i/>
          <w:iCs/>
        </w:rPr>
        <w:t xml:space="preserve"> or rarely</w:t>
      </w:r>
      <w:r w:rsidRPr="00BE7EFC">
        <w:rPr>
          <w:i/>
          <w:iCs/>
        </w:rPr>
        <w:t xml:space="preserve"> been used to date (</w:t>
      </w:r>
      <w:proofErr w:type="gramStart"/>
      <w:r w:rsidRPr="00BE7EFC">
        <w:rPr>
          <w:i/>
          <w:iCs/>
        </w:rPr>
        <w:t>e.g.</w:t>
      </w:r>
      <w:proofErr w:type="gramEnd"/>
      <w:r w:rsidRPr="00BE7EFC">
        <w:rPr>
          <w:i/>
          <w:iCs/>
        </w:rPr>
        <w:t xml:space="preserve"> Critical Habitat Determinations, Flora and Fauna Management Plans and Habitat Conservation Orders). </w:t>
      </w:r>
    </w:p>
    <w:p w14:paraId="02C7C048" w14:textId="1F31E548" w:rsidR="00BE7EFC" w:rsidRPr="00C95230" w:rsidRDefault="00BE7EFC" w:rsidP="00C95230">
      <w:pPr>
        <w:pStyle w:val="BodyNormal"/>
        <w:sectPr w:rsidR="00BE7EFC" w:rsidRPr="00C95230" w:rsidSect="00AF4528">
          <w:pgSz w:w="11906" w:h="16838" w:code="9"/>
          <w:pgMar w:top="588" w:right="1416" w:bottom="1324" w:left="1134" w:header="680" w:footer="680" w:gutter="0"/>
          <w:cols w:space="708"/>
          <w:docGrid w:linePitch="360"/>
        </w:sectPr>
      </w:pPr>
    </w:p>
    <w:p w14:paraId="00EB4B09" w14:textId="54891351" w:rsidR="00EE4DA7" w:rsidRPr="00FF62E3" w:rsidRDefault="00011097" w:rsidP="00FF62E3">
      <w:pPr>
        <w:pStyle w:val="Heading1NoNumbers"/>
      </w:pPr>
      <w:bookmarkStart w:id="17" w:name="_Toc121258708"/>
      <w:r w:rsidRPr="00011097">
        <w:lastRenderedPageBreak/>
        <w:t>Appendix</w:t>
      </w:r>
      <w:r>
        <w:t xml:space="preserve"> </w:t>
      </w:r>
      <w:r w:rsidR="0086178C">
        <w:t>1</w:t>
      </w:r>
      <w:r>
        <w:t>: Overview of legislation in scope</w:t>
      </w:r>
      <w:bookmarkEnd w:id="17"/>
    </w:p>
    <w:p w14:paraId="1CFBC3A1" w14:textId="0A0FC905" w:rsidR="00EE4DA7" w:rsidRDefault="00EE4DA7" w:rsidP="00EE4DA7">
      <w:pPr>
        <w:pStyle w:val="Heading3NoNumber"/>
        <w:rPr>
          <w:rFonts w:hint="eastAsia"/>
        </w:rPr>
      </w:pPr>
      <w:r w:rsidRPr="00F11967">
        <w:t>Flora and Fauna Guarantee Act 1988 and FFG Amendment Act 2019</w:t>
      </w:r>
    </w:p>
    <w:p w14:paraId="2EA5EA13" w14:textId="65B8BD48" w:rsidR="006D5F50" w:rsidRDefault="006D5F50" w:rsidP="006D5F50">
      <w:pPr>
        <w:pStyle w:val="BodyNormal"/>
      </w:pPr>
      <w:r w:rsidRPr="00B44D3B">
        <w:t xml:space="preserve">The </w:t>
      </w:r>
      <w:r w:rsidR="0086178C" w:rsidRPr="002C6BD9">
        <w:rPr>
          <w:i/>
          <w:iCs/>
        </w:rPr>
        <w:t>Flora and Fauna Guarantee (FFG) Act 1988</w:t>
      </w:r>
      <w:r w:rsidR="0086178C" w:rsidRPr="00B44D3B">
        <w:t xml:space="preserve"> </w:t>
      </w:r>
      <w:r w:rsidRPr="00B44D3B">
        <w:t>provides for the</w:t>
      </w:r>
      <w:r>
        <w:t xml:space="preserve"> listing and</w:t>
      </w:r>
      <w:r w:rsidRPr="00B44D3B">
        <w:t xml:space="preserve"> conservation of </w:t>
      </w:r>
      <w:r w:rsidR="00BE7EFC">
        <w:t>T</w:t>
      </w:r>
      <w:r w:rsidRPr="00B44D3B">
        <w:t xml:space="preserve">hreatened </w:t>
      </w:r>
      <w:r w:rsidR="00BE7EFC">
        <w:t>S</w:t>
      </w:r>
      <w:r w:rsidRPr="00B44D3B">
        <w:t xml:space="preserve">pecies and </w:t>
      </w:r>
      <w:r w:rsidR="00BE7EFC">
        <w:t>C</w:t>
      </w:r>
      <w:r w:rsidRPr="00B44D3B">
        <w:t>ommunities, and the management of potentially threatening processes</w:t>
      </w:r>
      <w:r>
        <w:t xml:space="preserve"> across all land tenures. </w:t>
      </w:r>
    </w:p>
    <w:p w14:paraId="2E11B38B" w14:textId="77777777" w:rsidR="006D5F50" w:rsidRPr="00B44D3B" w:rsidRDefault="006D5F50" w:rsidP="006D5F50">
      <w:pPr>
        <w:spacing w:before="240" w:after="120"/>
        <w:ind w:left="0" w:right="0"/>
        <w:rPr>
          <w:rFonts w:cstheme="minorBidi"/>
          <w:sz w:val="20"/>
          <w:szCs w:val="16"/>
        </w:rPr>
      </w:pPr>
      <w:r w:rsidRPr="00B44D3B">
        <w:rPr>
          <w:rFonts w:cstheme="minorBidi"/>
          <w:sz w:val="20"/>
          <w:szCs w:val="16"/>
        </w:rPr>
        <w:t xml:space="preserve">The </w:t>
      </w:r>
      <w:r w:rsidRPr="002C6BD9">
        <w:rPr>
          <w:rFonts w:cstheme="minorBidi"/>
          <w:i/>
          <w:iCs/>
          <w:sz w:val="20"/>
          <w:szCs w:val="16"/>
        </w:rPr>
        <w:t>Flora and Fauna Guarantee (FFG) Act 1988</w:t>
      </w:r>
      <w:r w:rsidRPr="00B44D3B">
        <w:rPr>
          <w:rFonts w:cstheme="minorBidi"/>
          <w:sz w:val="20"/>
          <w:szCs w:val="16"/>
        </w:rPr>
        <w:t xml:space="preserve"> aims: </w:t>
      </w:r>
    </w:p>
    <w:p w14:paraId="7821B0C3" w14:textId="74C6A634" w:rsidR="006D5F50" w:rsidRPr="00B32A16" w:rsidRDefault="00E96C1E" w:rsidP="0086178C">
      <w:pPr>
        <w:pStyle w:val="ListBullet"/>
        <w:numPr>
          <w:ilvl w:val="0"/>
          <w:numId w:val="20"/>
        </w:numPr>
        <w:tabs>
          <w:tab w:val="left" w:pos="340"/>
        </w:tabs>
        <w:ind w:left="340" w:right="0" w:hanging="340"/>
        <w:contextualSpacing/>
        <w:jc w:val="both"/>
      </w:pPr>
      <w:r>
        <w:t>T</w:t>
      </w:r>
      <w:r w:rsidR="006D5F50" w:rsidRPr="000B44D2">
        <w:t xml:space="preserve">o </w:t>
      </w:r>
      <w:r w:rsidR="006D5F50" w:rsidRPr="00B32A16">
        <w:t xml:space="preserve">guarantee that all taxa of Victoria's flora and fauna can persist and improve in the wild and retain their capacity to adapt to environmental </w:t>
      </w:r>
      <w:proofErr w:type="gramStart"/>
      <w:r w:rsidR="006D5F50" w:rsidRPr="00B32A16">
        <w:t>changes;</w:t>
      </w:r>
      <w:proofErr w:type="gramEnd"/>
    </w:p>
    <w:p w14:paraId="3F871DCE" w14:textId="3B1B4822" w:rsidR="006D5F50" w:rsidRPr="00B32A16" w:rsidRDefault="00E96C1E" w:rsidP="0086178C">
      <w:pPr>
        <w:pStyle w:val="ListBullet"/>
        <w:numPr>
          <w:ilvl w:val="0"/>
          <w:numId w:val="20"/>
        </w:numPr>
        <w:tabs>
          <w:tab w:val="left" w:pos="340"/>
        </w:tabs>
        <w:ind w:left="340" w:right="0" w:hanging="340"/>
        <w:contextualSpacing/>
        <w:jc w:val="both"/>
      </w:pPr>
      <w:r w:rsidRPr="00B32A16">
        <w:t>T</w:t>
      </w:r>
      <w:r w:rsidR="006D5F50" w:rsidRPr="00B32A16">
        <w:t xml:space="preserve">o prevent them from becoming threatened and to recover those that are threatened so their conservation status improves; and </w:t>
      </w:r>
    </w:p>
    <w:p w14:paraId="3D8F3024" w14:textId="6C7EAD20" w:rsidR="006D5F50" w:rsidRPr="000B44D2" w:rsidRDefault="00E96C1E" w:rsidP="0086178C">
      <w:pPr>
        <w:pStyle w:val="ListBullet"/>
        <w:numPr>
          <w:ilvl w:val="0"/>
          <w:numId w:val="20"/>
        </w:numPr>
        <w:tabs>
          <w:tab w:val="left" w:pos="340"/>
        </w:tabs>
        <w:ind w:left="340" w:right="0" w:hanging="340"/>
        <w:contextualSpacing/>
        <w:jc w:val="both"/>
      </w:pPr>
      <w:r w:rsidRPr="00B32A16">
        <w:t>T</w:t>
      </w:r>
      <w:r w:rsidR="006D5F50" w:rsidRPr="00B32A16">
        <w:t>o protect</w:t>
      </w:r>
      <w:r w:rsidR="006D5F50" w:rsidRPr="000B44D2">
        <w:t xml:space="preserve">, conserve, restore and enhance biodiversity. </w:t>
      </w:r>
    </w:p>
    <w:p w14:paraId="03820C4B" w14:textId="77777777" w:rsidR="006D5F50" w:rsidRDefault="006D5F50" w:rsidP="00E96C1E">
      <w:pPr>
        <w:pStyle w:val="BodyNormal"/>
      </w:pPr>
      <w:r>
        <w:t xml:space="preserve">The 2019 amendment, the </w:t>
      </w:r>
      <w:r w:rsidRPr="002C6BD9">
        <w:rPr>
          <w:i/>
          <w:iCs/>
        </w:rPr>
        <w:t>Flora and Fauna Guarantee Amendment Act 2019 (Vic</w:t>
      </w:r>
      <w:r>
        <w:t xml:space="preserve">) came into effect on 1 June 2020 </w:t>
      </w:r>
      <w:proofErr w:type="gramStart"/>
      <w:r>
        <w:t>and;</w:t>
      </w:r>
      <w:proofErr w:type="gramEnd"/>
    </w:p>
    <w:p w14:paraId="2F1E5C88" w14:textId="16927D37" w:rsidR="006D5F50" w:rsidRPr="000B44D2" w:rsidRDefault="006D5F50" w:rsidP="000838E2">
      <w:pPr>
        <w:pStyle w:val="ListBullet"/>
        <w:numPr>
          <w:ilvl w:val="0"/>
          <w:numId w:val="20"/>
        </w:numPr>
        <w:tabs>
          <w:tab w:val="left" w:pos="340"/>
        </w:tabs>
        <w:ind w:left="340" w:right="0" w:hanging="340"/>
        <w:contextualSpacing/>
        <w:jc w:val="both"/>
      </w:pPr>
      <w:r w:rsidRPr="000B44D2">
        <w:t xml:space="preserve">Adopts a consistent approach to listing and assessing threatened species, the Common Assessment Method (CAM), which improves consistency between Victorian and EPBC Act listed </w:t>
      </w:r>
      <w:r w:rsidR="00BE7EFC">
        <w:t>T</w:t>
      </w:r>
      <w:r w:rsidRPr="000B44D2">
        <w:t xml:space="preserve">hreatened </w:t>
      </w:r>
      <w:r w:rsidR="00BE7EFC">
        <w:t>S</w:t>
      </w:r>
      <w:r w:rsidRPr="000B44D2">
        <w:t xml:space="preserve">pecies and </w:t>
      </w:r>
      <w:r w:rsidR="00BE7EFC">
        <w:t>C</w:t>
      </w:r>
      <w:r w:rsidRPr="000B44D2">
        <w:t>ommunities.</w:t>
      </w:r>
    </w:p>
    <w:p w14:paraId="3AD0AB97" w14:textId="77777777" w:rsidR="006D5F50" w:rsidRPr="000B44D2" w:rsidRDefault="006D5F50" w:rsidP="000838E2">
      <w:pPr>
        <w:pStyle w:val="ListBullet"/>
        <w:numPr>
          <w:ilvl w:val="0"/>
          <w:numId w:val="20"/>
        </w:numPr>
        <w:tabs>
          <w:tab w:val="left" w:pos="340"/>
        </w:tabs>
        <w:ind w:left="340" w:right="0" w:hanging="340"/>
        <w:contextualSpacing/>
        <w:jc w:val="both"/>
      </w:pPr>
      <w:r w:rsidRPr="000B44D2">
        <w:t xml:space="preserve">Incorporates principles, including the precautionary principle within the Act and requires that proper consideration is given to decisions, policies, </w:t>
      </w:r>
      <w:proofErr w:type="gramStart"/>
      <w:r w:rsidRPr="000B44D2">
        <w:t>programs</w:t>
      </w:r>
      <w:proofErr w:type="gramEnd"/>
      <w:r w:rsidRPr="000B44D2">
        <w:t xml:space="preserve"> and processes.</w:t>
      </w:r>
    </w:p>
    <w:p w14:paraId="7253A60E" w14:textId="77777777" w:rsidR="006D5F50" w:rsidRPr="000B44D2" w:rsidRDefault="006D5F50" w:rsidP="000838E2">
      <w:pPr>
        <w:pStyle w:val="ListBullet"/>
        <w:numPr>
          <w:ilvl w:val="0"/>
          <w:numId w:val="20"/>
        </w:numPr>
        <w:tabs>
          <w:tab w:val="left" w:pos="340"/>
        </w:tabs>
        <w:ind w:left="340" w:right="0" w:hanging="340"/>
        <w:contextualSpacing/>
        <w:jc w:val="both"/>
      </w:pPr>
      <w:r>
        <w:t>Retains the “guarantee” objective [</w:t>
      </w:r>
      <w:r w:rsidRPr="00782FE2">
        <w:t>that all Victoria’s flora and fauna can survive, flourish, and retain their potential for evolutionary development in the wild</w:t>
      </w:r>
      <w:r>
        <w:t>] in the Act,</w:t>
      </w:r>
    </w:p>
    <w:p w14:paraId="0E165E00" w14:textId="77777777" w:rsidR="006D5F50" w:rsidRPr="000B44D2" w:rsidRDefault="006D5F50" w:rsidP="000838E2">
      <w:pPr>
        <w:pStyle w:val="ListBullet"/>
        <w:numPr>
          <w:ilvl w:val="0"/>
          <w:numId w:val="20"/>
        </w:numPr>
        <w:tabs>
          <w:tab w:val="left" w:pos="340"/>
        </w:tabs>
        <w:ind w:left="340" w:right="0" w:hanging="340"/>
        <w:contextualSpacing/>
        <w:jc w:val="both"/>
      </w:pPr>
      <w:r>
        <w:t xml:space="preserve">Interprets the </w:t>
      </w:r>
      <w:proofErr w:type="gramStart"/>
      <w:r>
        <w:t>guarantee</w:t>
      </w:r>
      <w:proofErr w:type="gramEnd"/>
      <w:r>
        <w:t xml:space="preserve"> objective as “</w:t>
      </w:r>
      <w:r w:rsidRPr="0071572B">
        <w:t>‘Protecting, restoring and enhancing biodiversity so native flora and fauna improve in the wild, including genetic and habitat diversity and the ecological process that support biodiversity</w:t>
      </w:r>
      <w:r>
        <w:t>,”</w:t>
      </w:r>
    </w:p>
    <w:p w14:paraId="0B20E3AB" w14:textId="77777777" w:rsidR="006D5F50" w:rsidRPr="000B44D2" w:rsidRDefault="006D5F50" w:rsidP="000838E2">
      <w:pPr>
        <w:pStyle w:val="ListBullet"/>
        <w:numPr>
          <w:ilvl w:val="0"/>
          <w:numId w:val="20"/>
        </w:numPr>
        <w:tabs>
          <w:tab w:val="left" w:pos="340"/>
        </w:tabs>
        <w:ind w:left="340" w:right="0" w:hanging="340"/>
        <w:contextualSpacing/>
        <w:jc w:val="both"/>
      </w:pPr>
      <w:r>
        <w:t>Clarifies the definition of a public authority such that the public authority duty unambiguously applies to all levels of Victorian government,</w:t>
      </w:r>
    </w:p>
    <w:p w14:paraId="07CADD68" w14:textId="77777777" w:rsidR="006D5F50" w:rsidRPr="000B44D2" w:rsidRDefault="006D5F50" w:rsidP="000838E2">
      <w:pPr>
        <w:pStyle w:val="ListBullet"/>
        <w:numPr>
          <w:ilvl w:val="0"/>
          <w:numId w:val="20"/>
        </w:numPr>
        <w:tabs>
          <w:tab w:val="left" w:pos="340"/>
        </w:tabs>
        <w:ind w:left="340" w:right="0" w:hanging="340"/>
        <w:contextualSpacing/>
        <w:jc w:val="both"/>
      </w:pPr>
      <w:r>
        <w:t>Improves accountability and transparency in relation to administration of the Act.</w:t>
      </w:r>
    </w:p>
    <w:p w14:paraId="6AE20EFD" w14:textId="77777777" w:rsidR="00EE4DA7" w:rsidRPr="00A723FA" w:rsidRDefault="00EE4DA7" w:rsidP="00EE4DA7">
      <w:pPr>
        <w:pStyle w:val="Heading3NoNumber"/>
        <w:rPr>
          <w:rFonts w:hint="eastAsia"/>
        </w:rPr>
      </w:pPr>
      <w:bookmarkStart w:id="18" w:name="_Toc116649474"/>
      <w:r>
        <w:t>Forests act 1958</w:t>
      </w:r>
      <w:bookmarkEnd w:id="18"/>
    </w:p>
    <w:p w14:paraId="0E712FA6" w14:textId="77777777" w:rsidR="006D5F50" w:rsidRDefault="006D5F50" w:rsidP="006D5F50">
      <w:pPr>
        <w:pStyle w:val="BodyNormal"/>
      </w:pPr>
      <w:r w:rsidRPr="00C058DC">
        <w:t xml:space="preserve">The </w:t>
      </w:r>
      <w:r w:rsidRPr="000B44D2">
        <w:rPr>
          <w:i/>
          <w:iCs/>
        </w:rPr>
        <w:t>Forests Act 1958</w:t>
      </w:r>
      <w:r w:rsidRPr="00C058DC">
        <w:t xml:space="preserve"> </w:t>
      </w:r>
      <w:r>
        <w:t>provides for the</w:t>
      </w:r>
      <w:r w:rsidRPr="00C058DC">
        <w:t xml:space="preserve"> management</w:t>
      </w:r>
      <w:r>
        <w:t xml:space="preserve"> of State forests to </w:t>
      </w:r>
      <w:r w:rsidRPr="00C058DC">
        <w:t xml:space="preserve">maintain and improve </w:t>
      </w:r>
      <w:r>
        <w:t xml:space="preserve">and protect public land from fire. This includes the development of Forest Management Plans which map all Victorian forests into zones (Forest Management Zoning Scheme) and outline objectives for conservation and land uses for licences occupations including </w:t>
      </w:r>
      <w:r w:rsidRPr="00C058DC">
        <w:t>grazing, beekeeping</w:t>
      </w:r>
      <w:r>
        <w:t>, timber harvesting</w:t>
      </w:r>
      <w:r w:rsidRPr="00C058DC">
        <w:t xml:space="preserve"> and the sale of forest produce.</w:t>
      </w:r>
    </w:p>
    <w:p w14:paraId="11902EDF" w14:textId="3735A2B1" w:rsidR="00EE4DA7" w:rsidRDefault="006D5F50" w:rsidP="00EE4DA7">
      <w:pPr>
        <w:pStyle w:val="BodyNormal"/>
      </w:pPr>
      <w:r>
        <w:t xml:space="preserve">DELWP will be reviewing and updating Forest Management Plans by December 2023. </w:t>
      </w:r>
    </w:p>
    <w:p w14:paraId="5E7BE765" w14:textId="77777777" w:rsidR="00EE4DA7" w:rsidRDefault="00EE4DA7" w:rsidP="00EE4DA7">
      <w:pPr>
        <w:pStyle w:val="Heading3NoNumber"/>
        <w:rPr>
          <w:rFonts w:hint="eastAsia"/>
        </w:rPr>
      </w:pPr>
      <w:bookmarkStart w:id="19" w:name="_Toc116649475"/>
      <w:r>
        <w:t>sustainable forests (timber) ACT 2004</w:t>
      </w:r>
      <w:bookmarkEnd w:id="19"/>
    </w:p>
    <w:p w14:paraId="0C6F7343" w14:textId="06A27704" w:rsidR="006D5F50" w:rsidRDefault="006D5F50" w:rsidP="006D5F50">
      <w:pPr>
        <w:pStyle w:val="BodyNormal"/>
      </w:pPr>
      <w:r>
        <w:t xml:space="preserve">The </w:t>
      </w:r>
      <w:r w:rsidRPr="000B44D2">
        <w:rPr>
          <w:i/>
          <w:iCs/>
        </w:rPr>
        <w:t>Sustainable Forests (Timber) Act 2004</w:t>
      </w:r>
      <w:r>
        <w:t xml:space="preserve"> provides the framework for sustainable forest management and timber harvesting in State forests. The Act </w:t>
      </w:r>
      <w:r w:rsidR="00EE69EE">
        <w:t xml:space="preserve">provides for the creation of the Allocation order, which </w:t>
      </w:r>
      <w:r>
        <w:t xml:space="preserve">requires VicForests to comply with the </w:t>
      </w:r>
      <w:r w:rsidRPr="000B44D2">
        <w:rPr>
          <w:i/>
          <w:iCs/>
        </w:rPr>
        <w:t xml:space="preserve">Code of Practice for Timber Production 2014 </w:t>
      </w:r>
      <w:r>
        <w:t xml:space="preserve">and the </w:t>
      </w:r>
      <w:r w:rsidRPr="000B44D2">
        <w:rPr>
          <w:i/>
          <w:iCs/>
        </w:rPr>
        <w:t>Forest Management Zoning Scheme (Forests Act 1958</w:t>
      </w:r>
      <w:r>
        <w:t>)</w:t>
      </w:r>
      <w:r w:rsidR="00C85D28">
        <w:t>. VicForests operations are</w:t>
      </w:r>
      <w:r>
        <w:t xml:space="preserve"> regulated by the Office of the </w:t>
      </w:r>
      <w:r w:rsidRPr="000872F9">
        <w:t>Conservation Regulator</w:t>
      </w:r>
      <w:r>
        <w:t>.</w:t>
      </w:r>
    </w:p>
    <w:p w14:paraId="2AA5778E" w14:textId="6FA2158F" w:rsidR="006D5F50" w:rsidRDefault="006D5F50" w:rsidP="006D5F50">
      <w:pPr>
        <w:pStyle w:val="BodyNormal"/>
      </w:pPr>
      <w:r>
        <w:t>The Act contains three key components</w:t>
      </w:r>
      <w:r w:rsidR="000838E2">
        <w:t>:</w:t>
      </w:r>
    </w:p>
    <w:p w14:paraId="28E84E7D" w14:textId="77777777" w:rsidR="006D5F50" w:rsidRDefault="006D5F50" w:rsidP="00EB4C4D">
      <w:pPr>
        <w:pStyle w:val="ListBullet"/>
        <w:numPr>
          <w:ilvl w:val="0"/>
          <w:numId w:val="20"/>
        </w:numPr>
        <w:tabs>
          <w:tab w:val="left" w:pos="340"/>
        </w:tabs>
        <w:ind w:left="340" w:right="0" w:hanging="340"/>
        <w:contextualSpacing/>
        <w:jc w:val="both"/>
      </w:pPr>
      <w:r w:rsidRPr="00EB4C4D">
        <w:lastRenderedPageBreak/>
        <w:t>Allocation Order</w:t>
      </w:r>
      <w:r>
        <w:t xml:space="preserve">: Under Section 13 of the Act, the Minister is empowered to make an Allocation Order, which provides for the sustainable allocation, harvesting and sale of timber resources from State forests according to set conditions. </w:t>
      </w:r>
    </w:p>
    <w:p w14:paraId="7317EB52" w14:textId="77777777" w:rsidR="006D5F50" w:rsidRPr="00EB4C4D" w:rsidRDefault="006D5F50" w:rsidP="00EB4C4D">
      <w:pPr>
        <w:pStyle w:val="ListBullet"/>
        <w:numPr>
          <w:ilvl w:val="0"/>
          <w:numId w:val="20"/>
        </w:numPr>
        <w:tabs>
          <w:tab w:val="left" w:pos="340"/>
        </w:tabs>
        <w:ind w:left="340" w:right="0" w:hanging="340"/>
        <w:contextualSpacing/>
        <w:jc w:val="both"/>
      </w:pPr>
      <w:r w:rsidRPr="00EB4C4D">
        <w:t>Sustainability Charter for Victoria’s State Forests, which sets the objectives for sustainable forest management in Victoria</w:t>
      </w:r>
    </w:p>
    <w:p w14:paraId="77ABA7CA" w14:textId="77777777" w:rsidR="006D5F50" w:rsidRPr="000B44D2" w:rsidRDefault="006D5F50" w:rsidP="00EB4C4D">
      <w:pPr>
        <w:pStyle w:val="ListBullet"/>
        <w:numPr>
          <w:ilvl w:val="0"/>
          <w:numId w:val="20"/>
        </w:numPr>
        <w:tabs>
          <w:tab w:val="left" w:pos="340"/>
        </w:tabs>
        <w:ind w:left="340" w:right="0" w:hanging="340"/>
        <w:contextualSpacing/>
        <w:jc w:val="both"/>
        <w:rPr>
          <w:rFonts w:ascii="ArialMT" w:eastAsia="Times New Roman" w:hAnsi="ArialMT" w:cs="Times New Roman"/>
          <w:color w:val="000000" w:themeColor="text1"/>
          <w:szCs w:val="18"/>
          <w:lang w:eastAsia="en-GB"/>
        </w:rPr>
      </w:pPr>
      <w:r w:rsidRPr="00EB4C4D">
        <w:t>State</w:t>
      </w:r>
      <w:r w:rsidRPr="000B44D2">
        <w:rPr>
          <w:rFonts w:ascii="ArialMT" w:eastAsia="Times New Roman" w:hAnsi="ArialMT" w:cs="Times New Roman"/>
          <w:i/>
          <w:iCs/>
          <w:color w:val="000000" w:themeColor="text1"/>
          <w:szCs w:val="18"/>
          <w:lang w:eastAsia="en-GB"/>
        </w:rPr>
        <w:t xml:space="preserve"> </w:t>
      </w:r>
      <w:r w:rsidRPr="00204C3D">
        <w:rPr>
          <w:rFonts w:ascii="ArialMT" w:eastAsia="Times New Roman" w:hAnsi="ArialMT" w:cs="Times New Roman"/>
          <w:color w:val="000000" w:themeColor="text1"/>
          <w:szCs w:val="18"/>
          <w:lang w:eastAsia="en-GB"/>
        </w:rPr>
        <w:t>of the Forests reporting</w:t>
      </w:r>
      <w:r>
        <w:rPr>
          <w:rFonts w:ascii="ArialMT" w:eastAsia="Times New Roman" w:hAnsi="ArialMT" w:cs="Times New Roman"/>
          <w:color w:val="000000" w:themeColor="text1"/>
          <w:szCs w:val="18"/>
          <w:lang w:eastAsia="en-GB"/>
        </w:rPr>
        <w:t xml:space="preserve"> (5 yearly)</w:t>
      </w:r>
      <w:r w:rsidRPr="000B44D2">
        <w:rPr>
          <w:rFonts w:ascii="ArialMT" w:eastAsia="Times New Roman" w:hAnsi="ArialMT" w:cs="Times New Roman"/>
          <w:color w:val="000000" w:themeColor="text1"/>
          <w:szCs w:val="18"/>
          <w:lang w:eastAsia="en-GB"/>
        </w:rPr>
        <w:t>, which compiles monitoring data and assesses the State’s performance in achieving objectives for sustainable forest management in Victor</w:t>
      </w:r>
      <w:r>
        <w:rPr>
          <w:rFonts w:ascii="ArialMT" w:eastAsia="Times New Roman" w:hAnsi="ArialMT" w:cs="Times New Roman"/>
          <w:color w:val="000000" w:themeColor="text1"/>
          <w:szCs w:val="18"/>
          <w:lang w:eastAsia="en-GB"/>
        </w:rPr>
        <w:t>ia.</w:t>
      </w:r>
    </w:p>
    <w:p w14:paraId="63B463C4" w14:textId="11F6F417" w:rsidR="00EE4DA7" w:rsidRDefault="00EE4DA7" w:rsidP="00EE4DA7">
      <w:pPr>
        <w:pStyle w:val="Heading3NoNumber"/>
        <w:rPr>
          <w:rFonts w:hint="eastAsia"/>
        </w:rPr>
      </w:pPr>
      <w:bookmarkStart w:id="20" w:name="_Toc116649476"/>
      <w:r>
        <w:t>forest legislation amendment (compliance and enforcement) act 20</w:t>
      </w:r>
      <w:bookmarkEnd w:id="20"/>
      <w:r w:rsidR="00A40F64">
        <w:t>2</w:t>
      </w:r>
      <w:r w:rsidR="000838E2">
        <w:t>1</w:t>
      </w:r>
    </w:p>
    <w:p w14:paraId="75CD958A" w14:textId="348954A5" w:rsidR="006D5F50" w:rsidRDefault="006D5F50" w:rsidP="006D5F50">
      <w:pPr>
        <w:pStyle w:val="BodyNormal"/>
      </w:pPr>
      <w:r>
        <w:t xml:space="preserve">The </w:t>
      </w:r>
      <w:r w:rsidRPr="000838E2">
        <w:rPr>
          <w:i/>
          <w:iCs/>
        </w:rPr>
        <w:t>Forest Legislation Amendment (Compliance and Enforcement) Act 2019</w:t>
      </w:r>
      <w:r>
        <w:t xml:space="preserve"> improve</w:t>
      </w:r>
      <w:r w:rsidR="000838E2">
        <w:t>d</w:t>
      </w:r>
      <w:r>
        <w:t xml:space="preserve"> the regulation of timber harvesting and firewood collection. </w:t>
      </w:r>
      <w:r w:rsidR="000838E2">
        <w:t xml:space="preserve">This act has delivered its purpose of updating the relevant part of the </w:t>
      </w:r>
      <w:r w:rsidR="000838E2" w:rsidRPr="000838E2">
        <w:rPr>
          <w:i/>
          <w:iCs/>
        </w:rPr>
        <w:t>SFT Act</w:t>
      </w:r>
      <w:r w:rsidR="000838E2">
        <w:t xml:space="preserve"> and </w:t>
      </w:r>
      <w:r w:rsidR="000838E2" w:rsidRPr="000838E2">
        <w:rPr>
          <w:i/>
          <w:iCs/>
        </w:rPr>
        <w:t>Forests Act</w:t>
      </w:r>
      <w:r w:rsidR="000838E2">
        <w:t xml:space="preserve"> and is no longer in force. The Act is to be repealed on 1 March 2023.</w:t>
      </w:r>
    </w:p>
    <w:p w14:paraId="6AEEC332" w14:textId="7DAEC5EF" w:rsidR="006D5F50" w:rsidRDefault="006D5F50" w:rsidP="006D5F50">
      <w:pPr>
        <w:pStyle w:val="BodyNormal"/>
      </w:pPr>
      <w:r>
        <w:t>It grant</w:t>
      </w:r>
      <w:r w:rsidR="00EB4C4D">
        <w:t>ed</w:t>
      </w:r>
      <w:r>
        <w:t xml:space="preserve"> departmental officers the right to halt harvesting, and the Office of the Conservation Regulator the power to check for breaches of the code by examining contractor documents.</w:t>
      </w:r>
    </w:p>
    <w:p w14:paraId="34356297" w14:textId="6BE25091" w:rsidR="00EB4C4D" w:rsidRDefault="00EB4C4D" w:rsidP="00EB4C4D">
      <w:pPr>
        <w:pStyle w:val="Heading3NoNumber"/>
        <w:rPr>
          <w:rFonts w:hint="eastAsia"/>
        </w:rPr>
      </w:pPr>
      <w:r>
        <w:t>Conservation Regulator</w:t>
      </w:r>
    </w:p>
    <w:p w14:paraId="64C33CF0" w14:textId="03D06DE5" w:rsidR="006D5F50" w:rsidRDefault="006D5F50" w:rsidP="006D5F50">
      <w:pPr>
        <w:pStyle w:val="BodyNormal"/>
      </w:pPr>
      <w:r>
        <w:t>Until the policy commitments of the Victorian Forestry Plan become law, the Conservation Regulator has indicated it will:</w:t>
      </w:r>
    </w:p>
    <w:p w14:paraId="3105B30F" w14:textId="77777777" w:rsidR="006D5F50" w:rsidRPr="00E96C1E" w:rsidRDefault="006D5F50" w:rsidP="000838E2">
      <w:pPr>
        <w:pStyle w:val="ListBullet"/>
        <w:numPr>
          <w:ilvl w:val="0"/>
          <w:numId w:val="20"/>
        </w:numPr>
        <w:tabs>
          <w:tab w:val="left" w:pos="340"/>
        </w:tabs>
        <w:ind w:left="340" w:right="0" w:hanging="340"/>
        <w:contextualSpacing/>
        <w:jc w:val="both"/>
      </w:pPr>
      <w:r w:rsidRPr="00E96C1E">
        <w:t>Develop a guideline for consistent identification and protection of old growth forests.</w:t>
      </w:r>
    </w:p>
    <w:p w14:paraId="42B30131" w14:textId="77777777" w:rsidR="006D5F50" w:rsidRPr="00E96C1E" w:rsidRDefault="006D5F50" w:rsidP="000838E2">
      <w:pPr>
        <w:pStyle w:val="ListBullet"/>
        <w:numPr>
          <w:ilvl w:val="0"/>
          <w:numId w:val="20"/>
        </w:numPr>
        <w:tabs>
          <w:tab w:val="left" w:pos="340"/>
        </w:tabs>
        <w:ind w:left="340" w:right="0" w:hanging="340"/>
        <w:contextualSpacing/>
        <w:jc w:val="both"/>
      </w:pPr>
      <w:r w:rsidRPr="00E96C1E">
        <w:t>Develop a guideline for application of modified harvesting rules for the Greater Glider.</w:t>
      </w:r>
    </w:p>
    <w:p w14:paraId="68419E39" w14:textId="7C6A6BE7" w:rsidR="006D5F50" w:rsidRPr="00E96C1E" w:rsidRDefault="006D5F50" w:rsidP="000838E2">
      <w:pPr>
        <w:pStyle w:val="ListBullet"/>
        <w:numPr>
          <w:ilvl w:val="0"/>
          <w:numId w:val="20"/>
        </w:numPr>
        <w:tabs>
          <w:tab w:val="left" w:pos="340"/>
        </w:tabs>
        <w:ind w:left="340" w:right="0" w:hanging="340"/>
        <w:contextualSpacing/>
        <w:jc w:val="both"/>
      </w:pPr>
      <w:r w:rsidRPr="00E96C1E">
        <w:t>Use the best available information to direct surveying to areas with high likelihood of important forest values, including old growth forests and Greater Gliders</w:t>
      </w:r>
      <w:r w:rsidR="00AD7172">
        <w:t>.</w:t>
      </w:r>
    </w:p>
    <w:p w14:paraId="385FE05A" w14:textId="77777777" w:rsidR="006D5F50" w:rsidRPr="00E96C1E" w:rsidRDefault="006D5F50" w:rsidP="000838E2">
      <w:pPr>
        <w:pStyle w:val="ListBullet"/>
        <w:numPr>
          <w:ilvl w:val="0"/>
          <w:numId w:val="20"/>
        </w:numPr>
        <w:tabs>
          <w:tab w:val="left" w:pos="340"/>
        </w:tabs>
        <w:ind w:left="340" w:right="0" w:hanging="340"/>
        <w:contextualSpacing/>
        <w:jc w:val="both"/>
      </w:pPr>
      <w:r w:rsidRPr="00E96C1E">
        <w:t>Ensure that the most up-to-date results of the Forest Protection Survey Program are provided to VicForests and made available online.</w:t>
      </w:r>
    </w:p>
    <w:p w14:paraId="076CBB58" w14:textId="60E874B7" w:rsidR="006D5F50" w:rsidRDefault="006D5F50" w:rsidP="00DA5B9C">
      <w:pPr>
        <w:pStyle w:val="BodyNormal"/>
      </w:pPr>
      <w:r>
        <w:t xml:space="preserve">Once measures from the Victorian Forestry Plan become law, the Conservation Regulator will regulate compliance through its established procedure for preventing harm, monitoring </w:t>
      </w:r>
      <w:proofErr w:type="gramStart"/>
      <w:r>
        <w:t>compliance</w:t>
      </w:r>
      <w:proofErr w:type="gramEnd"/>
      <w:r>
        <w:t xml:space="preserve"> and enforcing the law.</w:t>
      </w:r>
      <w:r w:rsidR="00DA5B9C">
        <w:t xml:space="preserve"> </w:t>
      </w:r>
      <w:r>
        <w:t xml:space="preserve">Currently there </w:t>
      </w:r>
      <w:r w:rsidRPr="006E5019">
        <w:t>are limited regulatory tools for use by the Conservation Regulato</w:t>
      </w:r>
      <w:r>
        <w:t>r</w:t>
      </w:r>
      <w:r w:rsidR="00DA5B9C">
        <w:t>.</w:t>
      </w:r>
    </w:p>
    <w:p w14:paraId="06E2A57E" w14:textId="77777777" w:rsidR="00EE4DA7" w:rsidRDefault="00EE4DA7" w:rsidP="00EE4DA7">
      <w:pPr>
        <w:pStyle w:val="Heading3NoNumber"/>
        <w:rPr>
          <w:rFonts w:hint="eastAsia"/>
        </w:rPr>
      </w:pPr>
      <w:bookmarkStart w:id="21" w:name="_Toc116649477"/>
      <w:r>
        <w:t>Code of practice for timber production 2014</w:t>
      </w:r>
      <w:bookmarkEnd w:id="21"/>
    </w:p>
    <w:p w14:paraId="365C22B0" w14:textId="720AC10C" w:rsidR="006D5F50" w:rsidRDefault="006D5F50" w:rsidP="006D5F50">
      <w:pPr>
        <w:pStyle w:val="BodyNormal"/>
      </w:pPr>
      <w:r>
        <w:t xml:space="preserve">The </w:t>
      </w:r>
      <w:r w:rsidRPr="3DAA379F">
        <w:rPr>
          <w:i/>
          <w:iCs/>
        </w:rPr>
        <w:t>Code of Practice for Timber Production (</w:t>
      </w:r>
      <w:r w:rsidR="00AD44A4" w:rsidRPr="3DAA379F">
        <w:rPr>
          <w:i/>
          <w:iCs/>
        </w:rPr>
        <w:t>‘</w:t>
      </w:r>
      <w:r w:rsidR="3FB92F1C" w:rsidRPr="3DAA379F">
        <w:rPr>
          <w:i/>
          <w:iCs/>
        </w:rPr>
        <w:t>Code of Practice</w:t>
      </w:r>
      <w:r w:rsidR="00AD44A4" w:rsidRPr="3DAA379F">
        <w:rPr>
          <w:i/>
          <w:iCs/>
        </w:rPr>
        <w:t>’</w:t>
      </w:r>
      <w:r w:rsidRPr="3DAA379F">
        <w:rPr>
          <w:i/>
          <w:iCs/>
        </w:rPr>
        <w:t>) 2014</w:t>
      </w:r>
      <w:r>
        <w:t xml:space="preserve"> is a subordinate instrument under the </w:t>
      </w:r>
      <w:r w:rsidRPr="3DAA379F">
        <w:rPr>
          <w:i/>
          <w:iCs/>
        </w:rPr>
        <w:t>Conservation, Forests and Lands (CFL) Act 1987</w:t>
      </w:r>
      <w:r>
        <w:t xml:space="preserve"> and regulates timber harvesting in all native forest and plantations.  The Code provides direction to the managing authority and to harvesting entities and operators to deliver sound environmental performance when planning for and conducting commercial timber harvesting operations in State forests</w:t>
      </w:r>
      <w:r w:rsidR="001141FC">
        <w:t xml:space="preserve">, private </w:t>
      </w:r>
      <w:proofErr w:type="gramStart"/>
      <w:r w:rsidR="001141FC">
        <w:t>forests</w:t>
      </w:r>
      <w:proofErr w:type="gramEnd"/>
      <w:r w:rsidR="001141FC">
        <w:t xml:space="preserve"> and plantations</w:t>
      </w:r>
      <w:r>
        <w:t xml:space="preserve">. </w:t>
      </w:r>
    </w:p>
    <w:p w14:paraId="07AB7EE0" w14:textId="50758FEB" w:rsidR="006D5F50" w:rsidRDefault="006D5F50" w:rsidP="006D5F50">
      <w:pPr>
        <w:pStyle w:val="BodyNormal"/>
      </w:pPr>
      <w:r>
        <w:t xml:space="preserve">Revisions to the </w:t>
      </w:r>
      <w:r w:rsidR="00AD44A4">
        <w:t>‘</w:t>
      </w:r>
      <w:r w:rsidR="3FB92F1C">
        <w:t>Code of Practice</w:t>
      </w:r>
      <w:r w:rsidR="00AD44A4">
        <w:t>’</w:t>
      </w:r>
      <w:r>
        <w:t xml:space="preserve"> took effect on 3 November 2021 and on 6 June 2022.</w:t>
      </w:r>
    </w:p>
    <w:p w14:paraId="25CD4BA1" w14:textId="77777777" w:rsidR="00EE4DA7" w:rsidRDefault="00EE4DA7" w:rsidP="00011097">
      <w:pPr>
        <w:pStyle w:val="BodyNormal"/>
      </w:pPr>
    </w:p>
    <w:p w14:paraId="565BD4F7" w14:textId="77777777" w:rsidR="00756377" w:rsidRDefault="00756377">
      <w:pPr>
        <w:spacing w:before="0" w:after="0"/>
        <w:ind w:left="115" w:right="115"/>
        <w:rPr>
          <w:rFonts w:ascii="Palatino Linotype" w:hAnsi="Palatino Linotype"/>
          <w:b/>
          <w:color w:val="203145"/>
          <w:sz w:val="44"/>
        </w:rPr>
      </w:pPr>
      <w:r>
        <w:br w:type="page"/>
      </w:r>
    </w:p>
    <w:p w14:paraId="6F1B34BF" w14:textId="1AAC12D9" w:rsidR="0086178C" w:rsidRDefault="0086178C" w:rsidP="0086178C">
      <w:pPr>
        <w:pStyle w:val="Heading1NoNumbers"/>
      </w:pPr>
      <w:bookmarkStart w:id="22" w:name="_Toc121258709"/>
      <w:r>
        <w:lastRenderedPageBreak/>
        <w:t>Appendix 2: Working Group members</w:t>
      </w:r>
      <w:bookmarkEnd w:id="22"/>
    </w:p>
    <w:p w14:paraId="01C36FBD" w14:textId="77777777" w:rsidR="0086178C" w:rsidRDefault="0086178C" w:rsidP="0086178C">
      <w:pPr>
        <w:spacing w:before="0" w:after="0"/>
        <w:ind w:left="115" w:right="115"/>
      </w:pPr>
    </w:p>
    <w:tbl>
      <w:tblPr>
        <w:tblStyle w:val="TableGrid"/>
        <w:tblW w:w="0" w:type="auto"/>
        <w:tblInd w:w="-5" w:type="dxa"/>
        <w:tblLook w:val="04A0" w:firstRow="1" w:lastRow="0" w:firstColumn="1" w:lastColumn="0" w:noHBand="0" w:noVBand="1"/>
      </w:tblPr>
      <w:tblGrid>
        <w:gridCol w:w="3302"/>
        <w:gridCol w:w="4495"/>
      </w:tblGrid>
      <w:tr w:rsidR="0086178C" w14:paraId="19CFAA9A" w14:textId="77777777" w:rsidTr="264B383D">
        <w:trPr>
          <w:cnfStyle w:val="100000000000" w:firstRow="1" w:lastRow="0" w:firstColumn="0" w:lastColumn="0" w:oddVBand="0" w:evenVBand="0" w:oddHBand="0" w:evenHBand="0" w:firstRowFirstColumn="0" w:firstRowLastColumn="0" w:lastRowFirstColumn="0" w:lastRowLastColumn="0"/>
          <w:trHeight w:val="300"/>
        </w:trPr>
        <w:tc>
          <w:tcPr>
            <w:tcW w:w="3302" w:type="dxa"/>
          </w:tcPr>
          <w:p w14:paraId="41A24BF3" w14:textId="42B14803" w:rsidR="0086178C" w:rsidRDefault="0086178C" w:rsidP="009D0B01">
            <w:pPr>
              <w:spacing w:before="0" w:after="0"/>
              <w:ind w:left="0" w:right="115"/>
            </w:pPr>
            <w:r>
              <w:t xml:space="preserve">DEpartment </w:t>
            </w:r>
          </w:p>
        </w:tc>
        <w:tc>
          <w:tcPr>
            <w:tcW w:w="4495" w:type="dxa"/>
          </w:tcPr>
          <w:p w14:paraId="0A487C27" w14:textId="7E4D51AF" w:rsidR="0086178C" w:rsidRDefault="29A5BE6B" w:rsidP="264B383D">
            <w:pPr>
              <w:spacing w:before="0" w:after="0"/>
              <w:ind w:left="0" w:right="115"/>
            </w:pPr>
            <w:r>
              <w:t>group</w:t>
            </w:r>
          </w:p>
        </w:tc>
      </w:tr>
      <w:tr w:rsidR="00CE070D" w14:paraId="0A448EC3" w14:textId="77777777" w:rsidTr="264B383D">
        <w:trPr>
          <w:trHeight w:val="300"/>
        </w:trPr>
        <w:tc>
          <w:tcPr>
            <w:tcW w:w="3302" w:type="dxa"/>
          </w:tcPr>
          <w:p w14:paraId="4A8ECD92" w14:textId="5EC1F57B" w:rsidR="00CE070D" w:rsidRDefault="00CE070D" w:rsidP="009D0B01">
            <w:pPr>
              <w:spacing w:before="0" w:after="0"/>
              <w:ind w:left="0" w:right="115"/>
            </w:pPr>
            <w:r w:rsidRPr="00A90F4C">
              <w:rPr>
                <w:b/>
                <w:bCs/>
              </w:rPr>
              <w:t>Department of Environment, Land</w:t>
            </w:r>
            <w:r>
              <w:rPr>
                <w:b/>
                <w:bCs/>
              </w:rPr>
              <w:t>,</w:t>
            </w:r>
            <w:r w:rsidRPr="00A90F4C">
              <w:rPr>
                <w:b/>
                <w:bCs/>
              </w:rPr>
              <w:t xml:space="preserve"> Water and Planning</w:t>
            </w:r>
          </w:p>
        </w:tc>
        <w:tc>
          <w:tcPr>
            <w:tcW w:w="4495" w:type="dxa"/>
          </w:tcPr>
          <w:p w14:paraId="72F6BA18" w14:textId="03DBDFE5" w:rsidR="264B383D" w:rsidRDefault="264B383D" w:rsidP="264B383D">
            <w:pPr>
              <w:spacing w:before="0" w:after="0"/>
              <w:ind w:left="0" w:right="115"/>
            </w:pPr>
            <w:r>
              <w:t>Strategic Forest Frameworks</w:t>
            </w:r>
          </w:p>
        </w:tc>
      </w:tr>
      <w:tr w:rsidR="00EB4C4D" w14:paraId="23F1159E" w14:textId="77777777" w:rsidTr="264B383D">
        <w:trPr>
          <w:trHeight w:val="300"/>
        </w:trPr>
        <w:tc>
          <w:tcPr>
            <w:tcW w:w="3302" w:type="dxa"/>
          </w:tcPr>
          <w:p w14:paraId="584A9800" w14:textId="45B77797" w:rsidR="00EB4C4D" w:rsidRDefault="00EB4C4D" w:rsidP="009D0B01">
            <w:pPr>
              <w:spacing w:before="0" w:after="0"/>
              <w:ind w:left="0" w:right="115"/>
            </w:pPr>
          </w:p>
        </w:tc>
        <w:tc>
          <w:tcPr>
            <w:tcW w:w="4495" w:type="dxa"/>
          </w:tcPr>
          <w:p w14:paraId="5FBF22B1" w14:textId="77777777" w:rsidR="264B383D" w:rsidRDefault="264B383D" w:rsidP="264B383D">
            <w:pPr>
              <w:spacing w:before="0" w:after="0"/>
              <w:ind w:left="0" w:right="115"/>
            </w:pPr>
            <w:r>
              <w:t>Forest Biodiversity</w:t>
            </w:r>
          </w:p>
        </w:tc>
      </w:tr>
      <w:tr w:rsidR="0086178C" w14:paraId="4489D9EF" w14:textId="77777777" w:rsidTr="264B383D">
        <w:trPr>
          <w:trHeight w:val="300"/>
        </w:trPr>
        <w:tc>
          <w:tcPr>
            <w:tcW w:w="3302" w:type="dxa"/>
          </w:tcPr>
          <w:p w14:paraId="011E5D20" w14:textId="0E1DC98E" w:rsidR="0086178C" w:rsidRDefault="0086178C" w:rsidP="009D0B01">
            <w:pPr>
              <w:spacing w:before="0" w:after="0"/>
              <w:ind w:left="0" w:right="115"/>
            </w:pPr>
          </w:p>
        </w:tc>
        <w:tc>
          <w:tcPr>
            <w:tcW w:w="4495" w:type="dxa"/>
          </w:tcPr>
          <w:p w14:paraId="3224A4E0" w14:textId="77777777" w:rsidR="264B383D" w:rsidRDefault="264B383D" w:rsidP="264B383D">
            <w:pPr>
              <w:spacing w:before="0" w:after="0"/>
              <w:ind w:left="0" w:right="115"/>
            </w:pPr>
            <w:r>
              <w:t>Biodiversity Regulatory Design</w:t>
            </w:r>
          </w:p>
        </w:tc>
      </w:tr>
      <w:tr w:rsidR="0086178C" w14:paraId="0C85C18E" w14:textId="77777777" w:rsidTr="264B383D">
        <w:trPr>
          <w:trHeight w:val="377"/>
        </w:trPr>
        <w:tc>
          <w:tcPr>
            <w:tcW w:w="3302" w:type="dxa"/>
          </w:tcPr>
          <w:p w14:paraId="777A7CAA" w14:textId="2098171B" w:rsidR="0086178C" w:rsidRDefault="0086178C" w:rsidP="009D0B01">
            <w:pPr>
              <w:spacing w:before="0" w:after="0"/>
              <w:ind w:left="0" w:right="115"/>
            </w:pPr>
          </w:p>
        </w:tc>
        <w:tc>
          <w:tcPr>
            <w:tcW w:w="4495" w:type="dxa"/>
          </w:tcPr>
          <w:p w14:paraId="0BD0D96E" w14:textId="77777777" w:rsidR="264B383D" w:rsidRDefault="264B383D" w:rsidP="264B383D">
            <w:pPr>
              <w:spacing w:before="0" w:after="0"/>
              <w:ind w:left="0" w:right="115"/>
            </w:pPr>
            <w:r>
              <w:t>Forest Regulatory Design</w:t>
            </w:r>
          </w:p>
          <w:p w14:paraId="0414F523" w14:textId="77777777" w:rsidR="264B383D" w:rsidRDefault="264B383D" w:rsidP="264B383D">
            <w:pPr>
              <w:spacing w:before="0" w:after="0"/>
              <w:ind w:left="0" w:right="115" w:firstLine="720"/>
            </w:pPr>
          </w:p>
        </w:tc>
      </w:tr>
      <w:tr w:rsidR="0086178C" w14:paraId="1E403DC5" w14:textId="77777777" w:rsidTr="264B383D">
        <w:trPr>
          <w:trHeight w:val="442"/>
        </w:trPr>
        <w:tc>
          <w:tcPr>
            <w:tcW w:w="3302" w:type="dxa"/>
          </w:tcPr>
          <w:p w14:paraId="15B4E948" w14:textId="77777777" w:rsidR="0086178C" w:rsidRDefault="0086178C" w:rsidP="009D0B01">
            <w:pPr>
              <w:spacing w:before="0" w:after="0"/>
              <w:ind w:left="0" w:right="115"/>
            </w:pPr>
            <w:r>
              <w:tab/>
            </w:r>
          </w:p>
        </w:tc>
        <w:tc>
          <w:tcPr>
            <w:tcW w:w="4495" w:type="dxa"/>
          </w:tcPr>
          <w:p w14:paraId="605454A6" w14:textId="4FDEEDE4" w:rsidR="0086178C" w:rsidRDefault="00445CB3" w:rsidP="009D0B01">
            <w:pPr>
              <w:spacing w:before="0" w:after="0"/>
              <w:ind w:left="0" w:right="115"/>
            </w:pPr>
            <w:r>
              <w:t>Code Review Team</w:t>
            </w:r>
          </w:p>
        </w:tc>
      </w:tr>
      <w:tr w:rsidR="005776BA" w14:paraId="7F792ADE" w14:textId="77777777" w:rsidTr="264B383D">
        <w:trPr>
          <w:trHeight w:val="300"/>
        </w:trPr>
        <w:tc>
          <w:tcPr>
            <w:tcW w:w="3302" w:type="dxa"/>
          </w:tcPr>
          <w:p w14:paraId="1694C1FB" w14:textId="0AD51E98" w:rsidR="005776BA" w:rsidRDefault="005776BA" w:rsidP="005776BA">
            <w:pPr>
              <w:spacing w:before="0" w:after="0"/>
              <w:ind w:left="0" w:right="115"/>
            </w:pPr>
            <w:r w:rsidRPr="00A90F4C">
              <w:rPr>
                <w:b/>
                <w:bCs/>
              </w:rPr>
              <w:t xml:space="preserve">Department of Jobs Precincts and Regions </w:t>
            </w:r>
          </w:p>
        </w:tc>
        <w:tc>
          <w:tcPr>
            <w:tcW w:w="4495" w:type="dxa"/>
          </w:tcPr>
          <w:p w14:paraId="63E2663D" w14:textId="4F5ECDB9" w:rsidR="005776BA" w:rsidRDefault="004140DE" w:rsidP="005776BA">
            <w:pPr>
              <w:spacing w:before="0" w:after="0"/>
              <w:ind w:left="0" w:right="115"/>
            </w:pPr>
            <w:r>
              <w:t>Forestry Industry Policy</w:t>
            </w:r>
          </w:p>
        </w:tc>
      </w:tr>
    </w:tbl>
    <w:p w14:paraId="42E8306B" w14:textId="77777777" w:rsidR="0086178C" w:rsidRDefault="0086178C" w:rsidP="0086178C">
      <w:pPr>
        <w:spacing w:before="0" w:after="0"/>
        <w:ind w:left="115" w:right="115"/>
        <w:rPr>
          <w:rFonts w:ascii="Palatino Linotype" w:hAnsi="Palatino Linotype"/>
          <w:b/>
          <w:color w:val="203145"/>
          <w:sz w:val="44"/>
        </w:rPr>
      </w:pPr>
      <w:r>
        <w:br w:type="page"/>
      </w:r>
    </w:p>
    <w:p w14:paraId="12EFA8BC" w14:textId="109C8ABA" w:rsidR="00900C43" w:rsidRDefault="00900C43" w:rsidP="00900C43">
      <w:pPr>
        <w:pStyle w:val="Heading1NoNumbers"/>
      </w:pPr>
      <w:bookmarkStart w:id="23" w:name="_Toc121258710"/>
      <w:r w:rsidRPr="00900C43">
        <w:lastRenderedPageBreak/>
        <w:t xml:space="preserve">Appendix </w:t>
      </w:r>
      <w:r w:rsidR="0086178C">
        <w:t>3</w:t>
      </w:r>
      <w:r w:rsidRPr="00900C43">
        <w:t>:</w:t>
      </w:r>
      <w:r>
        <w:t xml:space="preserve"> Summary of reviews</w:t>
      </w:r>
      <w:bookmarkEnd w:id="23"/>
    </w:p>
    <w:p w14:paraId="0C694929" w14:textId="238DD34B" w:rsidR="00900C43" w:rsidRPr="00A45A9D" w:rsidRDefault="00900C43" w:rsidP="00900C43">
      <w:pPr>
        <w:pStyle w:val="BodyNormal"/>
        <w:rPr>
          <w:b/>
          <w:bCs/>
          <w:i/>
          <w:iCs/>
        </w:rPr>
      </w:pPr>
      <w:r w:rsidRPr="00A45A9D">
        <w:rPr>
          <w:b/>
          <w:bCs/>
        </w:rPr>
        <w:t xml:space="preserve">Review of the </w:t>
      </w:r>
      <w:r w:rsidRPr="00A45A9D">
        <w:rPr>
          <w:b/>
          <w:bCs/>
          <w:i/>
          <w:iCs/>
        </w:rPr>
        <w:t>Flora and Fauna Guarantee Act 1988</w:t>
      </w:r>
    </w:p>
    <w:p w14:paraId="3E286BAF" w14:textId="77777777" w:rsidR="00900C43" w:rsidRDefault="00900C43" w:rsidP="00900C43">
      <w:pPr>
        <w:pStyle w:val="BodyBold"/>
        <w:rPr>
          <w:b w:val="0"/>
          <w:bCs/>
        </w:rPr>
      </w:pPr>
      <w:r w:rsidRPr="00DE0860">
        <w:rPr>
          <w:b w:val="0"/>
          <w:bCs/>
        </w:rPr>
        <w:t xml:space="preserve">The Department of Environment, Land, Water and Planning (DELWP) undertook a review of the </w:t>
      </w:r>
      <w:r w:rsidRPr="00D92F68">
        <w:rPr>
          <w:b w:val="0"/>
          <w:bCs/>
          <w:i/>
          <w:iCs/>
        </w:rPr>
        <w:t>FFG Act 1988</w:t>
      </w:r>
      <w:r w:rsidRPr="00DE0860">
        <w:rPr>
          <w:b w:val="0"/>
          <w:bCs/>
        </w:rPr>
        <w:t xml:space="preserve"> in 2017 to deliver on the </w:t>
      </w:r>
      <w:r>
        <w:rPr>
          <w:b w:val="0"/>
          <w:bCs/>
        </w:rPr>
        <w:t>current</w:t>
      </w:r>
      <w:r w:rsidRPr="00DE0860">
        <w:rPr>
          <w:b w:val="0"/>
          <w:bCs/>
        </w:rPr>
        <w:t xml:space="preserve"> Government’s election commitment. The objective of the review was to improve the efficiency and effectiveness of the Act in protecting Victoria’s biodiversity, and specifically to better align the Act with modern legislative approaches, Victorian best practice regulatory principles, the community’s expectations for biodiversity management, and the rights and interests of Victorian Traditional Owners in the management of biodiversity. A Consultation Paper was available for community consideration and comment for eight weeks, and 210 submissions were received. </w:t>
      </w:r>
    </w:p>
    <w:p w14:paraId="2FB7DE7C" w14:textId="77777777" w:rsidR="00900C43" w:rsidRDefault="00900C43" w:rsidP="00900C43">
      <w:pPr>
        <w:pStyle w:val="BodyBold"/>
        <w:rPr>
          <w:szCs w:val="20"/>
        </w:rPr>
      </w:pPr>
      <w:r w:rsidRPr="008806B6">
        <w:rPr>
          <w:b w:val="0"/>
          <w:bCs/>
        </w:rPr>
        <w:t xml:space="preserve">All </w:t>
      </w:r>
      <w:r>
        <w:rPr>
          <w:b w:val="0"/>
          <w:bCs/>
        </w:rPr>
        <w:t xml:space="preserve">outcomes </w:t>
      </w:r>
      <w:r w:rsidRPr="008806B6">
        <w:rPr>
          <w:b w:val="0"/>
          <w:bCs/>
        </w:rPr>
        <w:t xml:space="preserve">of the </w:t>
      </w:r>
      <w:r w:rsidRPr="008806B6">
        <w:rPr>
          <w:b w:val="0"/>
          <w:bCs/>
          <w:i/>
          <w:iCs/>
        </w:rPr>
        <w:t>FFG Act</w:t>
      </w:r>
      <w:r w:rsidRPr="008806B6">
        <w:rPr>
          <w:b w:val="0"/>
          <w:bCs/>
        </w:rPr>
        <w:t xml:space="preserve"> Review</w:t>
      </w:r>
      <w:r>
        <w:rPr>
          <w:b w:val="0"/>
          <w:bCs/>
        </w:rPr>
        <w:t xml:space="preserve"> were relevant to the protection of Victoria’s Threatened Species and Communities. </w:t>
      </w:r>
      <w:r w:rsidRPr="004D3C50">
        <w:rPr>
          <w:b w:val="0"/>
          <w:bCs/>
        </w:rPr>
        <w:t xml:space="preserve">The </w:t>
      </w:r>
      <w:r w:rsidRPr="004D3C50">
        <w:rPr>
          <w:b w:val="0"/>
          <w:bCs/>
          <w:szCs w:val="20"/>
        </w:rPr>
        <w:t>Government supported submissions in favour of</w:t>
      </w:r>
      <w:r>
        <w:rPr>
          <w:b w:val="0"/>
          <w:bCs/>
          <w:szCs w:val="20"/>
        </w:rPr>
        <w:t>:</w:t>
      </w:r>
      <w:r>
        <w:rPr>
          <w:szCs w:val="20"/>
        </w:rPr>
        <w:t xml:space="preserve"> </w:t>
      </w:r>
    </w:p>
    <w:p w14:paraId="3BDF0095" w14:textId="041EDE7C" w:rsidR="00900C43" w:rsidRPr="00BF3797" w:rsidRDefault="00E96C1E" w:rsidP="007B3E1F">
      <w:pPr>
        <w:pStyle w:val="ListBullet"/>
        <w:numPr>
          <w:ilvl w:val="0"/>
          <w:numId w:val="20"/>
        </w:numPr>
        <w:tabs>
          <w:tab w:val="left" w:pos="340"/>
        </w:tabs>
        <w:ind w:left="340" w:right="0" w:hanging="340"/>
        <w:contextualSpacing/>
        <w:jc w:val="both"/>
      </w:pPr>
      <w:r w:rsidRPr="00BF3797">
        <w:t>R</w:t>
      </w:r>
      <w:r w:rsidR="00900C43" w:rsidRPr="00BF3797">
        <w:t xml:space="preserve">etaining the “guarantee” objective [that all Victoria’s flora and fauna can survive, flourish, and retain their potential for evolutionary development in the wild] in the Act, </w:t>
      </w:r>
    </w:p>
    <w:p w14:paraId="75261D2E" w14:textId="6A02FAFB" w:rsidR="00900C43" w:rsidRPr="00BF3797" w:rsidRDefault="00E96C1E" w:rsidP="007B3E1F">
      <w:pPr>
        <w:pStyle w:val="ListBullet"/>
        <w:numPr>
          <w:ilvl w:val="0"/>
          <w:numId w:val="20"/>
        </w:numPr>
        <w:tabs>
          <w:tab w:val="left" w:pos="340"/>
        </w:tabs>
        <w:ind w:left="340" w:right="0" w:hanging="340"/>
        <w:contextualSpacing/>
        <w:jc w:val="both"/>
      </w:pPr>
      <w:r w:rsidRPr="00BF3797">
        <w:t>I</w:t>
      </w:r>
      <w:r w:rsidR="00900C43" w:rsidRPr="00BF3797">
        <w:t xml:space="preserve">nterpreting the </w:t>
      </w:r>
      <w:proofErr w:type="gramStart"/>
      <w:r w:rsidR="00900C43" w:rsidRPr="00BF3797">
        <w:t>guarantee</w:t>
      </w:r>
      <w:proofErr w:type="gramEnd"/>
      <w:r w:rsidR="00900C43" w:rsidRPr="00BF3797">
        <w:t xml:space="preserve"> objective as “‘Protecting, restoring and enhancing biodiversity so native flora and fauna improve in the wild, including genetic and habitat diversity and the ecological process that support biodiversity,” </w:t>
      </w:r>
    </w:p>
    <w:p w14:paraId="523A71BC" w14:textId="4A524A1D" w:rsidR="00900C43" w:rsidRPr="00BF3797" w:rsidRDefault="00E96C1E" w:rsidP="007B3E1F">
      <w:pPr>
        <w:pStyle w:val="ListBullet"/>
        <w:numPr>
          <w:ilvl w:val="0"/>
          <w:numId w:val="20"/>
        </w:numPr>
        <w:tabs>
          <w:tab w:val="left" w:pos="340"/>
        </w:tabs>
        <w:ind w:left="340" w:right="0" w:hanging="340"/>
        <w:contextualSpacing/>
        <w:jc w:val="both"/>
      </w:pPr>
      <w:r w:rsidRPr="00BF3797">
        <w:t>A</w:t>
      </w:r>
      <w:r w:rsidR="00900C43" w:rsidRPr="00BF3797">
        <w:t xml:space="preserve">dding principles [including the precautionary principle] to guide decision-makers weighing competing considerations, </w:t>
      </w:r>
    </w:p>
    <w:p w14:paraId="272A153C" w14:textId="4BCC37E0" w:rsidR="00900C43" w:rsidRPr="00BF3797" w:rsidRDefault="00E96C1E" w:rsidP="007B3E1F">
      <w:pPr>
        <w:pStyle w:val="ListBullet"/>
        <w:numPr>
          <w:ilvl w:val="0"/>
          <w:numId w:val="20"/>
        </w:numPr>
        <w:tabs>
          <w:tab w:val="left" w:pos="340"/>
        </w:tabs>
        <w:ind w:left="340" w:right="0" w:hanging="340"/>
        <w:contextualSpacing/>
        <w:jc w:val="both"/>
      </w:pPr>
      <w:r w:rsidRPr="00BF3797">
        <w:t>C</w:t>
      </w:r>
      <w:r w:rsidR="00900C43" w:rsidRPr="00BF3797">
        <w:t xml:space="preserve">larifying the definition of a public authority such that the public authority duty unambiguously applies to all levels of Victorian government, </w:t>
      </w:r>
    </w:p>
    <w:p w14:paraId="147D73C5" w14:textId="68CF7D9C" w:rsidR="00900C43" w:rsidRPr="00BF3797" w:rsidRDefault="00E96C1E" w:rsidP="007B3E1F">
      <w:pPr>
        <w:pStyle w:val="ListBullet"/>
        <w:numPr>
          <w:ilvl w:val="0"/>
          <w:numId w:val="20"/>
        </w:numPr>
        <w:tabs>
          <w:tab w:val="left" w:pos="340"/>
        </w:tabs>
        <w:ind w:left="340" w:right="0" w:hanging="340"/>
        <w:contextualSpacing/>
        <w:jc w:val="both"/>
      </w:pPr>
      <w:r w:rsidRPr="00BF3797">
        <w:t>A</w:t>
      </w:r>
      <w:r w:rsidR="00900C43" w:rsidRPr="00BF3797">
        <w:t xml:space="preserve">dopting the intergovernmental Common Assessment Method for assessing and listing species, </w:t>
      </w:r>
    </w:p>
    <w:p w14:paraId="2BCEFF4B" w14:textId="69EB8001" w:rsidR="00900C43" w:rsidRPr="00BF3797" w:rsidRDefault="00E96C1E" w:rsidP="007B3E1F">
      <w:pPr>
        <w:pStyle w:val="ListBullet"/>
        <w:numPr>
          <w:ilvl w:val="0"/>
          <w:numId w:val="20"/>
        </w:numPr>
        <w:tabs>
          <w:tab w:val="left" w:pos="340"/>
        </w:tabs>
        <w:ind w:left="340" w:right="0" w:hanging="340"/>
        <w:contextualSpacing/>
        <w:jc w:val="both"/>
      </w:pPr>
      <w:r w:rsidRPr="00BF3797">
        <w:t>D</w:t>
      </w:r>
      <w:r w:rsidR="00900C43" w:rsidRPr="00BF3797">
        <w:t xml:space="preserve">eveloping criteria to define critical habitat, </w:t>
      </w:r>
    </w:p>
    <w:p w14:paraId="3F24B8F6" w14:textId="6E4D9F5D" w:rsidR="00900C43" w:rsidRPr="00BF3797" w:rsidRDefault="00E96C1E" w:rsidP="007B3E1F">
      <w:pPr>
        <w:pStyle w:val="ListBullet"/>
        <w:numPr>
          <w:ilvl w:val="0"/>
          <w:numId w:val="20"/>
        </w:numPr>
        <w:tabs>
          <w:tab w:val="left" w:pos="340"/>
        </w:tabs>
        <w:ind w:left="340" w:right="0" w:hanging="340"/>
        <w:contextualSpacing/>
        <w:jc w:val="both"/>
      </w:pPr>
      <w:r w:rsidRPr="00BF3797">
        <w:t>I</w:t>
      </w:r>
      <w:r w:rsidR="00900C43" w:rsidRPr="00BF3797">
        <w:t xml:space="preserve">ntroducing a tiered hierarchy of compliance response actions (e.g., civil penalties and remediation orders) underpinned by a compliance and enforcement strategy, </w:t>
      </w:r>
    </w:p>
    <w:p w14:paraId="7ED8919A" w14:textId="3F502161" w:rsidR="00900C43" w:rsidRDefault="00E96C1E" w:rsidP="007B3E1F">
      <w:pPr>
        <w:pStyle w:val="ListBullet"/>
        <w:numPr>
          <w:ilvl w:val="0"/>
          <w:numId w:val="20"/>
        </w:numPr>
        <w:tabs>
          <w:tab w:val="left" w:pos="340"/>
        </w:tabs>
        <w:ind w:left="340" w:right="0" w:hanging="340"/>
        <w:contextualSpacing/>
        <w:jc w:val="both"/>
      </w:pPr>
      <w:r w:rsidRPr="00BF3797">
        <w:t>I</w:t>
      </w:r>
      <w:r w:rsidR="00900C43" w:rsidRPr="00BF3797">
        <w:t>mproving accountability</w:t>
      </w:r>
      <w:r w:rsidR="00900C43">
        <w:t xml:space="preserve"> and transparency in relation to administration of the Act. </w:t>
      </w:r>
    </w:p>
    <w:p w14:paraId="5556B1C9" w14:textId="77777777" w:rsidR="00900C43" w:rsidRPr="008806B6" w:rsidRDefault="00900C43" w:rsidP="00900C43">
      <w:pPr>
        <w:pStyle w:val="BodyNormal"/>
      </w:pPr>
      <w:r w:rsidRPr="00343394">
        <w:t xml:space="preserve">The </w:t>
      </w:r>
      <w:r w:rsidRPr="00343394">
        <w:rPr>
          <w:i/>
          <w:iCs/>
        </w:rPr>
        <w:t xml:space="preserve">FFG Act </w:t>
      </w:r>
      <w:r w:rsidRPr="00343394">
        <w:t xml:space="preserve">was subsequently amended. The key changes are available at the following link:  </w:t>
      </w:r>
      <w:hyperlink r:id="rId40" w:history="1">
        <w:r w:rsidRPr="00343394">
          <w:rPr>
            <w:rStyle w:val="Hyperlink"/>
          </w:rPr>
          <w:t>https://www.environment.vic.gov.au/conserving-threatened-species/victorias-framework-for-conserving-threatened-species</w:t>
        </w:r>
      </w:hyperlink>
    </w:p>
    <w:p w14:paraId="79EF5B23" w14:textId="77777777" w:rsidR="00900C43" w:rsidRDefault="00900C43" w:rsidP="00900C43">
      <w:pPr>
        <w:pStyle w:val="BodyBold"/>
        <w:rPr>
          <w:i/>
          <w:iCs/>
        </w:rPr>
      </w:pPr>
      <w:r w:rsidRPr="008F0055">
        <w:rPr>
          <w:i/>
          <w:iCs/>
        </w:rPr>
        <w:t>Forests Legislation Amendment (Compliance and Enforcement) Act 2020</w:t>
      </w:r>
    </w:p>
    <w:p w14:paraId="6E8835DD" w14:textId="59D228D9" w:rsidR="00900C43" w:rsidRDefault="00900C43" w:rsidP="00900C43">
      <w:pPr>
        <w:pStyle w:val="BodyNormal"/>
      </w:pPr>
      <w:r w:rsidRPr="00A84F3F">
        <w:t xml:space="preserve">The Victorian Government passed the </w:t>
      </w:r>
      <w:r w:rsidRPr="00A84F3F">
        <w:rPr>
          <w:i/>
          <w:iCs/>
        </w:rPr>
        <w:t>Forests Legislation Amendment (Compliance and Enforcement) Act 2021</w:t>
      </w:r>
      <w:r w:rsidRPr="00A84F3F">
        <w:t xml:space="preserve"> on 12 October 2021</w:t>
      </w:r>
      <w:r>
        <w:t xml:space="preserve"> to amend the </w:t>
      </w:r>
      <w:r w:rsidRPr="00A84F3F">
        <w:rPr>
          <w:i/>
          <w:iCs/>
        </w:rPr>
        <w:t>Sustainable Forests (Timber) Act 2004</w:t>
      </w:r>
      <w:r>
        <w:t xml:space="preserve"> and the </w:t>
      </w:r>
      <w:r w:rsidRPr="00A84F3F">
        <w:rPr>
          <w:i/>
          <w:iCs/>
        </w:rPr>
        <w:t>Forests Act 1958</w:t>
      </w:r>
      <w:r w:rsidRPr="00A84F3F">
        <w:t>. It came into force on 1 March 2022.</w:t>
      </w:r>
      <w:r>
        <w:t xml:space="preserve"> </w:t>
      </w:r>
      <w:r w:rsidR="00EB4C4D">
        <w:t xml:space="preserve"> The provisions in the </w:t>
      </w:r>
      <w:r w:rsidR="00EB4C4D" w:rsidRPr="00EB4C4D">
        <w:rPr>
          <w:i/>
          <w:iCs/>
        </w:rPr>
        <w:t>SFT Act</w:t>
      </w:r>
      <w:r w:rsidR="00EB4C4D">
        <w:t xml:space="preserve"> and </w:t>
      </w:r>
      <w:r w:rsidR="00EB4C4D" w:rsidRPr="00EB4C4D">
        <w:rPr>
          <w:i/>
          <w:iCs/>
        </w:rPr>
        <w:t>Forest Act</w:t>
      </w:r>
      <w:r w:rsidR="00EB4C4D">
        <w:t xml:space="preserve"> came into force on 1 March 2022 and the Compliance and Enforcement Act is no longer in force, with the act to be repealed on 1 March 2023.</w:t>
      </w:r>
    </w:p>
    <w:p w14:paraId="7A874BB4" w14:textId="77777777" w:rsidR="00900C43" w:rsidRDefault="00900C43" w:rsidP="00900C43">
      <w:pPr>
        <w:pStyle w:val="BodyNormal"/>
      </w:pPr>
      <w:r>
        <w:t>The amendments aimed to improve the environmental regulation of timber harvesting by:</w:t>
      </w:r>
    </w:p>
    <w:p w14:paraId="3370324D" w14:textId="01C952E8" w:rsidR="00900C43" w:rsidRDefault="00E96C1E" w:rsidP="007B3E1F">
      <w:pPr>
        <w:pStyle w:val="ListBullet"/>
        <w:numPr>
          <w:ilvl w:val="0"/>
          <w:numId w:val="20"/>
        </w:numPr>
        <w:tabs>
          <w:tab w:val="left" w:pos="340"/>
        </w:tabs>
        <w:ind w:left="340" w:right="0" w:hanging="340"/>
        <w:contextualSpacing/>
        <w:jc w:val="both"/>
      </w:pPr>
      <w:r>
        <w:t>C</w:t>
      </w:r>
      <w:r w:rsidR="00900C43">
        <w:t>larifying the offence of unauthorised timber harvesting operations to apply to VicForests and contractors, meaning that VicForest</w:t>
      </w:r>
      <w:r w:rsidR="0037191C">
        <w:t>s</w:t>
      </w:r>
      <w:r w:rsidR="00900C43">
        <w:t>, or a VicForests’ contractor may be liable for a noncompliance</w:t>
      </w:r>
    </w:p>
    <w:p w14:paraId="72467BD3" w14:textId="3BAE24A7" w:rsidR="00900C43" w:rsidRDefault="00E96C1E" w:rsidP="007B3E1F">
      <w:pPr>
        <w:pStyle w:val="ListBullet"/>
        <w:numPr>
          <w:ilvl w:val="0"/>
          <w:numId w:val="20"/>
        </w:numPr>
        <w:tabs>
          <w:tab w:val="left" w:pos="340"/>
        </w:tabs>
        <w:ind w:left="340" w:right="0" w:hanging="340"/>
        <w:contextualSpacing/>
        <w:jc w:val="both"/>
      </w:pPr>
      <w:r>
        <w:t>W</w:t>
      </w:r>
      <w:r w:rsidR="00900C43">
        <w:t>idening the application of enforceable undertakings and injunctions, meaning that the Office of the Conservation Regulator can apply more graduated and proportionate tools in response to noncompliance</w:t>
      </w:r>
    </w:p>
    <w:p w14:paraId="15095547" w14:textId="3CD9CDCC" w:rsidR="00900C43" w:rsidRDefault="00E96C1E" w:rsidP="007B3E1F">
      <w:pPr>
        <w:pStyle w:val="ListBullet"/>
        <w:numPr>
          <w:ilvl w:val="0"/>
          <w:numId w:val="20"/>
        </w:numPr>
        <w:tabs>
          <w:tab w:val="left" w:pos="340"/>
        </w:tabs>
        <w:ind w:left="340" w:right="0" w:hanging="340"/>
        <w:contextualSpacing/>
        <w:jc w:val="both"/>
      </w:pPr>
      <w:r>
        <w:t>P</w:t>
      </w:r>
      <w:r w:rsidR="00900C43">
        <w:t xml:space="preserve">roviding authorised officers with powers to require the production of documents relating to compliance with the </w:t>
      </w:r>
      <w:r w:rsidR="00900C43" w:rsidRPr="000716C0">
        <w:t>SFT Act</w:t>
      </w:r>
      <w:r w:rsidR="00900C43">
        <w:t>, such that authorised officers can access more relevant and complete information when investigating and monitoring compliance with the regulatory framework because they are no longer reliant on voluntary submission of data by timber harvesting operators.</w:t>
      </w:r>
    </w:p>
    <w:p w14:paraId="22192F94" w14:textId="3C681FE1" w:rsidR="00900C43" w:rsidRDefault="00E96C1E" w:rsidP="007B3E1F">
      <w:pPr>
        <w:pStyle w:val="ListBullet"/>
        <w:numPr>
          <w:ilvl w:val="0"/>
          <w:numId w:val="20"/>
        </w:numPr>
        <w:tabs>
          <w:tab w:val="left" w:pos="340"/>
        </w:tabs>
        <w:ind w:left="340" w:right="0" w:hanging="340"/>
        <w:contextualSpacing/>
        <w:jc w:val="both"/>
      </w:pPr>
      <w:r>
        <w:lastRenderedPageBreak/>
        <w:t>I</w:t>
      </w:r>
      <w:r w:rsidR="00900C43">
        <w:t xml:space="preserve">ncorporating documents (including spatial data) by reference for instruments made under the </w:t>
      </w:r>
      <w:r w:rsidR="00900C43" w:rsidRPr="00D40ED6">
        <w:rPr>
          <w:i/>
          <w:iCs/>
        </w:rPr>
        <w:t>Forests Legislation Amendment (Compliance and Enforcement) Act 2021</w:t>
      </w:r>
      <w:r w:rsidR="00900C43">
        <w:t xml:space="preserve"> and the </w:t>
      </w:r>
      <w:r w:rsidR="00900C43" w:rsidRPr="000716C0">
        <w:t>SFT Act</w:t>
      </w:r>
      <w:r w:rsidR="00900C43">
        <w:t>, such that contemporary mapping tools can be validly included in instruments that regulate timber harvesting</w:t>
      </w:r>
    </w:p>
    <w:p w14:paraId="3B430FBE" w14:textId="59126C93" w:rsidR="00900C43" w:rsidRDefault="00E96C1E" w:rsidP="007B3E1F">
      <w:pPr>
        <w:pStyle w:val="ListBullet"/>
        <w:numPr>
          <w:ilvl w:val="0"/>
          <w:numId w:val="20"/>
        </w:numPr>
        <w:tabs>
          <w:tab w:val="left" w:pos="340"/>
        </w:tabs>
        <w:ind w:left="340" w:right="0" w:hanging="340"/>
        <w:contextualSpacing/>
        <w:jc w:val="both"/>
      </w:pPr>
      <w:r>
        <w:t>I</w:t>
      </w:r>
      <w:r w:rsidR="00900C43">
        <w:t xml:space="preserve">ncreasing the statute of limitations period to 3 years, such over a greater </w:t>
      </w:r>
      <w:proofErr w:type="gramStart"/>
      <w:r w:rsidR="00900C43">
        <w:t>time period</w:t>
      </w:r>
      <w:proofErr w:type="gramEnd"/>
      <w:r w:rsidR="00900C43">
        <w:t>.</w:t>
      </w:r>
    </w:p>
    <w:p w14:paraId="52EBE56D" w14:textId="46BF92E1" w:rsidR="00900C43" w:rsidRPr="008F0055" w:rsidRDefault="00B66B3F" w:rsidP="00900C43">
      <w:pPr>
        <w:pStyle w:val="BodyBold"/>
        <w:rPr>
          <w:rFonts w:cs="Arial"/>
          <w:i/>
          <w:iCs/>
        </w:rPr>
      </w:pPr>
      <w:r>
        <w:rPr>
          <w:rFonts w:cs="Arial"/>
        </w:rPr>
        <w:t xml:space="preserve">Victorian RFAs </w:t>
      </w:r>
      <w:r w:rsidR="00900C43" w:rsidRPr="008F0055">
        <w:rPr>
          <w:rFonts w:cs="Arial"/>
        </w:rPr>
        <w:t>Major Event Review</w:t>
      </w:r>
      <w:r>
        <w:rPr>
          <w:rFonts w:cs="Arial"/>
        </w:rPr>
        <w:t xml:space="preserve"> of the 2019/20 bushfires</w:t>
      </w:r>
    </w:p>
    <w:p w14:paraId="3ECD6B3A" w14:textId="77777777" w:rsidR="00900C43" w:rsidRPr="008F0055" w:rsidRDefault="00900C43" w:rsidP="00900C43">
      <w:pPr>
        <w:pStyle w:val="Default"/>
        <w:jc w:val="both"/>
        <w:rPr>
          <w:rFonts w:ascii="Arial" w:hAnsi="Arial" w:cs="Arial"/>
          <w:sz w:val="20"/>
          <w:szCs w:val="20"/>
        </w:rPr>
      </w:pPr>
      <w:proofErr w:type="gramStart"/>
      <w:r w:rsidRPr="008F0055">
        <w:rPr>
          <w:rFonts w:ascii="Arial" w:hAnsi="Arial" w:cs="Arial"/>
          <w:sz w:val="20"/>
          <w:szCs w:val="20"/>
        </w:rPr>
        <w:t>In an effort to</w:t>
      </w:r>
      <w:proofErr w:type="gramEnd"/>
      <w:r w:rsidRPr="008F0055">
        <w:rPr>
          <w:rFonts w:ascii="Arial" w:hAnsi="Arial" w:cs="Arial"/>
          <w:sz w:val="20"/>
          <w:szCs w:val="20"/>
        </w:rPr>
        <w:t xml:space="preserve"> </w:t>
      </w:r>
      <w:proofErr w:type="spellStart"/>
      <w:r w:rsidRPr="008F0055">
        <w:rPr>
          <w:rFonts w:ascii="Arial" w:hAnsi="Arial" w:cs="Arial"/>
          <w:sz w:val="20"/>
          <w:szCs w:val="20"/>
        </w:rPr>
        <w:t>modernise</w:t>
      </w:r>
      <w:proofErr w:type="spellEnd"/>
      <w:r w:rsidRPr="008F0055">
        <w:rPr>
          <w:rFonts w:ascii="Arial" w:hAnsi="Arial" w:cs="Arial"/>
          <w:sz w:val="20"/>
          <w:szCs w:val="20"/>
        </w:rPr>
        <w:t xml:space="preserve"> Victoria’s Regional Forest Agreements to build trust through transparency and independence, provision for Major Event reviews has been built into the RFAs (clauses 38F-I). This allows for Parties to consider the impacts of events, such as bushfires, </w:t>
      </w:r>
      <w:proofErr w:type="gramStart"/>
      <w:r w:rsidRPr="008F0055">
        <w:rPr>
          <w:rFonts w:ascii="Arial" w:hAnsi="Arial" w:cs="Arial"/>
          <w:sz w:val="20"/>
          <w:szCs w:val="20"/>
        </w:rPr>
        <w:t>floods</w:t>
      </w:r>
      <w:proofErr w:type="gramEnd"/>
      <w:r w:rsidRPr="008F0055">
        <w:rPr>
          <w:rFonts w:ascii="Arial" w:hAnsi="Arial" w:cs="Arial"/>
          <w:sz w:val="20"/>
          <w:szCs w:val="20"/>
        </w:rPr>
        <w:t xml:space="preserve"> or diseases, on the effectiveness and operation of the RFAs. Major Event reviews are to be conducted by an independent panel and include opportunity for public consultation (clause 38G).</w:t>
      </w:r>
    </w:p>
    <w:p w14:paraId="699767BC" w14:textId="77777777" w:rsidR="00900C43" w:rsidRPr="008F0055" w:rsidRDefault="00900C43" w:rsidP="00900C43">
      <w:pPr>
        <w:pStyle w:val="BodyNormal"/>
        <w:rPr>
          <w:rFonts w:cs="Arial"/>
          <w:szCs w:val="20"/>
        </w:rPr>
      </w:pPr>
      <w:r w:rsidRPr="008F0055">
        <w:rPr>
          <w:rFonts w:cs="Arial"/>
          <w:szCs w:val="20"/>
        </w:rPr>
        <w:t>In accordance with the</w:t>
      </w:r>
      <w:r>
        <w:rPr>
          <w:rFonts w:cs="Arial"/>
          <w:szCs w:val="20"/>
        </w:rPr>
        <w:t>se</w:t>
      </w:r>
      <w:r w:rsidRPr="008F0055">
        <w:rPr>
          <w:rFonts w:cs="Arial"/>
          <w:szCs w:val="20"/>
        </w:rPr>
        <w:t xml:space="preserve"> requirements, the Australian and Victorian governments commissioned a Major Event Review (MER) to assess the impacts of the 2019-20 Black Summer’ bushfires on RFA matters, acknowledging the significant impacts the estimated 60 bushfires had on forests, biodiversity, forest industries and regional communities across Victoria’s five RFA regions – East Gippsland, Gippsland, </w:t>
      </w:r>
      <w:proofErr w:type="gramStart"/>
      <w:r w:rsidRPr="008F0055">
        <w:rPr>
          <w:rFonts w:cs="Arial"/>
          <w:szCs w:val="20"/>
        </w:rPr>
        <w:t>North East</w:t>
      </w:r>
      <w:proofErr w:type="gramEnd"/>
      <w:r w:rsidRPr="008F0055">
        <w:rPr>
          <w:rFonts w:cs="Arial"/>
          <w:szCs w:val="20"/>
        </w:rPr>
        <w:t xml:space="preserve">, West Victoria and Central Highlands. The MER Review was undertaken by an independent </w:t>
      </w:r>
      <w:r>
        <w:rPr>
          <w:rFonts w:cs="Arial"/>
          <w:szCs w:val="20"/>
        </w:rPr>
        <w:t>p</w:t>
      </w:r>
      <w:r w:rsidRPr="008F0055">
        <w:rPr>
          <w:rFonts w:cs="Arial"/>
          <w:szCs w:val="20"/>
        </w:rPr>
        <w:t>anel between March 2021 and March 2022.</w:t>
      </w:r>
    </w:p>
    <w:p w14:paraId="256F33B4" w14:textId="77777777" w:rsidR="009D0B01" w:rsidRDefault="00900C43" w:rsidP="00900C43">
      <w:pPr>
        <w:pStyle w:val="BodyNormal"/>
        <w:rPr>
          <w:szCs w:val="20"/>
        </w:rPr>
      </w:pPr>
      <w:r w:rsidRPr="0064512E">
        <w:rPr>
          <w:szCs w:val="20"/>
        </w:rPr>
        <w:t xml:space="preserve">The Panel concluded that frequent exposure to intense bushfires is presenting a major and increasing threat to the effective operation of Victoria’s RFAs, </w:t>
      </w:r>
      <w:proofErr w:type="gramStart"/>
      <w:r w:rsidRPr="0064512E">
        <w:rPr>
          <w:szCs w:val="20"/>
        </w:rPr>
        <w:t>in particular to</w:t>
      </w:r>
      <w:proofErr w:type="gramEnd"/>
      <w:r w:rsidRPr="0064512E">
        <w:rPr>
          <w:szCs w:val="20"/>
        </w:rPr>
        <w:t xml:space="preserve"> the stability of the forests and the achievement of ecologically sustainable forest management. It also specified that the rising occurrence of bushfires impacting on plantations and the cumulative loss of plantation resources is a significant and increasing threat to the future viability of the wood processing industries in Victoria</w:t>
      </w:r>
      <w:r>
        <w:rPr>
          <w:szCs w:val="20"/>
        </w:rPr>
        <w:t>,</w:t>
      </w:r>
      <w:r w:rsidRPr="0064512E">
        <w:rPr>
          <w:szCs w:val="20"/>
        </w:rPr>
        <w:t xml:space="preserve"> which are to become entirely plantation based in 2030.  The Panel identified a series of 37 recommendations across areas including old growth forests, commercial native forestry, </w:t>
      </w:r>
      <w:proofErr w:type="gramStart"/>
      <w:r w:rsidRPr="0064512E">
        <w:rPr>
          <w:szCs w:val="20"/>
        </w:rPr>
        <w:t>apiculture</w:t>
      </w:r>
      <w:proofErr w:type="gramEnd"/>
      <w:r w:rsidRPr="0064512E">
        <w:rPr>
          <w:szCs w:val="20"/>
        </w:rPr>
        <w:t xml:space="preserve"> and Traditional Owners, identifying remedial actions and recommendations for the Victorian and Australian governments to address the impact of the bushfires on RFAs. </w:t>
      </w:r>
    </w:p>
    <w:p w14:paraId="70738510" w14:textId="431205A4" w:rsidR="00900C43" w:rsidRPr="0064512E" w:rsidRDefault="00900C43" w:rsidP="00900C43">
      <w:pPr>
        <w:pStyle w:val="BodyNormal"/>
        <w:rPr>
          <w:szCs w:val="20"/>
        </w:rPr>
      </w:pPr>
      <w:r w:rsidRPr="0064512E">
        <w:rPr>
          <w:szCs w:val="20"/>
        </w:rPr>
        <w:t xml:space="preserve">The panel recommended that refinement and better integration of </w:t>
      </w:r>
      <w:proofErr w:type="gramStart"/>
      <w:r w:rsidRPr="0064512E">
        <w:rPr>
          <w:szCs w:val="20"/>
        </w:rPr>
        <w:t>Victoria’s forest</w:t>
      </w:r>
      <w:proofErr w:type="gramEnd"/>
      <w:r w:rsidRPr="0064512E">
        <w:rPr>
          <w:szCs w:val="20"/>
        </w:rPr>
        <w:t xml:space="preserve"> and fire management planning strategies should be pursued to promote active and adaptive management of forests, address the decline in forest resilience, improve the protection of rural and regional communities and ensure that both Matters of Traditional Owner Significance and environmental values are adequately managed and conserved. The Panel emphasised the importance of new perspectives on the gathering of science and data</w:t>
      </w:r>
      <w:r>
        <w:rPr>
          <w:szCs w:val="20"/>
        </w:rPr>
        <w:t xml:space="preserve">, especially </w:t>
      </w:r>
      <w:proofErr w:type="gramStart"/>
      <w:r>
        <w:rPr>
          <w:szCs w:val="20"/>
        </w:rPr>
        <w:t>in regard to</w:t>
      </w:r>
      <w:proofErr w:type="gramEnd"/>
      <w:r w:rsidRPr="0064512E">
        <w:rPr>
          <w:szCs w:val="20"/>
        </w:rPr>
        <w:t xml:space="preserve"> moving away from ‘issues-based’ and ‘reactive’ data gathering towards a ‘forest systems’ approach.</w:t>
      </w:r>
    </w:p>
    <w:p w14:paraId="1AC4BAFD" w14:textId="329DB24A" w:rsidR="00900C43" w:rsidRPr="0064512E" w:rsidRDefault="00900C43" w:rsidP="00900C43">
      <w:pPr>
        <w:pStyle w:val="BodyNormal"/>
        <w:rPr>
          <w:szCs w:val="20"/>
        </w:rPr>
      </w:pPr>
      <w:r w:rsidRPr="00D92F68">
        <w:rPr>
          <w:szCs w:val="20"/>
        </w:rPr>
        <w:t>Regarding protections for Listed Species and Communities,</w:t>
      </w:r>
      <w:r w:rsidRPr="0064512E">
        <w:rPr>
          <w:szCs w:val="20"/>
        </w:rPr>
        <w:t xml:space="preserve"> </w:t>
      </w:r>
      <w:r>
        <w:rPr>
          <w:szCs w:val="20"/>
        </w:rPr>
        <w:t>t</w:t>
      </w:r>
      <w:r w:rsidRPr="0064512E">
        <w:rPr>
          <w:szCs w:val="20"/>
        </w:rPr>
        <w:t xml:space="preserve">he Panel identified that there is an ongoing decline of forest-dependent </w:t>
      </w:r>
      <w:r w:rsidR="00BE7EFC">
        <w:rPr>
          <w:szCs w:val="20"/>
        </w:rPr>
        <w:t>T</w:t>
      </w:r>
      <w:r w:rsidRPr="0064512E">
        <w:rPr>
          <w:szCs w:val="20"/>
        </w:rPr>
        <w:t xml:space="preserve">hreatened </w:t>
      </w:r>
      <w:r w:rsidR="00BE7EFC">
        <w:rPr>
          <w:szCs w:val="20"/>
        </w:rPr>
        <w:t>S</w:t>
      </w:r>
      <w:r w:rsidRPr="0064512E">
        <w:rPr>
          <w:szCs w:val="20"/>
        </w:rPr>
        <w:t xml:space="preserve">pecies and </w:t>
      </w:r>
      <w:r w:rsidR="00BE7EFC">
        <w:rPr>
          <w:szCs w:val="20"/>
        </w:rPr>
        <w:t>C</w:t>
      </w:r>
      <w:r w:rsidRPr="0064512E">
        <w:rPr>
          <w:szCs w:val="20"/>
        </w:rPr>
        <w:t>ommunities</w:t>
      </w:r>
      <w:r>
        <w:rPr>
          <w:szCs w:val="20"/>
        </w:rPr>
        <w:t xml:space="preserve">, as well as </w:t>
      </w:r>
      <w:r w:rsidRPr="0064512E">
        <w:rPr>
          <w:szCs w:val="20"/>
        </w:rPr>
        <w:t xml:space="preserve">ongoing loss of old growth forests. </w:t>
      </w:r>
      <w:r>
        <w:rPr>
          <w:szCs w:val="20"/>
        </w:rPr>
        <w:t>The Panel</w:t>
      </w:r>
      <w:r w:rsidRPr="0064512E">
        <w:rPr>
          <w:szCs w:val="20"/>
        </w:rPr>
        <w:t xml:space="preserve"> recommended</w:t>
      </w:r>
      <w:r>
        <w:rPr>
          <w:szCs w:val="20"/>
        </w:rPr>
        <w:t>:</w:t>
      </w:r>
    </w:p>
    <w:p w14:paraId="08463F46" w14:textId="77777777" w:rsidR="00900C43" w:rsidRPr="007B3E1F" w:rsidRDefault="00900C43" w:rsidP="007B3E1F">
      <w:pPr>
        <w:pStyle w:val="ListBullet"/>
        <w:numPr>
          <w:ilvl w:val="0"/>
          <w:numId w:val="20"/>
        </w:numPr>
        <w:tabs>
          <w:tab w:val="clear" w:pos="-31680"/>
          <w:tab w:val="left" w:pos="340"/>
        </w:tabs>
        <w:ind w:left="340" w:right="0" w:hanging="340"/>
        <w:contextualSpacing/>
        <w:jc w:val="both"/>
      </w:pPr>
      <w:r>
        <w:t xml:space="preserve">That </w:t>
      </w:r>
      <w:r w:rsidRPr="0064512E">
        <w:t xml:space="preserve">the parties research the impact of more frequent and repeated bushfires on threatened species listed under the </w:t>
      </w:r>
      <w:r w:rsidRPr="007B3E1F">
        <w:t>Environment Protection and Biodiversity Conservation Act 1999</w:t>
      </w:r>
      <w:r w:rsidRPr="0064512E">
        <w:t xml:space="preserve"> (</w:t>
      </w:r>
      <w:proofErr w:type="spellStart"/>
      <w:r w:rsidRPr="0064512E">
        <w:t>Cth</w:t>
      </w:r>
      <w:proofErr w:type="spellEnd"/>
      <w:r w:rsidRPr="0064512E">
        <w:t xml:space="preserve">) and the </w:t>
      </w:r>
      <w:r w:rsidRPr="007B3E1F">
        <w:t>Flora and Fauna Guarantee Act 1988</w:t>
      </w:r>
      <w:r w:rsidRPr="0064512E">
        <w:t xml:space="preserve"> (Vic) that have limited habitat distribution within the Australian Alps National Parks and reserves in Victoria.</w:t>
      </w:r>
    </w:p>
    <w:p w14:paraId="09F61F39" w14:textId="77777777" w:rsidR="00900C43" w:rsidRPr="007B3E1F" w:rsidRDefault="00900C43" w:rsidP="007B3E1F">
      <w:pPr>
        <w:pStyle w:val="ListBullet"/>
        <w:numPr>
          <w:ilvl w:val="0"/>
          <w:numId w:val="20"/>
        </w:numPr>
        <w:tabs>
          <w:tab w:val="clear" w:pos="-31680"/>
          <w:tab w:val="left" w:pos="340"/>
        </w:tabs>
        <w:ind w:left="340" w:right="0" w:hanging="340"/>
        <w:contextualSpacing/>
        <w:jc w:val="both"/>
      </w:pPr>
      <w:r w:rsidRPr="0064512E">
        <w:t xml:space="preserve">That the parties address knowledge and data gaps relating to threatened species that are identified as ‘data deficient’. Effort should be focused on (a) species known to exist within fire-affected areas and (b) the 21 species that are listed as Critically Endangered in the </w:t>
      </w:r>
      <w:r w:rsidRPr="007B3E1F">
        <w:t>FFG Act</w:t>
      </w:r>
      <w:r w:rsidRPr="0064512E">
        <w:t>.</w:t>
      </w:r>
    </w:p>
    <w:p w14:paraId="4218896D" w14:textId="77777777" w:rsidR="00900C43" w:rsidRPr="007B3E1F" w:rsidRDefault="00900C43" w:rsidP="007B3E1F">
      <w:pPr>
        <w:pStyle w:val="ListBullet"/>
        <w:numPr>
          <w:ilvl w:val="0"/>
          <w:numId w:val="20"/>
        </w:numPr>
        <w:tabs>
          <w:tab w:val="clear" w:pos="-31680"/>
          <w:tab w:val="left" w:pos="340"/>
        </w:tabs>
        <w:ind w:left="340" w:right="0" w:hanging="340"/>
        <w:contextualSpacing/>
        <w:jc w:val="both"/>
      </w:pPr>
      <w:r w:rsidRPr="0064512E">
        <w:t>That the Victorian Government produce an outcomes report to review the effectiveness of the interim protection measures and the zoning system changes for listed species and communities.</w:t>
      </w:r>
    </w:p>
    <w:p w14:paraId="425CEB85" w14:textId="60C03D70" w:rsidR="00900C43" w:rsidRPr="0064512E" w:rsidRDefault="00900C43" w:rsidP="007B3E1F">
      <w:pPr>
        <w:pStyle w:val="ListBullet"/>
        <w:numPr>
          <w:ilvl w:val="0"/>
          <w:numId w:val="20"/>
        </w:numPr>
        <w:tabs>
          <w:tab w:val="clear" w:pos="-31680"/>
          <w:tab w:val="left" w:pos="340"/>
        </w:tabs>
        <w:ind w:left="340" w:right="0" w:hanging="340"/>
        <w:contextualSpacing/>
        <w:jc w:val="both"/>
        <w:rPr>
          <w:b/>
          <w:bCs/>
        </w:rPr>
      </w:pPr>
      <w:r w:rsidRPr="0064512E">
        <w:t xml:space="preserve">That the Victorian Government prioritise completion of outstanding </w:t>
      </w:r>
      <w:r w:rsidR="00BE7EFC">
        <w:t>T</w:t>
      </w:r>
      <w:r w:rsidRPr="0064512E">
        <w:t xml:space="preserve">hreatened </w:t>
      </w:r>
      <w:r w:rsidR="00BE7EFC">
        <w:t>S</w:t>
      </w:r>
      <w:r w:rsidRPr="0064512E">
        <w:t xml:space="preserve">pecies and </w:t>
      </w:r>
      <w:r w:rsidR="00BE7EFC">
        <w:t>C</w:t>
      </w:r>
      <w:r w:rsidRPr="0064512E">
        <w:t>ommunities risk assessments for the five Regional Forest Agreement regions and activate existing legislative tools (</w:t>
      </w:r>
      <w:proofErr w:type="gramStart"/>
      <w:r w:rsidRPr="0064512E">
        <w:t>e.g.</w:t>
      </w:r>
      <w:proofErr w:type="gramEnd"/>
      <w:r w:rsidRPr="0064512E">
        <w:t xml:space="preserve"> Critical Habitat Determinations) under the </w:t>
      </w:r>
      <w:r w:rsidRPr="0064512E">
        <w:rPr>
          <w:i/>
          <w:iCs/>
        </w:rPr>
        <w:t xml:space="preserve">FFG Act </w:t>
      </w:r>
      <w:r w:rsidRPr="0064512E">
        <w:t>1988, and that the Victorian Government make public the rationale for choosing specific legislative tools to protect listed species and communities.</w:t>
      </w:r>
    </w:p>
    <w:p w14:paraId="01C42DC1" w14:textId="77777777" w:rsidR="00900C43" w:rsidRDefault="00900C43" w:rsidP="007B3E1F">
      <w:pPr>
        <w:pStyle w:val="ListBullet"/>
        <w:numPr>
          <w:ilvl w:val="0"/>
          <w:numId w:val="20"/>
        </w:numPr>
        <w:tabs>
          <w:tab w:val="clear" w:pos="-31680"/>
          <w:tab w:val="left" w:pos="340"/>
        </w:tabs>
        <w:ind w:left="340" w:right="0" w:hanging="340"/>
        <w:contextualSpacing/>
        <w:jc w:val="both"/>
      </w:pPr>
      <w:r w:rsidRPr="0064512E">
        <w:lastRenderedPageBreak/>
        <w:t>That the Victorian Government improve the integration of zoning systems within the forest management plans, national park management plans and bushfire management strategies. This process should include coordinated revisions and an improved articulation of the nature of active management strategies required for each zone, to reduce bushfire risk and support improved resilience and recovery of forests and their associated ecological values.</w:t>
      </w:r>
    </w:p>
    <w:p w14:paraId="5E1BEFD2" w14:textId="77777777" w:rsidR="00900C43" w:rsidRPr="000716C0" w:rsidRDefault="00900C43" w:rsidP="007B3E1F">
      <w:pPr>
        <w:pStyle w:val="ListBullet"/>
        <w:numPr>
          <w:ilvl w:val="0"/>
          <w:numId w:val="20"/>
        </w:numPr>
        <w:tabs>
          <w:tab w:val="clear" w:pos="-31680"/>
          <w:tab w:val="left" w:pos="340"/>
        </w:tabs>
        <w:ind w:left="340" w:right="0" w:hanging="340"/>
        <w:contextualSpacing/>
        <w:jc w:val="both"/>
      </w:pPr>
      <w:r w:rsidRPr="0064512E">
        <w:t xml:space="preserve">That, in considering the findings and recommendations from the </w:t>
      </w:r>
      <w:r>
        <w:t>MER</w:t>
      </w:r>
      <w:r w:rsidRPr="0064512E">
        <w:t>, the parties consider</w:t>
      </w:r>
      <w:r>
        <w:t xml:space="preserve"> how RFA</w:t>
      </w:r>
      <w:r w:rsidRPr="0064512E">
        <w:t xml:space="preserve"> provisions and the components of </w:t>
      </w:r>
      <w:proofErr w:type="gramStart"/>
      <w:r w:rsidRPr="0064512E">
        <w:t>Victoria’s forest</w:t>
      </w:r>
      <w:proofErr w:type="gramEnd"/>
      <w:r w:rsidRPr="0064512E">
        <w:t xml:space="preserve"> management system can be improved to provide enhanced resilience for the wide range of RFA forest values that are being severely impacted by repeated</w:t>
      </w:r>
      <w:r>
        <w:t xml:space="preserve"> </w:t>
      </w:r>
      <w:r w:rsidRPr="0064512E">
        <w:t>severe bushfires.</w:t>
      </w:r>
    </w:p>
    <w:p w14:paraId="70CC39A8" w14:textId="77777777" w:rsidR="00900C43" w:rsidRDefault="00900C43" w:rsidP="00900C43">
      <w:pPr>
        <w:pStyle w:val="BodyBold"/>
      </w:pPr>
      <w:r w:rsidRPr="00AD6CEE">
        <w:t>Variation</w:t>
      </w:r>
      <w:r>
        <w:t>s</w:t>
      </w:r>
      <w:r w:rsidRPr="00AD6CEE">
        <w:t xml:space="preserve"> of the Code of Practice for Timber Production</w:t>
      </w:r>
    </w:p>
    <w:p w14:paraId="65CCE83A" w14:textId="0CF24A14" w:rsidR="00900C43" w:rsidRPr="002365D9" w:rsidRDefault="00900C43" w:rsidP="00900C43">
      <w:pPr>
        <w:pStyle w:val="BodyNormal"/>
      </w:pPr>
      <w:r>
        <w:t xml:space="preserve">The </w:t>
      </w:r>
      <w:r w:rsidR="00AD44A4">
        <w:t>‘</w:t>
      </w:r>
      <w:r w:rsidR="3FB92F1C">
        <w:t>Code of Practice</w:t>
      </w:r>
      <w:r w:rsidR="00AD44A4">
        <w:t>’</w:t>
      </w:r>
      <w:r>
        <w:t xml:space="preserve"> was amended in November 2021 and again in June 2022 to improve how the Code is interpreted and enforced. The amendments include: </w:t>
      </w:r>
    </w:p>
    <w:p w14:paraId="00F5DF34" w14:textId="6E425BDD" w:rsidR="00900C43" w:rsidRPr="002365D9" w:rsidRDefault="00E96C1E" w:rsidP="0086178C">
      <w:pPr>
        <w:pStyle w:val="ListBullet"/>
        <w:numPr>
          <w:ilvl w:val="0"/>
          <w:numId w:val="45"/>
        </w:numPr>
      </w:pPr>
      <w:r>
        <w:t>F</w:t>
      </w:r>
      <w:r w:rsidR="00900C43" w:rsidRPr="002365D9">
        <w:t xml:space="preserve">ormalising and clarifying protection requirements for certain species, </w:t>
      </w:r>
    </w:p>
    <w:p w14:paraId="7380711B" w14:textId="32DABEF3" w:rsidR="00900C43" w:rsidRPr="002365D9" w:rsidRDefault="00E96C1E" w:rsidP="0086178C">
      <w:pPr>
        <w:pStyle w:val="ListBullet"/>
        <w:numPr>
          <w:ilvl w:val="0"/>
          <w:numId w:val="45"/>
        </w:numPr>
      </w:pPr>
      <w:r>
        <w:t>M</w:t>
      </w:r>
      <w:r w:rsidR="00900C43" w:rsidRPr="002365D9">
        <w:t>oving the</w:t>
      </w:r>
      <w:r w:rsidR="00900C43" w:rsidRPr="002365D9">
        <w:rPr>
          <w:rStyle w:val="apple-converted-space"/>
          <w:rFonts w:cs="Arial"/>
          <w:shd w:val="clear" w:color="auto" w:fill="FFFFFF"/>
        </w:rPr>
        <w:t> </w:t>
      </w:r>
      <w:r w:rsidR="00900C43" w:rsidRPr="002365D9">
        <w:rPr>
          <w:rStyle w:val="Emphasis"/>
          <w:rFonts w:cs="Arial"/>
        </w:rPr>
        <w:t>Management Standards and Procedures for timber harvesting operations in Victoria’s State forests</w:t>
      </w:r>
      <w:r w:rsidR="00900C43" w:rsidRPr="002365D9">
        <w:rPr>
          <w:rStyle w:val="apple-converted-space"/>
          <w:rFonts w:cs="Arial"/>
          <w:shd w:val="clear" w:color="auto" w:fill="FFFFFF"/>
        </w:rPr>
        <w:t> </w:t>
      </w:r>
      <w:r w:rsidR="00900C43" w:rsidRPr="002365D9">
        <w:rPr>
          <w:rFonts w:cs="Arial"/>
          <w:shd w:val="clear" w:color="auto" w:fill="FFFFFF"/>
        </w:rPr>
        <w:t>(MSPs)</w:t>
      </w:r>
      <w:r w:rsidR="00900C43" w:rsidRPr="002365D9">
        <w:t xml:space="preserve"> into the Code as a schedule, rather than having them sit separately as an incorporated document</w:t>
      </w:r>
    </w:p>
    <w:p w14:paraId="218000E3" w14:textId="5EBA4792" w:rsidR="00900C43" w:rsidRPr="002365D9" w:rsidRDefault="00E96C1E" w:rsidP="0086178C">
      <w:pPr>
        <w:pStyle w:val="ListBullet"/>
        <w:numPr>
          <w:ilvl w:val="0"/>
          <w:numId w:val="45"/>
        </w:numPr>
      </w:pPr>
      <w:r>
        <w:t>C</w:t>
      </w:r>
      <w:r w:rsidR="00900C43" w:rsidRPr="002365D9">
        <w:t>larifying ambiguous wording and layout</w:t>
      </w:r>
    </w:p>
    <w:p w14:paraId="46AECF05" w14:textId="0151CE33" w:rsidR="00900C43" w:rsidRPr="002365D9" w:rsidRDefault="00E96C1E" w:rsidP="0086178C">
      <w:pPr>
        <w:pStyle w:val="ListBullet"/>
        <w:numPr>
          <w:ilvl w:val="0"/>
          <w:numId w:val="45"/>
        </w:numPr>
      </w:pPr>
      <w:r>
        <w:t>A</w:t>
      </w:r>
      <w:r w:rsidR="00900C43" w:rsidRPr="002365D9">
        <w:t>mending the definition of the precautionary principle</w:t>
      </w:r>
    </w:p>
    <w:p w14:paraId="3B48C264" w14:textId="77777777" w:rsidR="00900C43" w:rsidRPr="00494986" w:rsidRDefault="00900C43" w:rsidP="00900C43">
      <w:pPr>
        <w:pStyle w:val="BodyNormal"/>
      </w:pPr>
      <w:r w:rsidRPr="002365D9">
        <w:t xml:space="preserve">There has also been $14 million allocated to improve environmental standards in timber harvesting, which includes improving clarity about how to comply with </w:t>
      </w:r>
      <w:r w:rsidRPr="00A178DD">
        <w:t>requirements in the Code of Practice for Timber Production 2014.</w:t>
      </w:r>
      <w:r>
        <w:t xml:space="preserve"> DELWP will improve clarity by developing ‘Compliance Standards’.</w:t>
      </w:r>
    </w:p>
    <w:p w14:paraId="71564C6B" w14:textId="77777777" w:rsidR="00900C43" w:rsidRDefault="00900C43" w:rsidP="00900C43">
      <w:pPr>
        <w:pStyle w:val="BodyNormal"/>
        <w:rPr>
          <w:b/>
          <w:bCs/>
        </w:rPr>
      </w:pPr>
      <w:r w:rsidRPr="00102961">
        <w:rPr>
          <w:b/>
          <w:bCs/>
        </w:rPr>
        <w:t xml:space="preserve">Threatened Species and Communities </w:t>
      </w:r>
      <w:r>
        <w:rPr>
          <w:b/>
          <w:bCs/>
        </w:rPr>
        <w:t>R</w:t>
      </w:r>
      <w:r w:rsidRPr="00102961">
        <w:rPr>
          <w:b/>
          <w:bCs/>
        </w:rPr>
        <w:t xml:space="preserve">isk </w:t>
      </w:r>
      <w:r>
        <w:rPr>
          <w:b/>
          <w:bCs/>
        </w:rPr>
        <w:t>A</w:t>
      </w:r>
      <w:r w:rsidRPr="00102961">
        <w:rPr>
          <w:b/>
          <w:bCs/>
        </w:rPr>
        <w:t>ssessments – interim and permanent protections</w:t>
      </w:r>
    </w:p>
    <w:p w14:paraId="16BE99C3" w14:textId="77777777" w:rsidR="00900C43" w:rsidRDefault="00900C43" w:rsidP="00900C43">
      <w:pPr>
        <w:pStyle w:val="BodyNormal"/>
      </w:pPr>
      <w:r>
        <w:t>The Threatened Species and Communities Risk Assessment (TSCRA) was completed in October 2020 and applied to 70 species and nine communities that are either Commonwealth or state-listed and that are, or have the potential to be, impacted by forestry operations. Evaluation of the long-term (~20-year) risk posed by a range of hazards found that pest plants and animals and inappropriate fire regimes posed high or significant risk to the greatest number of these 79 species and communities. “Forestry operations” were assessed to pose a significant or high risk for 23 of the 79 evaluated species and communities.</w:t>
      </w:r>
    </w:p>
    <w:p w14:paraId="291D8F1B" w14:textId="0032DB57" w:rsidR="00900C43" w:rsidRPr="00022F2C" w:rsidRDefault="00900C43" w:rsidP="00900C43">
      <w:pPr>
        <w:pStyle w:val="BodyNormal"/>
        <w:rPr>
          <w:rFonts w:cs="Arial"/>
        </w:rPr>
      </w:pPr>
      <w:r>
        <w:t xml:space="preserve">It concluded that further improvements and additional interim measures were required for those </w:t>
      </w:r>
      <w:r w:rsidR="00BE7EFC">
        <w:t>T</w:t>
      </w:r>
      <w:r>
        <w:t xml:space="preserve">hreatened </w:t>
      </w:r>
      <w:r w:rsidR="00BE7EFC">
        <w:t>S</w:t>
      </w:r>
      <w:r>
        <w:t xml:space="preserve">pecies and </w:t>
      </w:r>
      <w:r w:rsidR="00BE7EFC">
        <w:t>C</w:t>
      </w:r>
      <w:r>
        <w:t xml:space="preserve">ommunities at risk of short-term harm, particularly as the impacts on biodiversity from the 2019-20 bushfires are better understood. An Action Plan set out a suite of interim protections to be in place up to </w:t>
      </w:r>
      <w:r w:rsidRPr="00022F2C">
        <w:rPr>
          <w:rFonts w:cs="Arial"/>
        </w:rPr>
        <w:t xml:space="preserve">April 2022.  </w:t>
      </w:r>
    </w:p>
    <w:p w14:paraId="6E07BA4D" w14:textId="77777777" w:rsidR="00900C43" w:rsidRPr="000716C0" w:rsidRDefault="00900C43" w:rsidP="00900C43">
      <w:pPr>
        <w:pStyle w:val="BodyNormal"/>
        <w:rPr>
          <w:rFonts w:cs="Arial"/>
        </w:rPr>
      </w:pPr>
      <w:r w:rsidRPr="00022F2C">
        <w:rPr>
          <w:rFonts w:cs="Arial"/>
        </w:rPr>
        <w:t xml:space="preserve">Regarding the focal legislation of our current review, the TSCRA recommended minor amendments to the Forest Management Zoning Scheme under </w:t>
      </w:r>
      <w:r w:rsidRPr="00022F2C">
        <w:rPr>
          <w:rFonts w:cs="Arial"/>
          <w:i/>
          <w:iCs/>
        </w:rPr>
        <w:t xml:space="preserve">s22 Forests Act 1958. </w:t>
      </w:r>
      <w:r w:rsidRPr="00022F2C">
        <w:rPr>
          <w:rFonts w:cs="Arial"/>
        </w:rPr>
        <w:t xml:space="preserve">It also recommended </w:t>
      </w:r>
      <w:r>
        <w:rPr>
          <w:rFonts w:cs="Arial"/>
        </w:rPr>
        <w:t xml:space="preserve">definitive action though </w:t>
      </w:r>
      <w:r w:rsidRPr="00827A81">
        <w:rPr>
          <w:rFonts w:cs="Arial"/>
        </w:rPr>
        <w:t>Critical Habitat Determination</w:t>
      </w:r>
      <w:r>
        <w:rPr>
          <w:rFonts w:cs="Arial"/>
        </w:rPr>
        <w:t>s</w:t>
      </w:r>
      <w:r w:rsidRPr="00827A81">
        <w:rPr>
          <w:rFonts w:cs="Arial"/>
        </w:rPr>
        <w:t xml:space="preserve"> under s20 </w:t>
      </w:r>
      <w:r w:rsidRPr="00827A81">
        <w:rPr>
          <w:rFonts w:cs="Arial"/>
          <w:i/>
          <w:iCs/>
        </w:rPr>
        <w:t xml:space="preserve">Flora and Fauna Guarantee Act 1988 </w:t>
      </w:r>
      <w:r>
        <w:rPr>
          <w:rFonts w:cs="Arial"/>
        </w:rPr>
        <w:t>to achieve more targeted responses.</w:t>
      </w:r>
    </w:p>
    <w:p w14:paraId="3982FE5B" w14:textId="77777777" w:rsidR="00900C43" w:rsidRDefault="00900C43" w:rsidP="00900C43">
      <w:pPr>
        <w:pStyle w:val="BodyNormal"/>
      </w:pPr>
      <w:r>
        <w:rPr>
          <w:b/>
          <w:bCs/>
        </w:rPr>
        <w:t xml:space="preserve">Independent Review of the </w:t>
      </w:r>
      <w:r w:rsidRPr="00D92F68">
        <w:rPr>
          <w:b/>
          <w:bCs/>
          <w:i/>
          <w:iCs/>
        </w:rPr>
        <w:t xml:space="preserve">Environment Protection and Biodiversity Conservation Act </w:t>
      </w:r>
      <w:r>
        <w:rPr>
          <w:b/>
          <w:bCs/>
          <w:i/>
          <w:iCs/>
        </w:rPr>
        <w:t>1999</w:t>
      </w:r>
      <w:r w:rsidRPr="00D92F68">
        <w:rPr>
          <w:b/>
          <w:bCs/>
          <w:i/>
          <w:iCs/>
        </w:rPr>
        <w:t xml:space="preserve"> </w:t>
      </w:r>
    </w:p>
    <w:p w14:paraId="7164AF90" w14:textId="77777777" w:rsidR="00900C43" w:rsidRDefault="00900C43" w:rsidP="00900C43">
      <w:pPr>
        <w:pStyle w:val="BodyNormal"/>
      </w:pPr>
      <w:r>
        <w:t xml:space="preserve">The existence of the five Victorian Regional Forest Agreements </w:t>
      </w:r>
      <w:proofErr w:type="gramStart"/>
      <w:r>
        <w:t>provide</w:t>
      </w:r>
      <w:proofErr w:type="gramEnd"/>
      <w:r>
        <w:t xml:space="preserve"> timber harvesting operations with an exemption under the </w:t>
      </w:r>
      <w:r>
        <w:rPr>
          <w:i/>
          <w:iCs/>
        </w:rPr>
        <w:t>EPBC Act 2000</w:t>
      </w:r>
      <w:r>
        <w:t xml:space="preserve">. An independent review of the </w:t>
      </w:r>
      <w:r>
        <w:rPr>
          <w:i/>
          <w:iCs/>
        </w:rPr>
        <w:t xml:space="preserve">EPBC Act </w:t>
      </w:r>
      <w:r>
        <w:t xml:space="preserve">was conducted by Graeme Samuel AC and was delivered in October 2020. The </w:t>
      </w:r>
      <w:proofErr w:type="gramStart"/>
      <w:r>
        <w:t>Commonwealth Minister</w:t>
      </w:r>
      <w:proofErr w:type="gramEnd"/>
      <w:r>
        <w:t xml:space="preserve"> for the Environment subsequently indicated that the Commonwealth Government would release a response to his report by the end of 2022. Any forthcoming recommendations for change(s) to the framework and/or approaches to protection of Matters of National Environmental Significance (which include listed species and communities) </w:t>
      </w:r>
      <w:r>
        <w:lastRenderedPageBreak/>
        <w:t>may have implications for the Victorian RFAs and how they provide for these matters – including the Victorian forest management system.</w:t>
      </w:r>
    </w:p>
    <w:p w14:paraId="3EB02498" w14:textId="77777777" w:rsidR="00900C43" w:rsidRPr="00D92F68" w:rsidRDefault="00900C43" w:rsidP="00900C43">
      <w:pPr>
        <w:pStyle w:val="BodyNormal"/>
      </w:pPr>
      <w:r>
        <w:t xml:space="preserve">The recent modernisation and improvement of Victoria’s five RFAs included a significantly expanded section dealing with Matters of National Environmental Significance (MNES) under the </w:t>
      </w:r>
      <w:r w:rsidRPr="00D92F68">
        <w:rPr>
          <w:i/>
          <w:iCs/>
        </w:rPr>
        <w:t>EPBC Act</w:t>
      </w:r>
      <w:r>
        <w:t xml:space="preserve"> and Listed Species and Communities (clauses 25A-S). These sections include requirements for Victoria to maintain a Forest Management System (FMS) that provides for the protection and management of MNES (clause 25A) and the conservation and recovery of Listed Species and Communities (clause 25G).  The modernised RFAs also include timeframes for the development of relevant Statutory Conservation Planning Documents for Listed Species and Communities (clauses 25H and 25I). These documents include conservation </w:t>
      </w:r>
      <w:proofErr w:type="gramStart"/>
      <w:r>
        <w:t>advices</w:t>
      </w:r>
      <w:proofErr w:type="gramEnd"/>
      <w:r>
        <w:t xml:space="preserve">, recovery plans, threat abatement plans or wildlife conservation plans made under the </w:t>
      </w:r>
      <w:r w:rsidRPr="00D92F68">
        <w:rPr>
          <w:i/>
          <w:iCs/>
        </w:rPr>
        <w:t>EPBC Act</w:t>
      </w:r>
      <w:r>
        <w:t xml:space="preserve">; or Action Statements or Interim Conservation Orders made under the </w:t>
      </w:r>
      <w:r w:rsidRPr="00D92F68">
        <w:rPr>
          <w:i/>
          <w:iCs/>
        </w:rPr>
        <w:t>FFG Act</w:t>
      </w:r>
      <w:r>
        <w:t>.</w:t>
      </w:r>
    </w:p>
    <w:p w14:paraId="38DF0D94" w14:textId="216490FA" w:rsidR="00813A6E" w:rsidRPr="002B36FD" w:rsidRDefault="00813A6E" w:rsidP="00011097">
      <w:pPr>
        <w:pStyle w:val="BodyNormal"/>
        <w:rPr>
          <w:i/>
          <w:iCs/>
        </w:rPr>
      </w:pPr>
      <w:r>
        <w:br w:type="page"/>
      </w:r>
    </w:p>
    <w:p w14:paraId="6018C699" w14:textId="77777777" w:rsidR="00F84C03" w:rsidRDefault="00DA2F0F" w:rsidP="00DC1A32">
      <w:pPr>
        <w:pStyle w:val="BodyNormal"/>
      </w:pPr>
      <w:r w:rsidRPr="00302F92">
        <w:rPr>
          <w:noProof/>
          <w:sz w:val="16"/>
          <w:lang w:eastAsia="en-AU"/>
        </w:rPr>
        <w:lastRenderedPageBreak/>
        <w:drawing>
          <wp:inline distT="0" distB="0" distL="0" distR="0" wp14:anchorId="284CCDFA" wp14:editId="037242B9">
            <wp:extent cx="742113" cy="1943377"/>
            <wp:effectExtent l="0" t="0" r="1270" b="0"/>
            <wp:docPr id="28" name="Picture 28" descr="Sustainable Certification ISO 9001, endorsed quality manageme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ustainable Certification ISO 9001, endorsed quality management system"/>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742113" cy="1943377"/>
                    </a:xfrm>
                    <a:prstGeom prst="rect">
                      <a:avLst/>
                    </a:prstGeom>
                    <a:noFill/>
                    <a:ln>
                      <a:noFill/>
                    </a:ln>
                  </pic:spPr>
                </pic:pic>
              </a:graphicData>
            </a:graphic>
          </wp:inline>
        </w:drawing>
      </w:r>
      <w:r w:rsidR="00F84C03">
        <w:t xml:space="preserve">This </w:t>
      </w:r>
      <w:r w:rsidR="00493509">
        <w:t>report</w:t>
      </w:r>
      <w:r w:rsidR="00F84C03">
        <w:t xml:space="preserve"> has been prepared by:</w:t>
      </w:r>
    </w:p>
    <w:p w14:paraId="3187C1A3" w14:textId="77777777" w:rsidR="00F84C03" w:rsidRDefault="00F84C03" w:rsidP="00B14601">
      <w:pPr>
        <w:spacing w:after="240"/>
      </w:pPr>
    </w:p>
    <w:p w14:paraId="401C4CD4" w14:textId="77777777" w:rsidR="00F84C03" w:rsidRPr="008154B5" w:rsidRDefault="00F84C03" w:rsidP="00B14601">
      <w:pPr>
        <w:pStyle w:val="BodyBold"/>
        <w:spacing w:before="120" w:after="240"/>
      </w:pPr>
      <w:r w:rsidRPr="008154B5">
        <w:t>RM Consulting Group Pty Ltd trading as RMCG</w:t>
      </w:r>
    </w:p>
    <w:p w14:paraId="18BC26DA" w14:textId="77777777" w:rsidR="00F84C03" w:rsidRDefault="00263AEC" w:rsidP="00DC1A32">
      <w:pPr>
        <w:pStyle w:val="BodyNormal"/>
      </w:pPr>
      <w:r>
        <w:t>Level 1 East, 1100-1102 Toorak Road, Camberwell Victoria 3124</w:t>
      </w:r>
    </w:p>
    <w:p w14:paraId="052B37C4" w14:textId="77777777" w:rsidR="00107B3D" w:rsidRDefault="00107B3D" w:rsidP="00107B3D">
      <w:pPr>
        <w:pStyle w:val="BodyNormal"/>
      </w:pPr>
      <w:r>
        <w:t xml:space="preserve">(03) </w:t>
      </w:r>
      <w:r w:rsidR="00263AEC">
        <w:t xml:space="preserve">9882 </w:t>
      </w:r>
      <w:proofErr w:type="gramStart"/>
      <w:r w:rsidR="00263AEC">
        <w:t>2670</w:t>
      </w:r>
      <w:r>
        <w:t xml:space="preserve">  —</w:t>
      </w:r>
      <w:proofErr w:type="gramEnd"/>
      <w:r>
        <w:t xml:space="preserve">  rmcg.com.au  —  ABN  73 613 135 247</w:t>
      </w:r>
    </w:p>
    <w:p w14:paraId="66070104" w14:textId="77777777" w:rsidR="00F84C03" w:rsidRDefault="00F84C03" w:rsidP="00B14601">
      <w:pPr>
        <w:spacing w:after="240"/>
      </w:pPr>
    </w:p>
    <w:p w14:paraId="35BED3BD" w14:textId="77777777" w:rsidR="00F84C03" w:rsidRDefault="00DA2F0F" w:rsidP="009173C7">
      <w:pPr>
        <w:pStyle w:val="BodyNormal"/>
        <w:spacing w:before="120"/>
      </w:pPr>
      <w:r>
        <w:rPr>
          <w:noProof/>
          <w:lang w:eastAsia="en-AU"/>
        </w:rPr>
        <mc:AlternateContent>
          <mc:Choice Requires="wps">
            <w:drawing>
              <wp:inline distT="0" distB="0" distL="0" distR="0" wp14:anchorId="3D5DDC4D" wp14:editId="5F426952">
                <wp:extent cx="1144270" cy="1140460"/>
                <wp:effectExtent l="0" t="0" r="0" b="2540"/>
                <wp:docPr id="1" name="Text Box 1"/>
                <wp:cNvGraphicFramePr/>
                <a:graphic xmlns:a="http://schemas.openxmlformats.org/drawingml/2006/main">
                  <a:graphicData uri="http://schemas.microsoft.com/office/word/2010/wordprocessingShape">
                    <wps:wsp>
                      <wps:cNvSpPr txBox="1"/>
                      <wps:spPr>
                        <a:xfrm>
                          <a:off x="0" y="0"/>
                          <a:ext cx="1144270" cy="1140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433DB2" w14:textId="77777777" w:rsidR="0001183B" w:rsidRDefault="0001183B" w:rsidP="004A4963">
                            <w:pPr>
                              <w:ind w:left="0"/>
                            </w:pPr>
                            <w:r>
                              <w:rPr>
                                <w:noProof/>
                                <w:lang w:eastAsia="en-AU"/>
                              </w:rPr>
                              <w:drawing>
                                <wp:inline distT="0" distB="0" distL="0" distR="0" wp14:anchorId="6F733294" wp14:editId="4CEF7B34">
                                  <wp:extent cx="819848" cy="888385"/>
                                  <wp:effectExtent l="0" t="0" r="0" b="635"/>
                                  <wp:docPr id="8" name="Picture 8" descr="JAS-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JAS-ANZ"/>
                                          <pic:cNvPicPr/>
                                        </pic:nvPicPr>
                                        <pic:blipFill>
                                          <a:blip r:embed="rId42">
                                            <a:extLst>
                                              <a:ext uri="{28A0092B-C50C-407E-A947-70E740481C1C}">
                                                <a14:useLocalDpi xmlns:a14="http://schemas.microsoft.com/office/drawing/2010/main" val="0"/>
                                              </a:ext>
                                            </a:extLst>
                                          </a:blip>
                                          <a:stretch>
                                            <a:fillRect/>
                                          </a:stretch>
                                        </pic:blipFill>
                                        <pic:spPr>
                                          <a:xfrm>
                                            <a:off x="0" y="0"/>
                                            <a:ext cx="838822" cy="9089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dgm="http://schemas.openxmlformats.org/drawingml/2006/diagram">
            <w:pict>
              <v:shapetype id="_x0000_t202" coordsize="21600,21600" o:spt="202" path="m,l,21600r21600,l21600,xe" w14:anchorId="3D5DDC4D">
                <v:stroke joinstyle="miter"/>
                <v:path gradientshapeok="t" o:connecttype="rect"/>
              </v:shapetype>
              <v:shape id="Text Box 1" style="width:90.1pt;height:89.8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">
                <v:textbox>
                  <w:txbxContent>
                    <w:p w:rsidR="0001183B" w:rsidP="004A4963" w:rsidRDefault="0001183B" w14:paraId="73433DB2" w14:textId="77777777">
                      <w:pPr>
                        <w:ind w:left="0"/>
                      </w:pPr>
                      <w:r>
                        <w:rPr>
                          <w:noProof/>
                          <w:lang w:eastAsia="en-AU"/>
                        </w:rPr>
                        <w:drawing>
                          <wp:inline distT="0" distB="0" distL="0" distR="0" wp14:anchorId="6F733294" wp14:editId="4CEF7B34">
                            <wp:extent cx="819848" cy="888385"/>
                            <wp:effectExtent l="0" t="0" r="0" b="635"/>
                            <wp:docPr id="8" name="Picture 8" descr="JAS-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JAS-ANZ"/>
                                    <pic:cNvPicPr/>
                                  </pic:nvPicPr>
                                  <pic:blipFill>
                                    <a:blip r:embed="rId43">
                                      <a:extLst>
                                        <a:ext uri="{28A0092B-C50C-407E-A947-70E740481C1C}">
                                          <a14:useLocalDpi xmlns:a14="http://schemas.microsoft.com/office/drawing/2010/main" val="0"/>
                                        </a:ext>
                                      </a:extLst>
                                    </a:blip>
                                    <a:stretch>
                                      <a:fillRect/>
                                    </a:stretch>
                                  </pic:blipFill>
                                  <pic:spPr>
                                    <a:xfrm>
                                      <a:off x="0" y="0"/>
                                      <a:ext cx="838822" cy="908946"/>
                                    </a:xfrm>
                                    <a:prstGeom prst="rect">
                                      <a:avLst/>
                                    </a:prstGeom>
                                  </pic:spPr>
                                </pic:pic>
                              </a:graphicData>
                            </a:graphic>
                          </wp:inline>
                        </w:drawing>
                      </w:r>
                    </w:p>
                  </w:txbxContent>
                </v:textbox>
                <w10:anchorlock/>
              </v:shape>
            </w:pict>
          </mc:Fallback>
        </mc:AlternateContent>
      </w:r>
      <w:r w:rsidR="00F84C03">
        <w:t xml:space="preserve">Offices in </w:t>
      </w:r>
      <w:r w:rsidR="009173C7">
        <w:t xml:space="preserve">Victoria, Tasmania, </w:t>
      </w:r>
      <w:r w:rsidR="0030186C">
        <w:t>ACT and NSW</w:t>
      </w:r>
    </w:p>
    <w:p w14:paraId="74CDD8F7" w14:textId="77777777" w:rsidR="00F84C03" w:rsidRDefault="00F84C03">
      <w:pPr>
        <w:pStyle w:val="TableBulletShadedTable"/>
        <w:spacing w:before="120" w:after="240"/>
      </w:pPr>
    </w:p>
    <w:p w14:paraId="18097DBC" w14:textId="77777777" w:rsidR="00F84C03" w:rsidRDefault="00F84C03" w:rsidP="00B14601">
      <w:pPr>
        <w:spacing w:after="240"/>
      </w:pPr>
    </w:p>
    <w:p w14:paraId="3F294E78" w14:textId="77777777" w:rsidR="00F84C03" w:rsidRPr="008154B5" w:rsidRDefault="00F84C03" w:rsidP="00B14601">
      <w:pPr>
        <w:pStyle w:val="BodyBold"/>
        <w:spacing w:before="120" w:after="240"/>
      </w:pPr>
      <w:r w:rsidRPr="008154B5">
        <w:t xml:space="preserve">Key </w:t>
      </w:r>
      <w:r w:rsidR="00206C37">
        <w:t>RMCG</w:t>
      </w:r>
      <w:r w:rsidRPr="008154B5">
        <w:t xml:space="preserve"> </w:t>
      </w:r>
      <w:r w:rsidR="00783AED">
        <w:t>c</w:t>
      </w:r>
      <w:r w:rsidRPr="008154B5">
        <w:t>ontact</w:t>
      </w:r>
    </w:p>
    <w:p w14:paraId="2EB41BC6" w14:textId="3BAA5A59" w:rsidR="00F84C03" w:rsidRDefault="00C9116A" w:rsidP="00DC1A32">
      <w:pPr>
        <w:pStyle w:val="BodyNormal"/>
      </w:pPr>
      <w:r>
        <w:t>Emily Tee</w:t>
      </w:r>
    </w:p>
    <w:p w14:paraId="4E9A4E06" w14:textId="68F84277" w:rsidR="00F84C03" w:rsidRDefault="00C9116A" w:rsidP="00DC1A32">
      <w:pPr>
        <w:pStyle w:val="BodyNormal"/>
      </w:pPr>
      <w:r>
        <w:t xml:space="preserve">0409 998 369 </w:t>
      </w:r>
      <w:proofErr w:type="gramStart"/>
      <w:r w:rsidR="00F84C03">
        <w:t xml:space="preserve">—  </w:t>
      </w:r>
      <w:r>
        <w:t>emilyt</w:t>
      </w:r>
      <w:r w:rsidR="001C21FC">
        <w:t>@rmcg.com.au</w:t>
      </w:r>
      <w:proofErr w:type="gramEnd"/>
    </w:p>
    <w:p w14:paraId="10B026E1" w14:textId="77777777" w:rsidR="00F84C03" w:rsidRDefault="00F84C03" w:rsidP="00B14601">
      <w:pPr>
        <w:spacing w:after="240"/>
      </w:pPr>
    </w:p>
    <w:p w14:paraId="50D05264" w14:textId="77777777" w:rsidR="00F84C03" w:rsidRDefault="00F84C03" w:rsidP="00B14601">
      <w:pPr>
        <w:spacing w:after="240"/>
      </w:pPr>
    </w:p>
    <w:p w14:paraId="62F59932" w14:textId="77777777" w:rsidR="00F84C03" w:rsidRPr="008154B5" w:rsidRDefault="00F84C03" w:rsidP="00B14601">
      <w:pPr>
        <w:pStyle w:val="BodyBold"/>
        <w:spacing w:before="120" w:after="240"/>
      </w:pPr>
      <w:r w:rsidRPr="008154B5">
        <w:t>Do</w:t>
      </w:r>
      <w:r w:rsidR="00104199">
        <w:t>cument review and authorisation</w:t>
      </w:r>
      <w:r w:rsidRPr="008154B5">
        <w:t xml:space="preserve"> </w:t>
      </w:r>
    </w:p>
    <w:p w14:paraId="03030F53" w14:textId="5007DD3B" w:rsidR="00F84C03" w:rsidRPr="008154B5" w:rsidRDefault="0030186C" w:rsidP="00B14601">
      <w:pPr>
        <w:pStyle w:val="BodyBold"/>
        <w:spacing w:before="120" w:after="240"/>
      </w:pPr>
      <w:r>
        <w:t>Project</w:t>
      </w:r>
      <w:r w:rsidR="00F84C03" w:rsidRPr="008154B5">
        <w:t xml:space="preserve"> Number:</w:t>
      </w:r>
      <w:r w:rsidR="001A10C9">
        <w:t xml:space="preserve"> 1625</w:t>
      </w:r>
    </w:p>
    <w:tbl>
      <w:tblPr>
        <w:tblStyle w:val="JobNoTable"/>
        <w:tblW w:w="9918" w:type="dxa"/>
        <w:tblLook w:val="04A0" w:firstRow="1" w:lastRow="0" w:firstColumn="1" w:lastColumn="0" w:noHBand="0" w:noVBand="1"/>
      </w:tblPr>
      <w:tblGrid>
        <w:gridCol w:w="1201"/>
        <w:gridCol w:w="1224"/>
        <w:gridCol w:w="1195"/>
        <w:gridCol w:w="1199"/>
        <w:gridCol w:w="1413"/>
        <w:gridCol w:w="1134"/>
        <w:gridCol w:w="1276"/>
        <w:gridCol w:w="1276"/>
      </w:tblGrid>
      <w:tr w:rsidR="00B14601" w14:paraId="1C350199" w14:textId="77777777" w:rsidTr="00AE14A0">
        <w:trPr>
          <w:cnfStyle w:val="100000000000" w:firstRow="1" w:lastRow="0" w:firstColumn="0" w:lastColumn="0" w:oddVBand="0" w:evenVBand="0" w:oddHBand="0" w:evenHBand="0" w:firstRowFirstColumn="0" w:firstRowLastColumn="0" w:lastRowFirstColumn="0" w:lastRowLastColumn="0"/>
        </w:trPr>
        <w:tc>
          <w:tcPr>
            <w:tcW w:w="1201" w:type="dxa"/>
          </w:tcPr>
          <w:p w14:paraId="276F95CE" w14:textId="77777777" w:rsidR="00B14601" w:rsidRPr="00AE14A0" w:rsidRDefault="00B14601" w:rsidP="00B14601">
            <w:pPr>
              <w:spacing w:after="120"/>
              <w:rPr>
                <w:sz w:val="16"/>
                <w:szCs w:val="16"/>
              </w:rPr>
            </w:pPr>
            <w:r w:rsidRPr="00AE14A0">
              <w:rPr>
                <w:sz w:val="16"/>
                <w:szCs w:val="16"/>
              </w:rPr>
              <w:t>Doc Version</w:t>
            </w:r>
          </w:p>
        </w:tc>
        <w:tc>
          <w:tcPr>
            <w:tcW w:w="1224" w:type="dxa"/>
          </w:tcPr>
          <w:p w14:paraId="7ED2D195" w14:textId="77777777" w:rsidR="00B14601" w:rsidRPr="00AE14A0" w:rsidRDefault="00B14601" w:rsidP="00B14601">
            <w:pPr>
              <w:spacing w:after="120"/>
              <w:rPr>
                <w:sz w:val="16"/>
                <w:szCs w:val="16"/>
              </w:rPr>
            </w:pPr>
            <w:r w:rsidRPr="00AE14A0">
              <w:rPr>
                <w:sz w:val="16"/>
                <w:szCs w:val="16"/>
              </w:rPr>
              <w:t>Final/Draft</w:t>
            </w:r>
          </w:p>
        </w:tc>
        <w:tc>
          <w:tcPr>
            <w:tcW w:w="1195" w:type="dxa"/>
          </w:tcPr>
          <w:p w14:paraId="78BF387D" w14:textId="77777777" w:rsidR="00B14601" w:rsidRPr="00AE14A0" w:rsidRDefault="00B14601" w:rsidP="00B14601">
            <w:pPr>
              <w:spacing w:after="120"/>
              <w:rPr>
                <w:sz w:val="16"/>
                <w:szCs w:val="16"/>
              </w:rPr>
            </w:pPr>
            <w:r w:rsidRPr="00AE14A0">
              <w:rPr>
                <w:sz w:val="16"/>
                <w:szCs w:val="16"/>
              </w:rPr>
              <w:t>Date</w:t>
            </w:r>
          </w:p>
        </w:tc>
        <w:tc>
          <w:tcPr>
            <w:tcW w:w="1199" w:type="dxa"/>
          </w:tcPr>
          <w:p w14:paraId="5AE6FAE3" w14:textId="77777777" w:rsidR="00B14601" w:rsidRPr="00AE14A0" w:rsidRDefault="00B14601" w:rsidP="00B14601">
            <w:pPr>
              <w:spacing w:after="120"/>
              <w:rPr>
                <w:sz w:val="16"/>
                <w:szCs w:val="16"/>
              </w:rPr>
            </w:pPr>
            <w:r w:rsidRPr="00AE14A0">
              <w:rPr>
                <w:sz w:val="16"/>
                <w:szCs w:val="16"/>
              </w:rPr>
              <w:t>Author</w:t>
            </w:r>
          </w:p>
        </w:tc>
        <w:tc>
          <w:tcPr>
            <w:tcW w:w="1413" w:type="dxa"/>
          </w:tcPr>
          <w:p w14:paraId="6A33AA75" w14:textId="77777777" w:rsidR="00B14601" w:rsidRPr="00AE14A0" w:rsidRDefault="00AE14A0" w:rsidP="00B14601">
            <w:pPr>
              <w:spacing w:after="120"/>
              <w:rPr>
                <w:sz w:val="16"/>
                <w:szCs w:val="16"/>
              </w:rPr>
            </w:pPr>
            <w:r>
              <w:rPr>
                <w:sz w:val="16"/>
                <w:szCs w:val="16"/>
              </w:rPr>
              <w:t xml:space="preserve">Project Director </w:t>
            </w:r>
            <w:r w:rsidR="00DC1A32" w:rsidRPr="00AE14A0">
              <w:rPr>
                <w:sz w:val="16"/>
                <w:szCs w:val="16"/>
              </w:rPr>
              <w:t>review</w:t>
            </w:r>
          </w:p>
        </w:tc>
        <w:tc>
          <w:tcPr>
            <w:tcW w:w="1134" w:type="dxa"/>
          </w:tcPr>
          <w:p w14:paraId="5B1F3C18" w14:textId="77777777" w:rsidR="00B14601" w:rsidRPr="00AE14A0" w:rsidRDefault="00DC1A32" w:rsidP="00B14601">
            <w:pPr>
              <w:spacing w:after="120"/>
              <w:rPr>
                <w:sz w:val="16"/>
                <w:szCs w:val="16"/>
              </w:rPr>
            </w:pPr>
            <w:r w:rsidRPr="00AE14A0">
              <w:rPr>
                <w:sz w:val="16"/>
                <w:szCs w:val="16"/>
              </w:rPr>
              <w:t xml:space="preserve">BST </w:t>
            </w:r>
            <w:r w:rsidR="00EE4EC8" w:rsidRPr="00AE14A0">
              <w:rPr>
                <w:sz w:val="16"/>
                <w:szCs w:val="16"/>
              </w:rPr>
              <w:t xml:space="preserve">       </w:t>
            </w:r>
            <w:r w:rsidRPr="00AE14A0">
              <w:rPr>
                <w:sz w:val="16"/>
                <w:szCs w:val="16"/>
              </w:rPr>
              <w:t>QA</w:t>
            </w:r>
            <w:r w:rsidR="00B14601" w:rsidRPr="00AE14A0">
              <w:rPr>
                <w:sz w:val="16"/>
                <w:szCs w:val="16"/>
              </w:rPr>
              <w:t xml:space="preserve"> </w:t>
            </w:r>
            <w:r w:rsidRPr="00AE14A0">
              <w:rPr>
                <w:sz w:val="16"/>
                <w:szCs w:val="16"/>
              </w:rPr>
              <w:t>review</w:t>
            </w:r>
          </w:p>
        </w:tc>
        <w:tc>
          <w:tcPr>
            <w:tcW w:w="1276" w:type="dxa"/>
          </w:tcPr>
          <w:p w14:paraId="58514CA5" w14:textId="77777777" w:rsidR="00B14601" w:rsidRPr="00AE14A0" w:rsidRDefault="00B14601" w:rsidP="00B14601">
            <w:pPr>
              <w:spacing w:after="120"/>
              <w:rPr>
                <w:sz w:val="16"/>
                <w:szCs w:val="16"/>
              </w:rPr>
            </w:pPr>
            <w:r w:rsidRPr="00AE14A0">
              <w:rPr>
                <w:sz w:val="16"/>
                <w:szCs w:val="16"/>
              </w:rPr>
              <w:t>Release approved by</w:t>
            </w:r>
          </w:p>
        </w:tc>
        <w:tc>
          <w:tcPr>
            <w:tcW w:w="1276" w:type="dxa"/>
          </w:tcPr>
          <w:p w14:paraId="41F62D4F" w14:textId="77777777" w:rsidR="00B14601" w:rsidRPr="00AE14A0" w:rsidRDefault="00B14601" w:rsidP="00B14601">
            <w:pPr>
              <w:spacing w:after="120"/>
              <w:rPr>
                <w:sz w:val="16"/>
                <w:szCs w:val="16"/>
              </w:rPr>
            </w:pPr>
            <w:r w:rsidRPr="00AE14A0">
              <w:rPr>
                <w:sz w:val="16"/>
                <w:szCs w:val="16"/>
              </w:rPr>
              <w:t>Issued to</w:t>
            </w:r>
          </w:p>
        </w:tc>
      </w:tr>
      <w:tr w:rsidR="00B14601" w14:paraId="51628C6D" w14:textId="77777777" w:rsidTr="00AE14A0">
        <w:tc>
          <w:tcPr>
            <w:tcW w:w="1201" w:type="dxa"/>
          </w:tcPr>
          <w:p w14:paraId="388B1284" w14:textId="77777777" w:rsidR="00B14601" w:rsidRPr="00AE14A0" w:rsidRDefault="00B14601" w:rsidP="00B14601">
            <w:pPr>
              <w:spacing w:after="120"/>
              <w:rPr>
                <w:sz w:val="16"/>
                <w:szCs w:val="16"/>
              </w:rPr>
            </w:pPr>
            <w:r w:rsidRPr="00AE14A0">
              <w:rPr>
                <w:sz w:val="16"/>
                <w:szCs w:val="16"/>
              </w:rPr>
              <w:t>1.0</w:t>
            </w:r>
          </w:p>
        </w:tc>
        <w:tc>
          <w:tcPr>
            <w:tcW w:w="1224" w:type="dxa"/>
          </w:tcPr>
          <w:p w14:paraId="4A5213D1" w14:textId="77777777" w:rsidR="00B14601" w:rsidRPr="00AE14A0" w:rsidRDefault="00B14601" w:rsidP="00B14601">
            <w:pPr>
              <w:spacing w:after="120"/>
              <w:rPr>
                <w:sz w:val="16"/>
                <w:szCs w:val="16"/>
              </w:rPr>
            </w:pPr>
            <w:r w:rsidRPr="00AE14A0">
              <w:rPr>
                <w:sz w:val="16"/>
                <w:szCs w:val="16"/>
              </w:rPr>
              <w:t>Draft</w:t>
            </w:r>
          </w:p>
        </w:tc>
        <w:tc>
          <w:tcPr>
            <w:tcW w:w="1195" w:type="dxa"/>
          </w:tcPr>
          <w:p w14:paraId="49CF05CD" w14:textId="24117C66" w:rsidR="00B14601" w:rsidRPr="00AE14A0" w:rsidRDefault="00C9116A" w:rsidP="00B14601">
            <w:pPr>
              <w:spacing w:after="120"/>
              <w:rPr>
                <w:sz w:val="16"/>
                <w:szCs w:val="16"/>
              </w:rPr>
            </w:pPr>
            <w:r>
              <w:rPr>
                <w:sz w:val="16"/>
                <w:szCs w:val="16"/>
              </w:rPr>
              <w:t>7 Nov 2022</w:t>
            </w:r>
          </w:p>
        </w:tc>
        <w:tc>
          <w:tcPr>
            <w:tcW w:w="1199" w:type="dxa"/>
          </w:tcPr>
          <w:p w14:paraId="1DB46CA0" w14:textId="77777777" w:rsidR="00B14601" w:rsidRDefault="00C9116A" w:rsidP="00B14601">
            <w:pPr>
              <w:spacing w:after="120"/>
              <w:rPr>
                <w:sz w:val="16"/>
                <w:szCs w:val="16"/>
              </w:rPr>
            </w:pPr>
            <w:r>
              <w:rPr>
                <w:sz w:val="16"/>
                <w:szCs w:val="16"/>
              </w:rPr>
              <w:t>Emily Tee</w:t>
            </w:r>
          </w:p>
          <w:p w14:paraId="7FB6FE55" w14:textId="77777777" w:rsidR="00D23F7B" w:rsidRDefault="00D23F7B" w:rsidP="00B14601">
            <w:pPr>
              <w:spacing w:after="120"/>
              <w:rPr>
                <w:sz w:val="16"/>
                <w:szCs w:val="16"/>
              </w:rPr>
            </w:pPr>
            <w:r>
              <w:rPr>
                <w:sz w:val="16"/>
                <w:szCs w:val="16"/>
              </w:rPr>
              <w:t>Carley Fuller</w:t>
            </w:r>
          </w:p>
          <w:p w14:paraId="261E7140" w14:textId="2A0723CC" w:rsidR="00D23F7B" w:rsidRPr="00AE14A0" w:rsidRDefault="00D23F7B" w:rsidP="00B14601">
            <w:pPr>
              <w:spacing w:after="120"/>
              <w:rPr>
                <w:sz w:val="16"/>
                <w:szCs w:val="16"/>
              </w:rPr>
            </w:pPr>
            <w:r>
              <w:rPr>
                <w:sz w:val="16"/>
                <w:szCs w:val="16"/>
              </w:rPr>
              <w:t>Samantha Gadsby</w:t>
            </w:r>
          </w:p>
        </w:tc>
        <w:tc>
          <w:tcPr>
            <w:tcW w:w="1413" w:type="dxa"/>
          </w:tcPr>
          <w:p w14:paraId="78EB6DAD" w14:textId="3269B95A" w:rsidR="00B14601" w:rsidRPr="00AE14A0" w:rsidRDefault="00B14601" w:rsidP="00B14601">
            <w:pPr>
              <w:spacing w:after="120"/>
              <w:rPr>
                <w:sz w:val="16"/>
                <w:szCs w:val="16"/>
              </w:rPr>
            </w:pPr>
          </w:p>
        </w:tc>
        <w:tc>
          <w:tcPr>
            <w:tcW w:w="1134" w:type="dxa"/>
          </w:tcPr>
          <w:p w14:paraId="7ADB8659" w14:textId="77777777" w:rsidR="00B14601" w:rsidRPr="00AE14A0" w:rsidRDefault="00B14601" w:rsidP="00B14601">
            <w:pPr>
              <w:spacing w:after="120"/>
              <w:rPr>
                <w:sz w:val="16"/>
                <w:szCs w:val="16"/>
              </w:rPr>
            </w:pPr>
          </w:p>
        </w:tc>
        <w:tc>
          <w:tcPr>
            <w:tcW w:w="1276" w:type="dxa"/>
          </w:tcPr>
          <w:p w14:paraId="52BDF1F4" w14:textId="77777777" w:rsidR="00B14601" w:rsidRPr="00AE14A0" w:rsidRDefault="00B14601" w:rsidP="00B14601">
            <w:pPr>
              <w:spacing w:after="120"/>
              <w:rPr>
                <w:sz w:val="16"/>
                <w:szCs w:val="16"/>
              </w:rPr>
            </w:pPr>
          </w:p>
        </w:tc>
        <w:tc>
          <w:tcPr>
            <w:tcW w:w="1276" w:type="dxa"/>
          </w:tcPr>
          <w:p w14:paraId="5BF7ED96" w14:textId="62FE7D40" w:rsidR="00B14601" w:rsidRPr="00AE14A0" w:rsidRDefault="001A10C9" w:rsidP="00B14601">
            <w:pPr>
              <w:spacing w:after="120"/>
              <w:rPr>
                <w:sz w:val="16"/>
                <w:szCs w:val="16"/>
              </w:rPr>
            </w:pPr>
            <w:r>
              <w:rPr>
                <w:sz w:val="16"/>
                <w:szCs w:val="16"/>
              </w:rPr>
              <w:t>S. Annett</w:t>
            </w:r>
          </w:p>
        </w:tc>
      </w:tr>
      <w:tr w:rsidR="001A10C9" w14:paraId="1CCFA87A" w14:textId="77777777" w:rsidTr="00AE14A0">
        <w:tc>
          <w:tcPr>
            <w:tcW w:w="1201" w:type="dxa"/>
          </w:tcPr>
          <w:p w14:paraId="4CB211E1" w14:textId="5CEA590C" w:rsidR="001A10C9" w:rsidRPr="00AE14A0" w:rsidRDefault="001A10C9" w:rsidP="001A10C9">
            <w:pPr>
              <w:spacing w:after="120"/>
              <w:rPr>
                <w:sz w:val="16"/>
                <w:szCs w:val="16"/>
              </w:rPr>
            </w:pPr>
            <w:r>
              <w:rPr>
                <w:sz w:val="16"/>
                <w:szCs w:val="16"/>
              </w:rPr>
              <w:lastRenderedPageBreak/>
              <w:t>1</w:t>
            </w:r>
            <w:r w:rsidR="00D23F7B">
              <w:rPr>
                <w:sz w:val="16"/>
                <w:szCs w:val="16"/>
              </w:rPr>
              <w:t>.</w:t>
            </w:r>
            <w:r>
              <w:rPr>
                <w:sz w:val="16"/>
                <w:szCs w:val="16"/>
              </w:rPr>
              <w:t>1</w:t>
            </w:r>
          </w:p>
        </w:tc>
        <w:tc>
          <w:tcPr>
            <w:tcW w:w="1224" w:type="dxa"/>
          </w:tcPr>
          <w:p w14:paraId="6664CE3C" w14:textId="3D1AAF63" w:rsidR="001A10C9" w:rsidRPr="00AE14A0" w:rsidRDefault="001A10C9" w:rsidP="001A10C9">
            <w:pPr>
              <w:spacing w:after="120"/>
              <w:rPr>
                <w:sz w:val="16"/>
                <w:szCs w:val="16"/>
              </w:rPr>
            </w:pPr>
            <w:r>
              <w:rPr>
                <w:sz w:val="16"/>
                <w:szCs w:val="16"/>
              </w:rPr>
              <w:t>Draft</w:t>
            </w:r>
          </w:p>
        </w:tc>
        <w:tc>
          <w:tcPr>
            <w:tcW w:w="1195" w:type="dxa"/>
          </w:tcPr>
          <w:p w14:paraId="4448CA69" w14:textId="6359A942" w:rsidR="001A10C9" w:rsidRPr="00AE14A0" w:rsidRDefault="00E96C1E" w:rsidP="001A10C9">
            <w:pPr>
              <w:spacing w:after="120"/>
              <w:rPr>
                <w:sz w:val="16"/>
                <w:szCs w:val="16"/>
              </w:rPr>
            </w:pPr>
            <w:r>
              <w:rPr>
                <w:sz w:val="16"/>
                <w:szCs w:val="16"/>
              </w:rPr>
              <w:t xml:space="preserve">10 </w:t>
            </w:r>
            <w:r w:rsidR="001A10C9">
              <w:rPr>
                <w:sz w:val="16"/>
                <w:szCs w:val="16"/>
              </w:rPr>
              <w:t>Nov</w:t>
            </w:r>
            <w:r w:rsidR="00D23F7B">
              <w:rPr>
                <w:sz w:val="16"/>
                <w:szCs w:val="16"/>
              </w:rPr>
              <w:t xml:space="preserve"> 20</w:t>
            </w:r>
            <w:r w:rsidR="001A10C9">
              <w:rPr>
                <w:sz w:val="16"/>
                <w:szCs w:val="16"/>
              </w:rPr>
              <w:t>22</w:t>
            </w:r>
          </w:p>
        </w:tc>
        <w:tc>
          <w:tcPr>
            <w:tcW w:w="1199" w:type="dxa"/>
          </w:tcPr>
          <w:p w14:paraId="799AE813" w14:textId="77777777" w:rsidR="001A10C9" w:rsidRDefault="001A10C9" w:rsidP="001A10C9">
            <w:pPr>
              <w:spacing w:after="120"/>
              <w:rPr>
                <w:sz w:val="16"/>
                <w:szCs w:val="16"/>
              </w:rPr>
            </w:pPr>
            <w:r>
              <w:rPr>
                <w:sz w:val="16"/>
                <w:szCs w:val="16"/>
              </w:rPr>
              <w:t>Emily Tee</w:t>
            </w:r>
          </w:p>
          <w:p w14:paraId="04791D52" w14:textId="77777777" w:rsidR="00D23F7B" w:rsidRDefault="00D23F7B" w:rsidP="00D23F7B">
            <w:pPr>
              <w:spacing w:after="120"/>
              <w:rPr>
                <w:sz w:val="16"/>
                <w:szCs w:val="16"/>
              </w:rPr>
            </w:pPr>
            <w:r>
              <w:rPr>
                <w:sz w:val="16"/>
                <w:szCs w:val="16"/>
              </w:rPr>
              <w:t>Carley Fuller</w:t>
            </w:r>
          </w:p>
          <w:p w14:paraId="3789E63A" w14:textId="356686DD" w:rsidR="00D23F7B" w:rsidRPr="00AE14A0" w:rsidRDefault="00D23F7B" w:rsidP="00D23F7B">
            <w:pPr>
              <w:spacing w:after="120"/>
              <w:rPr>
                <w:sz w:val="16"/>
                <w:szCs w:val="16"/>
              </w:rPr>
            </w:pPr>
            <w:r>
              <w:rPr>
                <w:sz w:val="16"/>
                <w:szCs w:val="16"/>
              </w:rPr>
              <w:t>Samantha Gadsby</w:t>
            </w:r>
          </w:p>
        </w:tc>
        <w:tc>
          <w:tcPr>
            <w:tcW w:w="1413" w:type="dxa"/>
          </w:tcPr>
          <w:p w14:paraId="40520EDF" w14:textId="704D8000" w:rsidR="001A10C9" w:rsidRPr="00AE14A0" w:rsidRDefault="001A10C9" w:rsidP="001A10C9">
            <w:pPr>
              <w:spacing w:after="120"/>
              <w:rPr>
                <w:sz w:val="16"/>
                <w:szCs w:val="16"/>
              </w:rPr>
            </w:pPr>
            <w:r>
              <w:rPr>
                <w:sz w:val="16"/>
                <w:szCs w:val="16"/>
              </w:rPr>
              <w:t>S. Annett</w:t>
            </w:r>
          </w:p>
        </w:tc>
        <w:tc>
          <w:tcPr>
            <w:tcW w:w="1134" w:type="dxa"/>
          </w:tcPr>
          <w:p w14:paraId="271145A6" w14:textId="49FFBB2B" w:rsidR="001A10C9" w:rsidRPr="00AE14A0" w:rsidRDefault="00E96C1E" w:rsidP="001A10C9">
            <w:pPr>
              <w:spacing w:after="120"/>
              <w:rPr>
                <w:sz w:val="16"/>
                <w:szCs w:val="16"/>
              </w:rPr>
            </w:pPr>
            <w:r>
              <w:rPr>
                <w:sz w:val="16"/>
                <w:szCs w:val="16"/>
              </w:rPr>
              <w:t>B. Gravenor</w:t>
            </w:r>
          </w:p>
        </w:tc>
        <w:tc>
          <w:tcPr>
            <w:tcW w:w="1276" w:type="dxa"/>
          </w:tcPr>
          <w:p w14:paraId="5CA9B377" w14:textId="3ABFD371" w:rsidR="001A10C9" w:rsidRPr="00AE14A0" w:rsidRDefault="001A10C9" w:rsidP="001A10C9">
            <w:pPr>
              <w:spacing w:after="120"/>
              <w:rPr>
                <w:sz w:val="16"/>
                <w:szCs w:val="16"/>
              </w:rPr>
            </w:pPr>
            <w:r>
              <w:rPr>
                <w:sz w:val="16"/>
                <w:szCs w:val="16"/>
              </w:rPr>
              <w:t>S. Annett</w:t>
            </w:r>
          </w:p>
        </w:tc>
        <w:tc>
          <w:tcPr>
            <w:tcW w:w="1276" w:type="dxa"/>
          </w:tcPr>
          <w:p w14:paraId="30E6F9C9" w14:textId="77777777" w:rsidR="001A10C9" w:rsidRDefault="00686482" w:rsidP="001A10C9">
            <w:pPr>
              <w:spacing w:after="120"/>
              <w:rPr>
                <w:sz w:val="16"/>
                <w:szCs w:val="16"/>
              </w:rPr>
            </w:pPr>
            <w:r>
              <w:rPr>
                <w:sz w:val="16"/>
                <w:szCs w:val="16"/>
              </w:rPr>
              <w:t>C. Mildren &amp; D. Cotterell</w:t>
            </w:r>
          </w:p>
          <w:p w14:paraId="7556C4FA" w14:textId="1071DCAA" w:rsidR="00686482" w:rsidRPr="00AE14A0" w:rsidRDefault="00686482" w:rsidP="001A10C9">
            <w:pPr>
              <w:spacing w:after="120"/>
              <w:rPr>
                <w:sz w:val="16"/>
                <w:szCs w:val="16"/>
              </w:rPr>
            </w:pPr>
            <w:r>
              <w:rPr>
                <w:sz w:val="16"/>
                <w:szCs w:val="16"/>
              </w:rPr>
              <w:t>(DELWP)</w:t>
            </w:r>
          </w:p>
        </w:tc>
      </w:tr>
      <w:tr w:rsidR="00EB4C4D" w14:paraId="124BAE27" w14:textId="77777777" w:rsidTr="00AE14A0">
        <w:tc>
          <w:tcPr>
            <w:tcW w:w="1201" w:type="dxa"/>
          </w:tcPr>
          <w:p w14:paraId="00DAFF32" w14:textId="4A38B9EA" w:rsidR="00EB4C4D" w:rsidRDefault="00EB4C4D" w:rsidP="001A10C9">
            <w:pPr>
              <w:spacing w:after="120"/>
              <w:rPr>
                <w:sz w:val="16"/>
                <w:szCs w:val="16"/>
              </w:rPr>
            </w:pPr>
            <w:r>
              <w:rPr>
                <w:sz w:val="16"/>
                <w:szCs w:val="16"/>
              </w:rPr>
              <w:t>1.2</w:t>
            </w:r>
          </w:p>
        </w:tc>
        <w:tc>
          <w:tcPr>
            <w:tcW w:w="1224" w:type="dxa"/>
          </w:tcPr>
          <w:p w14:paraId="6C7CE486" w14:textId="31111475" w:rsidR="00EB4C4D" w:rsidRDefault="00EB4C4D" w:rsidP="001A10C9">
            <w:pPr>
              <w:spacing w:after="120"/>
              <w:rPr>
                <w:sz w:val="16"/>
                <w:szCs w:val="16"/>
              </w:rPr>
            </w:pPr>
            <w:r>
              <w:rPr>
                <w:sz w:val="16"/>
                <w:szCs w:val="16"/>
              </w:rPr>
              <w:t>Draft</w:t>
            </w:r>
          </w:p>
        </w:tc>
        <w:tc>
          <w:tcPr>
            <w:tcW w:w="1195" w:type="dxa"/>
          </w:tcPr>
          <w:p w14:paraId="0E57CDD6" w14:textId="0683913C" w:rsidR="00EB4C4D" w:rsidRDefault="00EB4C4D" w:rsidP="001A10C9">
            <w:pPr>
              <w:spacing w:after="120"/>
              <w:rPr>
                <w:sz w:val="16"/>
                <w:szCs w:val="16"/>
              </w:rPr>
            </w:pPr>
            <w:r>
              <w:rPr>
                <w:sz w:val="16"/>
                <w:szCs w:val="16"/>
              </w:rPr>
              <w:t>2 Dec 2022</w:t>
            </w:r>
          </w:p>
        </w:tc>
        <w:tc>
          <w:tcPr>
            <w:tcW w:w="1199" w:type="dxa"/>
          </w:tcPr>
          <w:p w14:paraId="7C2B1132" w14:textId="77777777" w:rsidR="00EB4C4D" w:rsidRDefault="00EB4C4D" w:rsidP="00EB4C4D">
            <w:pPr>
              <w:spacing w:after="120"/>
              <w:rPr>
                <w:sz w:val="16"/>
                <w:szCs w:val="16"/>
              </w:rPr>
            </w:pPr>
            <w:r>
              <w:rPr>
                <w:sz w:val="16"/>
                <w:szCs w:val="16"/>
              </w:rPr>
              <w:t>Emily Tee</w:t>
            </w:r>
          </w:p>
          <w:p w14:paraId="3C637325" w14:textId="77777777" w:rsidR="00EB4C4D" w:rsidRDefault="00EB4C4D" w:rsidP="00EB4C4D">
            <w:pPr>
              <w:spacing w:after="120"/>
              <w:rPr>
                <w:sz w:val="16"/>
                <w:szCs w:val="16"/>
              </w:rPr>
            </w:pPr>
            <w:r>
              <w:rPr>
                <w:sz w:val="16"/>
                <w:szCs w:val="16"/>
              </w:rPr>
              <w:t>Carley Fuller</w:t>
            </w:r>
          </w:p>
          <w:p w14:paraId="586AC8C5" w14:textId="77777777" w:rsidR="00EB4C4D" w:rsidRDefault="00EB4C4D" w:rsidP="00EB4C4D">
            <w:pPr>
              <w:spacing w:after="120"/>
              <w:rPr>
                <w:sz w:val="16"/>
                <w:szCs w:val="16"/>
              </w:rPr>
            </w:pPr>
            <w:r>
              <w:rPr>
                <w:sz w:val="16"/>
                <w:szCs w:val="16"/>
              </w:rPr>
              <w:t>Samantha Gadsby</w:t>
            </w:r>
          </w:p>
          <w:p w14:paraId="598051FF" w14:textId="79B88FB4" w:rsidR="00EB4C4D" w:rsidRDefault="00EB4C4D" w:rsidP="00EB4C4D">
            <w:pPr>
              <w:spacing w:after="120"/>
              <w:rPr>
                <w:sz w:val="16"/>
                <w:szCs w:val="16"/>
              </w:rPr>
            </w:pPr>
            <w:r>
              <w:rPr>
                <w:sz w:val="16"/>
                <w:szCs w:val="16"/>
              </w:rPr>
              <w:t>Shayne Annett</w:t>
            </w:r>
          </w:p>
        </w:tc>
        <w:tc>
          <w:tcPr>
            <w:tcW w:w="1413" w:type="dxa"/>
          </w:tcPr>
          <w:p w14:paraId="2AD699E0" w14:textId="3C3D7BF8" w:rsidR="00EB4C4D" w:rsidRDefault="00EB4C4D" w:rsidP="001A10C9">
            <w:pPr>
              <w:spacing w:after="120"/>
              <w:rPr>
                <w:sz w:val="16"/>
                <w:szCs w:val="16"/>
              </w:rPr>
            </w:pPr>
            <w:r>
              <w:rPr>
                <w:sz w:val="16"/>
                <w:szCs w:val="16"/>
              </w:rPr>
              <w:t>S. Annett</w:t>
            </w:r>
          </w:p>
        </w:tc>
        <w:tc>
          <w:tcPr>
            <w:tcW w:w="1134" w:type="dxa"/>
          </w:tcPr>
          <w:p w14:paraId="05D9F1FB" w14:textId="77777777" w:rsidR="00EB4C4D" w:rsidRDefault="00EB4C4D" w:rsidP="001A10C9">
            <w:pPr>
              <w:spacing w:after="120"/>
              <w:rPr>
                <w:sz w:val="16"/>
                <w:szCs w:val="16"/>
              </w:rPr>
            </w:pPr>
          </w:p>
        </w:tc>
        <w:tc>
          <w:tcPr>
            <w:tcW w:w="1276" w:type="dxa"/>
          </w:tcPr>
          <w:p w14:paraId="1524E83A" w14:textId="7351A0E7" w:rsidR="00EB4C4D" w:rsidRDefault="00EB4C4D" w:rsidP="001A10C9">
            <w:pPr>
              <w:spacing w:after="120"/>
              <w:rPr>
                <w:sz w:val="16"/>
                <w:szCs w:val="16"/>
              </w:rPr>
            </w:pPr>
            <w:r>
              <w:rPr>
                <w:sz w:val="16"/>
                <w:szCs w:val="16"/>
              </w:rPr>
              <w:t>S. Annett</w:t>
            </w:r>
          </w:p>
        </w:tc>
        <w:tc>
          <w:tcPr>
            <w:tcW w:w="1276" w:type="dxa"/>
          </w:tcPr>
          <w:p w14:paraId="02F41688" w14:textId="77777777" w:rsidR="00EB4C4D" w:rsidRDefault="00EB4C4D" w:rsidP="00EB4C4D">
            <w:pPr>
              <w:spacing w:after="120"/>
              <w:rPr>
                <w:sz w:val="16"/>
                <w:szCs w:val="16"/>
              </w:rPr>
            </w:pPr>
            <w:r>
              <w:rPr>
                <w:sz w:val="16"/>
                <w:szCs w:val="16"/>
              </w:rPr>
              <w:t>C. Mildren &amp; D. Cotterell</w:t>
            </w:r>
          </w:p>
          <w:p w14:paraId="43EDBBD5" w14:textId="69111E1E" w:rsidR="00EB4C4D" w:rsidRDefault="00EB4C4D" w:rsidP="00EB4C4D">
            <w:pPr>
              <w:spacing w:after="120"/>
              <w:rPr>
                <w:sz w:val="16"/>
                <w:szCs w:val="16"/>
              </w:rPr>
            </w:pPr>
            <w:r>
              <w:rPr>
                <w:sz w:val="16"/>
                <w:szCs w:val="16"/>
              </w:rPr>
              <w:t>(DELWP)</w:t>
            </w:r>
          </w:p>
        </w:tc>
      </w:tr>
      <w:tr w:rsidR="00D74F7D" w14:paraId="3729452F" w14:textId="77777777" w:rsidTr="00AE14A0">
        <w:tc>
          <w:tcPr>
            <w:tcW w:w="1201" w:type="dxa"/>
          </w:tcPr>
          <w:p w14:paraId="1B6BEA54" w14:textId="5F01C2D3" w:rsidR="00D74F7D" w:rsidRDefault="00D74F7D" w:rsidP="00D74F7D">
            <w:pPr>
              <w:spacing w:after="120"/>
              <w:rPr>
                <w:sz w:val="16"/>
                <w:szCs w:val="16"/>
              </w:rPr>
            </w:pPr>
            <w:r>
              <w:rPr>
                <w:sz w:val="16"/>
                <w:szCs w:val="16"/>
              </w:rPr>
              <w:t>1.3</w:t>
            </w:r>
          </w:p>
        </w:tc>
        <w:tc>
          <w:tcPr>
            <w:tcW w:w="1224" w:type="dxa"/>
          </w:tcPr>
          <w:p w14:paraId="16096864" w14:textId="66FACFEA" w:rsidR="00D74F7D" w:rsidRDefault="00D74F7D" w:rsidP="00D74F7D">
            <w:pPr>
              <w:spacing w:after="120"/>
              <w:rPr>
                <w:sz w:val="16"/>
                <w:szCs w:val="16"/>
              </w:rPr>
            </w:pPr>
            <w:r>
              <w:rPr>
                <w:sz w:val="16"/>
                <w:szCs w:val="16"/>
              </w:rPr>
              <w:t>Final</w:t>
            </w:r>
          </w:p>
        </w:tc>
        <w:tc>
          <w:tcPr>
            <w:tcW w:w="1195" w:type="dxa"/>
          </w:tcPr>
          <w:p w14:paraId="01F68FEF" w14:textId="752BABEE" w:rsidR="00D74F7D" w:rsidRDefault="00D74F7D" w:rsidP="00D74F7D">
            <w:pPr>
              <w:spacing w:after="120"/>
              <w:rPr>
                <w:sz w:val="16"/>
                <w:szCs w:val="16"/>
              </w:rPr>
            </w:pPr>
            <w:r>
              <w:rPr>
                <w:sz w:val="16"/>
                <w:szCs w:val="16"/>
              </w:rPr>
              <w:t>5 Dec 2022</w:t>
            </w:r>
          </w:p>
        </w:tc>
        <w:tc>
          <w:tcPr>
            <w:tcW w:w="1199" w:type="dxa"/>
          </w:tcPr>
          <w:p w14:paraId="3F9ECB20" w14:textId="77777777" w:rsidR="00D74F7D" w:rsidRDefault="00D74F7D" w:rsidP="00D74F7D">
            <w:pPr>
              <w:spacing w:after="120"/>
              <w:rPr>
                <w:sz w:val="16"/>
                <w:szCs w:val="16"/>
              </w:rPr>
            </w:pPr>
            <w:r>
              <w:rPr>
                <w:sz w:val="16"/>
                <w:szCs w:val="16"/>
              </w:rPr>
              <w:t>Emily Tee</w:t>
            </w:r>
          </w:p>
          <w:p w14:paraId="6AFC81DD" w14:textId="2236E79D" w:rsidR="00D74F7D" w:rsidRDefault="00D74F7D" w:rsidP="00D74F7D">
            <w:pPr>
              <w:spacing w:after="120"/>
              <w:rPr>
                <w:sz w:val="16"/>
                <w:szCs w:val="16"/>
              </w:rPr>
            </w:pPr>
            <w:r>
              <w:rPr>
                <w:sz w:val="16"/>
                <w:szCs w:val="16"/>
              </w:rPr>
              <w:t>Shayne Annett</w:t>
            </w:r>
          </w:p>
        </w:tc>
        <w:tc>
          <w:tcPr>
            <w:tcW w:w="1413" w:type="dxa"/>
          </w:tcPr>
          <w:p w14:paraId="740EE469" w14:textId="63C7AD2F" w:rsidR="00D74F7D" w:rsidRDefault="00D74F7D" w:rsidP="00D74F7D">
            <w:pPr>
              <w:spacing w:after="120"/>
              <w:rPr>
                <w:sz w:val="16"/>
                <w:szCs w:val="16"/>
              </w:rPr>
            </w:pPr>
            <w:r>
              <w:rPr>
                <w:sz w:val="16"/>
                <w:szCs w:val="16"/>
              </w:rPr>
              <w:t>S. Annett</w:t>
            </w:r>
          </w:p>
        </w:tc>
        <w:tc>
          <w:tcPr>
            <w:tcW w:w="1134" w:type="dxa"/>
          </w:tcPr>
          <w:p w14:paraId="7A5D7AEA" w14:textId="77777777" w:rsidR="00D74F7D" w:rsidRDefault="00D74F7D" w:rsidP="00D74F7D">
            <w:pPr>
              <w:spacing w:after="120"/>
              <w:rPr>
                <w:sz w:val="16"/>
                <w:szCs w:val="16"/>
              </w:rPr>
            </w:pPr>
          </w:p>
        </w:tc>
        <w:tc>
          <w:tcPr>
            <w:tcW w:w="1276" w:type="dxa"/>
          </w:tcPr>
          <w:p w14:paraId="6F415D10" w14:textId="4F3E6A40" w:rsidR="00D74F7D" w:rsidRDefault="00D74F7D" w:rsidP="00D74F7D">
            <w:pPr>
              <w:spacing w:after="120"/>
              <w:rPr>
                <w:sz w:val="16"/>
                <w:szCs w:val="16"/>
              </w:rPr>
            </w:pPr>
            <w:r>
              <w:rPr>
                <w:sz w:val="16"/>
                <w:szCs w:val="16"/>
              </w:rPr>
              <w:t>S. Annett</w:t>
            </w:r>
          </w:p>
        </w:tc>
        <w:tc>
          <w:tcPr>
            <w:tcW w:w="1276" w:type="dxa"/>
          </w:tcPr>
          <w:p w14:paraId="3659CEEA" w14:textId="77777777" w:rsidR="00D74F7D" w:rsidRDefault="00D74F7D" w:rsidP="00D74F7D">
            <w:pPr>
              <w:spacing w:after="120"/>
              <w:rPr>
                <w:sz w:val="16"/>
                <w:szCs w:val="16"/>
              </w:rPr>
            </w:pPr>
            <w:r>
              <w:rPr>
                <w:sz w:val="16"/>
                <w:szCs w:val="16"/>
              </w:rPr>
              <w:t>C. Mildren &amp; D. Cotterell</w:t>
            </w:r>
          </w:p>
          <w:p w14:paraId="399C2AF8" w14:textId="2E63AB1E" w:rsidR="00D74F7D" w:rsidRDefault="00D74F7D" w:rsidP="00D74F7D">
            <w:pPr>
              <w:spacing w:after="120"/>
              <w:rPr>
                <w:sz w:val="16"/>
                <w:szCs w:val="16"/>
              </w:rPr>
            </w:pPr>
            <w:r>
              <w:rPr>
                <w:sz w:val="16"/>
                <w:szCs w:val="16"/>
              </w:rPr>
              <w:t>(DELWP)</w:t>
            </w:r>
          </w:p>
        </w:tc>
      </w:tr>
    </w:tbl>
    <w:p w14:paraId="11C11C92" w14:textId="77777777" w:rsidR="00F84C03" w:rsidRDefault="00F84C03" w:rsidP="00F84C03"/>
    <w:sectPr w:rsidR="00F84C03" w:rsidSect="0004110A">
      <w:headerReference w:type="default" r:id="rId44"/>
      <w:footerReference w:type="default" r:id="rId45"/>
      <w:pgSz w:w="11906" w:h="16838" w:code="9"/>
      <w:pgMar w:top="938" w:right="1134" w:bottom="1393"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64813" w14:textId="77777777" w:rsidR="000607E3" w:rsidRPr="000D4EDE" w:rsidRDefault="000607E3" w:rsidP="000D4EDE">
      <w:r>
        <w:separator/>
      </w:r>
    </w:p>
    <w:p w14:paraId="5967F963" w14:textId="77777777" w:rsidR="000607E3" w:rsidRDefault="000607E3"/>
  </w:endnote>
  <w:endnote w:type="continuationSeparator" w:id="0">
    <w:p w14:paraId="4D1EBF56" w14:textId="77777777" w:rsidR="000607E3" w:rsidRPr="000D4EDE" w:rsidRDefault="000607E3" w:rsidP="000D4EDE">
      <w:r>
        <w:continuationSeparator/>
      </w:r>
    </w:p>
    <w:p w14:paraId="2F9F143E" w14:textId="77777777" w:rsidR="000607E3" w:rsidRDefault="000607E3"/>
  </w:endnote>
  <w:endnote w:type="continuationNotice" w:id="1">
    <w:p w14:paraId="7DA9E3A2" w14:textId="77777777" w:rsidR="000607E3" w:rsidRDefault="000607E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Arial Bold">
    <w:altName w:val="Arial"/>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MT">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9A57" w14:textId="7DF1D2BD" w:rsidR="00BB7E62" w:rsidRDefault="00BB7E62" w:rsidP="009D0B0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5CF7C26" w14:textId="77777777" w:rsidR="00BB7E62" w:rsidRDefault="00BB7E62" w:rsidP="00BB7E6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2F3A7" w14:textId="7A3425F0" w:rsidR="00F343BC" w:rsidRDefault="00F343BC">
    <w:pPr>
      <w:pStyle w:val="Footer"/>
    </w:pPr>
    <w:r>
      <w:rPr>
        <w:noProof/>
      </w:rPr>
      <mc:AlternateContent>
        <mc:Choice Requires="wps">
          <w:drawing>
            <wp:inline distT="0" distB="0" distL="0" distR="0" wp14:anchorId="3DA0688A" wp14:editId="5A283F17">
              <wp:extent cx="7560310" cy="273050"/>
              <wp:effectExtent l="0" t="0" r="0" b="12700"/>
              <wp:docPr id="9" name="MSIPCM558e4653a669a2fab9026f52"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8E43D5" w14:textId="346DA523" w:rsidR="00F343BC" w:rsidRPr="00F343BC" w:rsidRDefault="00F343BC" w:rsidP="00F343BC">
                          <w:pPr>
                            <w:spacing w:before="0" w:after="0"/>
                            <w:ind w:left="0" w:right="0"/>
                            <w:jc w:val="center"/>
                            <w:rPr>
                              <w:rFonts w:ascii="Calibri" w:hAnsi="Calibri" w:cs="Calibri"/>
                              <w:color w:val="000000"/>
                              <w:sz w:val="24"/>
                            </w:rPr>
                          </w:pPr>
                          <w:r w:rsidRPr="00F343B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3DA0688A" id="_x0000_t202" coordsize="21600,21600" o:spt="202" path="m,l,21600r21600,l21600,xe">
              <v:stroke joinstyle="miter"/>
              <v:path gradientshapeok="t" o:connecttype="rect"/>
            </v:shapetype>
            <v:shape id="MSIPCM558e4653a669a2fab9026f52" o:spid="_x0000_s1027" type="#_x0000_t202" alt="{&quot;HashCode&quot;:-1264680268,&quot;Height&quot;:841.0,&quot;Width&quot;:595.0,&quot;Placement&quot;:&quot;Footer&quot;,&quot;Index&quot;:&quot;Primary&quot;,&quot;Section&quot;:1,&quot;Top&quot;:0.0,&quot;Left&quot;:0.0}" style="width:595.3pt;height:21.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" filled="f" stroked="f" strokeweight=".5pt">
              <v:textbox inset=",0,,0">
                <w:txbxContent>
                  <w:p w14:paraId="6A8E43D5" w14:textId="346DA523" w:rsidR="00F343BC" w:rsidRPr="00F343BC" w:rsidRDefault="00F343BC" w:rsidP="00F343BC">
                    <w:pPr>
                      <w:spacing w:before="0" w:after="0"/>
                      <w:ind w:left="0" w:right="0"/>
                      <w:jc w:val="center"/>
                      <w:rPr>
                        <w:rFonts w:ascii="Calibri" w:hAnsi="Calibri" w:cs="Calibri"/>
                        <w:color w:val="000000"/>
                        <w:sz w:val="24"/>
                      </w:rPr>
                    </w:pPr>
                    <w:r w:rsidRPr="00F343BC">
                      <w:rPr>
                        <w:rFonts w:ascii="Calibri" w:hAnsi="Calibri" w:cs="Calibri"/>
                        <w:color w:val="000000"/>
                        <w:sz w:val="24"/>
                      </w:rPr>
                      <w:t>OFFICIAL</w:t>
                    </w:r>
                  </w:p>
                </w:txbxContent>
              </v:textbox>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FF45B" w14:textId="51727AC0" w:rsidR="0001183B" w:rsidRPr="0049743E" w:rsidRDefault="0073523A" w:rsidP="008630C3">
    <w:pPr>
      <w:pStyle w:val="Footer"/>
    </w:pPr>
    <w:r>
      <w:rPr>
        <w:noProof/>
      </w:rPr>
      <mc:AlternateContent>
        <mc:Choice Requires="wps">
          <w:drawing>
            <wp:anchor distT="0" distB="0" distL="114300" distR="114300" simplePos="1" relativeHeight="251658240" behindDoc="0" locked="0" layoutInCell="0" allowOverlap="1" wp14:anchorId="50E6E151" wp14:editId="66B24707">
              <wp:simplePos x="0" y="10228183"/>
              <wp:positionH relativeFrom="page">
                <wp:posOffset>0</wp:posOffset>
              </wp:positionH>
              <wp:positionV relativeFrom="page">
                <wp:posOffset>10227945</wp:posOffset>
              </wp:positionV>
              <wp:extent cx="7560310" cy="273050"/>
              <wp:effectExtent l="0" t="0" r="0" b="12700"/>
              <wp:wrapNone/>
              <wp:docPr id="2" name="MSIPCMc6204aa6b4d2f65524c453e4"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CE5F61" w14:textId="1770F478" w:rsidR="0073523A" w:rsidRPr="0073523A" w:rsidRDefault="0073523A" w:rsidP="0073523A">
                          <w:pPr>
                            <w:spacing w:before="0" w:after="0"/>
                            <w:ind w:left="0" w:right="0"/>
                            <w:jc w:val="center"/>
                            <w:rPr>
                              <w:rFonts w:ascii="Calibri" w:hAnsi="Calibri" w:cs="Calibri"/>
                              <w:color w:val="000000"/>
                              <w:sz w:val="24"/>
                            </w:rPr>
                          </w:pPr>
                          <w:r w:rsidRPr="0073523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0E6E151" id="_x0000_t202" coordsize="21600,21600" o:spt="202" path="m,l,21600r21600,l21600,xe">
              <v:stroke joinstyle="miter"/>
              <v:path gradientshapeok="t" o:connecttype="rect"/>
            </v:shapetype>
            <v:shape id="MSIPCMc6204aa6b4d2f65524c453e4" o:spid="_x0000_s1028" type="#_x0000_t202" alt="{&quot;HashCode&quot;:-1264680268,&quot;Height&quot;:841.0,&quot;Width&quot;:595.0,&quot;Placement&quot;:&quot;Footer&quot;,&quot;Index&quot;:&quot;FirstPage&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fill o:detectmouseclick="t"/>
              <v:textbox inset=",0,,0">
                <w:txbxContent>
                  <w:p w14:paraId="5FCE5F61" w14:textId="1770F478" w:rsidR="0073523A" w:rsidRPr="0073523A" w:rsidRDefault="0073523A" w:rsidP="0073523A">
                    <w:pPr>
                      <w:spacing w:before="0" w:after="0"/>
                      <w:ind w:left="0" w:right="0"/>
                      <w:jc w:val="center"/>
                      <w:rPr>
                        <w:rFonts w:ascii="Calibri" w:hAnsi="Calibri" w:cs="Calibri"/>
                        <w:color w:val="000000"/>
                        <w:sz w:val="24"/>
                      </w:rPr>
                    </w:pPr>
                    <w:r w:rsidRPr="0073523A">
                      <w:rPr>
                        <w:rFonts w:ascii="Calibri" w:hAnsi="Calibri" w:cs="Calibri"/>
                        <w:color w:val="000000"/>
                        <w:sz w:val="24"/>
                      </w:rPr>
                      <w:t>OFFICIAL</w:t>
                    </w:r>
                  </w:p>
                </w:txbxContent>
              </v:textbox>
              <w10:wrap anchorx="page" anchory="page"/>
            </v:shape>
          </w:pict>
        </mc:Fallback>
      </mc:AlternateContent>
    </w:r>
    <w:r w:rsidR="0001183B">
      <w:rPr>
        <w:noProof/>
      </w:rPr>
      <w:fldChar w:fldCharType="begin"/>
    </w:r>
    <w:r w:rsidR="0001183B">
      <w:rPr>
        <w:noProof/>
      </w:rPr>
      <w:instrText xml:space="preserve"> STYLEREF  Title  \* MERGEFORMAT </w:instrText>
    </w:r>
    <w:r w:rsidR="0001183B">
      <w:rPr>
        <w:noProof/>
      </w:rPr>
      <w:fldChar w:fldCharType="separate"/>
    </w:r>
    <w:r w:rsidR="00A63971">
      <w:rPr>
        <w:noProof/>
      </w:rPr>
      <w:t>Review of Legislative Protections for the Threatened Species and Communities of Victoria’s Forests</w:t>
    </w:r>
    <w:r w:rsidR="0001183B">
      <w:rPr>
        <w:noProof/>
      </w:rPr>
      <w:fldChar w:fldCharType="end"/>
    </w:r>
    <w:r w:rsidR="0001183B">
      <w:rPr>
        <w:noProof/>
      </w:rPr>
      <w:ptab w:relativeTo="margin" w:alignment="right" w:leader="none"/>
    </w:r>
    <w:r w:rsidR="0001183B">
      <w:rPr>
        <w:noProof/>
      </w:rPr>
      <w:fldChar w:fldCharType="begin"/>
    </w:r>
    <w:r w:rsidR="0001183B">
      <w:rPr>
        <w:noProof/>
      </w:rPr>
      <w:instrText xml:space="preserve"> PAGE  \* Arabic  \* MERGEFORMAT </w:instrText>
    </w:r>
    <w:r w:rsidR="0001183B">
      <w:rPr>
        <w:noProof/>
      </w:rPr>
      <w:fldChar w:fldCharType="separate"/>
    </w:r>
    <w:r w:rsidR="0001183B">
      <w:rPr>
        <w:noProof/>
      </w:rPr>
      <w:t>3</w:t>
    </w:r>
    <w:r w:rsidR="0001183B">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19156039"/>
      <w:docPartObj>
        <w:docPartGallery w:val="Page Numbers (Bottom of Page)"/>
        <w:docPartUnique/>
      </w:docPartObj>
    </w:sdtPr>
    <w:sdtContent>
      <w:p w14:paraId="4D5EDA3F" w14:textId="0DF98D66" w:rsidR="00BB7E62" w:rsidRDefault="00BB7E62" w:rsidP="009D0B0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80BE871" w14:textId="50D10BC9" w:rsidR="0001183B" w:rsidRPr="0049743E" w:rsidRDefault="00F343BC" w:rsidP="00BB7E62">
    <w:pPr>
      <w:pStyle w:val="Footer"/>
      <w:ind w:right="360"/>
    </w:pPr>
    <w:r>
      <w:rPr>
        <w:bCs/>
        <w:noProof/>
        <w:lang w:val="en-US"/>
      </w:rPr>
      <mc:AlternateContent>
        <mc:Choice Requires="wps">
          <w:drawing>
            <wp:inline distT="0" distB="0" distL="0" distR="0" wp14:anchorId="51B6488E" wp14:editId="48F8F9D5">
              <wp:extent cx="7560310" cy="273050"/>
              <wp:effectExtent l="0" t="0" r="0" b="12700"/>
              <wp:docPr id="11" name="MSIPCM321d4fceb6dc7b9f8ce5d350" descr="{&quot;HashCode&quot;:-1264680268,&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CF1586" w14:textId="55B1EF5E" w:rsidR="00F343BC" w:rsidRPr="00F343BC" w:rsidRDefault="006D5B98" w:rsidP="00F343BC">
                          <w:pPr>
                            <w:spacing w:before="0" w:after="0"/>
                            <w:ind w:left="0" w:right="0"/>
                            <w:jc w:val="center"/>
                            <w:rPr>
                              <w:rFonts w:ascii="Calibri" w:hAnsi="Calibri" w:cs="Calibri"/>
                              <w:color w:val="000000"/>
                              <w:sz w:val="24"/>
                            </w:rPr>
                          </w:pPr>
                          <w:r>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51B6488E" id="_x0000_t202" coordsize="21600,21600" o:spt="202" path="m,l,21600r21600,l21600,xe">
              <v:stroke joinstyle="miter"/>
              <v:path gradientshapeok="t" o:connecttype="rect"/>
            </v:shapetype>
            <v:shape id="MSIPCM321d4fceb6dc7b9f8ce5d350" o:spid="_x0000_s1029" type="#_x0000_t202" alt="{&quot;HashCode&quot;:-1264680268,&quot;Height&quot;:841.0,&quot;Width&quot;:595.0,&quot;Placement&quot;:&quot;Footer&quot;,&quot;Index&quot;:&quot;Primary&quot;,&quot;Section&quot;:2,&quot;Top&quot;:0.0,&quot;Left&quot;:0.0}" style="width:595.3pt;height:21.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" filled="f" stroked="f" strokeweight=".5pt">
              <v:textbox inset=",0,,0">
                <w:txbxContent>
                  <w:p w14:paraId="30CF1586" w14:textId="55B1EF5E" w:rsidR="00F343BC" w:rsidRPr="00F343BC" w:rsidRDefault="006D5B98" w:rsidP="00F343BC">
                    <w:pPr>
                      <w:spacing w:before="0" w:after="0"/>
                      <w:ind w:left="0" w:right="0"/>
                      <w:jc w:val="center"/>
                      <w:rPr>
                        <w:rFonts w:ascii="Calibri" w:hAnsi="Calibri" w:cs="Calibri"/>
                        <w:color w:val="000000"/>
                        <w:sz w:val="24"/>
                      </w:rPr>
                    </w:pPr>
                    <w:r>
                      <w:rPr>
                        <w:rFonts w:ascii="Calibri" w:hAnsi="Calibri" w:cs="Calibri"/>
                        <w:color w:val="000000"/>
                        <w:sz w:val="24"/>
                      </w:rPr>
                      <w:t>OFFICIAL</w:t>
                    </w:r>
                  </w:p>
                </w:txbxContent>
              </v:textbox>
              <w10:anchorlock/>
            </v:shape>
          </w:pict>
        </mc:Fallback>
      </mc:AlternateContent>
    </w:r>
    <w:r w:rsidR="0001183B">
      <w:rPr>
        <w:bCs/>
        <w:noProof/>
        <w:lang w:val="en-US"/>
      </w:rPr>
      <w:fldChar w:fldCharType="begin"/>
    </w:r>
    <w:r w:rsidR="0001183B">
      <w:rPr>
        <w:bCs/>
        <w:noProof/>
        <w:lang w:val="en-US"/>
      </w:rPr>
      <w:instrText xml:space="preserve"> STYLEREF  Title  \* MERGEFORMAT </w:instrText>
    </w:r>
    <w:r w:rsidR="0001183B">
      <w:rPr>
        <w:bCs/>
        <w:noProof/>
        <w:lang w:val="en-US"/>
      </w:rPr>
      <w:fldChar w:fldCharType="separate"/>
    </w:r>
    <w:r w:rsidR="00A63971">
      <w:rPr>
        <w:bCs/>
        <w:noProof/>
        <w:lang w:val="en-US"/>
      </w:rPr>
      <w:t>Review of Legislative Protections for the Threatened Species and Communities of Victoria’s Forests</w:t>
    </w:r>
    <w:r w:rsidR="0001183B">
      <w:rPr>
        <w:noProof/>
      </w:rPr>
      <w:fldChar w:fldCharType="end"/>
    </w:r>
    <w:r w:rsidR="0001183B">
      <w:rPr>
        <w:noProof/>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F45F8" w14:textId="75BC79A6" w:rsidR="0001183B" w:rsidRPr="0049743E" w:rsidRDefault="0024534C" w:rsidP="008630C3">
    <w:pPr>
      <w:pStyle w:val="Footer"/>
    </w:pPr>
    <w:r>
      <w:rPr>
        <w:noProof/>
      </w:rPr>
      <mc:AlternateContent>
        <mc:Choice Requires="wps">
          <w:drawing>
            <wp:inline distT="0" distB="0" distL="0" distR="0" wp14:anchorId="77354FEE" wp14:editId="6A1648F0">
              <wp:extent cx="7560310" cy="273050"/>
              <wp:effectExtent l="0" t="0" r="0" b="12700"/>
              <wp:docPr id="7" name="MSIPCM030b485eba1afa4640e08047" descr="{&quot;HashCode&quot;:-1264680268,&quot;Height&quot;:841.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2A6EF5" w14:textId="304B8631" w:rsidR="0024534C" w:rsidRPr="0024534C" w:rsidRDefault="006D5B98" w:rsidP="0024534C">
                          <w:pPr>
                            <w:spacing w:before="0" w:after="0"/>
                            <w:ind w:left="0" w:right="0"/>
                            <w:jc w:val="center"/>
                            <w:rPr>
                              <w:rFonts w:ascii="Calibri" w:hAnsi="Calibri" w:cs="Calibri"/>
                              <w:color w:val="000000"/>
                              <w:sz w:val="24"/>
                            </w:rPr>
                          </w:pPr>
                          <w:r>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77354FEE" id="_x0000_t202" coordsize="21600,21600" o:spt="202" path="m,l,21600r21600,l21600,xe">
              <v:stroke joinstyle="miter"/>
              <v:path gradientshapeok="t" o:connecttype="rect"/>
            </v:shapetype>
            <v:shape id="MSIPCM030b485eba1afa4640e08047" o:spid="_x0000_s1030" type="#_x0000_t202" alt="{&quot;HashCode&quot;:-1264680268,&quot;Height&quot;:841.0,&quot;Width&quot;:595.0,&quot;Placement&quot;:&quot;Footer&quot;,&quot;Index&quot;:&quot;FirstPage&quot;,&quot;Section&quot;:2,&quot;Top&quot;:0.0,&quot;Left&quot;:0.0}" style="width:595.3pt;height:21.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" filled="f" stroked="f" strokeweight=".5pt">
              <v:textbox inset=",0,,0">
                <w:txbxContent>
                  <w:p w14:paraId="0A2A6EF5" w14:textId="304B8631" w:rsidR="0024534C" w:rsidRPr="0024534C" w:rsidRDefault="006D5B98" w:rsidP="0024534C">
                    <w:pPr>
                      <w:spacing w:before="0" w:after="0"/>
                      <w:ind w:left="0" w:right="0"/>
                      <w:jc w:val="center"/>
                      <w:rPr>
                        <w:rFonts w:ascii="Calibri" w:hAnsi="Calibri" w:cs="Calibri"/>
                        <w:color w:val="000000"/>
                        <w:sz w:val="24"/>
                      </w:rPr>
                    </w:pPr>
                    <w:r>
                      <w:rPr>
                        <w:rFonts w:ascii="Calibri" w:hAnsi="Calibri" w:cs="Calibri"/>
                        <w:color w:val="000000"/>
                        <w:sz w:val="24"/>
                      </w:rPr>
                      <w:t>OFFICIAL</w:t>
                    </w:r>
                  </w:p>
                </w:txbxContent>
              </v:textbox>
              <w10:anchorlock/>
            </v:shape>
          </w:pict>
        </mc:Fallback>
      </mc:AlternateContent>
    </w:r>
    <w:r w:rsidR="0001183B">
      <w:rPr>
        <w:noProof/>
      </w:rPr>
      <w:fldChar w:fldCharType="begin"/>
    </w:r>
    <w:r w:rsidR="0001183B">
      <w:rPr>
        <w:noProof/>
      </w:rPr>
      <w:instrText xml:space="preserve"> STYLEREF  Title  \* MERGEFORMAT </w:instrText>
    </w:r>
    <w:r w:rsidR="0001183B">
      <w:rPr>
        <w:noProof/>
      </w:rPr>
      <w:fldChar w:fldCharType="separate"/>
    </w:r>
    <w:r w:rsidR="00A63971">
      <w:rPr>
        <w:noProof/>
      </w:rPr>
      <w:t>Review of Legislative Protections for the Threatened Species and Communities of Victoria’s Forests</w:t>
    </w:r>
    <w:r w:rsidR="0001183B">
      <w:rPr>
        <w:noProof/>
      </w:rPr>
      <w:fldChar w:fldCharType="end"/>
    </w:r>
    <w:r w:rsidR="0001183B">
      <w:rPr>
        <w:noProof/>
      </w:rPr>
      <w:ptab w:relativeTo="margin" w:alignment="right" w:leader="none"/>
    </w:r>
    <w:r w:rsidR="0001183B">
      <w:rPr>
        <w:noProof/>
      </w:rPr>
      <w:fldChar w:fldCharType="begin"/>
    </w:r>
    <w:r w:rsidR="0001183B">
      <w:rPr>
        <w:noProof/>
      </w:rPr>
      <w:instrText xml:space="preserve"> PAGE  \* roman  \* MERGEFORMAT </w:instrText>
    </w:r>
    <w:r w:rsidR="0001183B">
      <w:rPr>
        <w:noProof/>
      </w:rPr>
      <w:fldChar w:fldCharType="separate"/>
    </w:r>
    <w:r w:rsidR="0001183B">
      <w:rPr>
        <w:noProof/>
      </w:rPr>
      <w:t>iii</w:t>
    </w:r>
    <w:r w:rsidR="0001183B">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2F6D4" w14:textId="1A8546DC" w:rsidR="0001183B" w:rsidRPr="0049743E" w:rsidRDefault="00F343BC" w:rsidP="0049743E">
    <w:pPr>
      <w:pStyle w:val="Footer"/>
    </w:pPr>
    <w:r>
      <w:rPr>
        <w:bCs/>
        <w:noProof/>
        <w:lang w:val="en-US"/>
      </w:rPr>
      <mc:AlternateContent>
        <mc:Choice Requires="wps">
          <w:drawing>
            <wp:inline distT="0" distB="0" distL="0" distR="0" wp14:anchorId="13D80653" wp14:editId="148FDE6B">
              <wp:extent cx="7560310" cy="273050"/>
              <wp:effectExtent l="0" t="0" r="0" b="12700"/>
              <wp:docPr id="12" name="MSIPCMa19544b2931cdeaf27c4db31" descr="{&quot;HashCode&quot;:-1264680268,&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6D8DC7" w14:textId="646C7F77" w:rsidR="00F343BC" w:rsidRPr="00F343BC" w:rsidRDefault="00F343BC" w:rsidP="00F343BC">
                          <w:pPr>
                            <w:spacing w:before="0" w:after="0"/>
                            <w:ind w:left="0" w:right="0"/>
                            <w:jc w:val="center"/>
                            <w:rPr>
                              <w:rFonts w:ascii="Calibri" w:hAnsi="Calibri" w:cs="Calibri"/>
                              <w:color w:val="000000"/>
                              <w:sz w:val="24"/>
                            </w:rPr>
                          </w:pPr>
                          <w:r w:rsidRPr="00F343B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13D80653" id="_x0000_t202" coordsize="21600,21600" o:spt="202" path="m,l,21600r21600,l21600,xe">
              <v:stroke joinstyle="miter"/>
              <v:path gradientshapeok="t" o:connecttype="rect"/>
            </v:shapetype>
            <v:shape id="MSIPCMa19544b2931cdeaf27c4db31" o:spid="_x0000_s1031" type="#_x0000_t202" alt="{&quot;HashCode&quot;:-1264680268,&quot;Height&quot;:841.0,&quot;Width&quot;:595.0,&quot;Placement&quot;:&quot;Footer&quot;,&quot;Index&quot;:&quot;Primary&quot;,&quot;Section&quot;:4,&quot;Top&quot;:0.0,&quot;Left&quot;:0.0}" style="width:595.3pt;height:21.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bE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" filled="f" stroked="f" strokeweight=".5pt">
              <v:textbox inset=",0,,0">
                <w:txbxContent>
                  <w:p w14:paraId="476D8DC7" w14:textId="646C7F77" w:rsidR="00F343BC" w:rsidRPr="00F343BC" w:rsidRDefault="00F343BC" w:rsidP="00F343BC">
                    <w:pPr>
                      <w:spacing w:before="0" w:after="0"/>
                      <w:ind w:left="0" w:right="0"/>
                      <w:jc w:val="center"/>
                      <w:rPr>
                        <w:rFonts w:ascii="Calibri" w:hAnsi="Calibri" w:cs="Calibri"/>
                        <w:color w:val="000000"/>
                        <w:sz w:val="24"/>
                      </w:rPr>
                    </w:pPr>
                    <w:r w:rsidRPr="00F343BC">
                      <w:rPr>
                        <w:rFonts w:ascii="Calibri" w:hAnsi="Calibri" w:cs="Calibri"/>
                        <w:color w:val="000000"/>
                        <w:sz w:val="24"/>
                      </w:rPr>
                      <w:t>OFFICIAL</w:t>
                    </w:r>
                  </w:p>
                </w:txbxContent>
              </v:textbox>
              <w10:anchorlock/>
            </v:shape>
          </w:pict>
        </mc:Fallback>
      </mc:AlternateContent>
    </w:r>
    <w:r w:rsidR="0001183B">
      <w:rPr>
        <w:bCs/>
        <w:noProof/>
        <w:lang w:val="en-US"/>
      </w:rPr>
      <w:fldChar w:fldCharType="begin"/>
    </w:r>
    <w:r w:rsidR="0001183B">
      <w:rPr>
        <w:bCs/>
        <w:noProof/>
        <w:lang w:val="en-US"/>
      </w:rPr>
      <w:instrText xml:space="preserve"> STYLEREF  Title  \* MERGEFORMAT </w:instrText>
    </w:r>
    <w:r w:rsidR="0001183B">
      <w:rPr>
        <w:bCs/>
        <w:noProof/>
        <w:lang w:val="en-US"/>
      </w:rPr>
      <w:fldChar w:fldCharType="separate"/>
    </w:r>
    <w:r w:rsidR="00A63971">
      <w:rPr>
        <w:bCs/>
        <w:noProof/>
        <w:lang w:val="en-US"/>
      </w:rPr>
      <w:t>Review of Legislative Protections for the Threatened Species and Communities of Victoria’s Forests</w:t>
    </w:r>
    <w:r w:rsidR="0001183B">
      <w:rPr>
        <w:noProof/>
      </w:rPr>
      <w:fldChar w:fldCharType="end"/>
    </w:r>
    <w:r w:rsidR="0001183B">
      <w:rPr>
        <w:noProof/>
      </w:rPr>
      <w:ptab w:relativeTo="margin" w:alignment="right" w:leader="none"/>
    </w:r>
    <w:r w:rsidR="0001183B">
      <w:rPr>
        <w:noProof/>
      </w:rPr>
      <w:fldChar w:fldCharType="begin"/>
    </w:r>
    <w:r w:rsidR="0001183B">
      <w:rPr>
        <w:noProof/>
      </w:rPr>
      <w:instrText xml:space="preserve"> PAGE  \* Arabic  \* MERGEFORMAT </w:instrText>
    </w:r>
    <w:r w:rsidR="0001183B">
      <w:rPr>
        <w:noProof/>
      </w:rPr>
      <w:fldChar w:fldCharType="separate"/>
    </w:r>
    <w:r w:rsidR="0001183B">
      <w:rPr>
        <w:noProof/>
      </w:rPr>
      <w:t>5</w:t>
    </w:r>
    <w:r w:rsidR="0001183B">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B6C5B" w14:textId="77777777" w:rsidR="000607E3" w:rsidRPr="000D4EDE" w:rsidRDefault="000607E3" w:rsidP="000D4EDE">
      <w:r>
        <w:separator/>
      </w:r>
    </w:p>
  </w:footnote>
  <w:footnote w:type="continuationSeparator" w:id="0">
    <w:p w14:paraId="6624F491" w14:textId="77777777" w:rsidR="000607E3" w:rsidRPr="000D4EDE" w:rsidRDefault="000607E3" w:rsidP="000D4EDE">
      <w:r>
        <w:continuationSeparator/>
      </w:r>
    </w:p>
  </w:footnote>
  <w:footnote w:type="continuationNotice" w:id="1">
    <w:p w14:paraId="23762799" w14:textId="77777777" w:rsidR="000607E3" w:rsidRDefault="000607E3">
      <w:pPr>
        <w:spacing w:before="0" w:after="0" w:line="240" w:lineRule="auto"/>
      </w:pPr>
    </w:p>
  </w:footnote>
  <w:footnote w:id="2">
    <w:p w14:paraId="561501A6" w14:textId="77777777" w:rsidR="0012632B" w:rsidRPr="0012632B" w:rsidRDefault="0012632B" w:rsidP="0012632B">
      <w:pPr>
        <w:pStyle w:val="FootnoteText"/>
      </w:pPr>
      <w:r>
        <w:rPr>
          <w:rStyle w:val="FootnoteReference"/>
        </w:rPr>
        <w:footnoteRef/>
      </w:r>
      <w:r>
        <w:t xml:space="preserve"> </w:t>
      </w:r>
      <w:r w:rsidRPr="0012632B">
        <w:rPr>
          <w:lang w:val="en-US"/>
        </w:rPr>
        <w:t>Clause 25M of the Central Highlands RFA (and equivalent clauses in Victoria’s four other RFAs) provides that:</w:t>
      </w:r>
    </w:p>
    <w:p w14:paraId="7EED0F0C" w14:textId="77777777" w:rsidR="0012632B" w:rsidRPr="0012632B" w:rsidRDefault="0012632B" w:rsidP="0012632B">
      <w:pPr>
        <w:pStyle w:val="FootnoteText"/>
      </w:pPr>
      <w:r w:rsidRPr="00D05326">
        <w:rPr>
          <w:i/>
          <w:iCs/>
          <w:lang w:val="en-US"/>
        </w:rPr>
        <w:t>By December 2022, Victoria will review relevant provisions of:</w:t>
      </w:r>
    </w:p>
    <w:p w14:paraId="67674614" w14:textId="77777777" w:rsidR="0012632B" w:rsidRPr="0012632B" w:rsidRDefault="0012632B">
      <w:pPr>
        <w:pStyle w:val="FootnoteText"/>
        <w:numPr>
          <w:ilvl w:val="0"/>
          <w:numId w:val="21"/>
        </w:numPr>
      </w:pPr>
      <w:r w:rsidRPr="00D05326">
        <w:rPr>
          <w:i/>
          <w:iCs/>
          <w:lang w:val="en-US"/>
        </w:rPr>
        <w:t>Flora and Fauna Guarantee Act 1988 (FFG Act)</w:t>
      </w:r>
    </w:p>
    <w:p w14:paraId="7FF85DE1" w14:textId="77777777" w:rsidR="0012632B" w:rsidRPr="0012632B" w:rsidRDefault="0012632B">
      <w:pPr>
        <w:pStyle w:val="FootnoteText"/>
        <w:numPr>
          <w:ilvl w:val="0"/>
          <w:numId w:val="21"/>
        </w:numPr>
      </w:pPr>
      <w:r w:rsidRPr="00D05326">
        <w:rPr>
          <w:i/>
          <w:iCs/>
          <w:lang w:val="en-US"/>
        </w:rPr>
        <w:t>Sustainable Forests (Timber) Act 2004</w:t>
      </w:r>
    </w:p>
    <w:p w14:paraId="7636812A" w14:textId="77777777" w:rsidR="0012632B" w:rsidRPr="0012632B" w:rsidRDefault="0012632B">
      <w:pPr>
        <w:pStyle w:val="FootnoteText"/>
        <w:numPr>
          <w:ilvl w:val="0"/>
          <w:numId w:val="21"/>
        </w:numPr>
      </w:pPr>
      <w:r w:rsidRPr="00D05326">
        <w:rPr>
          <w:i/>
          <w:iCs/>
          <w:lang w:val="en-US"/>
        </w:rPr>
        <w:t>Forests Act 1958</w:t>
      </w:r>
    </w:p>
    <w:p w14:paraId="24060EFD" w14:textId="1B906638" w:rsidR="0012632B" w:rsidRPr="0012632B" w:rsidRDefault="0012632B" w:rsidP="0012632B">
      <w:pPr>
        <w:pStyle w:val="FootnoteText"/>
      </w:pPr>
      <w:r w:rsidRPr="00D05326">
        <w:rPr>
          <w:i/>
          <w:iCs/>
          <w:lang w:val="en-US"/>
        </w:rPr>
        <w:t>…and their subordinate instruments, including the Code of Practice for Timber Production</w:t>
      </w:r>
    </w:p>
    <w:p w14:paraId="2A006EDE" w14:textId="62255FDC" w:rsidR="00D05326" w:rsidRDefault="0012632B" w:rsidP="00D05326">
      <w:pPr>
        <w:pStyle w:val="FootnoteText"/>
        <w:rPr>
          <w:i/>
          <w:iCs/>
          <w:lang w:val="en-US"/>
        </w:rPr>
      </w:pPr>
      <w:r w:rsidRPr="00D05326">
        <w:rPr>
          <w:i/>
          <w:iCs/>
          <w:lang w:val="en-US"/>
        </w:rPr>
        <w:t>to identify what, if any, measures or improvements could be made to strengthen protections for Listed Species and Communities within Victoria’s</w:t>
      </w:r>
      <w:r w:rsidR="00D05326">
        <w:rPr>
          <w:i/>
          <w:iCs/>
          <w:lang w:val="en-US"/>
        </w:rPr>
        <w:t xml:space="preserve"> </w:t>
      </w:r>
      <w:r w:rsidRPr="00D05326">
        <w:rPr>
          <w:i/>
          <w:iCs/>
          <w:lang w:val="en-US"/>
        </w:rPr>
        <w:t>Forests.</w:t>
      </w:r>
    </w:p>
    <w:p w14:paraId="54C3CC65" w14:textId="0F2F7762" w:rsidR="00D05326" w:rsidRDefault="3DAA379F" w:rsidP="00D05326">
      <w:pPr>
        <w:pStyle w:val="FootnoteText"/>
        <w:rPr>
          <w:lang w:val="en-US"/>
        </w:rPr>
      </w:pPr>
      <w:r>
        <w:t xml:space="preserve">Note that </w:t>
      </w:r>
      <w:r w:rsidR="0030179B" w:rsidRPr="3DAA379F">
        <w:rPr>
          <w:lang w:val="en-US"/>
        </w:rPr>
        <w:t>the</w:t>
      </w:r>
      <w:r w:rsidRPr="3DAA379F">
        <w:rPr>
          <w:lang w:val="en-US"/>
        </w:rPr>
        <w:t xml:space="preserve"> ‘Code of Practice’ is not a subordinate instrument of the listed legislation; it is made under the </w:t>
      </w:r>
      <w:r w:rsidRPr="3DAA379F">
        <w:rPr>
          <w:i/>
          <w:iCs/>
          <w:lang w:val="en-US"/>
        </w:rPr>
        <w:t>Conservation, Forests and Lands Act 1987.</w:t>
      </w:r>
    </w:p>
    <w:p w14:paraId="3077AE26" w14:textId="531B2E15" w:rsidR="00D05326" w:rsidRPr="00D05326" w:rsidRDefault="00D05326" w:rsidP="00D05326">
      <w:pPr>
        <w:pStyle w:val="FootnoteText"/>
      </w:pPr>
      <w:r w:rsidRPr="00D05326">
        <w:rPr>
          <w:lang w:val="en-US"/>
        </w:rPr>
        <w:t xml:space="preserve">For the purposes of this review, the RFA clause is to be interpreted as requiring review of the Code but not of the </w:t>
      </w:r>
      <w:r w:rsidRPr="00D05326">
        <w:rPr>
          <w:i/>
          <w:iCs/>
          <w:lang w:val="en-US"/>
        </w:rPr>
        <w:t>CFL Act.</w:t>
      </w:r>
    </w:p>
    <w:p w14:paraId="1D4210E3" w14:textId="7A60C131" w:rsidR="0012632B" w:rsidRPr="00D05326" w:rsidRDefault="0012632B" w:rsidP="00D05326">
      <w:pPr>
        <w:pStyle w:val="FootnoteText"/>
        <w:rPr>
          <w:b/>
          <w:bCs/>
        </w:rPr>
      </w:pPr>
    </w:p>
  </w:footnote>
  <w:footnote w:id="3">
    <w:p w14:paraId="530D25EE" w14:textId="0ED90B95" w:rsidR="002641DE" w:rsidRDefault="002641DE">
      <w:pPr>
        <w:pStyle w:val="FootnoteText"/>
      </w:pPr>
      <w:r>
        <w:rPr>
          <w:rStyle w:val="FootnoteReference"/>
        </w:rPr>
        <w:footnoteRef/>
      </w:r>
      <w:r>
        <w:t xml:space="preserve"> DELWP (2019). </w:t>
      </w:r>
      <w:r w:rsidRPr="002641DE">
        <w:rPr>
          <w:i/>
          <w:iCs/>
        </w:rPr>
        <w:t>Overview of Victoria’s Forest Management System</w:t>
      </w:r>
    </w:p>
  </w:footnote>
  <w:footnote w:id="4">
    <w:p w14:paraId="3B8B3CA4" w14:textId="7E5AE984" w:rsidR="0030179B" w:rsidRDefault="0030179B">
      <w:pPr>
        <w:pStyle w:val="FootnoteText"/>
      </w:pPr>
      <w:r>
        <w:rPr>
          <w:rStyle w:val="FootnoteReference"/>
        </w:rPr>
        <w:footnoteRef/>
      </w:r>
      <w:r>
        <w:t xml:space="preserve"> </w:t>
      </w:r>
      <w:r w:rsidR="006A0DFE">
        <w:t>Ibid</w:t>
      </w:r>
      <w:r>
        <w:rPr>
          <w:i/>
          <w:iCs/>
        </w:rPr>
        <w:t xml:space="preserve">, </w:t>
      </w:r>
      <w:r w:rsidRPr="006A0DFE">
        <w:t>page 9</w:t>
      </w:r>
    </w:p>
  </w:footnote>
  <w:footnote w:id="5">
    <w:p w14:paraId="72A6BD5C" w14:textId="77777777" w:rsidR="00276DB5" w:rsidRDefault="00276DB5" w:rsidP="00276DB5">
      <w:pPr>
        <w:pStyle w:val="FootnoteText"/>
      </w:pPr>
      <w:r>
        <w:rPr>
          <w:rStyle w:val="FootnoteReference"/>
        </w:rPr>
        <w:footnoteRef/>
      </w:r>
      <w:r>
        <w:t xml:space="preserve"> </w:t>
      </w:r>
      <w:r w:rsidRPr="00D75256">
        <w:rPr>
          <w:i/>
          <w:iCs/>
        </w:rPr>
        <w:t>Threatened Species and Communities Risk Assessment, Victoria’s Regional Forest Agreement</w:t>
      </w:r>
      <w:r>
        <w:t xml:space="preserve"> (2020)</w:t>
      </w:r>
    </w:p>
  </w:footnote>
  <w:footnote w:id="6">
    <w:p w14:paraId="491EF3DF" w14:textId="5D2206A0" w:rsidR="00977A45" w:rsidRDefault="00977A45">
      <w:pPr>
        <w:pStyle w:val="FootnoteText"/>
      </w:pPr>
      <w:r w:rsidRPr="009124C2">
        <w:rPr>
          <w:rStyle w:val="FootnoteReference"/>
        </w:rPr>
        <w:footnoteRef/>
      </w:r>
      <w:r w:rsidRPr="009124C2">
        <w:t xml:space="preserve"> </w:t>
      </w:r>
      <w:r w:rsidR="00005118" w:rsidRPr="009124C2">
        <w:t>https://www.environment.vic.gov.au/conserving-threatened-species/threatened-species-and-communities-risk-assessment</w:t>
      </w:r>
    </w:p>
  </w:footnote>
  <w:footnote w:id="7">
    <w:p w14:paraId="5D74FB6E" w14:textId="38B762FB" w:rsidR="00F82B05" w:rsidRDefault="00F82B05" w:rsidP="00F82B05">
      <w:pPr>
        <w:pStyle w:val="FootnoteText"/>
      </w:pPr>
      <w:r>
        <w:rPr>
          <w:rStyle w:val="FootnoteReference"/>
        </w:rPr>
        <w:footnoteRef/>
      </w:r>
      <w:r>
        <w:t xml:space="preserve"> In the computer science world, a sandbox is a closed testing environment designed to allow safe experimentation of software projects. A regulatory sandbox is a similar concept to test new policy or regulation</w:t>
      </w:r>
      <w:r w:rsidR="000736A7">
        <w:t>.</w:t>
      </w:r>
      <w:r>
        <w:t xml:space="preserve"> There are no strict models for a regulatory sandbox but the general approach would be to create a realistic scenario where a new regulation is applied and stakeholders are brought together to examine the impacts, both positive and negative. The process could be used to decide whether the regulation is the best option to achieve the desired outcomes, to adjust the regulation, or develop or refine implementation guidelines. </w:t>
      </w:r>
    </w:p>
  </w:footnote>
  <w:footnote w:id="8">
    <w:p w14:paraId="4AF95632" w14:textId="77777777" w:rsidR="0017571B" w:rsidRDefault="0017571B" w:rsidP="0017571B">
      <w:pPr>
        <w:pStyle w:val="FootnoteText"/>
      </w:pPr>
      <w:r>
        <w:rPr>
          <w:rStyle w:val="FootnoteReference"/>
        </w:rPr>
        <w:footnoteRef/>
      </w:r>
      <w:r>
        <w:t xml:space="preserve"> DELWP 2021 Flora and Fauna Guarantee Act 1988, Public authority duty (</w:t>
      </w:r>
      <w:r w:rsidRPr="00B223BA">
        <w:t>https://www.environment.vic.gov.au/__data/assets/pdf_file/0031/466681/Public-Authority-Duty-factsheet.pdf</w:t>
      </w:r>
      <w:r>
        <w:t>)</w:t>
      </w:r>
    </w:p>
  </w:footnote>
  <w:footnote w:id="9">
    <w:p w14:paraId="0D72397D" w14:textId="4174A4E7" w:rsidR="00803CD3" w:rsidRDefault="00803CD3">
      <w:pPr>
        <w:pStyle w:val="FootnoteText"/>
      </w:pPr>
      <w:r>
        <w:rPr>
          <w:rStyle w:val="FootnoteReference"/>
        </w:rPr>
        <w:footnoteRef/>
      </w:r>
      <w:r>
        <w:t xml:space="preserve"> </w:t>
      </w:r>
      <w:r w:rsidRPr="00803CD3">
        <w:t>https://www.forestsandreserves.vic.gov.au/__data/assets/pdf_file/0025/566503/CS-000666-Forest-Management-Zoning-Accountability-Framework-2022-report_V1.pdf</w:t>
      </w:r>
    </w:p>
  </w:footnote>
  <w:footnote w:id="10">
    <w:p w14:paraId="3518E6CF" w14:textId="5E907187" w:rsidR="00E4002A" w:rsidRDefault="00E4002A">
      <w:pPr>
        <w:pStyle w:val="FootnoteText"/>
      </w:pPr>
      <w:r>
        <w:rPr>
          <w:rStyle w:val="FootnoteReference"/>
        </w:rPr>
        <w:footnoteRef/>
      </w:r>
      <w:r>
        <w:t xml:space="preserve"> This is underpinned by </w:t>
      </w:r>
      <w:r w:rsidR="00803CD3">
        <w:t>a legislative</w:t>
      </w:r>
      <w:r>
        <w:t xml:space="preserve"> ‘link between the </w:t>
      </w:r>
      <w:r w:rsidRPr="00E4002A">
        <w:rPr>
          <w:i/>
          <w:iCs/>
        </w:rPr>
        <w:t>FFG Act</w:t>
      </w:r>
      <w:r>
        <w:t xml:space="preserve"> and the </w:t>
      </w:r>
      <w:r w:rsidRPr="00E4002A">
        <w:rPr>
          <w:i/>
          <w:iCs/>
        </w:rPr>
        <w:t>Commissioner for Environmental Sustainability Act 2003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A87F6" w14:textId="77777777" w:rsidR="00A63971" w:rsidRDefault="00A639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75C5D" w14:textId="589B9C8D" w:rsidR="0001183B" w:rsidRDefault="0001183B" w:rsidP="00053F29">
    <w:pPr>
      <w:pStyle w:val="Header"/>
      <w:tabs>
        <w:tab w:val="left" w:pos="851"/>
      </w:tabs>
    </w:pPr>
  </w:p>
  <w:p w14:paraId="089F23E8" w14:textId="19DEB8DE" w:rsidR="0001183B" w:rsidRDefault="000118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1B30B" w14:textId="77777777" w:rsidR="00A63971" w:rsidRDefault="00A6397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CEF7E" w14:textId="77777777" w:rsidR="0001183B" w:rsidRPr="0040572D" w:rsidRDefault="0001183B" w:rsidP="0040572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B5451" w14:textId="77777777" w:rsidR="0001183B" w:rsidRDefault="0001183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DC788" w14:textId="77777777" w:rsidR="0001183B" w:rsidRPr="0040572D" w:rsidRDefault="0001183B" w:rsidP="004057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FFFFFF81"/>
    <w:multiLevelType w:val="singleLevel"/>
    <w:tmpl w:val="9D484B3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202292F"/>
    <w:multiLevelType w:val="hybridMultilevel"/>
    <w:tmpl w:val="64D49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E37C51"/>
    <w:multiLevelType w:val="hybridMultilevel"/>
    <w:tmpl w:val="F39A018A"/>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983867"/>
    <w:multiLevelType w:val="multilevel"/>
    <w:tmpl w:val="074C4194"/>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133930C0"/>
    <w:multiLevelType w:val="hybridMultilevel"/>
    <w:tmpl w:val="02EEA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1E23EE"/>
    <w:multiLevelType w:val="multilevel"/>
    <w:tmpl w:val="992E0F54"/>
    <w:styleLink w:val="CustomHeadingList"/>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F0A6A75"/>
    <w:multiLevelType w:val="multilevel"/>
    <w:tmpl w:val="DFDC7920"/>
    <w:styleLink w:val="General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ind w:left="1435" w:hanging="358"/>
      </w:pPr>
      <w:rPr>
        <w:rFonts w:ascii="Wingdings" w:hAnsi="Wingdings" w:hint="default"/>
        <w:color w:val="auto"/>
      </w:rPr>
    </w:lvl>
    <w:lvl w:ilvl="4">
      <w:start w:val="1"/>
      <w:numFmt w:val="none"/>
      <w:lvlText w:val="Notes:"/>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21C956F7"/>
    <w:multiLevelType w:val="hybridMultilevel"/>
    <w:tmpl w:val="2A660046"/>
    <w:lvl w:ilvl="0" w:tplc="EE6AEC5A">
      <w:start w:val="1"/>
      <w:numFmt w:val="bullet"/>
      <w:lvlText w:val="•"/>
      <w:lvlJc w:val="left"/>
      <w:pPr>
        <w:tabs>
          <w:tab w:val="num" w:pos="720"/>
        </w:tabs>
        <w:ind w:left="720" w:hanging="360"/>
      </w:pPr>
      <w:rPr>
        <w:rFonts w:ascii="Arial" w:hAnsi="Arial" w:hint="default"/>
      </w:rPr>
    </w:lvl>
    <w:lvl w:ilvl="1" w:tplc="E5E08078" w:tentative="1">
      <w:start w:val="1"/>
      <w:numFmt w:val="bullet"/>
      <w:lvlText w:val="•"/>
      <w:lvlJc w:val="left"/>
      <w:pPr>
        <w:tabs>
          <w:tab w:val="num" w:pos="1440"/>
        </w:tabs>
        <w:ind w:left="1440" w:hanging="360"/>
      </w:pPr>
      <w:rPr>
        <w:rFonts w:ascii="Arial" w:hAnsi="Arial" w:hint="default"/>
      </w:rPr>
    </w:lvl>
    <w:lvl w:ilvl="2" w:tplc="1FA6921C" w:tentative="1">
      <w:start w:val="1"/>
      <w:numFmt w:val="bullet"/>
      <w:lvlText w:val="•"/>
      <w:lvlJc w:val="left"/>
      <w:pPr>
        <w:tabs>
          <w:tab w:val="num" w:pos="2160"/>
        </w:tabs>
        <w:ind w:left="2160" w:hanging="360"/>
      </w:pPr>
      <w:rPr>
        <w:rFonts w:ascii="Arial" w:hAnsi="Arial" w:hint="default"/>
      </w:rPr>
    </w:lvl>
    <w:lvl w:ilvl="3" w:tplc="CCBA9F4C" w:tentative="1">
      <w:start w:val="1"/>
      <w:numFmt w:val="bullet"/>
      <w:lvlText w:val="•"/>
      <w:lvlJc w:val="left"/>
      <w:pPr>
        <w:tabs>
          <w:tab w:val="num" w:pos="2880"/>
        </w:tabs>
        <w:ind w:left="2880" w:hanging="360"/>
      </w:pPr>
      <w:rPr>
        <w:rFonts w:ascii="Arial" w:hAnsi="Arial" w:hint="default"/>
      </w:rPr>
    </w:lvl>
    <w:lvl w:ilvl="4" w:tplc="9BD828B8" w:tentative="1">
      <w:start w:val="1"/>
      <w:numFmt w:val="bullet"/>
      <w:lvlText w:val="•"/>
      <w:lvlJc w:val="left"/>
      <w:pPr>
        <w:tabs>
          <w:tab w:val="num" w:pos="3600"/>
        </w:tabs>
        <w:ind w:left="3600" w:hanging="360"/>
      </w:pPr>
      <w:rPr>
        <w:rFonts w:ascii="Arial" w:hAnsi="Arial" w:hint="default"/>
      </w:rPr>
    </w:lvl>
    <w:lvl w:ilvl="5" w:tplc="6720B5EE" w:tentative="1">
      <w:start w:val="1"/>
      <w:numFmt w:val="bullet"/>
      <w:lvlText w:val="•"/>
      <w:lvlJc w:val="left"/>
      <w:pPr>
        <w:tabs>
          <w:tab w:val="num" w:pos="4320"/>
        </w:tabs>
        <w:ind w:left="4320" w:hanging="360"/>
      </w:pPr>
      <w:rPr>
        <w:rFonts w:ascii="Arial" w:hAnsi="Arial" w:hint="default"/>
      </w:rPr>
    </w:lvl>
    <w:lvl w:ilvl="6" w:tplc="1D7C8404" w:tentative="1">
      <w:start w:val="1"/>
      <w:numFmt w:val="bullet"/>
      <w:lvlText w:val="•"/>
      <w:lvlJc w:val="left"/>
      <w:pPr>
        <w:tabs>
          <w:tab w:val="num" w:pos="5040"/>
        </w:tabs>
        <w:ind w:left="5040" w:hanging="360"/>
      </w:pPr>
      <w:rPr>
        <w:rFonts w:ascii="Arial" w:hAnsi="Arial" w:hint="default"/>
      </w:rPr>
    </w:lvl>
    <w:lvl w:ilvl="7" w:tplc="2728787C" w:tentative="1">
      <w:start w:val="1"/>
      <w:numFmt w:val="bullet"/>
      <w:lvlText w:val="•"/>
      <w:lvlJc w:val="left"/>
      <w:pPr>
        <w:tabs>
          <w:tab w:val="num" w:pos="5760"/>
        </w:tabs>
        <w:ind w:left="5760" w:hanging="360"/>
      </w:pPr>
      <w:rPr>
        <w:rFonts w:ascii="Arial" w:hAnsi="Arial" w:hint="default"/>
      </w:rPr>
    </w:lvl>
    <w:lvl w:ilvl="8" w:tplc="905EEF0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66C3831"/>
    <w:multiLevelType w:val="hybridMultilevel"/>
    <w:tmpl w:val="B9C8CCF6"/>
    <w:lvl w:ilvl="0" w:tplc="7F4E79E8">
      <w:start w:val="1"/>
      <w:numFmt w:val="bullet"/>
      <w:pStyle w:val="BodyBullet1"/>
      <w:lvlText w:val=""/>
      <w:lvlJc w:val="left"/>
      <w:pPr>
        <w:ind w:left="1077" w:hanging="360"/>
      </w:pPr>
      <w:rPr>
        <w:rFonts w:ascii="Wingdings" w:hAnsi="Wingdings"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15:restartNumberingAfterBreak="0">
    <w:nsid w:val="267516E2"/>
    <w:multiLevelType w:val="hybridMultilevel"/>
    <w:tmpl w:val="279005CC"/>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4C4D01"/>
    <w:multiLevelType w:val="hybridMultilevel"/>
    <w:tmpl w:val="D21AB144"/>
    <w:lvl w:ilvl="0" w:tplc="91387556">
      <w:start w:val="1"/>
      <w:numFmt w:val="bullet"/>
      <w:pStyle w:val="ListBullet3"/>
      <w:lvlText w:val=""/>
      <w:lvlJc w:val="left"/>
      <w:pPr>
        <w:tabs>
          <w:tab w:val="num" w:pos="1021"/>
        </w:tabs>
        <w:ind w:left="1021" w:hanging="341"/>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190D8F"/>
    <w:multiLevelType w:val="multilevel"/>
    <w:tmpl w:val="AAAC3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62043E"/>
    <w:multiLevelType w:val="hybridMultilevel"/>
    <w:tmpl w:val="F6BC24A6"/>
    <w:lvl w:ilvl="0" w:tplc="25A6AD54">
      <w:start w:val="1"/>
      <w:numFmt w:val="bullet"/>
      <w:pStyle w:val="ListBullet2"/>
      <w:lvlText w:val=""/>
      <w:lvlJc w:val="left"/>
      <w:pPr>
        <w:tabs>
          <w:tab w:val="num" w:pos="680"/>
        </w:tabs>
        <w:ind w:left="680" w:hanging="34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4" w15:restartNumberingAfterBreak="0">
    <w:nsid w:val="2D4F791F"/>
    <w:multiLevelType w:val="hybridMultilevel"/>
    <w:tmpl w:val="F1C24B26"/>
    <w:lvl w:ilvl="0" w:tplc="678E1022">
      <w:start w:val="1"/>
      <w:numFmt w:val="bullet"/>
      <w:pStyle w:val="BodyBullet2"/>
      <w:lvlText w:val=""/>
      <w:lvlJc w:val="left"/>
      <w:pPr>
        <w:ind w:left="1077"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 w15:restartNumberingAfterBreak="0">
    <w:nsid w:val="2DAE1DAE"/>
    <w:multiLevelType w:val="hybridMultilevel"/>
    <w:tmpl w:val="B656A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00129D"/>
    <w:multiLevelType w:val="multilevel"/>
    <w:tmpl w:val="69D0C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8E1857"/>
    <w:multiLevelType w:val="multilevel"/>
    <w:tmpl w:val="9140AFC6"/>
    <w:lvl w:ilvl="0">
      <w:start w:val="1"/>
      <w:numFmt w:val="bullet"/>
      <w:lvlText w:val=""/>
      <w:lvlJc w:val="left"/>
      <w:pPr>
        <w:tabs>
          <w:tab w:val="num" w:pos="340"/>
        </w:tabs>
        <w:ind w:left="340" w:hanging="340"/>
      </w:pPr>
      <w:rPr>
        <w:rFonts w:ascii="Wingdings" w:hAnsi="Wingdings" w:hint="default"/>
      </w:rPr>
    </w:lvl>
    <w:lvl w:ilvl="1">
      <w:start w:val="1"/>
      <w:numFmt w:val="bullet"/>
      <w:lvlText w:val="-"/>
      <w:lvlJc w:val="left"/>
      <w:pPr>
        <w:tabs>
          <w:tab w:val="num" w:pos="357"/>
        </w:tabs>
        <w:ind w:left="720" w:hanging="363"/>
      </w:pPr>
      <w:rPr>
        <w:rFonts w:ascii="Courier New" w:hAnsi="Courier New" w:hint="default"/>
      </w:rPr>
    </w:lvl>
    <w:lvl w:ilvl="2">
      <w:start w:val="1"/>
      <w:numFmt w:val="bullet"/>
      <w:lvlText w:val="-"/>
      <w:lvlJc w:val="left"/>
      <w:pPr>
        <w:tabs>
          <w:tab w:val="num" w:pos="720"/>
        </w:tabs>
        <w:ind w:left="1077" w:hanging="357"/>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AFD3033"/>
    <w:multiLevelType w:val="hybridMultilevel"/>
    <w:tmpl w:val="A4500C50"/>
    <w:lvl w:ilvl="0" w:tplc="9ECA17B8">
      <w:start w:val="1"/>
      <w:numFmt w:val="lowerLetter"/>
      <w:pStyle w:val="LetterBullet"/>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E13E1C"/>
    <w:multiLevelType w:val="hybridMultilevel"/>
    <w:tmpl w:val="F948D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8D6D32"/>
    <w:multiLevelType w:val="multilevel"/>
    <w:tmpl w:val="CCDE0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F148C1"/>
    <w:multiLevelType w:val="multilevel"/>
    <w:tmpl w:val="3050F71A"/>
    <w:lvl w:ilvl="0">
      <w:start w:val="1"/>
      <w:numFmt w:val="bullet"/>
      <w:lvlText w:val=""/>
      <w:lvlJc w:val="left"/>
      <w:pPr>
        <w:ind w:left="1080" w:hanging="360"/>
      </w:pPr>
      <w:rPr>
        <w:rFonts w:ascii="Symbol" w:hAnsi="Symbol" w:hint="default"/>
        <w:color w:val="203145"/>
      </w:rPr>
    </w:lvl>
    <w:lvl w:ilvl="1">
      <w:start w:val="1"/>
      <w:numFmt w:val="bullet"/>
      <w:lvlText w:val="-"/>
      <w:lvlJc w:val="left"/>
      <w:pPr>
        <w:ind w:left="720" w:hanging="363"/>
      </w:pPr>
      <w:rPr>
        <w:rFonts w:ascii="Courier New" w:hAnsi="Courier New" w:hint="default"/>
        <w:color w:val="203145"/>
      </w:rPr>
    </w:lvl>
    <w:lvl w:ilvl="2">
      <w:start w:val="1"/>
      <w:numFmt w:val="bullet"/>
      <w:lvlText w:val="-"/>
      <w:lvlJc w:val="left"/>
      <w:pPr>
        <w:ind w:left="1077" w:hanging="357"/>
      </w:pPr>
      <w:rPr>
        <w:rFonts w:ascii="Arial" w:hAnsi="Arial" w:hint="default"/>
        <w:color w:val="203145"/>
      </w:rPr>
    </w:lvl>
    <w:lvl w:ilvl="3">
      <w:start w:val="1"/>
      <w:numFmt w:val="bullet"/>
      <w:lvlText w:val=""/>
      <w:lvlJc w:val="left"/>
      <w:pPr>
        <w:tabs>
          <w:tab w:val="num" w:pos="227"/>
        </w:tabs>
        <w:ind w:left="227" w:hanging="114"/>
      </w:pPr>
      <w:rPr>
        <w:rFonts w:ascii="Wingdings" w:hAnsi="Wingdings" w:hint="default"/>
        <w:color w:val="FFFFFF" w:themeColor="background1"/>
      </w:rPr>
    </w:lvl>
    <w:lvl w:ilvl="4">
      <w:start w:val="1"/>
      <w:numFmt w:val="bullet"/>
      <w:lvlText w:val="-"/>
      <w:lvlJc w:val="left"/>
      <w:pPr>
        <w:tabs>
          <w:tab w:val="num" w:pos="340"/>
        </w:tabs>
        <w:ind w:left="340" w:hanging="136"/>
      </w:pPr>
      <w:rPr>
        <w:rFonts w:ascii="Courier New" w:hAnsi="Courier New" w:hint="default"/>
        <w:b/>
        <w:i w:val="0"/>
        <w:color w:val="FFFFFF" w:themeColor="background1"/>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46BD77A4"/>
    <w:multiLevelType w:val="hybridMultilevel"/>
    <w:tmpl w:val="61EC2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0445F4"/>
    <w:multiLevelType w:val="multilevel"/>
    <w:tmpl w:val="09009A9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decimal"/>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4" w15:restartNumberingAfterBreak="0">
    <w:nsid w:val="57E824E3"/>
    <w:multiLevelType w:val="hybridMultilevel"/>
    <w:tmpl w:val="515E18F4"/>
    <w:lvl w:ilvl="0" w:tplc="5908E04C">
      <w:start w:val="1"/>
      <w:numFmt w:val="bullet"/>
      <w:pStyle w:val="CalloutBullet"/>
      <w:lvlText w:val=""/>
      <w:lvlJc w:val="left"/>
      <w:pPr>
        <w:tabs>
          <w:tab w:val="num" w:pos="340"/>
        </w:tabs>
        <w:ind w:left="340" w:hanging="227"/>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426B28"/>
    <w:multiLevelType w:val="multilevel"/>
    <w:tmpl w:val="88E67880"/>
    <w:styleLink w:val="MultiLevelheadinglist"/>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26" w15:restartNumberingAfterBreak="0">
    <w:nsid w:val="5B0650EF"/>
    <w:multiLevelType w:val="multilevel"/>
    <w:tmpl w:val="DB2E043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609E6B33"/>
    <w:multiLevelType w:val="hybridMultilevel"/>
    <w:tmpl w:val="910E3F44"/>
    <w:lvl w:ilvl="0" w:tplc="628E7F7E">
      <w:start w:val="1"/>
      <w:numFmt w:val="bullet"/>
      <w:pStyle w:val="MessageBoxBullet"/>
      <w:lvlText w:val=""/>
      <w:lvlJc w:val="left"/>
      <w:pPr>
        <w:tabs>
          <w:tab w:val="num" w:pos="340"/>
        </w:tabs>
        <w:ind w:left="340" w:hanging="227"/>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7A6C31"/>
    <w:multiLevelType w:val="hybridMultilevel"/>
    <w:tmpl w:val="D1D2FA52"/>
    <w:lvl w:ilvl="0" w:tplc="ABECF378">
      <w:start w:val="1"/>
      <w:numFmt w:val="lowerRoman"/>
      <w:pStyle w:val="RomanNumer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91140E"/>
    <w:multiLevelType w:val="multilevel"/>
    <w:tmpl w:val="1D886326"/>
    <w:lvl w:ilvl="0">
      <w:start w:val="1"/>
      <w:numFmt w:val="bullet"/>
      <w:lvlText w:val=""/>
      <w:lvlJc w:val="left"/>
      <w:pPr>
        <w:tabs>
          <w:tab w:val="num" w:pos="-31680"/>
        </w:tabs>
        <w:ind w:left="357" w:hanging="357"/>
      </w:pPr>
      <w:rPr>
        <w:rFonts w:ascii="Wingdings" w:hAnsi="Wingdings" w:hint="default"/>
      </w:rPr>
    </w:lvl>
    <w:lvl w:ilvl="1">
      <w:start w:val="1"/>
      <w:numFmt w:val="bullet"/>
      <w:lvlText w:val="-"/>
      <w:lvlJc w:val="left"/>
      <w:pPr>
        <w:tabs>
          <w:tab w:val="num" w:pos="357"/>
        </w:tabs>
        <w:ind w:left="720" w:hanging="363"/>
      </w:pPr>
      <w:rPr>
        <w:rFonts w:ascii="Courier New" w:hAnsi="Courier New" w:hint="default"/>
      </w:rPr>
    </w:lvl>
    <w:lvl w:ilvl="2">
      <w:start w:val="1"/>
      <w:numFmt w:val="bullet"/>
      <w:lvlText w:val="-"/>
      <w:lvlJc w:val="left"/>
      <w:pPr>
        <w:tabs>
          <w:tab w:val="num" w:pos="720"/>
        </w:tabs>
        <w:ind w:left="1077" w:hanging="357"/>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C6D23E6"/>
    <w:multiLevelType w:val="multilevel"/>
    <w:tmpl w:val="4FD89ECC"/>
    <w:lvl w:ilvl="0">
      <w:start w:val="1"/>
      <w:numFmt w:val="bullet"/>
      <w:pStyle w:val="TableBulletShadedTable"/>
      <w:lvlText w:val="▪"/>
      <w:lvlJc w:val="left"/>
      <w:pPr>
        <w:tabs>
          <w:tab w:val="num" w:pos="357"/>
        </w:tabs>
        <w:ind w:left="357" w:hanging="357"/>
      </w:pPr>
      <w:rPr>
        <w:rFonts w:ascii="Calibri" w:hAnsi="Calibri" w:hint="default"/>
      </w:rPr>
    </w:lvl>
    <w:lvl w:ilvl="1">
      <w:start w:val="1"/>
      <w:numFmt w:val="bullet"/>
      <w:pStyle w:val="TableBullet"/>
      <w:lvlText w:val="▪"/>
      <w:lvlJc w:val="left"/>
      <w:pPr>
        <w:tabs>
          <w:tab w:val="num" w:pos="357"/>
        </w:tabs>
        <w:ind w:left="357" w:hanging="249"/>
      </w:pPr>
      <w:rPr>
        <w:rFonts w:ascii="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270743653">
    <w:abstractNumId w:val="9"/>
  </w:num>
  <w:num w:numId="2" w16cid:durableId="632711327">
    <w:abstractNumId w:val="14"/>
  </w:num>
  <w:num w:numId="3" w16cid:durableId="1125737711">
    <w:abstractNumId w:val="23"/>
  </w:num>
  <w:num w:numId="4" w16cid:durableId="1145778037">
    <w:abstractNumId w:val="25"/>
  </w:num>
  <w:num w:numId="5" w16cid:durableId="419722993">
    <w:abstractNumId w:val="0"/>
  </w:num>
  <w:num w:numId="6" w16cid:durableId="1973976694">
    <w:abstractNumId w:val="7"/>
  </w:num>
  <w:num w:numId="7" w16cid:durableId="1888029824">
    <w:abstractNumId w:val="6"/>
  </w:num>
  <w:num w:numId="8" w16cid:durableId="1899582951">
    <w:abstractNumId w:val="4"/>
  </w:num>
  <w:num w:numId="9" w16cid:durableId="18174484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29559044">
    <w:abstractNumId w:val="30"/>
  </w:num>
  <w:num w:numId="11" w16cid:durableId="467012228">
    <w:abstractNumId w:val="17"/>
  </w:num>
  <w:num w:numId="12" w16cid:durableId="880096613">
    <w:abstractNumId w:val="13"/>
  </w:num>
  <w:num w:numId="13" w16cid:durableId="20710930">
    <w:abstractNumId w:val="28"/>
  </w:num>
  <w:num w:numId="14" w16cid:durableId="1576403049">
    <w:abstractNumId w:val="18"/>
  </w:num>
  <w:num w:numId="15" w16cid:durableId="99689640">
    <w:abstractNumId w:val="26"/>
  </w:num>
  <w:num w:numId="16" w16cid:durableId="1547450350">
    <w:abstractNumId w:val="24"/>
  </w:num>
  <w:num w:numId="17" w16cid:durableId="1544290499">
    <w:abstractNumId w:val="27"/>
  </w:num>
  <w:num w:numId="18" w16cid:durableId="1388604803">
    <w:abstractNumId w:val="1"/>
  </w:num>
  <w:num w:numId="19" w16cid:durableId="131866802">
    <w:abstractNumId w:val="11"/>
  </w:num>
  <w:num w:numId="20" w16cid:durableId="38171199">
    <w:abstractNumId w:val="29"/>
  </w:num>
  <w:num w:numId="21" w16cid:durableId="873619341">
    <w:abstractNumId w:val="8"/>
  </w:num>
  <w:num w:numId="22" w16cid:durableId="524177555">
    <w:abstractNumId w:val="10"/>
  </w:num>
  <w:num w:numId="23" w16cid:durableId="563177539">
    <w:abstractNumId w:val="3"/>
  </w:num>
  <w:num w:numId="24" w16cid:durableId="171722520">
    <w:abstractNumId w:val="17"/>
  </w:num>
  <w:num w:numId="25" w16cid:durableId="562525156">
    <w:abstractNumId w:val="12"/>
  </w:num>
  <w:num w:numId="26" w16cid:durableId="1013724267">
    <w:abstractNumId w:val="17"/>
  </w:num>
  <w:num w:numId="27" w16cid:durableId="362679497">
    <w:abstractNumId w:val="30"/>
  </w:num>
  <w:num w:numId="28" w16cid:durableId="103698057">
    <w:abstractNumId w:val="30"/>
  </w:num>
  <w:num w:numId="29" w16cid:durableId="163253590">
    <w:abstractNumId w:val="30"/>
  </w:num>
  <w:num w:numId="30" w16cid:durableId="1729450848">
    <w:abstractNumId w:val="30"/>
  </w:num>
  <w:num w:numId="31" w16cid:durableId="196436230">
    <w:abstractNumId w:val="30"/>
  </w:num>
  <w:num w:numId="32" w16cid:durableId="15472360">
    <w:abstractNumId w:val="30"/>
  </w:num>
  <w:num w:numId="33" w16cid:durableId="1303854615">
    <w:abstractNumId w:val="30"/>
  </w:num>
  <w:num w:numId="34" w16cid:durableId="1823353463">
    <w:abstractNumId w:val="30"/>
  </w:num>
  <w:num w:numId="35" w16cid:durableId="1635719212">
    <w:abstractNumId w:val="30"/>
  </w:num>
  <w:num w:numId="36" w16cid:durableId="1725714159">
    <w:abstractNumId w:val="30"/>
  </w:num>
  <w:num w:numId="37" w16cid:durableId="1168448449">
    <w:abstractNumId w:val="30"/>
  </w:num>
  <w:num w:numId="38" w16cid:durableId="1645742248">
    <w:abstractNumId w:val="30"/>
  </w:num>
  <w:num w:numId="39" w16cid:durableId="639841349">
    <w:abstractNumId w:val="30"/>
  </w:num>
  <w:num w:numId="40" w16cid:durableId="1937473207">
    <w:abstractNumId w:val="30"/>
  </w:num>
  <w:num w:numId="41" w16cid:durableId="2083521585">
    <w:abstractNumId w:val="30"/>
  </w:num>
  <w:num w:numId="42" w16cid:durableId="1385255515">
    <w:abstractNumId w:val="30"/>
  </w:num>
  <w:num w:numId="43" w16cid:durableId="1892498631">
    <w:abstractNumId w:val="5"/>
  </w:num>
  <w:num w:numId="44" w16cid:durableId="1241019257">
    <w:abstractNumId w:val="19"/>
  </w:num>
  <w:num w:numId="45" w16cid:durableId="1855802287">
    <w:abstractNumId w:val="2"/>
  </w:num>
  <w:num w:numId="46" w16cid:durableId="665481593">
    <w:abstractNumId w:val="15"/>
  </w:num>
  <w:num w:numId="47" w16cid:durableId="1224178835">
    <w:abstractNumId w:val="22"/>
  </w:num>
  <w:num w:numId="48" w16cid:durableId="1981884344">
    <w:abstractNumId w:val="20"/>
  </w:num>
  <w:num w:numId="49" w16cid:durableId="1674717743">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FE6"/>
    <w:rsid w:val="00001953"/>
    <w:rsid w:val="000037FF"/>
    <w:rsid w:val="00005118"/>
    <w:rsid w:val="00005D98"/>
    <w:rsid w:val="00006F34"/>
    <w:rsid w:val="00011097"/>
    <w:rsid w:val="00011768"/>
    <w:rsid w:val="0001183B"/>
    <w:rsid w:val="00011C96"/>
    <w:rsid w:val="000132D4"/>
    <w:rsid w:val="000138A2"/>
    <w:rsid w:val="00013D35"/>
    <w:rsid w:val="0001529D"/>
    <w:rsid w:val="000155A1"/>
    <w:rsid w:val="000167E3"/>
    <w:rsid w:val="00016FD1"/>
    <w:rsid w:val="0002077F"/>
    <w:rsid w:val="0002179F"/>
    <w:rsid w:val="000221ED"/>
    <w:rsid w:val="000229E3"/>
    <w:rsid w:val="0002302D"/>
    <w:rsid w:val="000231E2"/>
    <w:rsid w:val="00023822"/>
    <w:rsid w:val="000239A2"/>
    <w:rsid w:val="00023A1C"/>
    <w:rsid w:val="00024BA5"/>
    <w:rsid w:val="00024E02"/>
    <w:rsid w:val="0002693C"/>
    <w:rsid w:val="00030043"/>
    <w:rsid w:val="00030688"/>
    <w:rsid w:val="00030C23"/>
    <w:rsid w:val="00032DE8"/>
    <w:rsid w:val="000338B7"/>
    <w:rsid w:val="0003467B"/>
    <w:rsid w:val="00034A19"/>
    <w:rsid w:val="000351A1"/>
    <w:rsid w:val="00035C67"/>
    <w:rsid w:val="00036F9E"/>
    <w:rsid w:val="00037363"/>
    <w:rsid w:val="0003780D"/>
    <w:rsid w:val="0004110A"/>
    <w:rsid w:val="000413B3"/>
    <w:rsid w:val="000452EB"/>
    <w:rsid w:val="00047FCE"/>
    <w:rsid w:val="0005262A"/>
    <w:rsid w:val="00053C2F"/>
    <w:rsid w:val="00053F29"/>
    <w:rsid w:val="0005481E"/>
    <w:rsid w:val="00055D84"/>
    <w:rsid w:val="000560C3"/>
    <w:rsid w:val="000578D2"/>
    <w:rsid w:val="000607E3"/>
    <w:rsid w:val="0006082A"/>
    <w:rsid w:val="000627DD"/>
    <w:rsid w:val="000638F7"/>
    <w:rsid w:val="00064290"/>
    <w:rsid w:val="00067195"/>
    <w:rsid w:val="000703C2"/>
    <w:rsid w:val="00070A66"/>
    <w:rsid w:val="0007118D"/>
    <w:rsid w:val="000716C0"/>
    <w:rsid w:val="000718BD"/>
    <w:rsid w:val="000723FF"/>
    <w:rsid w:val="0007312D"/>
    <w:rsid w:val="000736A7"/>
    <w:rsid w:val="00074B6E"/>
    <w:rsid w:val="000771D0"/>
    <w:rsid w:val="00077899"/>
    <w:rsid w:val="00080244"/>
    <w:rsid w:val="000816BF"/>
    <w:rsid w:val="000827CF"/>
    <w:rsid w:val="00082EBE"/>
    <w:rsid w:val="000838E2"/>
    <w:rsid w:val="00083998"/>
    <w:rsid w:val="00083D25"/>
    <w:rsid w:val="00084F8B"/>
    <w:rsid w:val="00085C88"/>
    <w:rsid w:val="00086F71"/>
    <w:rsid w:val="000913AD"/>
    <w:rsid w:val="0009294D"/>
    <w:rsid w:val="0009319B"/>
    <w:rsid w:val="0009392F"/>
    <w:rsid w:val="00093C84"/>
    <w:rsid w:val="00093DD0"/>
    <w:rsid w:val="00094693"/>
    <w:rsid w:val="000949AD"/>
    <w:rsid w:val="00095109"/>
    <w:rsid w:val="00095FFA"/>
    <w:rsid w:val="000961C4"/>
    <w:rsid w:val="00096B0F"/>
    <w:rsid w:val="00097261"/>
    <w:rsid w:val="00097C0E"/>
    <w:rsid w:val="000A490E"/>
    <w:rsid w:val="000B1ED1"/>
    <w:rsid w:val="000B2954"/>
    <w:rsid w:val="000B5475"/>
    <w:rsid w:val="000B5C9F"/>
    <w:rsid w:val="000B63CA"/>
    <w:rsid w:val="000B730F"/>
    <w:rsid w:val="000B7504"/>
    <w:rsid w:val="000B752A"/>
    <w:rsid w:val="000C05F0"/>
    <w:rsid w:val="000C06F9"/>
    <w:rsid w:val="000C09DC"/>
    <w:rsid w:val="000C14D9"/>
    <w:rsid w:val="000C3A1D"/>
    <w:rsid w:val="000C77AF"/>
    <w:rsid w:val="000C797C"/>
    <w:rsid w:val="000D0206"/>
    <w:rsid w:val="000D2221"/>
    <w:rsid w:val="000D479A"/>
    <w:rsid w:val="000D4EDE"/>
    <w:rsid w:val="000D585D"/>
    <w:rsid w:val="000D64C4"/>
    <w:rsid w:val="000E1DA2"/>
    <w:rsid w:val="000E31AA"/>
    <w:rsid w:val="000E3661"/>
    <w:rsid w:val="000E43AC"/>
    <w:rsid w:val="000E58C3"/>
    <w:rsid w:val="000E6650"/>
    <w:rsid w:val="000F0180"/>
    <w:rsid w:val="000F3990"/>
    <w:rsid w:val="000F43B3"/>
    <w:rsid w:val="000F55C7"/>
    <w:rsid w:val="000F71C7"/>
    <w:rsid w:val="000F7EB0"/>
    <w:rsid w:val="00101B71"/>
    <w:rsid w:val="00102172"/>
    <w:rsid w:val="00104199"/>
    <w:rsid w:val="00104C5D"/>
    <w:rsid w:val="00107395"/>
    <w:rsid w:val="00107889"/>
    <w:rsid w:val="00107B3D"/>
    <w:rsid w:val="00113957"/>
    <w:rsid w:val="001141FC"/>
    <w:rsid w:val="00116857"/>
    <w:rsid w:val="00116955"/>
    <w:rsid w:val="00121913"/>
    <w:rsid w:val="00121F71"/>
    <w:rsid w:val="00123576"/>
    <w:rsid w:val="001243AC"/>
    <w:rsid w:val="00124B21"/>
    <w:rsid w:val="0012632B"/>
    <w:rsid w:val="00126B56"/>
    <w:rsid w:val="001327B8"/>
    <w:rsid w:val="00132D6F"/>
    <w:rsid w:val="001332C7"/>
    <w:rsid w:val="0013395B"/>
    <w:rsid w:val="00134412"/>
    <w:rsid w:val="0013457C"/>
    <w:rsid w:val="0013471B"/>
    <w:rsid w:val="00134D68"/>
    <w:rsid w:val="0013705C"/>
    <w:rsid w:val="00137A63"/>
    <w:rsid w:val="00137A99"/>
    <w:rsid w:val="00141A0D"/>
    <w:rsid w:val="001435A8"/>
    <w:rsid w:val="00145F82"/>
    <w:rsid w:val="001505CC"/>
    <w:rsid w:val="00151E4A"/>
    <w:rsid w:val="001521B1"/>
    <w:rsid w:val="00153854"/>
    <w:rsid w:val="001544E2"/>
    <w:rsid w:val="00154564"/>
    <w:rsid w:val="0015666F"/>
    <w:rsid w:val="00157449"/>
    <w:rsid w:val="00157C98"/>
    <w:rsid w:val="0016005B"/>
    <w:rsid w:val="0016087F"/>
    <w:rsid w:val="001613FA"/>
    <w:rsid w:val="001653B6"/>
    <w:rsid w:val="001664C3"/>
    <w:rsid w:val="00166924"/>
    <w:rsid w:val="00171086"/>
    <w:rsid w:val="00172DDE"/>
    <w:rsid w:val="00173F1D"/>
    <w:rsid w:val="00174B0F"/>
    <w:rsid w:val="0017536B"/>
    <w:rsid w:val="0017543F"/>
    <w:rsid w:val="00175488"/>
    <w:rsid w:val="0017568B"/>
    <w:rsid w:val="0017571B"/>
    <w:rsid w:val="00176166"/>
    <w:rsid w:val="001774B3"/>
    <w:rsid w:val="00180A58"/>
    <w:rsid w:val="0018144D"/>
    <w:rsid w:val="00181C38"/>
    <w:rsid w:val="0018235E"/>
    <w:rsid w:val="00182DB9"/>
    <w:rsid w:val="00184BC5"/>
    <w:rsid w:val="00186CAD"/>
    <w:rsid w:val="0018703C"/>
    <w:rsid w:val="00187D02"/>
    <w:rsid w:val="00193018"/>
    <w:rsid w:val="001A10C9"/>
    <w:rsid w:val="001A4959"/>
    <w:rsid w:val="001B03AB"/>
    <w:rsid w:val="001B2DB7"/>
    <w:rsid w:val="001B2F30"/>
    <w:rsid w:val="001B345E"/>
    <w:rsid w:val="001B45D4"/>
    <w:rsid w:val="001B536E"/>
    <w:rsid w:val="001C0600"/>
    <w:rsid w:val="001C21FC"/>
    <w:rsid w:val="001C28D1"/>
    <w:rsid w:val="001C3723"/>
    <w:rsid w:val="001C431E"/>
    <w:rsid w:val="001C4F73"/>
    <w:rsid w:val="001D0BDD"/>
    <w:rsid w:val="001D1F31"/>
    <w:rsid w:val="001D303B"/>
    <w:rsid w:val="001D3123"/>
    <w:rsid w:val="001D3811"/>
    <w:rsid w:val="001D464A"/>
    <w:rsid w:val="001D5842"/>
    <w:rsid w:val="001D7983"/>
    <w:rsid w:val="001E09C1"/>
    <w:rsid w:val="001E0F51"/>
    <w:rsid w:val="001E2189"/>
    <w:rsid w:val="001E2853"/>
    <w:rsid w:val="001E3DE5"/>
    <w:rsid w:val="001E55A4"/>
    <w:rsid w:val="001E55BF"/>
    <w:rsid w:val="001E5DE9"/>
    <w:rsid w:val="001E6934"/>
    <w:rsid w:val="001F3998"/>
    <w:rsid w:val="001F39D7"/>
    <w:rsid w:val="001F6E1A"/>
    <w:rsid w:val="001F780A"/>
    <w:rsid w:val="001F7917"/>
    <w:rsid w:val="00200613"/>
    <w:rsid w:val="00204C3D"/>
    <w:rsid w:val="00204E4F"/>
    <w:rsid w:val="00206C37"/>
    <w:rsid w:val="00207A0B"/>
    <w:rsid w:val="00210970"/>
    <w:rsid w:val="002118C9"/>
    <w:rsid w:val="00212101"/>
    <w:rsid w:val="002124D1"/>
    <w:rsid w:val="002129F5"/>
    <w:rsid w:val="00212F83"/>
    <w:rsid w:val="0021306A"/>
    <w:rsid w:val="00214735"/>
    <w:rsid w:val="0021599E"/>
    <w:rsid w:val="00216EB8"/>
    <w:rsid w:val="002173DE"/>
    <w:rsid w:val="00223678"/>
    <w:rsid w:val="00224EB0"/>
    <w:rsid w:val="00226BBF"/>
    <w:rsid w:val="00232753"/>
    <w:rsid w:val="0023576D"/>
    <w:rsid w:val="002365D9"/>
    <w:rsid w:val="00237C82"/>
    <w:rsid w:val="00240126"/>
    <w:rsid w:val="0024046C"/>
    <w:rsid w:val="00244531"/>
    <w:rsid w:val="0024534C"/>
    <w:rsid w:val="00247ACA"/>
    <w:rsid w:val="00247EFB"/>
    <w:rsid w:val="002501AE"/>
    <w:rsid w:val="00250FB8"/>
    <w:rsid w:val="00252E6A"/>
    <w:rsid w:val="00252EFB"/>
    <w:rsid w:val="00254149"/>
    <w:rsid w:val="002542C6"/>
    <w:rsid w:val="00255FEF"/>
    <w:rsid w:val="0025782A"/>
    <w:rsid w:val="00261BB2"/>
    <w:rsid w:val="00261EDB"/>
    <w:rsid w:val="00263AEC"/>
    <w:rsid w:val="002641DE"/>
    <w:rsid w:val="00264382"/>
    <w:rsid w:val="002661A6"/>
    <w:rsid w:val="00266C23"/>
    <w:rsid w:val="002704A1"/>
    <w:rsid w:val="00272718"/>
    <w:rsid w:val="00275EA0"/>
    <w:rsid w:val="00276DB5"/>
    <w:rsid w:val="002801CE"/>
    <w:rsid w:val="0028114B"/>
    <w:rsid w:val="002816A8"/>
    <w:rsid w:val="00281AE1"/>
    <w:rsid w:val="00282206"/>
    <w:rsid w:val="00282303"/>
    <w:rsid w:val="002830D0"/>
    <w:rsid w:val="0028373E"/>
    <w:rsid w:val="00286EAD"/>
    <w:rsid w:val="00287308"/>
    <w:rsid w:val="00287699"/>
    <w:rsid w:val="00290E14"/>
    <w:rsid w:val="00290FFF"/>
    <w:rsid w:val="0029138F"/>
    <w:rsid w:val="0029148A"/>
    <w:rsid w:val="0029389B"/>
    <w:rsid w:val="00297799"/>
    <w:rsid w:val="002A36F2"/>
    <w:rsid w:val="002A4DB8"/>
    <w:rsid w:val="002A5848"/>
    <w:rsid w:val="002A67AE"/>
    <w:rsid w:val="002A7D14"/>
    <w:rsid w:val="002B00BB"/>
    <w:rsid w:val="002B28E4"/>
    <w:rsid w:val="002B2CEA"/>
    <w:rsid w:val="002B3197"/>
    <w:rsid w:val="002B36FD"/>
    <w:rsid w:val="002B466C"/>
    <w:rsid w:val="002B5038"/>
    <w:rsid w:val="002B68C4"/>
    <w:rsid w:val="002B7504"/>
    <w:rsid w:val="002C0D97"/>
    <w:rsid w:val="002C2B17"/>
    <w:rsid w:val="002C4A25"/>
    <w:rsid w:val="002C5488"/>
    <w:rsid w:val="002C6AEB"/>
    <w:rsid w:val="002C7065"/>
    <w:rsid w:val="002C7F4A"/>
    <w:rsid w:val="002D09A2"/>
    <w:rsid w:val="002D12B3"/>
    <w:rsid w:val="002D2804"/>
    <w:rsid w:val="002D4B6C"/>
    <w:rsid w:val="002D5E48"/>
    <w:rsid w:val="002D764F"/>
    <w:rsid w:val="002E02CF"/>
    <w:rsid w:val="002E10AC"/>
    <w:rsid w:val="002E17A0"/>
    <w:rsid w:val="002E3411"/>
    <w:rsid w:val="002E361E"/>
    <w:rsid w:val="002E3914"/>
    <w:rsid w:val="002E40AC"/>
    <w:rsid w:val="002E587A"/>
    <w:rsid w:val="002F0C2C"/>
    <w:rsid w:val="002F0EBD"/>
    <w:rsid w:val="002F192F"/>
    <w:rsid w:val="002F5D69"/>
    <w:rsid w:val="002F657E"/>
    <w:rsid w:val="002F6C22"/>
    <w:rsid w:val="002F7E9E"/>
    <w:rsid w:val="002F7FDC"/>
    <w:rsid w:val="00300655"/>
    <w:rsid w:val="003006DF"/>
    <w:rsid w:val="0030155E"/>
    <w:rsid w:val="0030179B"/>
    <w:rsid w:val="0030186C"/>
    <w:rsid w:val="00302CCB"/>
    <w:rsid w:val="00303B77"/>
    <w:rsid w:val="00303D18"/>
    <w:rsid w:val="0030469B"/>
    <w:rsid w:val="00305EB4"/>
    <w:rsid w:val="0030725B"/>
    <w:rsid w:val="00307ADD"/>
    <w:rsid w:val="0031083D"/>
    <w:rsid w:val="00310FCB"/>
    <w:rsid w:val="00312507"/>
    <w:rsid w:val="00312685"/>
    <w:rsid w:val="003127E8"/>
    <w:rsid w:val="003130CA"/>
    <w:rsid w:val="0031384D"/>
    <w:rsid w:val="003152BD"/>
    <w:rsid w:val="003169EE"/>
    <w:rsid w:val="00317478"/>
    <w:rsid w:val="00317C70"/>
    <w:rsid w:val="00324884"/>
    <w:rsid w:val="00326545"/>
    <w:rsid w:val="00326761"/>
    <w:rsid w:val="00327338"/>
    <w:rsid w:val="00327F71"/>
    <w:rsid w:val="00330557"/>
    <w:rsid w:val="00330D58"/>
    <w:rsid w:val="00332944"/>
    <w:rsid w:val="00333C63"/>
    <w:rsid w:val="00333CE6"/>
    <w:rsid w:val="00334FEE"/>
    <w:rsid w:val="00336721"/>
    <w:rsid w:val="003413E0"/>
    <w:rsid w:val="003426E6"/>
    <w:rsid w:val="003427A0"/>
    <w:rsid w:val="00342E13"/>
    <w:rsid w:val="00343341"/>
    <w:rsid w:val="00343440"/>
    <w:rsid w:val="00343D4C"/>
    <w:rsid w:val="00345CAD"/>
    <w:rsid w:val="00346CBF"/>
    <w:rsid w:val="00351A6E"/>
    <w:rsid w:val="00351ADE"/>
    <w:rsid w:val="00352273"/>
    <w:rsid w:val="00353E70"/>
    <w:rsid w:val="00354EBA"/>
    <w:rsid w:val="00355ECC"/>
    <w:rsid w:val="00361CB8"/>
    <w:rsid w:val="00362ADA"/>
    <w:rsid w:val="003646D0"/>
    <w:rsid w:val="00366096"/>
    <w:rsid w:val="003709BD"/>
    <w:rsid w:val="00370A1F"/>
    <w:rsid w:val="0037191C"/>
    <w:rsid w:val="00371F54"/>
    <w:rsid w:val="00374BD0"/>
    <w:rsid w:val="00377FC6"/>
    <w:rsid w:val="00380253"/>
    <w:rsid w:val="00380996"/>
    <w:rsid w:val="003810DD"/>
    <w:rsid w:val="003834BC"/>
    <w:rsid w:val="00383A95"/>
    <w:rsid w:val="00384596"/>
    <w:rsid w:val="003849DE"/>
    <w:rsid w:val="00384A64"/>
    <w:rsid w:val="003851AC"/>
    <w:rsid w:val="00385BBE"/>
    <w:rsid w:val="0038626F"/>
    <w:rsid w:val="0039220E"/>
    <w:rsid w:val="003926F4"/>
    <w:rsid w:val="00395631"/>
    <w:rsid w:val="003A0D9D"/>
    <w:rsid w:val="003A14DA"/>
    <w:rsid w:val="003A17D0"/>
    <w:rsid w:val="003A2AFA"/>
    <w:rsid w:val="003A3021"/>
    <w:rsid w:val="003A5E2F"/>
    <w:rsid w:val="003A6A2C"/>
    <w:rsid w:val="003B0B6F"/>
    <w:rsid w:val="003B105C"/>
    <w:rsid w:val="003B3CBB"/>
    <w:rsid w:val="003B55C8"/>
    <w:rsid w:val="003B6E16"/>
    <w:rsid w:val="003B75A7"/>
    <w:rsid w:val="003C180A"/>
    <w:rsid w:val="003C1E25"/>
    <w:rsid w:val="003C377E"/>
    <w:rsid w:val="003C5FC1"/>
    <w:rsid w:val="003D0871"/>
    <w:rsid w:val="003D140B"/>
    <w:rsid w:val="003D27CB"/>
    <w:rsid w:val="003D2CB3"/>
    <w:rsid w:val="003D5BFA"/>
    <w:rsid w:val="003D5D14"/>
    <w:rsid w:val="003D5DAE"/>
    <w:rsid w:val="003D7B5D"/>
    <w:rsid w:val="003E1429"/>
    <w:rsid w:val="003E15A3"/>
    <w:rsid w:val="003E311E"/>
    <w:rsid w:val="003E4BE5"/>
    <w:rsid w:val="003E6BF6"/>
    <w:rsid w:val="003F0BC5"/>
    <w:rsid w:val="003F0F0D"/>
    <w:rsid w:val="003F484C"/>
    <w:rsid w:val="003F49DD"/>
    <w:rsid w:val="0040173E"/>
    <w:rsid w:val="004039C1"/>
    <w:rsid w:val="004056FB"/>
    <w:rsid w:val="0040572D"/>
    <w:rsid w:val="00405FB0"/>
    <w:rsid w:val="0040646A"/>
    <w:rsid w:val="00410A1E"/>
    <w:rsid w:val="00412CB4"/>
    <w:rsid w:val="00413933"/>
    <w:rsid w:val="004140DE"/>
    <w:rsid w:val="00414CE0"/>
    <w:rsid w:val="00416385"/>
    <w:rsid w:val="0041658B"/>
    <w:rsid w:val="0041750A"/>
    <w:rsid w:val="00420D00"/>
    <w:rsid w:val="004217F6"/>
    <w:rsid w:val="00421CB0"/>
    <w:rsid w:val="00422872"/>
    <w:rsid w:val="004254D2"/>
    <w:rsid w:val="00426142"/>
    <w:rsid w:val="004268A2"/>
    <w:rsid w:val="00426BD1"/>
    <w:rsid w:val="00426D8D"/>
    <w:rsid w:val="00430A65"/>
    <w:rsid w:val="00430DC8"/>
    <w:rsid w:val="00431B6C"/>
    <w:rsid w:val="00432281"/>
    <w:rsid w:val="00432F04"/>
    <w:rsid w:val="00434CE0"/>
    <w:rsid w:val="004352E3"/>
    <w:rsid w:val="00435F50"/>
    <w:rsid w:val="004405D7"/>
    <w:rsid w:val="00440A77"/>
    <w:rsid w:val="00440DB7"/>
    <w:rsid w:val="004418BB"/>
    <w:rsid w:val="00443BDE"/>
    <w:rsid w:val="0044447D"/>
    <w:rsid w:val="00444AEF"/>
    <w:rsid w:val="00445811"/>
    <w:rsid w:val="00445CB3"/>
    <w:rsid w:val="00447351"/>
    <w:rsid w:val="00447C4B"/>
    <w:rsid w:val="004507C4"/>
    <w:rsid w:val="00450AE1"/>
    <w:rsid w:val="00453498"/>
    <w:rsid w:val="004550CD"/>
    <w:rsid w:val="00455785"/>
    <w:rsid w:val="0045598D"/>
    <w:rsid w:val="004570B0"/>
    <w:rsid w:val="004575E8"/>
    <w:rsid w:val="00457CDB"/>
    <w:rsid w:val="00460F19"/>
    <w:rsid w:val="004616E9"/>
    <w:rsid w:val="004634A6"/>
    <w:rsid w:val="00463FA8"/>
    <w:rsid w:val="00464FB7"/>
    <w:rsid w:val="00472FEA"/>
    <w:rsid w:val="004730E2"/>
    <w:rsid w:val="00474EDA"/>
    <w:rsid w:val="004754F3"/>
    <w:rsid w:val="0048196E"/>
    <w:rsid w:val="0048630C"/>
    <w:rsid w:val="004868D8"/>
    <w:rsid w:val="004875AA"/>
    <w:rsid w:val="00490E7B"/>
    <w:rsid w:val="0049270F"/>
    <w:rsid w:val="00493509"/>
    <w:rsid w:val="00494335"/>
    <w:rsid w:val="00494F6F"/>
    <w:rsid w:val="00496572"/>
    <w:rsid w:val="004967A1"/>
    <w:rsid w:val="00497327"/>
    <w:rsid w:val="0049743E"/>
    <w:rsid w:val="00497F87"/>
    <w:rsid w:val="004A04C0"/>
    <w:rsid w:val="004A074E"/>
    <w:rsid w:val="004A11A6"/>
    <w:rsid w:val="004A2494"/>
    <w:rsid w:val="004A4963"/>
    <w:rsid w:val="004A5940"/>
    <w:rsid w:val="004B060A"/>
    <w:rsid w:val="004B1FF9"/>
    <w:rsid w:val="004B228E"/>
    <w:rsid w:val="004B390D"/>
    <w:rsid w:val="004B4C61"/>
    <w:rsid w:val="004B5675"/>
    <w:rsid w:val="004B584E"/>
    <w:rsid w:val="004C1106"/>
    <w:rsid w:val="004C3A88"/>
    <w:rsid w:val="004C44AD"/>
    <w:rsid w:val="004C6D4B"/>
    <w:rsid w:val="004C732E"/>
    <w:rsid w:val="004D089D"/>
    <w:rsid w:val="004D27FC"/>
    <w:rsid w:val="004D5F3E"/>
    <w:rsid w:val="004D71CB"/>
    <w:rsid w:val="004E1273"/>
    <w:rsid w:val="004E1E7A"/>
    <w:rsid w:val="004E2269"/>
    <w:rsid w:val="004E2C85"/>
    <w:rsid w:val="004E447A"/>
    <w:rsid w:val="004E660D"/>
    <w:rsid w:val="004F1E70"/>
    <w:rsid w:val="004F2BF5"/>
    <w:rsid w:val="004F5D99"/>
    <w:rsid w:val="004F7ED7"/>
    <w:rsid w:val="005006D7"/>
    <w:rsid w:val="00501FFF"/>
    <w:rsid w:val="00503463"/>
    <w:rsid w:val="00503A51"/>
    <w:rsid w:val="005044F3"/>
    <w:rsid w:val="00504D08"/>
    <w:rsid w:val="005062D5"/>
    <w:rsid w:val="005069BA"/>
    <w:rsid w:val="00506B9C"/>
    <w:rsid w:val="0051031F"/>
    <w:rsid w:val="00511858"/>
    <w:rsid w:val="00512309"/>
    <w:rsid w:val="00513569"/>
    <w:rsid w:val="0051556F"/>
    <w:rsid w:val="00516CC6"/>
    <w:rsid w:val="00516F45"/>
    <w:rsid w:val="00520745"/>
    <w:rsid w:val="00521506"/>
    <w:rsid w:val="00522544"/>
    <w:rsid w:val="0052430B"/>
    <w:rsid w:val="005270D2"/>
    <w:rsid w:val="005302DA"/>
    <w:rsid w:val="0053052F"/>
    <w:rsid w:val="00532627"/>
    <w:rsid w:val="00535194"/>
    <w:rsid w:val="00535B8C"/>
    <w:rsid w:val="005363B3"/>
    <w:rsid w:val="00542522"/>
    <w:rsid w:val="0054395D"/>
    <w:rsid w:val="0054526E"/>
    <w:rsid w:val="00546B9E"/>
    <w:rsid w:val="00547180"/>
    <w:rsid w:val="005476B5"/>
    <w:rsid w:val="0055096B"/>
    <w:rsid w:val="005514B4"/>
    <w:rsid w:val="005529F6"/>
    <w:rsid w:val="005530E4"/>
    <w:rsid w:val="00553A3E"/>
    <w:rsid w:val="00553B0A"/>
    <w:rsid w:val="00554445"/>
    <w:rsid w:val="00556A92"/>
    <w:rsid w:val="0056158E"/>
    <w:rsid w:val="005615B6"/>
    <w:rsid w:val="00562D95"/>
    <w:rsid w:val="00565ED4"/>
    <w:rsid w:val="005715C0"/>
    <w:rsid w:val="00571BA8"/>
    <w:rsid w:val="005738C9"/>
    <w:rsid w:val="005752AE"/>
    <w:rsid w:val="005756DB"/>
    <w:rsid w:val="005769BA"/>
    <w:rsid w:val="00576AF9"/>
    <w:rsid w:val="005776BA"/>
    <w:rsid w:val="00581302"/>
    <w:rsid w:val="00584AEA"/>
    <w:rsid w:val="005900C5"/>
    <w:rsid w:val="00590286"/>
    <w:rsid w:val="00591833"/>
    <w:rsid w:val="005943C3"/>
    <w:rsid w:val="00594543"/>
    <w:rsid w:val="00594E2D"/>
    <w:rsid w:val="005A193C"/>
    <w:rsid w:val="005A3F63"/>
    <w:rsid w:val="005A437E"/>
    <w:rsid w:val="005A6576"/>
    <w:rsid w:val="005A7E85"/>
    <w:rsid w:val="005B073E"/>
    <w:rsid w:val="005B227F"/>
    <w:rsid w:val="005B57DC"/>
    <w:rsid w:val="005B61C6"/>
    <w:rsid w:val="005B6F9D"/>
    <w:rsid w:val="005B7801"/>
    <w:rsid w:val="005C0707"/>
    <w:rsid w:val="005C0992"/>
    <w:rsid w:val="005C1E48"/>
    <w:rsid w:val="005C2588"/>
    <w:rsid w:val="005C2A43"/>
    <w:rsid w:val="005C3068"/>
    <w:rsid w:val="005C5891"/>
    <w:rsid w:val="005C692B"/>
    <w:rsid w:val="005D371A"/>
    <w:rsid w:val="005D3789"/>
    <w:rsid w:val="005D4A22"/>
    <w:rsid w:val="005D4A4C"/>
    <w:rsid w:val="005D5FAE"/>
    <w:rsid w:val="005D6ACC"/>
    <w:rsid w:val="005D7F62"/>
    <w:rsid w:val="005E21D0"/>
    <w:rsid w:val="005E4CE8"/>
    <w:rsid w:val="005E51CD"/>
    <w:rsid w:val="005E5315"/>
    <w:rsid w:val="005E5A9C"/>
    <w:rsid w:val="005E6CD1"/>
    <w:rsid w:val="005F0F96"/>
    <w:rsid w:val="005F1F84"/>
    <w:rsid w:val="005F20F4"/>
    <w:rsid w:val="005F2303"/>
    <w:rsid w:val="005F29B7"/>
    <w:rsid w:val="005F2A37"/>
    <w:rsid w:val="005F2E35"/>
    <w:rsid w:val="005F36A0"/>
    <w:rsid w:val="005F5170"/>
    <w:rsid w:val="005F7F9E"/>
    <w:rsid w:val="00600102"/>
    <w:rsid w:val="00601201"/>
    <w:rsid w:val="00601445"/>
    <w:rsid w:val="0060252F"/>
    <w:rsid w:val="0060391F"/>
    <w:rsid w:val="00604F1A"/>
    <w:rsid w:val="00605312"/>
    <w:rsid w:val="006056E1"/>
    <w:rsid w:val="006057EE"/>
    <w:rsid w:val="00606A6E"/>
    <w:rsid w:val="00606EB5"/>
    <w:rsid w:val="006073C2"/>
    <w:rsid w:val="00607B8A"/>
    <w:rsid w:val="00613332"/>
    <w:rsid w:val="006134AE"/>
    <w:rsid w:val="0061664B"/>
    <w:rsid w:val="00617501"/>
    <w:rsid w:val="00617FDA"/>
    <w:rsid w:val="00620D06"/>
    <w:rsid w:val="0062116F"/>
    <w:rsid w:val="00621C4B"/>
    <w:rsid w:val="0062267C"/>
    <w:rsid w:val="006251E2"/>
    <w:rsid w:val="00625FC8"/>
    <w:rsid w:val="00626B98"/>
    <w:rsid w:val="006279F7"/>
    <w:rsid w:val="00627A0D"/>
    <w:rsid w:val="00627AA6"/>
    <w:rsid w:val="006316C8"/>
    <w:rsid w:val="00632AA2"/>
    <w:rsid w:val="00634B35"/>
    <w:rsid w:val="00634D5C"/>
    <w:rsid w:val="00634E4C"/>
    <w:rsid w:val="00635B89"/>
    <w:rsid w:val="00636B8B"/>
    <w:rsid w:val="00636CF8"/>
    <w:rsid w:val="00637B6D"/>
    <w:rsid w:val="006427FE"/>
    <w:rsid w:val="006428CB"/>
    <w:rsid w:val="00642968"/>
    <w:rsid w:val="006439B6"/>
    <w:rsid w:val="00646298"/>
    <w:rsid w:val="006506C1"/>
    <w:rsid w:val="0065172C"/>
    <w:rsid w:val="0065206A"/>
    <w:rsid w:val="00654C21"/>
    <w:rsid w:val="00654FFE"/>
    <w:rsid w:val="00655638"/>
    <w:rsid w:val="0065747A"/>
    <w:rsid w:val="006600CF"/>
    <w:rsid w:val="00663BE1"/>
    <w:rsid w:val="006651ED"/>
    <w:rsid w:val="0066674D"/>
    <w:rsid w:val="00666A78"/>
    <w:rsid w:val="0066771A"/>
    <w:rsid w:val="00667D66"/>
    <w:rsid w:val="00671C37"/>
    <w:rsid w:val="00672254"/>
    <w:rsid w:val="006722C6"/>
    <w:rsid w:val="00672501"/>
    <w:rsid w:val="0067302E"/>
    <w:rsid w:val="006734AC"/>
    <w:rsid w:val="00674EC1"/>
    <w:rsid w:val="00677304"/>
    <w:rsid w:val="0068220D"/>
    <w:rsid w:val="00686482"/>
    <w:rsid w:val="006902F3"/>
    <w:rsid w:val="006904F6"/>
    <w:rsid w:val="00691032"/>
    <w:rsid w:val="006913AE"/>
    <w:rsid w:val="0069375D"/>
    <w:rsid w:val="0069407C"/>
    <w:rsid w:val="00694E9E"/>
    <w:rsid w:val="0069574E"/>
    <w:rsid w:val="006971F9"/>
    <w:rsid w:val="00697AD3"/>
    <w:rsid w:val="006A0865"/>
    <w:rsid w:val="006A0DFE"/>
    <w:rsid w:val="006A213C"/>
    <w:rsid w:val="006A2289"/>
    <w:rsid w:val="006A31E7"/>
    <w:rsid w:val="006A4DA4"/>
    <w:rsid w:val="006A5F3E"/>
    <w:rsid w:val="006A6195"/>
    <w:rsid w:val="006A77C4"/>
    <w:rsid w:val="006B1954"/>
    <w:rsid w:val="006B1A0B"/>
    <w:rsid w:val="006B34DE"/>
    <w:rsid w:val="006B56E9"/>
    <w:rsid w:val="006B642E"/>
    <w:rsid w:val="006B746A"/>
    <w:rsid w:val="006C00A7"/>
    <w:rsid w:val="006C2D0C"/>
    <w:rsid w:val="006C41B9"/>
    <w:rsid w:val="006C7D70"/>
    <w:rsid w:val="006D1EEC"/>
    <w:rsid w:val="006D3F78"/>
    <w:rsid w:val="006D5B98"/>
    <w:rsid w:val="006D5CE1"/>
    <w:rsid w:val="006D5F50"/>
    <w:rsid w:val="006D64EB"/>
    <w:rsid w:val="006D71A9"/>
    <w:rsid w:val="006D76F1"/>
    <w:rsid w:val="006E1E20"/>
    <w:rsid w:val="006E33CD"/>
    <w:rsid w:val="006E38E3"/>
    <w:rsid w:val="006E5699"/>
    <w:rsid w:val="006E728E"/>
    <w:rsid w:val="006F145A"/>
    <w:rsid w:val="006F27CB"/>
    <w:rsid w:val="006F5865"/>
    <w:rsid w:val="006F58F6"/>
    <w:rsid w:val="007004E2"/>
    <w:rsid w:val="00700B27"/>
    <w:rsid w:val="00701020"/>
    <w:rsid w:val="00701376"/>
    <w:rsid w:val="0070374E"/>
    <w:rsid w:val="00703786"/>
    <w:rsid w:val="007039AA"/>
    <w:rsid w:val="00704020"/>
    <w:rsid w:val="007040BF"/>
    <w:rsid w:val="00705927"/>
    <w:rsid w:val="00705F04"/>
    <w:rsid w:val="007065A7"/>
    <w:rsid w:val="0070675A"/>
    <w:rsid w:val="007079ED"/>
    <w:rsid w:val="007118E3"/>
    <w:rsid w:val="00714079"/>
    <w:rsid w:val="0072194D"/>
    <w:rsid w:val="00721E09"/>
    <w:rsid w:val="007229AD"/>
    <w:rsid w:val="00723658"/>
    <w:rsid w:val="0072377D"/>
    <w:rsid w:val="007247E3"/>
    <w:rsid w:val="00727A3F"/>
    <w:rsid w:val="00731E44"/>
    <w:rsid w:val="00733780"/>
    <w:rsid w:val="00734301"/>
    <w:rsid w:val="00734DB2"/>
    <w:rsid w:val="0073523A"/>
    <w:rsid w:val="007354FE"/>
    <w:rsid w:val="00736473"/>
    <w:rsid w:val="007374CE"/>
    <w:rsid w:val="00740B19"/>
    <w:rsid w:val="0074143C"/>
    <w:rsid w:val="00741C16"/>
    <w:rsid w:val="0074277C"/>
    <w:rsid w:val="0074284C"/>
    <w:rsid w:val="007445A8"/>
    <w:rsid w:val="00747252"/>
    <w:rsid w:val="0074731B"/>
    <w:rsid w:val="00747C14"/>
    <w:rsid w:val="0075111C"/>
    <w:rsid w:val="00754011"/>
    <w:rsid w:val="007541B0"/>
    <w:rsid w:val="00754F28"/>
    <w:rsid w:val="00755163"/>
    <w:rsid w:val="007552E7"/>
    <w:rsid w:val="00756377"/>
    <w:rsid w:val="00756AAB"/>
    <w:rsid w:val="00757F63"/>
    <w:rsid w:val="007626AA"/>
    <w:rsid w:val="00763B81"/>
    <w:rsid w:val="007645AE"/>
    <w:rsid w:val="00764992"/>
    <w:rsid w:val="00764EF9"/>
    <w:rsid w:val="0076645C"/>
    <w:rsid w:val="007665E4"/>
    <w:rsid w:val="007667BB"/>
    <w:rsid w:val="00766F08"/>
    <w:rsid w:val="007706FE"/>
    <w:rsid w:val="00775348"/>
    <w:rsid w:val="007753A5"/>
    <w:rsid w:val="00775AA0"/>
    <w:rsid w:val="007761A9"/>
    <w:rsid w:val="00776931"/>
    <w:rsid w:val="00783AED"/>
    <w:rsid w:val="007907C4"/>
    <w:rsid w:val="007932E6"/>
    <w:rsid w:val="007936BA"/>
    <w:rsid w:val="00794417"/>
    <w:rsid w:val="0079504F"/>
    <w:rsid w:val="007954DF"/>
    <w:rsid w:val="00797C81"/>
    <w:rsid w:val="007A0991"/>
    <w:rsid w:val="007A264B"/>
    <w:rsid w:val="007A479F"/>
    <w:rsid w:val="007A607F"/>
    <w:rsid w:val="007B1072"/>
    <w:rsid w:val="007B35AC"/>
    <w:rsid w:val="007B3716"/>
    <w:rsid w:val="007B3E1F"/>
    <w:rsid w:val="007B4AE0"/>
    <w:rsid w:val="007B69AC"/>
    <w:rsid w:val="007B7E7A"/>
    <w:rsid w:val="007C0145"/>
    <w:rsid w:val="007C08B1"/>
    <w:rsid w:val="007C18AE"/>
    <w:rsid w:val="007C1D7E"/>
    <w:rsid w:val="007C225F"/>
    <w:rsid w:val="007C2CC2"/>
    <w:rsid w:val="007C32CC"/>
    <w:rsid w:val="007C350F"/>
    <w:rsid w:val="007C79AA"/>
    <w:rsid w:val="007C7BED"/>
    <w:rsid w:val="007D2F03"/>
    <w:rsid w:val="007D3957"/>
    <w:rsid w:val="007D3C5E"/>
    <w:rsid w:val="007D446B"/>
    <w:rsid w:val="007D5B6D"/>
    <w:rsid w:val="007D698A"/>
    <w:rsid w:val="007E21B3"/>
    <w:rsid w:val="007E3E1C"/>
    <w:rsid w:val="007E4BE2"/>
    <w:rsid w:val="007E525D"/>
    <w:rsid w:val="007E63D9"/>
    <w:rsid w:val="007E69E3"/>
    <w:rsid w:val="007E6A1A"/>
    <w:rsid w:val="007F019E"/>
    <w:rsid w:val="007F08E1"/>
    <w:rsid w:val="007F4405"/>
    <w:rsid w:val="00802C4C"/>
    <w:rsid w:val="00803CD3"/>
    <w:rsid w:val="0080432A"/>
    <w:rsid w:val="00804C4B"/>
    <w:rsid w:val="00811268"/>
    <w:rsid w:val="00811F6F"/>
    <w:rsid w:val="00813A6E"/>
    <w:rsid w:val="008152D7"/>
    <w:rsid w:val="008154B5"/>
    <w:rsid w:val="00816D26"/>
    <w:rsid w:val="00820121"/>
    <w:rsid w:val="00820BB5"/>
    <w:rsid w:val="00824534"/>
    <w:rsid w:val="00824790"/>
    <w:rsid w:val="00830FDC"/>
    <w:rsid w:val="00836E62"/>
    <w:rsid w:val="0083753C"/>
    <w:rsid w:val="00845843"/>
    <w:rsid w:val="00845AB5"/>
    <w:rsid w:val="008461BC"/>
    <w:rsid w:val="00846D34"/>
    <w:rsid w:val="00847A43"/>
    <w:rsid w:val="00847C51"/>
    <w:rsid w:val="008503A0"/>
    <w:rsid w:val="00851150"/>
    <w:rsid w:val="008560BB"/>
    <w:rsid w:val="00860B54"/>
    <w:rsid w:val="0086178C"/>
    <w:rsid w:val="008630C3"/>
    <w:rsid w:val="008637EC"/>
    <w:rsid w:val="00863E7E"/>
    <w:rsid w:val="00865E6F"/>
    <w:rsid w:val="00870BC6"/>
    <w:rsid w:val="00871C1E"/>
    <w:rsid w:val="00875F68"/>
    <w:rsid w:val="0087776E"/>
    <w:rsid w:val="0088036D"/>
    <w:rsid w:val="008816CD"/>
    <w:rsid w:val="008816CF"/>
    <w:rsid w:val="00884CFE"/>
    <w:rsid w:val="00885A14"/>
    <w:rsid w:val="0088689B"/>
    <w:rsid w:val="00887410"/>
    <w:rsid w:val="008876C0"/>
    <w:rsid w:val="00890AC3"/>
    <w:rsid w:val="00890F09"/>
    <w:rsid w:val="00890FA0"/>
    <w:rsid w:val="00891D56"/>
    <w:rsid w:val="00892947"/>
    <w:rsid w:val="00892C3F"/>
    <w:rsid w:val="00893126"/>
    <w:rsid w:val="008937FC"/>
    <w:rsid w:val="00893938"/>
    <w:rsid w:val="008947BF"/>
    <w:rsid w:val="00894F6B"/>
    <w:rsid w:val="008979BE"/>
    <w:rsid w:val="00897C58"/>
    <w:rsid w:val="008A214D"/>
    <w:rsid w:val="008A3026"/>
    <w:rsid w:val="008A4733"/>
    <w:rsid w:val="008A52D3"/>
    <w:rsid w:val="008A72D2"/>
    <w:rsid w:val="008A7C12"/>
    <w:rsid w:val="008B2338"/>
    <w:rsid w:val="008B4426"/>
    <w:rsid w:val="008B4D85"/>
    <w:rsid w:val="008B6868"/>
    <w:rsid w:val="008C3706"/>
    <w:rsid w:val="008C6A43"/>
    <w:rsid w:val="008C6BF5"/>
    <w:rsid w:val="008C7356"/>
    <w:rsid w:val="008D080C"/>
    <w:rsid w:val="008D0E06"/>
    <w:rsid w:val="008D2A7D"/>
    <w:rsid w:val="008D3395"/>
    <w:rsid w:val="008D4610"/>
    <w:rsid w:val="008D72BE"/>
    <w:rsid w:val="008E327D"/>
    <w:rsid w:val="008E5EAC"/>
    <w:rsid w:val="008E6411"/>
    <w:rsid w:val="008E6B1D"/>
    <w:rsid w:val="008F02B3"/>
    <w:rsid w:val="008F09A7"/>
    <w:rsid w:val="008F33B5"/>
    <w:rsid w:val="008F4F2B"/>
    <w:rsid w:val="008F65AD"/>
    <w:rsid w:val="008F6752"/>
    <w:rsid w:val="008F6B67"/>
    <w:rsid w:val="008F742F"/>
    <w:rsid w:val="00900335"/>
    <w:rsid w:val="009007ED"/>
    <w:rsid w:val="00900C21"/>
    <w:rsid w:val="00900C43"/>
    <w:rsid w:val="00901202"/>
    <w:rsid w:val="009016F7"/>
    <w:rsid w:val="00902407"/>
    <w:rsid w:val="009058C8"/>
    <w:rsid w:val="00906799"/>
    <w:rsid w:val="009075AC"/>
    <w:rsid w:val="00907A1D"/>
    <w:rsid w:val="009124C2"/>
    <w:rsid w:val="00912BB6"/>
    <w:rsid w:val="00912F6B"/>
    <w:rsid w:val="00914C93"/>
    <w:rsid w:val="00916D59"/>
    <w:rsid w:val="009173C7"/>
    <w:rsid w:val="009216DA"/>
    <w:rsid w:val="00921BB0"/>
    <w:rsid w:val="00924152"/>
    <w:rsid w:val="009244D2"/>
    <w:rsid w:val="00924941"/>
    <w:rsid w:val="00925EF0"/>
    <w:rsid w:val="00926A31"/>
    <w:rsid w:val="00927845"/>
    <w:rsid w:val="00927E34"/>
    <w:rsid w:val="0093079C"/>
    <w:rsid w:val="0093194D"/>
    <w:rsid w:val="00933F4E"/>
    <w:rsid w:val="009341DF"/>
    <w:rsid w:val="00934C3F"/>
    <w:rsid w:val="00934E81"/>
    <w:rsid w:val="00934FE2"/>
    <w:rsid w:val="0094093D"/>
    <w:rsid w:val="009417AE"/>
    <w:rsid w:val="009417F9"/>
    <w:rsid w:val="00941907"/>
    <w:rsid w:val="00942E56"/>
    <w:rsid w:val="0094596D"/>
    <w:rsid w:val="00945B3F"/>
    <w:rsid w:val="00952D4C"/>
    <w:rsid w:val="0095391D"/>
    <w:rsid w:val="00953AC7"/>
    <w:rsid w:val="0095458F"/>
    <w:rsid w:val="009554A5"/>
    <w:rsid w:val="00955FD9"/>
    <w:rsid w:val="00960103"/>
    <w:rsid w:val="00960F75"/>
    <w:rsid w:val="00961616"/>
    <w:rsid w:val="009617DE"/>
    <w:rsid w:val="00963FA9"/>
    <w:rsid w:val="00964C5F"/>
    <w:rsid w:val="00964F32"/>
    <w:rsid w:val="00970C8E"/>
    <w:rsid w:val="00970DCB"/>
    <w:rsid w:val="0097451E"/>
    <w:rsid w:val="00974F0E"/>
    <w:rsid w:val="00975CD7"/>
    <w:rsid w:val="00976DFF"/>
    <w:rsid w:val="00977A45"/>
    <w:rsid w:val="00980D09"/>
    <w:rsid w:val="009822AE"/>
    <w:rsid w:val="00984B03"/>
    <w:rsid w:val="00984C50"/>
    <w:rsid w:val="009879BD"/>
    <w:rsid w:val="00996279"/>
    <w:rsid w:val="00996919"/>
    <w:rsid w:val="009973E9"/>
    <w:rsid w:val="009979F4"/>
    <w:rsid w:val="009A0DAE"/>
    <w:rsid w:val="009A24D6"/>
    <w:rsid w:val="009A3AC8"/>
    <w:rsid w:val="009A45B2"/>
    <w:rsid w:val="009A4EC3"/>
    <w:rsid w:val="009B16A0"/>
    <w:rsid w:val="009B194D"/>
    <w:rsid w:val="009B1D3F"/>
    <w:rsid w:val="009B478E"/>
    <w:rsid w:val="009B7056"/>
    <w:rsid w:val="009B7B4E"/>
    <w:rsid w:val="009C15E6"/>
    <w:rsid w:val="009C1FC8"/>
    <w:rsid w:val="009C32CE"/>
    <w:rsid w:val="009D0B01"/>
    <w:rsid w:val="009D1624"/>
    <w:rsid w:val="009D1CC5"/>
    <w:rsid w:val="009D20E5"/>
    <w:rsid w:val="009D2263"/>
    <w:rsid w:val="009D2DDD"/>
    <w:rsid w:val="009D40E8"/>
    <w:rsid w:val="009D5E8A"/>
    <w:rsid w:val="009D6AEC"/>
    <w:rsid w:val="009D7B4E"/>
    <w:rsid w:val="009E1A3B"/>
    <w:rsid w:val="009E4BE9"/>
    <w:rsid w:val="009E4CD3"/>
    <w:rsid w:val="009E54FD"/>
    <w:rsid w:val="009E58CC"/>
    <w:rsid w:val="009E6C07"/>
    <w:rsid w:val="009E6EF5"/>
    <w:rsid w:val="009E738A"/>
    <w:rsid w:val="009E7CE5"/>
    <w:rsid w:val="009E7D52"/>
    <w:rsid w:val="009F052B"/>
    <w:rsid w:val="009F08B6"/>
    <w:rsid w:val="009F0A74"/>
    <w:rsid w:val="009F16B4"/>
    <w:rsid w:val="009F3932"/>
    <w:rsid w:val="009F5209"/>
    <w:rsid w:val="00A001AF"/>
    <w:rsid w:val="00A0218E"/>
    <w:rsid w:val="00A024DB"/>
    <w:rsid w:val="00A02F35"/>
    <w:rsid w:val="00A03B8A"/>
    <w:rsid w:val="00A04DD6"/>
    <w:rsid w:val="00A05F21"/>
    <w:rsid w:val="00A105E0"/>
    <w:rsid w:val="00A10DA6"/>
    <w:rsid w:val="00A141F9"/>
    <w:rsid w:val="00A15B30"/>
    <w:rsid w:val="00A16CD6"/>
    <w:rsid w:val="00A16FD5"/>
    <w:rsid w:val="00A17336"/>
    <w:rsid w:val="00A2034B"/>
    <w:rsid w:val="00A214DC"/>
    <w:rsid w:val="00A24A8F"/>
    <w:rsid w:val="00A26C25"/>
    <w:rsid w:val="00A272DD"/>
    <w:rsid w:val="00A30872"/>
    <w:rsid w:val="00A313D1"/>
    <w:rsid w:val="00A32062"/>
    <w:rsid w:val="00A33802"/>
    <w:rsid w:val="00A33EFE"/>
    <w:rsid w:val="00A3510D"/>
    <w:rsid w:val="00A35A56"/>
    <w:rsid w:val="00A36D66"/>
    <w:rsid w:val="00A37E51"/>
    <w:rsid w:val="00A40F64"/>
    <w:rsid w:val="00A41A09"/>
    <w:rsid w:val="00A428C4"/>
    <w:rsid w:val="00A43A18"/>
    <w:rsid w:val="00A43CD6"/>
    <w:rsid w:val="00A464D0"/>
    <w:rsid w:val="00A47545"/>
    <w:rsid w:val="00A506D2"/>
    <w:rsid w:val="00A50C13"/>
    <w:rsid w:val="00A511DB"/>
    <w:rsid w:val="00A522C4"/>
    <w:rsid w:val="00A52B47"/>
    <w:rsid w:val="00A52C4F"/>
    <w:rsid w:val="00A541BD"/>
    <w:rsid w:val="00A552A3"/>
    <w:rsid w:val="00A56325"/>
    <w:rsid w:val="00A569AD"/>
    <w:rsid w:val="00A600D8"/>
    <w:rsid w:val="00A6076B"/>
    <w:rsid w:val="00A61B91"/>
    <w:rsid w:val="00A61D09"/>
    <w:rsid w:val="00A62D31"/>
    <w:rsid w:val="00A63380"/>
    <w:rsid w:val="00A63971"/>
    <w:rsid w:val="00A67D4E"/>
    <w:rsid w:val="00A70BA2"/>
    <w:rsid w:val="00A711BE"/>
    <w:rsid w:val="00A732C8"/>
    <w:rsid w:val="00A75DF3"/>
    <w:rsid w:val="00A7600C"/>
    <w:rsid w:val="00A76766"/>
    <w:rsid w:val="00A774DA"/>
    <w:rsid w:val="00A806F9"/>
    <w:rsid w:val="00A83599"/>
    <w:rsid w:val="00A840E0"/>
    <w:rsid w:val="00A852AA"/>
    <w:rsid w:val="00A862D4"/>
    <w:rsid w:val="00A8680B"/>
    <w:rsid w:val="00A87FE6"/>
    <w:rsid w:val="00A90F4C"/>
    <w:rsid w:val="00A92050"/>
    <w:rsid w:val="00A9264C"/>
    <w:rsid w:val="00A92662"/>
    <w:rsid w:val="00A950C0"/>
    <w:rsid w:val="00A9699D"/>
    <w:rsid w:val="00A978AA"/>
    <w:rsid w:val="00A97C5A"/>
    <w:rsid w:val="00A97E3B"/>
    <w:rsid w:val="00AA01F9"/>
    <w:rsid w:val="00AA0D99"/>
    <w:rsid w:val="00AA1D6C"/>
    <w:rsid w:val="00AA41F2"/>
    <w:rsid w:val="00AA420E"/>
    <w:rsid w:val="00AA5E95"/>
    <w:rsid w:val="00AA7DA1"/>
    <w:rsid w:val="00AB039E"/>
    <w:rsid w:val="00AB0C78"/>
    <w:rsid w:val="00AB181A"/>
    <w:rsid w:val="00AB388A"/>
    <w:rsid w:val="00AB3E00"/>
    <w:rsid w:val="00AB44C2"/>
    <w:rsid w:val="00AB4B0B"/>
    <w:rsid w:val="00AB4F7F"/>
    <w:rsid w:val="00AB632B"/>
    <w:rsid w:val="00AB7CC8"/>
    <w:rsid w:val="00AC034E"/>
    <w:rsid w:val="00AC1104"/>
    <w:rsid w:val="00AC31C3"/>
    <w:rsid w:val="00AC6C7B"/>
    <w:rsid w:val="00AC7928"/>
    <w:rsid w:val="00AD44A4"/>
    <w:rsid w:val="00AD4F8C"/>
    <w:rsid w:val="00AD6CEE"/>
    <w:rsid w:val="00AD7172"/>
    <w:rsid w:val="00AE0AC2"/>
    <w:rsid w:val="00AE14A0"/>
    <w:rsid w:val="00AE4765"/>
    <w:rsid w:val="00AE6245"/>
    <w:rsid w:val="00AE747B"/>
    <w:rsid w:val="00AE7C8E"/>
    <w:rsid w:val="00AE7FA8"/>
    <w:rsid w:val="00AF0574"/>
    <w:rsid w:val="00AF0E5B"/>
    <w:rsid w:val="00AF129F"/>
    <w:rsid w:val="00AF4528"/>
    <w:rsid w:val="00AF45FB"/>
    <w:rsid w:val="00B00E2A"/>
    <w:rsid w:val="00B01621"/>
    <w:rsid w:val="00B02AB7"/>
    <w:rsid w:val="00B04B68"/>
    <w:rsid w:val="00B06588"/>
    <w:rsid w:val="00B075F0"/>
    <w:rsid w:val="00B07D8D"/>
    <w:rsid w:val="00B12354"/>
    <w:rsid w:val="00B12DC9"/>
    <w:rsid w:val="00B131ED"/>
    <w:rsid w:val="00B13F84"/>
    <w:rsid w:val="00B14601"/>
    <w:rsid w:val="00B14D3A"/>
    <w:rsid w:val="00B15ABA"/>
    <w:rsid w:val="00B168D1"/>
    <w:rsid w:val="00B223BA"/>
    <w:rsid w:val="00B225C1"/>
    <w:rsid w:val="00B24433"/>
    <w:rsid w:val="00B25085"/>
    <w:rsid w:val="00B26466"/>
    <w:rsid w:val="00B3154F"/>
    <w:rsid w:val="00B32A16"/>
    <w:rsid w:val="00B34EED"/>
    <w:rsid w:val="00B35820"/>
    <w:rsid w:val="00B35FE6"/>
    <w:rsid w:val="00B36E9B"/>
    <w:rsid w:val="00B4020A"/>
    <w:rsid w:val="00B40773"/>
    <w:rsid w:val="00B40BB6"/>
    <w:rsid w:val="00B42B2F"/>
    <w:rsid w:val="00B430EC"/>
    <w:rsid w:val="00B4360F"/>
    <w:rsid w:val="00B43656"/>
    <w:rsid w:val="00B43DDE"/>
    <w:rsid w:val="00B472E1"/>
    <w:rsid w:val="00B52AF5"/>
    <w:rsid w:val="00B53E47"/>
    <w:rsid w:val="00B55899"/>
    <w:rsid w:val="00B56441"/>
    <w:rsid w:val="00B5658B"/>
    <w:rsid w:val="00B57241"/>
    <w:rsid w:val="00B609C6"/>
    <w:rsid w:val="00B60FB0"/>
    <w:rsid w:val="00B61B7F"/>
    <w:rsid w:val="00B63CE2"/>
    <w:rsid w:val="00B645DC"/>
    <w:rsid w:val="00B6521D"/>
    <w:rsid w:val="00B66947"/>
    <w:rsid w:val="00B66B3F"/>
    <w:rsid w:val="00B71170"/>
    <w:rsid w:val="00B7175C"/>
    <w:rsid w:val="00B73C9B"/>
    <w:rsid w:val="00B748BA"/>
    <w:rsid w:val="00B75668"/>
    <w:rsid w:val="00B776A0"/>
    <w:rsid w:val="00B77E3B"/>
    <w:rsid w:val="00B80BCE"/>
    <w:rsid w:val="00B80EEA"/>
    <w:rsid w:val="00B80FA6"/>
    <w:rsid w:val="00B81740"/>
    <w:rsid w:val="00B8255E"/>
    <w:rsid w:val="00B825F2"/>
    <w:rsid w:val="00B82CB5"/>
    <w:rsid w:val="00B82FEC"/>
    <w:rsid w:val="00B85D7B"/>
    <w:rsid w:val="00B87C3D"/>
    <w:rsid w:val="00B900EA"/>
    <w:rsid w:val="00B91069"/>
    <w:rsid w:val="00B92842"/>
    <w:rsid w:val="00B933BC"/>
    <w:rsid w:val="00B93964"/>
    <w:rsid w:val="00B947F1"/>
    <w:rsid w:val="00B94CC6"/>
    <w:rsid w:val="00B95EE9"/>
    <w:rsid w:val="00B96958"/>
    <w:rsid w:val="00B9735E"/>
    <w:rsid w:val="00B9749D"/>
    <w:rsid w:val="00BA0602"/>
    <w:rsid w:val="00BA2915"/>
    <w:rsid w:val="00BA39BF"/>
    <w:rsid w:val="00BA402B"/>
    <w:rsid w:val="00BA7D46"/>
    <w:rsid w:val="00BA7ED4"/>
    <w:rsid w:val="00BB0CD5"/>
    <w:rsid w:val="00BB16FC"/>
    <w:rsid w:val="00BB22FA"/>
    <w:rsid w:val="00BB26AC"/>
    <w:rsid w:val="00BB3DAC"/>
    <w:rsid w:val="00BB429D"/>
    <w:rsid w:val="00BB7E62"/>
    <w:rsid w:val="00BB818B"/>
    <w:rsid w:val="00BC00AC"/>
    <w:rsid w:val="00BC15C0"/>
    <w:rsid w:val="00BC177B"/>
    <w:rsid w:val="00BC17D0"/>
    <w:rsid w:val="00BC20AE"/>
    <w:rsid w:val="00BC233F"/>
    <w:rsid w:val="00BC3C47"/>
    <w:rsid w:val="00BC5846"/>
    <w:rsid w:val="00BC5C2E"/>
    <w:rsid w:val="00BC5DFC"/>
    <w:rsid w:val="00BC613C"/>
    <w:rsid w:val="00BD0772"/>
    <w:rsid w:val="00BD0A45"/>
    <w:rsid w:val="00BD0BD5"/>
    <w:rsid w:val="00BD12A1"/>
    <w:rsid w:val="00BD2434"/>
    <w:rsid w:val="00BD3F5E"/>
    <w:rsid w:val="00BD5701"/>
    <w:rsid w:val="00BD62C7"/>
    <w:rsid w:val="00BD7B02"/>
    <w:rsid w:val="00BE16CE"/>
    <w:rsid w:val="00BE51E5"/>
    <w:rsid w:val="00BE6F55"/>
    <w:rsid w:val="00BE7EFC"/>
    <w:rsid w:val="00BF121B"/>
    <w:rsid w:val="00BF17C6"/>
    <w:rsid w:val="00BF22B5"/>
    <w:rsid w:val="00BF2A1C"/>
    <w:rsid w:val="00BF3797"/>
    <w:rsid w:val="00BF5046"/>
    <w:rsid w:val="00C007F7"/>
    <w:rsid w:val="00C00FDA"/>
    <w:rsid w:val="00C02234"/>
    <w:rsid w:val="00C02A85"/>
    <w:rsid w:val="00C02EB9"/>
    <w:rsid w:val="00C04B9E"/>
    <w:rsid w:val="00C04E4B"/>
    <w:rsid w:val="00C10320"/>
    <w:rsid w:val="00C14990"/>
    <w:rsid w:val="00C20F73"/>
    <w:rsid w:val="00C22896"/>
    <w:rsid w:val="00C253D1"/>
    <w:rsid w:val="00C27FCA"/>
    <w:rsid w:val="00C31367"/>
    <w:rsid w:val="00C31ADC"/>
    <w:rsid w:val="00C32DFF"/>
    <w:rsid w:val="00C35022"/>
    <w:rsid w:val="00C4030B"/>
    <w:rsid w:val="00C40BFD"/>
    <w:rsid w:val="00C41B76"/>
    <w:rsid w:val="00C42091"/>
    <w:rsid w:val="00C4355E"/>
    <w:rsid w:val="00C446A0"/>
    <w:rsid w:val="00C45856"/>
    <w:rsid w:val="00C46577"/>
    <w:rsid w:val="00C46627"/>
    <w:rsid w:val="00C473CC"/>
    <w:rsid w:val="00C50C87"/>
    <w:rsid w:val="00C53973"/>
    <w:rsid w:val="00C53D1E"/>
    <w:rsid w:val="00C53F43"/>
    <w:rsid w:val="00C550C0"/>
    <w:rsid w:val="00C560C3"/>
    <w:rsid w:val="00C578A3"/>
    <w:rsid w:val="00C607A6"/>
    <w:rsid w:val="00C61E67"/>
    <w:rsid w:val="00C62BF5"/>
    <w:rsid w:val="00C636DA"/>
    <w:rsid w:val="00C66612"/>
    <w:rsid w:val="00C6728F"/>
    <w:rsid w:val="00C67481"/>
    <w:rsid w:val="00C72271"/>
    <w:rsid w:val="00C72CB1"/>
    <w:rsid w:val="00C73251"/>
    <w:rsid w:val="00C7426E"/>
    <w:rsid w:val="00C75755"/>
    <w:rsid w:val="00C762E6"/>
    <w:rsid w:val="00C77C5F"/>
    <w:rsid w:val="00C77C7D"/>
    <w:rsid w:val="00C8047A"/>
    <w:rsid w:val="00C81C57"/>
    <w:rsid w:val="00C8474F"/>
    <w:rsid w:val="00C85D28"/>
    <w:rsid w:val="00C85F76"/>
    <w:rsid w:val="00C86541"/>
    <w:rsid w:val="00C87159"/>
    <w:rsid w:val="00C87823"/>
    <w:rsid w:val="00C878EF"/>
    <w:rsid w:val="00C87DA0"/>
    <w:rsid w:val="00C87DF7"/>
    <w:rsid w:val="00C9042D"/>
    <w:rsid w:val="00C9116A"/>
    <w:rsid w:val="00C911C2"/>
    <w:rsid w:val="00C91F78"/>
    <w:rsid w:val="00C95230"/>
    <w:rsid w:val="00C96C4B"/>
    <w:rsid w:val="00CA4ACE"/>
    <w:rsid w:val="00CA5EC0"/>
    <w:rsid w:val="00CA6FF9"/>
    <w:rsid w:val="00CB1534"/>
    <w:rsid w:val="00CB2335"/>
    <w:rsid w:val="00CB4238"/>
    <w:rsid w:val="00CB6287"/>
    <w:rsid w:val="00CB64EE"/>
    <w:rsid w:val="00CC05CA"/>
    <w:rsid w:val="00CC0ADD"/>
    <w:rsid w:val="00CC183C"/>
    <w:rsid w:val="00CC1A64"/>
    <w:rsid w:val="00CC34EB"/>
    <w:rsid w:val="00CC66EA"/>
    <w:rsid w:val="00CC73FE"/>
    <w:rsid w:val="00CD2645"/>
    <w:rsid w:val="00CD366F"/>
    <w:rsid w:val="00CD3C17"/>
    <w:rsid w:val="00CD4103"/>
    <w:rsid w:val="00CE070D"/>
    <w:rsid w:val="00CE1F9C"/>
    <w:rsid w:val="00CE2E48"/>
    <w:rsid w:val="00CE5C3E"/>
    <w:rsid w:val="00CE75D0"/>
    <w:rsid w:val="00CE76A7"/>
    <w:rsid w:val="00CF1B63"/>
    <w:rsid w:val="00CF1E79"/>
    <w:rsid w:val="00CF3713"/>
    <w:rsid w:val="00CF4AFD"/>
    <w:rsid w:val="00D007BE"/>
    <w:rsid w:val="00D0086A"/>
    <w:rsid w:val="00D021F7"/>
    <w:rsid w:val="00D04BCB"/>
    <w:rsid w:val="00D05326"/>
    <w:rsid w:val="00D054C9"/>
    <w:rsid w:val="00D05BB1"/>
    <w:rsid w:val="00D078A2"/>
    <w:rsid w:val="00D07E63"/>
    <w:rsid w:val="00D1278D"/>
    <w:rsid w:val="00D13CD4"/>
    <w:rsid w:val="00D14D29"/>
    <w:rsid w:val="00D16550"/>
    <w:rsid w:val="00D210CA"/>
    <w:rsid w:val="00D2178F"/>
    <w:rsid w:val="00D23F7B"/>
    <w:rsid w:val="00D2425C"/>
    <w:rsid w:val="00D25372"/>
    <w:rsid w:val="00D26BB7"/>
    <w:rsid w:val="00D31769"/>
    <w:rsid w:val="00D3390F"/>
    <w:rsid w:val="00D354BE"/>
    <w:rsid w:val="00D361B0"/>
    <w:rsid w:val="00D367EB"/>
    <w:rsid w:val="00D3698E"/>
    <w:rsid w:val="00D37964"/>
    <w:rsid w:val="00D40ED6"/>
    <w:rsid w:val="00D425F1"/>
    <w:rsid w:val="00D42E17"/>
    <w:rsid w:val="00D43F09"/>
    <w:rsid w:val="00D44690"/>
    <w:rsid w:val="00D45954"/>
    <w:rsid w:val="00D461C2"/>
    <w:rsid w:val="00D4629F"/>
    <w:rsid w:val="00D46B50"/>
    <w:rsid w:val="00D523B2"/>
    <w:rsid w:val="00D549E0"/>
    <w:rsid w:val="00D54FE9"/>
    <w:rsid w:val="00D55EAD"/>
    <w:rsid w:val="00D57379"/>
    <w:rsid w:val="00D60388"/>
    <w:rsid w:val="00D61AAE"/>
    <w:rsid w:val="00D62AAF"/>
    <w:rsid w:val="00D641F1"/>
    <w:rsid w:val="00D653C1"/>
    <w:rsid w:val="00D65D19"/>
    <w:rsid w:val="00D66BE0"/>
    <w:rsid w:val="00D7012D"/>
    <w:rsid w:val="00D70202"/>
    <w:rsid w:val="00D704E3"/>
    <w:rsid w:val="00D70C93"/>
    <w:rsid w:val="00D71598"/>
    <w:rsid w:val="00D71C6D"/>
    <w:rsid w:val="00D74F7D"/>
    <w:rsid w:val="00D77AD9"/>
    <w:rsid w:val="00D77B1B"/>
    <w:rsid w:val="00D8026D"/>
    <w:rsid w:val="00D83D94"/>
    <w:rsid w:val="00D84959"/>
    <w:rsid w:val="00D92F68"/>
    <w:rsid w:val="00D9306C"/>
    <w:rsid w:val="00D96443"/>
    <w:rsid w:val="00D9761B"/>
    <w:rsid w:val="00DA2145"/>
    <w:rsid w:val="00DA2F0F"/>
    <w:rsid w:val="00DA4C48"/>
    <w:rsid w:val="00DA5B9C"/>
    <w:rsid w:val="00DA71A0"/>
    <w:rsid w:val="00DA727D"/>
    <w:rsid w:val="00DA7CE2"/>
    <w:rsid w:val="00DA7D0A"/>
    <w:rsid w:val="00DB1FF6"/>
    <w:rsid w:val="00DB53A1"/>
    <w:rsid w:val="00DB53A7"/>
    <w:rsid w:val="00DB5763"/>
    <w:rsid w:val="00DB5D46"/>
    <w:rsid w:val="00DB7AD8"/>
    <w:rsid w:val="00DC0215"/>
    <w:rsid w:val="00DC10F1"/>
    <w:rsid w:val="00DC1838"/>
    <w:rsid w:val="00DC1A32"/>
    <w:rsid w:val="00DC2C9E"/>
    <w:rsid w:val="00DC3844"/>
    <w:rsid w:val="00DC3FB2"/>
    <w:rsid w:val="00DC5384"/>
    <w:rsid w:val="00DC5403"/>
    <w:rsid w:val="00DD170F"/>
    <w:rsid w:val="00DD3967"/>
    <w:rsid w:val="00DD3976"/>
    <w:rsid w:val="00DD3ABA"/>
    <w:rsid w:val="00DD418F"/>
    <w:rsid w:val="00DD5B76"/>
    <w:rsid w:val="00DD61A5"/>
    <w:rsid w:val="00DD6A30"/>
    <w:rsid w:val="00DD74DA"/>
    <w:rsid w:val="00DE0A8A"/>
    <w:rsid w:val="00DE0F96"/>
    <w:rsid w:val="00DE1139"/>
    <w:rsid w:val="00DE3291"/>
    <w:rsid w:val="00DE5139"/>
    <w:rsid w:val="00DF0DDD"/>
    <w:rsid w:val="00DF321A"/>
    <w:rsid w:val="00DF59CB"/>
    <w:rsid w:val="00DF6175"/>
    <w:rsid w:val="00DF6E54"/>
    <w:rsid w:val="00E0063A"/>
    <w:rsid w:val="00E02190"/>
    <w:rsid w:val="00E02B95"/>
    <w:rsid w:val="00E04228"/>
    <w:rsid w:val="00E04457"/>
    <w:rsid w:val="00E049AC"/>
    <w:rsid w:val="00E04A27"/>
    <w:rsid w:val="00E04BBC"/>
    <w:rsid w:val="00E05ECF"/>
    <w:rsid w:val="00E06465"/>
    <w:rsid w:val="00E065EB"/>
    <w:rsid w:val="00E077E2"/>
    <w:rsid w:val="00E07CD0"/>
    <w:rsid w:val="00E10CA8"/>
    <w:rsid w:val="00E11FC5"/>
    <w:rsid w:val="00E12F1A"/>
    <w:rsid w:val="00E137D1"/>
    <w:rsid w:val="00E13A9D"/>
    <w:rsid w:val="00E153A6"/>
    <w:rsid w:val="00E159D7"/>
    <w:rsid w:val="00E160F5"/>
    <w:rsid w:val="00E162D1"/>
    <w:rsid w:val="00E16666"/>
    <w:rsid w:val="00E16CCF"/>
    <w:rsid w:val="00E16E92"/>
    <w:rsid w:val="00E20235"/>
    <w:rsid w:val="00E20E12"/>
    <w:rsid w:val="00E21653"/>
    <w:rsid w:val="00E222A8"/>
    <w:rsid w:val="00E239AA"/>
    <w:rsid w:val="00E23B47"/>
    <w:rsid w:val="00E2414E"/>
    <w:rsid w:val="00E24A71"/>
    <w:rsid w:val="00E24E28"/>
    <w:rsid w:val="00E25893"/>
    <w:rsid w:val="00E26830"/>
    <w:rsid w:val="00E3127E"/>
    <w:rsid w:val="00E32477"/>
    <w:rsid w:val="00E330F5"/>
    <w:rsid w:val="00E33748"/>
    <w:rsid w:val="00E3600A"/>
    <w:rsid w:val="00E36D10"/>
    <w:rsid w:val="00E4002A"/>
    <w:rsid w:val="00E41389"/>
    <w:rsid w:val="00E4355A"/>
    <w:rsid w:val="00E44F2C"/>
    <w:rsid w:val="00E46222"/>
    <w:rsid w:val="00E47792"/>
    <w:rsid w:val="00E51786"/>
    <w:rsid w:val="00E52206"/>
    <w:rsid w:val="00E52380"/>
    <w:rsid w:val="00E530C8"/>
    <w:rsid w:val="00E5325C"/>
    <w:rsid w:val="00E53E19"/>
    <w:rsid w:val="00E5428D"/>
    <w:rsid w:val="00E546F9"/>
    <w:rsid w:val="00E55538"/>
    <w:rsid w:val="00E55D19"/>
    <w:rsid w:val="00E55EE5"/>
    <w:rsid w:val="00E6119E"/>
    <w:rsid w:val="00E6294B"/>
    <w:rsid w:val="00E67CA1"/>
    <w:rsid w:val="00E704A9"/>
    <w:rsid w:val="00E72421"/>
    <w:rsid w:val="00E7257D"/>
    <w:rsid w:val="00E728CB"/>
    <w:rsid w:val="00E74051"/>
    <w:rsid w:val="00E74E1A"/>
    <w:rsid w:val="00E75359"/>
    <w:rsid w:val="00E757A0"/>
    <w:rsid w:val="00E76F5D"/>
    <w:rsid w:val="00E80F05"/>
    <w:rsid w:val="00E81D66"/>
    <w:rsid w:val="00E81EF5"/>
    <w:rsid w:val="00E84A6B"/>
    <w:rsid w:val="00E84C07"/>
    <w:rsid w:val="00E85166"/>
    <w:rsid w:val="00E92385"/>
    <w:rsid w:val="00E93E38"/>
    <w:rsid w:val="00E945A3"/>
    <w:rsid w:val="00E95BCD"/>
    <w:rsid w:val="00E960ED"/>
    <w:rsid w:val="00E96C1E"/>
    <w:rsid w:val="00E96DEA"/>
    <w:rsid w:val="00EA0233"/>
    <w:rsid w:val="00EA2E93"/>
    <w:rsid w:val="00EA48AE"/>
    <w:rsid w:val="00EA4BF4"/>
    <w:rsid w:val="00EA5943"/>
    <w:rsid w:val="00EA60BA"/>
    <w:rsid w:val="00EA69E8"/>
    <w:rsid w:val="00EA6B2D"/>
    <w:rsid w:val="00EA756A"/>
    <w:rsid w:val="00EA780F"/>
    <w:rsid w:val="00EA7E42"/>
    <w:rsid w:val="00EB081F"/>
    <w:rsid w:val="00EB2C29"/>
    <w:rsid w:val="00EB4C4D"/>
    <w:rsid w:val="00EB60BA"/>
    <w:rsid w:val="00EB62A9"/>
    <w:rsid w:val="00EB7117"/>
    <w:rsid w:val="00EC022C"/>
    <w:rsid w:val="00EC19DB"/>
    <w:rsid w:val="00EC3CD5"/>
    <w:rsid w:val="00EC4BF4"/>
    <w:rsid w:val="00EC61BE"/>
    <w:rsid w:val="00EC7A7B"/>
    <w:rsid w:val="00ED018C"/>
    <w:rsid w:val="00ED0446"/>
    <w:rsid w:val="00ED640A"/>
    <w:rsid w:val="00ED6A30"/>
    <w:rsid w:val="00EE0126"/>
    <w:rsid w:val="00EE0A0D"/>
    <w:rsid w:val="00EE14D7"/>
    <w:rsid w:val="00EE1EEC"/>
    <w:rsid w:val="00EE3125"/>
    <w:rsid w:val="00EE4DA7"/>
    <w:rsid w:val="00EE4EC8"/>
    <w:rsid w:val="00EE5536"/>
    <w:rsid w:val="00EE566A"/>
    <w:rsid w:val="00EE5F29"/>
    <w:rsid w:val="00EE69EE"/>
    <w:rsid w:val="00EF1561"/>
    <w:rsid w:val="00EF1A8B"/>
    <w:rsid w:val="00EF2A15"/>
    <w:rsid w:val="00EF3425"/>
    <w:rsid w:val="00EF3755"/>
    <w:rsid w:val="00EF421E"/>
    <w:rsid w:val="00EF5BFD"/>
    <w:rsid w:val="00EF62B1"/>
    <w:rsid w:val="00F003DC"/>
    <w:rsid w:val="00F02060"/>
    <w:rsid w:val="00F06173"/>
    <w:rsid w:val="00F06BAD"/>
    <w:rsid w:val="00F0718D"/>
    <w:rsid w:val="00F079F0"/>
    <w:rsid w:val="00F100E4"/>
    <w:rsid w:val="00F12A9F"/>
    <w:rsid w:val="00F16281"/>
    <w:rsid w:val="00F200F1"/>
    <w:rsid w:val="00F20BF1"/>
    <w:rsid w:val="00F20C50"/>
    <w:rsid w:val="00F216C9"/>
    <w:rsid w:val="00F217EE"/>
    <w:rsid w:val="00F21BEC"/>
    <w:rsid w:val="00F238BC"/>
    <w:rsid w:val="00F243B3"/>
    <w:rsid w:val="00F32EE0"/>
    <w:rsid w:val="00F33D5D"/>
    <w:rsid w:val="00F34142"/>
    <w:rsid w:val="00F343BC"/>
    <w:rsid w:val="00F344B7"/>
    <w:rsid w:val="00F348E7"/>
    <w:rsid w:val="00F34D63"/>
    <w:rsid w:val="00F35234"/>
    <w:rsid w:val="00F36E76"/>
    <w:rsid w:val="00F4035F"/>
    <w:rsid w:val="00F405D8"/>
    <w:rsid w:val="00F40BC9"/>
    <w:rsid w:val="00F40CF1"/>
    <w:rsid w:val="00F411D3"/>
    <w:rsid w:val="00F4384A"/>
    <w:rsid w:val="00F47485"/>
    <w:rsid w:val="00F47A14"/>
    <w:rsid w:val="00F511EF"/>
    <w:rsid w:val="00F52728"/>
    <w:rsid w:val="00F52BB0"/>
    <w:rsid w:val="00F53038"/>
    <w:rsid w:val="00F530E5"/>
    <w:rsid w:val="00F57F7A"/>
    <w:rsid w:val="00F61C17"/>
    <w:rsid w:val="00F62626"/>
    <w:rsid w:val="00F64E36"/>
    <w:rsid w:val="00F6570B"/>
    <w:rsid w:val="00F67615"/>
    <w:rsid w:val="00F67BD4"/>
    <w:rsid w:val="00F70236"/>
    <w:rsid w:val="00F719C1"/>
    <w:rsid w:val="00F739BB"/>
    <w:rsid w:val="00F73CA7"/>
    <w:rsid w:val="00F743BD"/>
    <w:rsid w:val="00F74C02"/>
    <w:rsid w:val="00F75EA7"/>
    <w:rsid w:val="00F7635E"/>
    <w:rsid w:val="00F76C98"/>
    <w:rsid w:val="00F801D2"/>
    <w:rsid w:val="00F804CD"/>
    <w:rsid w:val="00F804E7"/>
    <w:rsid w:val="00F80750"/>
    <w:rsid w:val="00F807A7"/>
    <w:rsid w:val="00F82B05"/>
    <w:rsid w:val="00F84C03"/>
    <w:rsid w:val="00F8538B"/>
    <w:rsid w:val="00F85F59"/>
    <w:rsid w:val="00F86717"/>
    <w:rsid w:val="00F86DD4"/>
    <w:rsid w:val="00F87F20"/>
    <w:rsid w:val="00F93024"/>
    <w:rsid w:val="00F9367A"/>
    <w:rsid w:val="00F95A57"/>
    <w:rsid w:val="00FA1692"/>
    <w:rsid w:val="00FA34A8"/>
    <w:rsid w:val="00FA6F76"/>
    <w:rsid w:val="00FA725C"/>
    <w:rsid w:val="00FB2255"/>
    <w:rsid w:val="00FB44B6"/>
    <w:rsid w:val="00FB4CF2"/>
    <w:rsid w:val="00FB6A75"/>
    <w:rsid w:val="00FB7A79"/>
    <w:rsid w:val="00FC006F"/>
    <w:rsid w:val="00FC301A"/>
    <w:rsid w:val="00FC3693"/>
    <w:rsid w:val="00FC46CF"/>
    <w:rsid w:val="00FC4A27"/>
    <w:rsid w:val="00FC50BD"/>
    <w:rsid w:val="00FC61F4"/>
    <w:rsid w:val="00FC6756"/>
    <w:rsid w:val="00FC7659"/>
    <w:rsid w:val="00FD06D5"/>
    <w:rsid w:val="00FD0BAD"/>
    <w:rsid w:val="00FD2860"/>
    <w:rsid w:val="00FD684C"/>
    <w:rsid w:val="00FD7E4F"/>
    <w:rsid w:val="00FE0286"/>
    <w:rsid w:val="00FE0E56"/>
    <w:rsid w:val="00FE134E"/>
    <w:rsid w:val="00FE1E08"/>
    <w:rsid w:val="00FE288B"/>
    <w:rsid w:val="00FE3459"/>
    <w:rsid w:val="00FE416F"/>
    <w:rsid w:val="00FE419E"/>
    <w:rsid w:val="00FE4546"/>
    <w:rsid w:val="00FE4F3D"/>
    <w:rsid w:val="00FE5DDC"/>
    <w:rsid w:val="00FE7DB7"/>
    <w:rsid w:val="00FF1DFF"/>
    <w:rsid w:val="00FF31A8"/>
    <w:rsid w:val="00FF35C8"/>
    <w:rsid w:val="00FF3962"/>
    <w:rsid w:val="00FF47F2"/>
    <w:rsid w:val="00FF4836"/>
    <w:rsid w:val="00FF610E"/>
    <w:rsid w:val="00FF62E3"/>
    <w:rsid w:val="04D1C6B9"/>
    <w:rsid w:val="050FA9F5"/>
    <w:rsid w:val="06DA4FBB"/>
    <w:rsid w:val="075E58C2"/>
    <w:rsid w:val="09ECD3BA"/>
    <w:rsid w:val="0A16C6B4"/>
    <w:rsid w:val="0A2D9BC9"/>
    <w:rsid w:val="0DDAA0AD"/>
    <w:rsid w:val="105FF744"/>
    <w:rsid w:val="1230267A"/>
    <w:rsid w:val="140B466E"/>
    <w:rsid w:val="15D392DC"/>
    <w:rsid w:val="18E6F6C7"/>
    <w:rsid w:val="1928EEB7"/>
    <w:rsid w:val="1D5B4403"/>
    <w:rsid w:val="1DFC5FDA"/>
    <w:rsid w:val="22C91E83"/>
    <w:rsid w:val="264B383D"/>
    <w:rsid w:val="29A5BE6B"/>
    <w:rsid w:val="2CA7E459"/>
    <w:rsid w:val="30408740"/>
    <w:rsid w:val="31612C4C"/>
    <w:rsid w:val="32C47554"/>
    <w:rsid w:val="32C620D5"/>
    <w:rsid w:val="344005AE"/>
    <w:rsid w:val="34CE5C7C"/>
    <w:rsid w:val="35EBC25D"/>
    <w:rsid w:val="38D6C67C"/>
    <w:rsid w:val="3C3E48D9"/>
    <w:rsid w:val="3DAA379F"/>
    <w:rsid w:val="3DE4F029"/>
    <w:rsid w:val="3F4C70BE"/>
    <w:rsid w:val="3FAAE0A9"/>
    <w:rsid w:val="3FB92F1C"/>
    <w:rsid w:val="40A6FFEB"/>
    <w:rsid w:val="40AAD097"/>
    <w:rsid w:val="410573C1"/>
    <w:rsid w:val="41A13EE2"/>
    <w:rsid w:val="41CA35C6"/>
    <w:rsid w:val="42A6BBAC"/>
    <w:rsid w:val="43DEA0AD"/>
    <w:rsid w:val="44068377"/>
    <w:rsid w:val="452C097E"/>
    <w:rsid w:val="45520618"/>
    <w:rsid w:val="46C7D9DF"/>
    <w:rsid w:val="49CE1DF3"/>
    <w:rsid w:val="4A98A534"/>
    <w:rsid w:val="4AE87218"/>
    <w:rsid w:val="4B5061F2"/>
    <w:rsid w:val="4BE691D7"/>
    <w:rsid w:val="4F641950"/>
    <w:rsid w:val="50D50BAB"/>
    <w:rsid w:val="5214D208"/>
    <w:rsid w:val="578DE821"/>
    <w:rsid w:val="57EB1A9A"/>
    <w:rsid w:val="582E9CDB"/>
    <w:rsid w:val="5B0B2FCB"/>
    <w:rsid w:val="5C2A75FE"/>
    <w:rsid w:val="5DFDA0FF"/>
    <w:rsid w:val="6125F808"/>
    <w:rsid w:val="664C1C0A"/>
    <w:rsid w:val="66682ADB"/>
    <w:rsid w:val="66963360"/>
    <w:rsid w:val="66A3D6F5"/>
    <w:rsid w:val="67F81E35"/>
    <w:rsid w:val="69DE3EB4"/>
    <w:rsid w:val="6D2D1345"/>
    <w:rsid w:val="6E53657A"/>
    <w:rsid w:val="748CE0CC"/>
    <w:rsid w:val="74BD78E0"/>
    <w:rsid w:val="7A22EB24"/>
    <w:rsid w:val="7AA9B25A"/>
    <w:rsid w:val="7E914E10"/>
    <w:rsid w:val="7E93E3FD"/>
    <w:rsid w:val="7FB32F6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B77B4"/>
  <w15:docId w15:val="{9C049316-9DC8-4C0F-AE8C-AC46EEF25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en-AU" w:eastAsia="en-US" w:bidi="ar-SA"/>
      </w:rPr>
    </w:rPrDefault>
    <w:pPrDefault>
      <w:pPr>
        <w:spacing w:line="288" w:lineRule="auto"/>
        <w:ind w:left="115" w:right="115"/>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uiPriority="21" w:unhideWhenUsed="1" w:qFormat="1"/>
    <w:lsdException w:name="List Bullet 5" w:semiHidden="1" w:uiPriority="21" w:unhideWhenUsed="1" w:qFormat="1"/>
    <w:lsdException w:name="List Number 2" w:unhideWhenUsed="1" w:qFormat="1"/>
    <w:lsdException w:name="List Number 3" w:unhideWhenUsed="1" w:qFormat="1"/>
    <w:lsdException w:name="List Number 4"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Table Body"/>
    <w:uiPriority w:val="2"/>
    <w:qFormat/>
    <w:rsid w:val="00CF3713"/>
    <w:pPr>
      <w:spacing w:before="120" w:after="60"/>
      <w:ind w:left="113" w:right="113"/>
    </w:pPr>
    <w:rPr>
      <w:rFonts w:cs="Times New Roman (Body CS)"/>
      <w:sz w:val="18"/>
    </w:rPr>
  </w:style>
  <w:style w:type="paragraph" w:styleId="Heading1">
    <w:name w:val="heading 1"/>
    <w:basedOn w:val="Normal"/>
    <w:next w:val="BodyNormal"/>
    <w:link w:val="Heading1Char"/>
    <w:uiPriority w:val="1"/>
    <w:unhideWhenUsed/>
    <w:qFormat/>
    <w:rsid w:val="00AF45FB"/>
    <w:pPr>
      <w:keepNext/>
      <w:keepLines/>
      <w:pageBreakBefore/>
      <w:numPr>
        <w:numId w:val="15"/>
      </w:numPr>
      <w:spacing w:before="400" w:after="120"/>
      <w:ind w:left="1077" w:hanging="1077"/>
      <w:outlineLvl w:val="0"/>
    </w:pPr>
    <w:rPr>
      <w:rFonts w:ascii="Palatino Linotype" w:eastAsiaTheme="majorEastAsia" w:hAnsi="Palatino Linotype" w:cs="Times New Roman (Headings CS)"/>
      <w:b/>
      <w:bCs/>
      <w:color w:val="203145" w:themeColor="text2"/>
      <w:sz w:val="44"/>
      <w:szCs w:val="28"/>
    </w:rPr>
  </w:style>
  <w:style w:type="paragraph" w:styleId="Heading2">
    <w:name w:val="heading 2"/>
    <w:basedOn w:val="Normal"/>
    <w:next w:val="BodyNormal"/>
    <w:link w:val="Heading2Char"/>
    <w:uiPriority w:val="1"/>
    <w:unhideWhenUsed/>
    <w:qFormat/>
    <w:rsid w:val="00AF45FB"/>
    <w:pPr>
      <w:keepNext/>
      <w:keepLines/>
      <w:numPr>
        <w:ilvl w:val="1"/>
        <w:numId w:val="15"/>
      </w:numPr>
      <w:spacing w:before="240" w:after="120"/>
      <w:ind w:left="1077" w:hanging="1077"/>
      <w:outlineLvl w:val="1"/>
    </w:pPr>
    <w:rPr>
      <w:rFonts w:ascii="Arial Bold" w:eastAsiaTheme="majorEastAsia" w:hAnsi="Arial Bold" w:cs="Times New Roman (Headings CS)"/>
      <w:b/>
      <w:bCs/>
      <w:caps/>
      <w:color w:val="203145" w:themeColor="text2"/>
      <w:spacing w:val="30"/>
      <w:sz w:val="24"/>
      <w:szCs w:val="26"/>
    </w:rPr>
  </w:style>
  <w:style w:type="paragraph" w:styleId="Heading3">
    <w:name w:val="heading 3"/>
    <w:basedOn w:val="Normal"/>
    <w:next w:val="BodyNormal"/>
    <w:link w:val="Heading3Char"/>
    <w:uiPriority w:val="1"/>
    <w:qFormat/>
    <w:rsid w:val="00AF45FB"/>
    <w:pPr>
      <w:numPr>
        <w:ilvl w:val="2"/>
        <w:numId w:val="15"/>
      </w:numPr>
      <w:spacing w:before="240" w:after="120"/>
      <w:ind w:left="1077" w:hanging="1077"/>
      <w:outlineLvl w:val="2"/>
    </w:pPr>
    <w:rPr>
      <w:rFonts w:ascii="Arial Bold" w:hAnsi="Arial Bold"/>
      <w:b/>
      <w:caps/>
      <w:color w:val="213144"/>
      <w:spacing w:val="30"/>
      <w:sz w:val="20"/>
    </w:rPr>
  </w:style>
  <w:style w:type="paragraph" w:styleId="Heading4">
    <w:name w:val="heading 4"/>
    <w:basedOn w:val="Normal"/>
    <w:next w:val="Normal"/>
    <w:link w:val="Heading4Char"/>
    <w:uiPriority w:val="9"/>
    <w:semiHidden/>
    <w:qFormat/>
    <w:rsid w:val="008D3395"/>
    <w:pPr>
      <w:keepNext/>
      <w:keepLines/>
      <w:numPr>
        <w:ilvl w:val="3"/>
        <w:numId w:val="15"/>
      </w:numPr>
      <w:spacing w:before="113" w:after="57" w:line="216" w:lineRule="atLeast"/>
      <w:outlineLvl w:val="3"/>
    </w:pPr>
    <w:rPr>
      <w:rFonts w:asciiTheme="majorHAnsi" w:eastAsiaTheme="majorEastAsia" w:hAnsiTheme="majorHAnsi" w:cstheme="majorBidi"/>
      <w:b/>
      <w:bCs/>
      <w:iCs/>
      <w:color w:val="203145" w:themeColor="text2"/>
      <w:sz w:val="26"/>
    </w:rPr>
  </w:style>
  <w:style w:type="paragraph" w:styleId="Heading5">
    <w:name w:val="heading 5"/>
    <w:basedOn w:val="Normal"/>
    <w:next w:val="Normal"/>
    <w:link w:val="Heading5Char"/>
    <w:uiPriority w:val="9"/>
    <w:semiHidden/>
    <w:qFormat/>
    <w:locked/>
    <w:rsid w:val="00F80750"/>
    <w:pPr>
      <w:keepNext/>
      <w:keepLines/>
      <w:numPr>
        <w:ilvl w:val="4"/>
        <w:numId w:val="15"/>
      </w:numPr>
      <w:spacing w:before="200"/>
      <w:outlineLvl w:val="4"/>
    </w:pPr>
    <w:rPr>
      <w:rFonts w:asciiTheme="majorHAnsi" w:eastAsiaTheme="majorEastAsia" w:hAnsiTheme="majorHAnsi" w:cstheme="majorBidi"/>
      <w:color w:val="101822" w:themeColor="accent1" w:themeShade="7F"/>
    </w:rPr>
  </w:style>
  <w:style w:type="paragraph" w:styleId="Heading6">
    <w:name w:val="heading 6"/>
    <w:basedOn w:val="Normal"/>
    <w:next w:val="Normal"/>
    <w:link w:val="Heading6Char"/>
    <w:uiPriority w:val="9"/>
    <w:semiHidden/>
    <w:qFormat/>
    <w:locked/>
    <w:rsid w:val="00F57F7A"/>
    <w:pPr>
      <w:keepNext/>
      <w:keepLines/>
      <w:numPr>
        <w:ilvl w:val="5"/>
        <w:numId w:val="15"/>
      </w:numPr>
      <w:spacing w:before="200"/>
      <w:outlineLvl w:val="5"/>
    </w:pPr>
    <w:rPr>
      <w:rFonts w:asciiTheme="majorHAnsi" w:eastAsiaTheme="majorEastAsia" w:hAnsiTheme="majorHAnsi" w:cstheme="majorBidi"/>
      <w:iCs/>
      <w:color w:val="000000" w:themeColor="text1"/>
      <w:sz w:val="36"/>
    </w:rPr>
  </w:style>
  <w:style w:type="paragraph" w:styleId="Heading7">
    <w:name w:val="heading 7"/>
    <w:basedOn w:val="Normal"/>
    <w:next w:val="Normal"/>
    <w:link w:val="Heading7Char"/>
    <w:uiPriority w:val="9"/>
    <w:semiHidden/>
    <w:qFormat/>
    <w:locked/>
    <w:rsid w:val="00F80750"/>
    <w:pPr>
      <w:keepNext/>
      <w:keepLines/>
      <w:numPr>
        <w:ilvl w:val="6"/>
        <w:numId w:val="1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F80750"/>
    <w:pPr>
      <w:keepNext/>
      <w:keepLines/>
      <w:numPr>
        <w:ilvl w:val="7"/>
        <w:numId w:val="15"/>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F80750"/>
    <w:pPr>
      <w:keepNext/>
      <w:keepLines/>
      <w:numPr>
        <w:ilvl w:val="8"/>
        <w:numId w:val="15"/>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F45FB"/>
    <w:rPr>
      <w:rFonts w:ascii="Palatino Linotype" w:eastAsiaTheme="majorEastAsia" w:hAnsi="Palatino Linotype" w:cs="Times New Roman (Headings CS)"/>
      <w:b/>
      <w:bCs/>
      <w:color w:val="203145" w:themeColor="text2"/>
      <w:sz w:val="44"/>
      <w:szCs w:val="28"/>
    </w:rPr>
  </w:style>
  <w:style w:type="character" w:customStyle="1" w:styleId="Heading2Char">
    <w:name w:val="Heading 2 Char"/>
    <w:basedOn w:val="DefaultParagraphFont"/>
    <w:link w:val="Heading2"/>
    <w:uiPriority w:val="1"/>
    <w:rsid w:val="00AF45FB"/>
    <w:rPr>
      <w:rFonts w:ascii="Arial Bold" w:eastAsiaTheme="majorEastAsia" w:hAnsi="Arial Bold" w:cs="Times New Roman (Headings CS)"/>
      <w:b/>
      <w:bCs/>
      <w:caps/>
      <w:color w:val="203145" w:themeColor="text2"/>
      <w:spacing w:val="30"/>
      <w:sz w:val="24"/>
      <w:szCs w:val="26"/>
    </w:rPr>
  </w:style>
  <w:style w:type="character" w:customStyle="1" w:styleId="Heading3Char">
    <w:name w:val="Heading 3 Char"/>
    <w:basedOn w:val="DefaultParagraphFont"/>
    <w:link w:val="Heading3"/>
    <w:uiPriority w:val="1"/>
    <w:rsid w:val="00AF45FB"/>
    <w:rPr>
      <w:rFonts w:ascii="Arial Bold" w:hAnsi="Arial Bold" w:cs="Times New Roman (Body CS)"/>
      <w:b/>
      <w:caps/>
      <w:color w:val="213144"/>
      <w:spacing w:val="30"/>
    </w:rPr>
  </w:style>
  <w:style w:type="paragraph" w:customStyle="1" w:styleId="CoverSubtitle">
    <w:name w:val="Cover Subtitle"/>
    <w:uiPriority w:val="26"/>
    <w:rsid w:val="00B12354"/>
    <w:pPr>
      <w:suppressAutoHyphens/>
      <w:spacing w:before="500"/>
      <w:ind w:left="1418"/>
    </w:pPr>
    <w:rPr>
      <w:rFonts w:ascii="Helvetica" w:hAnsi="Helvetica" w:cs="Helvetica"/>
      <w:color w:val="203145" w:themeColor="text2"/>
      <w:sz w:val="28"/>
      <w:szCs w:val="28"/>
      <w:lang w:val="en-US"/>
    </w:rPr>
  </w:style>
  <w:style w:type="paragraph" w:customStyle="1" w:styleId="BodyBold">
    <w:name w:val="Body Bold"/>
    <w:basedOn w:val="BodyNormal"/>
    <w:next w:val="BodyNormal"/>
    <w:qFormat/>
    <w:locked/>
    <w:rsid w:val="008D080C"/>
    <w:rPr>
      <w:b/>
    </w:rPr>
  </w:style>
  <w:style w:type="paragraph" w:customStyle="1" w:styleId="BodyBullet1">
    <w:name w:val="Body Bullet 1"/>
    <w:basedOn w:val="Normal"/>
    <w:semiHidden/>
    <w:qFormat/>
    <w:locked/>
    <w:rsid w:val="008D3395"/>
    <w:pPr>
      <w:numPr>
        <w:numId w:val="1"/>
      </w:numPr>
      <w:tabs>
        <w:tab w:val="num" w:pos="360"/>
      </w:tabs>
      <w:spacing w:line="240" w:lineRule="atLeast"/>
      <w:ind w:left="714" w:hanging="357"/>
      <w:contextualSpacing/>
    </w:pPr>
  </w:style>
  <w:style w:type="paragraph" w:customStyle="1" w:styleId="BodyBullet2">
    <w:name w:val="Body Bullet 2"/>
    <w:basedOn w:val="BodyBullet1"/>
    <w:semiHidden/>
    <w:qFormat/>
    <w:locked/>
    <w:rsid w:val="008D3395"/>
    <w:pPr>
      <w:numPr>
        <w:numId w:val="2"/>
      </w:numPr>
      <w:ind w:hanging="357"/>
    </w:pPr>
  </w:style>
  <w:style w:type="paragraph" w:customStyle="1" w:styleId="SubHeading">
    <w:name w:val="Sub Heading"/>
    <w:next w:val="BodyNormal"/>
    <w:uiPriority w:val="9"/>
    <w:qFormat/>
    <w:rsid w:val="00CA4ACE"/>
    <w:pPr>
      <w:ind w:left="0" w:right="0"/>
    </w:pPr>
    <w:rPr>
      <w:b/>
      <w:sz w:val="26"/>
    </w:rPr>
  </w:style>
  <w:style w:type="character" w:customStyle="1" w:styleId="BoldCharacter">
    <w:name w:val="Bold Character"/>
    <w:basedOn w:val="DefaultParagraphFont"/>
    <w:qFormat/>
    <w:locked/>
    <w:rsid w:val="003F0F0D"/>
    <w:rPr>
      <w:b/>
      <w:noProof w:val="0"/>
      <w:lang w:val="en-AU"/>
    </w:rPr>
  </w:style>
  <w:style w:type="character" w:customStyle="1" w:styleId="ItalicCharacter">
    <w:name w:val="Italic Character"/>
    <w:basedOn w:val="DefaultParagraphFont"/>
    <w:qFormat/>
    <w:locked/>
    <w:rsid w:val="003F0F0D"/>
    <w:rPr>
      <w:i/>
      <w:noProof w:val="0"/>
      <w:lang w:val="en-AU"/>
    </w:rPr>
  </w:style>
  <w:style w:type="paragraph" w:customStyle="1" w:styleId="Italic">
    <w:name w:val="Italic"/>
    <w:basedOn w:val="BodyNormal"/>
    <w:next w:val="BodyNormal"/>
    <w:qFormat/>
    <w:locked/>
    <w:rsid w:val="008D080C"/>
    <w:rPr>
      <w:i/>
    </w:rPr>
  </w:style>
  <w:style w:type="paragraph" w:customStyle="1" w:styleId="CoverIntroductionText">
    <w:name w:val="Cover Introduction Text"/>
    <w:basedOn w:val="Normal"/>
    <w:uiPriority w:val="26"/>
    <w:rsid w:val="003E6BF6"/>
    <w:pPr>
      <w:spacing w:after="113"/>
    </w:pPr>
    <w:rPr>
      <w:color w:val="000000" w:themeColor="text1"/>
      <w:spacing w:val="-2"/>
    </w:rPr>
  </w:style>
  <w:style w:type="character" w:customStyle="1" w:styleId="Heading4Char">
    <w:name w:val="Heading 4 Char"/>
    <w:basedOn w:val="DefaultParagraphFont"/>
    <w:link w:val="Heading4"/>
    <w:uiPriority w:val="9"/>
    <w:semiHidden/>
    <w:rsid w:val="008D3395"/>
    <w:rPr>
      <w:rFonts w:asciiTheme="majorHAnsi" w:eastAsiaTheme="majorEastAsia" w:hAnsiTheme="majorHAnsi" w:cstheme="majorBidi"/>
      <w:b/>
      <w:bCs/>
      <w:iCs/>
      <w:color w:val="203145" w:themeColor="text2"/>
      <w:sz w:val="26"/>
    </w:rPr>
  </w:style>
  <w:style w:type="paragraph" w:styleId="ListBullet">
    <w:name w:val="List Bullet"/>
    <w:uiPriority w:val="1"/>
    <w:qFormat/>
    <w:rsid w:val="00701020"/>
    <w:pPr>
      <w:spacing w:before="60" w:after="60"/>
      <w:ind w:left="0" w:right="113"/>
    </w:pPr>
  </w:style>
  <w:style w:type="paragraph" w:styleId="ListBullet2">
    <w:name w:val="List Bullet 2"/>
    <w:uiPriority w:val="1"/>
    <w:qFormat/>
    <w:rsid w:val="00701020"/>
    <w:pPr>
      <w:numPr>
        <w:numId w:val="12"/>
      </w:numPr>
      <w:tabs>
        <w:tab w:val="left" w:pos="680"/>
      </w:tabs>
      <w:spacing w:before="60" w:after="60"/>
      <w:ind w:right="113"/>
    </w:pPr>
  </w:style>
  <w:style w:type="paragraph" w:styleId="ListNumber">
    <w:name w:val="List Number"/>
    <w:uiPriority w:val="1"/>
    <w:qFormat/>
    <w:rsid w:val="008D3395"/>
    <w:pPr>
      <w:numPr>
        <w:ilvl w:val="1"/>
        <w:numId w:val="3"/>
      </w:numPr>
      <w:spacing w:before="60" w:after="60"/>
      <w:contextualSpacing/>
    </w:pPr>
  </w:style>
  <w:style w:type="paragraph" w:styleId="ListNumber2">
    <w:name w:val="List Number 2"/>
    <w:uiPriority w:val="1"/>
    <w:qFormat/>
    <w:rsid w:val="008D3395"/>
    <w:pPr>
      <w:numPr>
        <w:ilvl w:val="2"/>
        <w:numId w:val="3"/>
      </w:numPr>
      <w:spacing w:before="60" w:after="60"/>
      <w:ind w:left="714" w:hanging="357"/>
      <w:contextualSpacing/>
    </w:pPr>
  </w:style>
  <w:style w:type="numbering" w:customStyle="1" w:styleId="Lists">
    <w:name w:val="Lists"/>
    <w:uiPriority w:val="99"/>
    <w:rsid w:val="008D3395"/>
    <w:pPr>
      <w:numPr>
        <w:numId w:val="3"/>
      </w:numPr>
    </w:pPr>
  </w:style>
  <w:style w:type="paragraph" w:styleId="ListNumber3">
    <w:name w:val="List Number 3"/>
    <w:basedOn w:val="Normal"/>
    <w:uiPriority w:val="20"/>
    <w:semiHidden/>
    <w:qFormat/>
    <w:rsid w:val="008D3395"/>
    <w:pPr>
      <w:numPr>
        <w:ilvl w:val="3"/>
        <w:numId w:val="3"/>
      </w:numPr>
    </w:pPr>
  </w:style>
  <w:style w:type="paragraph" w:styleId="Title">
    <w:name w:val="Title"/>
    <w:basedOn w:val="Normal"/>
    <w:next w:val="CoverSubtitle"/>
    <w:link w:val="TitleChar"/>
    <w:uiPriority w:val="25"/>
    <w:rsid w:val="00F807A7"/>
    <w:pPr>
      <w:framePr w:wrap="notBeside" w:vAnchor="text" w:hAnchor="text" w:y="1"/>
      <w:spacing w:after="600"/>
      <w:ind w:left="1418"/>
      <w:contextualSpacing/>
    </w:pPr>
    <w:rPr>
      <w:rFonts w:ascii="Palatino Linotype" w:eastAsiaTheme="majorEastAsia" w:hAnsi="Palatino Linotype" w:cstheme="majorBidi"/>
      <w:b/>
      <w:color w:val="203145" w:themeColor="text2"/>
      <w:sz w:val="60"/>
      <w:szCs w:val="52"/>
    </w:rPr>
  </w:style>
  <w:style w:type="character" w:customStyle="1" w:styleId="TitleChar">
    <w:name w:val="Title Char"/>
    <w:basedOn w:val="DefaultParagraphFont"/>
    <w:link w:val="Title"/>
    <w:uiPriority w:val="25"/>
    <w:rsid w:val="00F807A7"/>
    <w:rPr>
      <w:rFonts w:ascii="Palatino Linotype" w:eastAsiaTheme="majorEastAsia" w:hAnsi="Palatino Linotype" w:cstheme="majorBidi"/>
      <w:b/>
      <w:color w:val="203145" w:themeColor="text2"/>
      <w:sz w:val="60"/>
      <w:szCs w:val="52"/>
    </w:rPr>
  </w:style>
  <w:style w:type="paragraph" w:customStyle="1" w:styleId="AppendixHeading">
    <w:name w:val="Appendix Heading"/>
    <w:basedOn w:val="Heading1"/>
    <w:next w:val="Normal"/>
    <w:semiHidden/>
    <w:qFormat/>
    <w:locked/>
    <w:rsid w:val="00FD06D5"/>
    <w:pPr>
      <w:numPr>
        <w:numId w:val="0"/>
      </w:numPr>
    </w:pPr>
  </w:style>
  <w:style w:type="numbering" w:customStyle="1" w:styleId="MultiLevelheadinglist">
    <w:name w:val="Multi Level heading list"/>
    <w:uiPriority w:val="99"/>
    <w:rsid w:val="008D3395"/>
    <w:pPr>
      <w:numPr>
        <w:numId w:val="4"/>
      </w:numPr>
    </w:pPr>
  </w:style>
  <w:style w:type="paragraph" w:styleId="TOC1">
    <w:name w:val="toc 1"/>
    <w:next w:val="Normal"/>
    <w:autoRedefine/>
    <w:uiPriority w:val="39"/>
    <w:rsid w:val="006904F6"/>
    <w:pPr>
      <w:tabs>
        <w:tab w:val="left" w:pos="440"/>
        <w:tab w:val="right" w:pos="9639"/>
      </w:tabs>
      <w:spacing w:before="200" w:after="60"/>
    </w:pPr>
    <w:rPr>
      <w:b/>
      <w:color w:val="203145" w:themeColor="text2"/>
      <w:sz w:val="24"/>
    </w:rPr>
  </w:style>
  <w:style w:type="paragraph" w:styleId="TOCHeading">
    <w:name w:val="TOC Heading"/>
    <w:basedOn w:val="Heading1"/>
    <w:next w:val="BodyNormal"/>
    <w:uiPriority w:val="39"/>
    <w:rsid w:val="00B947F1"/>
    <w:pPr>
      <w:numPr>
        <w:numId w:val="0"/>
      </w:numPr>
      <w:spacing w:after="1000"/>
      <w:outlineLvl w:val="9"/>
    </w:pPr>
    <w:rPr>
      <w:color w:val="203145"/>
    </w:rPr>
  </w:style>
  <w:style w:type="paragraph" w:styleId="Footer">
    <w:name w:val="footer"/>
    <w:link w:val="FooterChar"/>
    <w:uiPriority w:val="99"/>
    <w:rsid w:val="000D0206"/>
    <w:pPr>
      <w:tabs>
        <w:tab w:val="center" w:pos="4513"/>
        <w:tab w:val="right" w:pos="9026"/>
      </w:tabs>
      <w:spacing w:line="200" w:lineRule="exact"/>
      <w:ind w:left="0" w:right="0"/>
    </w:pPr>
    <w:rPr>
      <w:rFonts w:asciiTheme="minorHAnsi" w:hAnsiTheme="minorHAnsi"/>
      <w:caps/>
      <w:spacing w:val="20"/>
      <w:sz w:val="12"/>
    </w:rPr>
  </w:style>
  <w:style w:type="character" w:customStyle="1" w:styleId="FooterChar">
    <w:name w:val="Footer Char"/>
    <w:basedOn w:val="DefaultParagraphFont"/>
    <w:link w:val="Footer"/>
    <w:uiPriority w:val="99"/>
    <w:rsid w:val="000D0206"/>
    <w:rPr>
      <w:rFonts w:asciiTheme="minorHAnsi" w:hAnsiTheme="minorHAnsi"/>
      <w:caps/>
      <w:spacing w:val="20"/>
      <w:sz w:val="12"/>
    </w:rPr>
  </w:style>
  <w:style w:type="paragraph" w:styleId="ListBullet3">
    <w:name w:val="List Bullet 3"/>
    <w:uiPriority w:val="1"/>
    <w:qFormat/>
    <w:rsid w:val="00701020"/>
    <w:pPr>
      <w:numPr>
        <w:numId w:val="19"/>
      </w:numPr>
      <w:tabs>
        <w:tab w:val="left" w:pos="1021"/>
      </w:tabs>
      <w:spacing w:before="60" w:after="60"/>
      <w:ind w:right="113"/>
    </w:pPr>
  </w:style>
  <w:style w:type="paragraph" w:styleId="ListBullet4">
    <w:name w:val="List Bullet 4"/>
    <w:basedOn w:val="Normal"/>
    <w:uiPriority w:val="21"/>
    <w:unhideWhenUsed/>
    <w:qFormat/>
    <w:locked/>
    <w:rsid w:val="007D2F03"/>
    <w:pPr>
      <w:numPr>
        <w:numId w:val="18"/>
      </w:numPr>
      <w:contextualSpacing/>
    </w:pPr>
  </w:style>
  <w:style w:type="table" w:styleId="TableGrid">
    <w:name w:val="Table Grid"/>
    <w:basedOn w:val="TableNormal"/>
    <w:uiPriority w:val="59"/>
    <w:rsid w:val="00FD0BAD"/>
    <w:pPr>
      <w:spacing w:line="240" w:lineRule="auto"/>
    </w:pPr>
    <w:rPr>
      <w:rFonts w:cs="Times New Roman (Body CS)"/>
      <w:sz w:val="18"/>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Pr>
    <w:tcPr>
      <w:tcMar>
        <w:top w:w="0" w:type="dxa"/>
        <w:left w:w="108" w:type="dxa"/>
        <w:bottom w:w="85" w:type="dxa"/>
        <w:right w:w="108" w:type="dxa"/>
      </w:tcMar>
    </w:tcPr>
    <w:tblStylePr w:type="firstRow">
      <w:pPr>
        <w:wordWrap/>
        <w:spacing w:beforeLines="0" w:before="0" w:beforeAutospacing="0" w:afterLines="0" w:after="60" w:afterAutospacing="0" w:line="288" w:lineRule="auto"/>
        <w:ind w:leftChars="0" w:left="108" w:rightChars="0" w:right="108"/>
        <w:jc w:val="left"/>
      </w:pPr>
      <w:rPr>
        <w:b/>
        <w:caps/>
        <w:smallCaps w:val="0"/>
        <w:color w:val="FFFFFF" w:themeColor="background1"/>
        <w:spacing w:val="20"/>
        <w:sz w:val="18"/>
      </w:rPr>
      <w:tblPr/>
      <w:tcPr>
        <w:tcBorders>
          <w:top w:val="single" w:sz="4" w:space="0" w:color="2B4056"/>
          <w:left w:val="single" w:sz="4" w:space="0" w:color="2B4056"/>
          <w:bottom w:val="single" w:sz="4" w:space="0" w:color="2B4056"/>
          <w:right w:val="single" w:sz="4" w:space="0" w:color="2B4056"/>
          <w:insideH w:val="single" w:sz="4" w:space="0" w:color="D9D9D9" w:themeColor="background1" w:themeShade="D9"/>
          <w:insideV w:val="single" w:sz="4" w:space="0" w:color="808080" w:themeColor="background1" w:themeShade="80"/>
          <w:tl2br w:val="nil"/>
          <w:tr2bl w:val="nil"/>
        </w:tcBorders>
        <w:shd w:val="clear" w:color="auto" w:fill="203145"/>
      </w:tcPr>
    </w:tblStylePr>
  </w:style>
  <w:style w:type="paragraph" w:styleId="Caption">
    <w:name w:val="caption"/>
    <w:next w:val="Normal"/>
    <w:uiPriority w:val="35"/>
    <w:qFormat/>
    <w:rsid w:val="00C50C87"/>
    <w:pPr>
      <w:spacing w:before="60" w:after="60"/>
      <w:ind w:left="0" w:right="0"/>
    </w:pPr>
    <w:rPr>
      <w:b/>
    </w:rPr>
  </w:style>
  <w:style w:type="paragraph" w:styleId="Header">
    <w:name w:val="header"/>
    <w:basedOn w:val="Normal"/>
    <w:link w:val="HeaderChar"/>
    <w:uiPriority w:val="99"/>
    <w:rsid w:val="00755163"/>
    <w:pPr>
      <w:tabs>
        <w:tab w:val="center" w:pos="4513"/>
        <w:tab w:val="right" w:pos="9026"/>
      </w:tabs>
      <w:jc w:val="right"/>
    </w:pPr>
    <w:rPr>
      <w:sz w:val="16"/>
    </w:rPr>
  </w:style>
  <w:style w:type="character" w:customStyle="1" w:styleId="HeaderChar">
    <w:name w:val="Header Char"/>
    <w:basedOn w:val="DefaultParagraphFont"/>
    <w:link w:val="Header"/>
    <w:uiPriority w:val="99"/>
    <w:rsid w:val="00755163"/>
    <w:rPr>
      <w:sz w:val="16"/>
    </w:rPr>
  </w:style>
  <w:style w:type="paragraph" w:styleId="BalloonText">
    <w:name w:val="Balloon Text"/>
    <w:basedOn w:val="Normal"/>
    <w:link w:val="BalloonTextChar"/>
    <w:uiPriority w:val="99"/>
    <w:semiHidden/>
    <w:unhideWhenUsed/>
    <w:locked/>
    <w:rsid w:val="00C636DA"/>
    <w:rPr>
      <w:rFonts w:ascii="Tahoma" w:hAnsi="Tahoma" w:cs="Tahoma"/>
      <w:sz w:val="16"/>
      <w:szCs w:val="16"/>
    </w:rPr>
  </w:style>
  <w:style w:type="character" w:customStyle="1" w:styleId="BalloonTextChar">
    <w:name w:val="Balloon Text Char"/>
    <w:basedOn w:val="DefaultParagraphFont"/>
    <w:link w:val="BalloonText"/>
    <w:uiPriority w:val="99"/>
    <w:semiHidden/>
    <w:rsid w:val="00C636DA"/>
    <w:rPr>
      <w:rFonts w:ascii="Tahoma" w:hAnsi="Tahoma" w:cs="Tahoma"/>
      <w:noProof w:val="0"/>
      <w:sz w:val="16"/>
      <w:szCs w:val="16"/>
      <w:lang w:val="en-AU"/>
    </w:rPr>
  </w:style>
  <w:style w:type="character" w:styleId="PlaceholderText">
    <w:name w:val="Placeholder Text"/>
    <w:basedOn w:val="DefaultParagraphFont"/>
    <w:uiPriority w:val="99"/>
    <w:unhideWhenUsed/>
    <w:rsid w:val="003C180A"/>
    <w:rPr>
      <w:noProof w:val="0"/>
      <w:color w:val="000000" w:themeColor="text1"/>
      <w:sz w:val="16"/>
      <w:lang w:val="en-AU"/>
    </w:rPr>
  </w:style>
  <w:style w:type="paragraph" w:customStyle="1" w:styleId="AppendixSubHeading">
    <w:name w:val="Appendix Sub Heading"/>
    <w:basedOn w:val="Heading2"/>
    <w:next w:val="Normal"/>
    <w:semiHidden/>
    <w:qFormat/>
    <w:locked/>
    <w:rsid w:val="00FD06D5"/>
    <w:pPr>
      <w:numPr>
        <w:ilvl w:val="0"/>
        <w:numId w:val="0"/>
      </w:numPr>
    </w:pPr>
  </w:style>
  <w:style w:type="paragraph" w:styleId="ListNumber4">
    <w:name w:val="List Number 4"/>
    <w:basedOn w:val="Normal"/>
    <w:uiPriority w:val="20"/>
    <w:semiHidden/>
    <w:qFormat/>
    <w:rsid w:val="008D3395"/>
    <w:pPr>
      <w:numPr>
        <w:ilvl w:val="4"/>
        <w:numId w:val="3"/>
      </w:numPr>
      <w:contextualSpacing/>
    </w:pPr>
  </w:style>
  <w:style w:type="character" w:styleId="Hyperlink">
    <w:name w:val="Hyperlink"/>
    <w:basedOn w:val="DefaultParagraphFont"/>
    <w:uiPriority w:val="99"/>
    <w:rsid w:val="006427FE"/>
    <w:rPr>
      <w:noProof w:val="0"/>
      <w:color w:val="203145" w:themeColor="hyperlink"/>
      <w:u w:val="single"/>
      <w:lang w:val="en-AU"/>
    </w:rPr>
  </w:style>
  <w:style w:type="paragraph" w:styleId="Bibliography">
    <w:name w:val="Bibliography"/>
    <w:basedOn w:val="Normal"/>
    <w:next w:val="Normal"/>
    <w:uiPriority w:val="37"/>
    <w:semiHidden/>
    <w:unhideWhenUsed/>
    <w:locked/>
    <w:rsid w:val="00F80750"/>
  </w:style>
  <w:style w:type="paragraph" w:styleId="BlockText">
    <w:name w:val="Block Text"/>
    <w:basedOn w:val="Normal"/>
    <w:uiPriority w:val="99"/>
    <w:semiHidden/>
    <w:unhideWhenUsed/>
    <w:locked/>
    <w:rsid w:val="00F80750"/>
    <w:pPr>
      <w:pBdr>
        <w:top w:val="single" w:sz="2" w:space="10" w:color="203145" w:themeColor="accent1"/>
        <w:left w:val="single" w:sz="2" w:space="10" w:color="203145" w:themeColor="accent1"/>
        <w:bottom w:val="single" w:sz="2" w:space="10" w:color="203145" w:themeColor="accent1"/>
        <w:right w:val="single" w:sz="2" w:space="10" w:color="203145" w:themeColor="accent1"/>
      </w:pBdr>
      <w:ind w:left="1152" w:right="1152"/>
    </w:pPr>
    <w:rPr>
      <w:rFonts w:asciiTheme="minorHAnsi" w:eastAsiaTheme="minorEastAsia" w:hAnsiTheme="minorHAnsi"/>
      <w:i/>
      <w:iCs/>
      <w:color w:val="203145" w:themeColor="accent1"/>
    </w:rPr>
  </w:style>
  <w:style w:type="paragraph" w:styleId="BodyText">
    <w:name w:val="Body Text"/>
    <w:basedOn w:val="Normal"/>
    <w:link w:val="BodyTextChar"/>
    <w:uiPriority w:val="99"/>
    <w:semiHidden/>
    <w:unhideWhenUsed/>
    <w:locked/>
    <w:rsid w:val="00F80750"/>
  </w:style>
  <w:style w:type="character" w:customStyle="1" w:styleId="BodyTextChar">
    <w:name w:val="Body Text Char"/>
    <w:basedOn w:val="DefaultParagraphFont"/>
    <w:link w:val="BodyText"/>
    <w:uiPriority w:val="99"/>
    <w:semiHidden/>
    <w:rsid w:val="00F80750"/>
    <w:rPr>
      <w:noProof w:val="0"/>
      <w:lang w:val="en-AU"/>
    </w:rPr>
  </w:style>
  <w:style w:type="paragraph" w:styleId="BodyText2">
    <w:name w:val="Body Text 2"/>
    <w:basedOn w:val="Normal"/>
    <w:link w:val="BodyText2Char"/>
    <w:uiPriority w:val="99"/>
    <w:semiHidden/>
    <w:unhideWhenUsed/>
    <w:locked/>
    <w:rsid w:val="00F80750"/>
    <w:pPr>
      <w:spacing w:line="480" w:lineRule="auto"/>
    </w:pPr>
  </w:style>
  <w:style w:type="character" w:customStyle="1" w:styleId="BodyText2Char">
    <w:name w:val="Body Text 2 Char"/>
    <w:basedOn w:val="DefaultParagraphFont"/>
    <w:link w:val="BodyText2"/>
    <w:uiPriority w:val="99"/>
    <w:semiHidden/>
    <w:rsid w:val="00F80750"/>
    <w:rPr>
      <w:noProof w:val="0"/>
      <w:lang w:val="en-AU"/>
    </w:rPr>
  </w:style>
  <w:style w:type="paragraph" w:styleId="BodyText3">
    <w:name w:val="Body Text 3"/>
    <w:basedOn w:val="Normal"/>
    <w:link w:val="BodyText3Char"/>
    <w:uiPriority w:val="99"/>
    <w:semiHidden/>
    <w:unhideWhenUsed/>
    <w:locked/>
    <w:rsid w:val="00F80750"/>
    <w:rPr>
      <w:sz w:val="16"/>
      <w:szCs w:val="16"/>
    </w:rPr>
  </w:style>
  <w:style w:type="character" w:customStyle="1" w:styleId="BodyText3Char">
    <w:name w:val="Body Text 3 Char"/>
    <w:basedOn w:val="DefaultParagraphFont"/>
    <w:link w:val="BodyText3"/>
    <w:uiPriority w:val="99"/>
    <w:semiHidden/>
    <w:rsid w:val="00F80750"/>
    <w:rPr>
      <w:noProof w:val="0"/>
      <w:sz w:val="16"/>
      <w:szCs w:val="16"/>
      <w:lang w:val="en-AU"/>
    </w:rPr>
  </w:style>
  <w:style w:type="paragraph" w:styleId="BodyTextFirstIndent">
    <w:name w:val="Body Text First Indent"/>
    <w:basedOn w:val="BodyText"/>
    <w:link w:val="BodyTextFirstIndentChar"/>
    <w:uiPriority w:val="99"/>
    <w:semiHidden/>
    <w:unhideWhenUsed/>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F80750"/>
    <w:rPr>
      <w:noProof w:val="0"/>
      <w:lang w:val="en-AU"/>
    </w:rPr>
  </w:style>
  <w:style w:type="paragraph" w:styleId="BodyTextIndent">
    <w:name w:val="Body Text Indent"/>
    <w:basedOn w:val="Normal"/>
    <w:link w:val="BodyTextIndentChar"/>
    <w:uiPriority w:val="99"/>
    <w:semiHidden/>
    <w:unhideWhenUsed/>
    <w:locked/>
    <w:rsid w:val="00F80750"/>
    <w:pPr>
      <w:ind w:left="283"/>
    </w:pPr>
  </w:style>
  <w:style w:type="character" w:customStyle="1" w:styleId="BodyTextIndentChar">
    <w:name w:val="Body Text Indent Char"/>
    <w:basedOn w:val="DefaultParagraphFont"/>
    <w:link w:val="BodyTextIndent"/>
    <w:uiPriority w:val="99"/>
    <w:semiHidden/>
    <w:rsid w:val="00F80750"/>
    <w:rPr>
      <w:noProof w:val="0"/>
      <w:lang w:val="en-AU"/>
    </w:rPr>
  </w:style>
  <w:style w:type="paragraph" w:styleId="BodyTextFirstIndent2">
    <w:name w:val="Body Text First Indent 2"/>
    <w:basedOn w:val="BodyTextIndent"/>
    <w:link w:val="BodyTextFirstIndent2Char"/>
    <w:uiPriority w:val="99"/>
    <w:semiHidden/>
    <w:unhideWhenUsed/>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F80750"/>
    <w:rPr>
      <w:noProof w:val="0"/>
      <w:lang w:val="en-AU"/>
    </w:rPr>
  </w:style>
  <w:style w:type="paragraph" w:styleId="BodyTextIndent2">
    <w:name w:val="Body Text Indent 2"/>
    <w:basedOn w:val="Normal"/>
    <w:link w:val="BodyTextIndent2Char"/>
    <w:uiPriority w:val="99"/>
    <w:semiHidden/>
    <w:unhideWhenUsed/>
    <w:locked/>
    <w:rsid w:val="00F80750"/>
    <w:pPr>
      <w:spacing w:line="480" w:lineRule="auto"/>
      <w:ind w:left="283"/>
    </w:pPr>
  </w:style>
  <w:style w:type="character" w:customStyle="1" w:styleId="BodyTextIndent2Char">
    <w:name w:val="Body Text Indent 2 Char"/>
    <w:basedOn w:val="DefaultParagraphFont"/>
    <w:link w:val="BodyTextIndent2"/>
    <w:uiPriority w:val="99"/>
    <w:semiHidden/>
    <w:rsid w:val="00F80750"/>
    <w:rPr>
      <w:noProof w:val="0"/>
      <w:lang w:val="en-AU"/>
    </w:rPr>
  </w:style>
  <w:style w:type="paragraph" w:styleId="BodyTextIndent3">
    <w:name w:val="Body Text Indent 3"/>
    <w:basedOn w:val="Normal"/>
    <w:link w:val="BodyTextIndent3Char"/>
    <w:uiPriority w:val="99"/>
    <w:semiHidden/>
    <w:unhideWhenUsed/>
    <w:locked/>
    <w:rsid w:val="00F80750"/>
    <w:pPr>
      <w:ind w:left="283"/>
    </w:pPr>
    <w:rPr>
      <w:sz w:val="16"/>
      <w:szCs w:val="16"/>
    </w:rPr>
  </w:style>
  <w:style w:type="character" w:customStyle="1" w:styleId="BodyTextIndent3Char">
    <w:name w:val="Body Text Indent 3 Char"/>
    <w:basedOn w:val="DefaultParagraphFont"/>
    <w:link w:val="BodyTextIndent3"/>
    <w:uiPriority w:val="99"/>
    <w:semiHidden/>
    <w:rsid w:val="00F80750"/>
    <w:rPr>
      <w:noProof w:val="0"/>
      <w:sz w:val="16"/>
      <w:szCs w:val="16"/>
      <w:lang w:val="en-AU"/>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unhideWhenUsed/>
    <w:locked/>
    <w:rsid w:val="00F80750"/>
    <w:pPr>
      <w:ind w:left="4252"/>
    </w:pPr>
  </w:style>
  <w:style w:type="character" w:customStyle="1" w:styleId="ClosingChar">
    <w:name w:val="Closing Char"/>
    <w:basedOn w:val="DefaultParagraphFont"/>
    <w:link w:val="Closing"/>
    <w:uiPriority w:val="99"/>
    <w:semiHidden/>
    <w:rsid w:val="00F80750"/>
    <w:rPr>
      <w:noProof w:val="0"/>
      <w:lang w:val="en-AU"/>
    </w:rPr>
  </w:style>
  <w:style w:type="table" w:styleId="ColorfulGrid">
    <w:name w:val="Colorful Grid"/>
    <w:basedOn w:val="TableNormal"/>
    <w:uiPriority w:val="73"/>
    <w:locked/>
    <w:rsid w:val="00F80750"/>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rPr>
      <w:color w:val="000000" w:themeColor="text1"/>
    </w:rPr>
    <w:tblPr>
      <w:tblStyleRowBandSize w:val="1"/>
      <w:tblStyleColBandSize w:val="1"/>
      <w:tblBorders>
        <w:insideH w:val="single" w:sz="4" w:space="0" w:color="FFFFFF" w:themeColor="background1"/>
      </w:tblBorders>
    </w:tblPr>
    <w:tcPr>
      <w:shd w:val="clear" w:color="auto" w:fill="C6D4E5" w:themeFill="accent1" w:themeFillTint="33"/>
    </w:tcPr>
    <w:tblStylePr w:type="firstRow">
      <w:rPr>
        <w:b/>
        <w:bCs/>
      </w:rPr>
      <w:tblPr/>
      <w:tcPr>
        <w:shd w:val="clear" w:color="auto" w:fill="8FAACB" w:themeFill="accent1" w:themeFillTint="66"/>
      </w:tcPr>
    </w:tblStylePr>
    <w:tblStylePr w:type="lastRow">
      <w:rPr>
        <w:b/>
        <w:bCs/>
        <w:color w:val="000000" w:themeColor="text1"/>
      </w:rPr>
      <w:tblPr/>
      <w:tcPr>
        <w:shd w:val="clear" w:color="auto" w:fill="8FAACB" w:themeFill="accent1" w:themeFillTint="66"/>
      </w:tcPr>
    </w:tblStylePr>
    <w:tblStylePr w:type="firstCol">
      <w:rPr>
        <w:color w:val="FFFFFF" w:themeColor="background1"/>
      </w:rPr>
      <w:tblPr/>
      <w:tcPr>
        <w:shd w:val="clear" w:color="auto" w:fill="182433" w:themeFill="accent1" w:themeFillShade="BF"/>
      </w:tcPr>
    </w:tblStylePr>
    <w:tblStylePr w:type="lastCol">
      <w:rPr>
        <w:color w:val="FFFFFF" w:themeColor="background1"/>
      </w:rPr>
      <w:tblPr/>
      <w:tcPr>
        <w:shd w:val="clear" w:color="auto" w:fill="182433" w:themeFill="accent1" w:themeFillShade="BF"/>
      </w:tcPr>
    </w:tblStylePr>
    <w:tblStylePr w:type="band1Vert">
      <w:tblPr/>
      <w:tcPr>
        <w:shd w:val="clear" w:color="auto" w:fill="7395BE" w:themeFill="accent1" w:themeFillTint="7F"/>
      </w:tcPr>
    </w:tblStylePr>
    <w:tblStylePr w:type="band1Horz">
      <w:tblPr/>
      <w:tcPr>
        <w:shd w:val="clear" w:color="auto" w:fill="7395BE" w:themeFill="accent1" w:themeFillTint="7F"/>
      </w:tcPr>
    </w:tblStylePr>
  </w:style>
  <w:style w:type="table" w:styleId="ColorfulGrid-Accent2">
    <w:name w:val="Colorful Grid Accent 2"/>
    <w:basedOn w:val="TableNormal"/>
    <w:uiPriority w:val="73"/>
    <w:locked/>
    <w:rsid w:val="00F80750"/>
    <w:rPr>
      <w:color w:val="000000" w:themeColor="text1"/>
    </w:rPr>
    <w:tblPr>
      <w:tblStyleRowBandSize w:val="1"/>
      <w:tblStyleColBandSize w:val="1"/>
      <w:tblBorders>
        <w:insideH w:val="single" w:sz="4" w:space="0" w:color="FFFFFF" w:themeColor="background1"/>
      </w:tblBorders>
    </w:tblPr>
    <w:tcPr>
      <w:shd w:val="clear" w:color="auto" w:fill="E8E9EC" w:themeFill="accent2" w:themeFillTint="33"/>
    </w:tcPr>
    <w:tblStylePr w:type="firstRow">
      <w:rPr>
        <w:b/>
        <w:bCs/>
      </w:rPr>
      <w:tblPr/>
      <w:tcPr>
        <w:shd w:val="clear" w:color="auto" w:fill="D2D4D9" w:themeFill="accent2" w:themeFillTint="66"/>
      </w:tcPr>
    </w:tblStylePr>
    <w:tblStylePr w:type="lastRow">
      <w:rPr>
        <w:b/>
        <w:bCs/>
        <w:color w:val="000000" w:themeColor="text1"/>
      </w:rPr>
      <w:tblPr/>
      <w:tcPr>
        <w:shd w:val="clear" w:color="auto" w:fill="D2D4D9" w:themeFill="accent2" w:themeFillTint="66"/>
      </w:tcPr>
    </w:tblStylePr>
    <w:tblStylePr w:type="firstCol">
      <w:rPr>
        <w:color w:val="FFFFFF" w:themeColor="background1"/>
      </w:rPr>
      <w:tblPr/>
      <w:tcPr>
        <w:shd w:val="clear" w:color="auto" w:fill="686F7B" w:themeFill="accent2" w:themeFillShade="BF"/>
      </w:tcPr>
    </w:tblStylePr>
    <w:tblStylePr w:type="lastCol">
      <w:rPr>
        <w:color w:val="FFFFFF" w:themeColor="background1"/>
      </w:rPr>
      <w:tblPr/>
      <w:tcPr>
        <w:shd w:val="clear" w:color="auto" w:fill="686F7B" w:themeFill="accent2" w:themeFillShade="BF"/>
      </w:tcPr>
    </w:tblStylePr>
    <w:tblStylePr w:type="band1Vert">
      <w:tblPr/>
      <w:tcPr>
        <w:shd w:val="clear" w:color="auto" w:fill="C7CAD0" w:themeFill="accent2" w:themeFillTint="7F"/>
      </w:tcPr>
    </w:tblStylePr>
    <w:tblStylePr w:type="band1Horz">
      <w:tblPr/>
      <w:tcPr>
        <w:shd w:val="clear" w:color="auto" w:fill="C7CAD0" w:themeFill="accent2" w:themeFillTint="7F"/>
      </w:tcPr>
    </w:tblStylePr>
  </w:style>
  <w:style w:type="table" w:styleId="ColorfulGrid-Accent3">
    <w:name w:val="Colorful Grid Accent 3"/>
    <w:basedOn w:val="TableNormal"/>
    <w:uiPriority w:val="73"/>
    <w:locked/>
    <w:rsid w:val="00F80750"/>
    <w:rPr>
      <w:color w:val="000000" w:themeColor="text1"/>
    </w:rPr>
    <w:tblPr>
      <w:tblStyleRowBandSize w:val="1"/>
      <w:tblStyleColBandSize w:val="1"/>
      <w:tblBorders>
        <w:insideH w:val="single" w:sz="4" w:space="0" w:color="FFFFFF" w:themeColor="background1"/>
      </w:tblBorders>
    </w:tblPr>
    <w:tcPr>
      <w:shd w:val="clear" w:color="auto" w:fill="E8EFEA" w:themeFill="accent3" w:themeFillTint="33"/>
    </w:tcPr>
    <w:tblStylePr w:type="firstRow">
      <w:rPr>
        <w:b/>
        <w:bCs/>
      </w:rPr>
      <w:tblPr/>
      <w:tcPr>
        <w:shd w:val="clear" w:color="auto" w:fill="D2E0D6" w:themeFill="accent3" w:themeFillTint="66"/>
      </w:tcPr>
    </w:tblStylePr>
    <w:tblStylePr w:type="lastRow">
      <w:rPr>
        <w:b/>
        <w:bCs/>
        <w:color w:val="000000" w:themeColor="text1"/>
      </w:rPr>
      <w:tblPr/>
      <w:tcPr>
        <w:shd w:val="clear" w:color="auto" w:fill="D2E0D6" w:themeFill="accent3" w:themeFillTint="66"/>
      </w:tcPr>
    </w:tblStylePr>
    <w:tblStylePr w:type="firstCol">
      <w:rPr>
        <w:color w:val="FFFFFF" w:themeColor="background1"/>
      </w:rPr>
      <w:tblPr/>
      <w:tcPr>
        <w:shd w:val="clear" w:color="auto" w:fill="628F6F" w:themeFill="accent3" w:themeFillShade="BF"/>
      </w:tcPr>
    </w:tblStylePr>
    <w:tblStylePr w:type="lastCol">
      <w:rPr>
        <w:color w:val="FFFFFF" w:themeColor="background1"/>
      </w:rPr>
      <w:tblPr/>
      <w:tcPr>
        <w:shd w:val="clear" w:color="auto" w:fill="628F6F" w:themeFill="accent3" w:themeFillShade="BF"/>
      </w:tcPr>
    </w:tblStylePr>
    <w:tblStylePr w:type="band1Vert">
      <w:tblPr/>
      <w:tcPr>
        <w:shd w:val="clear" w:color="auto" w:fill="C7D9CC" w:themeFill="accent3" w:themeFillTint="7F"/>
      </w:tcPr>
    </w:tblStylePr>
    <w:tblStylePr w:type="band1Horz">
      <w:tblPr/>
      <w:tcPr>
        <w:shd w:val="clear" w:color="auto" w:fill="C7D9CC" w:themeFill="accent3" w:themeFillTint="7F"/>
      </w:tcPr>
    </w:tblStylePr>
  </w:style>
  <w:style w:type="table" w:styleId="ColorfulGrid-Accent4">
    <w:name w:val="Colorful Grid Accent 4"/>
    <w:basedOn w:val="TableNormal"/>
    <w:uiPriority w:val="73"/>
    <w:locked/>
    <w:rsid w:val="00F80750"/>
    <w:rPr>
      <w:color w:val="000000" w:themeColor="text1"/>
    </w:rPr>
    <w:tblPr>
      <w:tblStyleRowBandSize w:val="1"/>
      <w:tblStyleColBandSize w:val="1"/>
      <w:tblBorders>
        <w:insideH w:val="single" w:sz="4" w:space="0" w:color="FFFFFF" w:themeColor="background1"/>
      </w:tblBorders>
    </w:tblPr>
    <w:tcPr>
      <w:shd w:val="clear" w:color="auto" w:fill="FFF6DB" w:themeFill="accent4" w:themeFillTint="33"/>
    </w:tcPr>
    <w:tblStylePr w:type="firstRow">
      <w:rPr>
        <w:b/>
        <w:bCs/>
      </w:rPr>
      <w:tblPr/>
      <w:tcPr>
        <w:shd w:val="clear" w:color="auto" w:fill="FFEEB8" w:themeFill="accent4" w:themeFillTint="66"/>
      </w:tcPr>
    </w:tblStylePr>
    <w:tblStylePr w:type="lastRow">
      <w:rPr>
        <w:b/>
        <w:bCs/>
        <w:color w:val="000000" w:themeColor="text1"/>
      </w:rPr>
      <w:tblPr/>
      <w:tcPr>
        <w:shd w:val="clear" w:color="auto" w:fill="FFEEB8" w:themeFill="accent4" w:themeFillTint="66"/>
      </w:tcPr>
    </w:tblStylePr>
    <w:tblStylePr w:type="firstCol">
      <w:rPr>
        <w:color w:val="FFFFFF" w:themeColor="background1"/>
      </w:rPr>
      <w:tblPr/>
      <w:tcPr>
        <w:shd w:val="clear" w:color="auto" w:fill="FABF00" w:themeFill="accent4" w:themeFillShade="BF"/>
      </w:tcPr>
    </w:tblStylePr>
    <w:tblStylePr w:type="lastCol">
      <w:rPr>
        <w:color w:val="FFFFFF" w:themeColor="background1"/>
      </w:rPr>
      <w:tblPr/>
      <w:tcPr>
        <w:shd w:val="clear" w:color="auto" w:fill="FABF00" w:themeFill="accent4" w:themeFillShade="BF"/>
      </w:tcPr>
    </w:tblStylePr>
    <w:tblStylePr w:type="band1Vert">
      <w:tblPr/>
      <w:tcPr>
        <w:shd w:val="clear" w:color="auto" w:fill="FFEAA7" w:themeFill="accent4" w:themeFillTint="7F"/>
      </w:tcPr>
    </w:tblStylePr>
    <w:tblStylePr w:type="band1Horz">
      <w:tblPr/>
      <w:tcPr>
        <w:shd w:val="clear" w:color="auto" w:fill="FFEAA7" w:themeFill="accent4" w:themeFillTint="7F"/>
      </w:tcPr>
    </w:tblStylePr>
  </w:style>
  <w:style w:type="table" w:styleId="ColorfulGrid-Accent5">
    <w:name w:val="Colorful Grid Accent 5"/>
    <w:basedOn w:val="TableNormal"/>
    <w:uiPriority w:val="73"/>
    <w:locked/>
    <w:rsid w:val="00F80750"/>
    <w:rPr>
      <w:color w:val="000000" w:themeColor="text1"/>
    </w:rPr>
    <w:tblPr>
      <w:tblStyleRowBandSize w:val="1"/>
      <w:tblStyleColBandSize w:val="1"/>
      <w:tblBorders>
        <w:insideH w:val="single" w:sz="4" w:space="0" w:color="FFFFFF" w:themeColor="background1"/>
      </w:tblBorders>
    </w:tblPr>
    <w:tcPr>
      <w:shd w:val="clear" w:color="auto" w:fill="FDE6DB" w:themeFill="accent5" w:themeFillTint="33"/>
    </w:tcPr>
    <w:tblStylePr w:type="firstRow">
      <w:rPr>
        <w:b/>
        <w:bCs/>
      </w:rPr>
      <w:tblPr/>
      <w:tcPr>
        <w:shd w:val="clear" w:color="auto" w:fill="FBCDB7" w:themeFill="accent5" w:themeFillTint="66"/>
      </w:tcPr>
    </w:tblStylePr>
    <w:tblStylePr w:type="lastRow">
      <w:rPr>
        <w:b/>
        <w:bCs/>
        <w:color w:val="000000" w:themeColor="text1"/>
      </w:rPr>
      <w:tblPr/>
      <w:tcPr>
        <w:shd w:val="clear" w:color="auto" w:fill="FBCDB7" w:themeFill="accent5" w:themeFillTint="66"/>
      </w:tcPr>
    </w:tblStylePr>
    <w:tblStylePr w:type="firstCol">
      <w:rPr>
        <w:color w:val="FFFFFF" w:themeColor="background1"/>
      </w:rPr>
      <w:tblPr/>
      <w:tcPr>
        <w:shd w:val="clear" w:color="auto" w:fill="E2530C" w:themeFill="accent5" w:themeFillShade="BF"/>
      </w:tcPr>
    </w:tblStylePr>
    <w:tblStylePr w:type="lastCol">
      <w:rPr>
        <w:color w:val="FFFFFF" w:themeColor="background1"/>
      </w:rPr>
      <w:tblPr/>
      <w:tcPr>
        <w:shd w:val="clear" w:color="auto" w:fill="E2530C" w:themeFill="accent5" w:themeFillShade="BF"/>
      </w:tcPr>
    </w:tblStylePr>
    <w:tblStylePr w:type="band1Vert">
      <w:tblPr/>
      <w:tcPr>
        <w:shd w:val="clear" w:color="auto" w:fill="FAC1A5" w:themeFill="accent5" w:themeFillTint="7F"/>
      </w:tcPr>
    </w:tblStylePr>
    <w:tblStylePr w:type="band1Horz">
      <w:tblPr/>
      <w:tcPr>
        <w:shd w:val="clear" w:color="auto" w:fill="FAC1A5" w:themeFill="accent5" w:themeFillTint="7F"/>
      </w:tcPr>
    </w:tblStylePr>
  </w:style>
  <w:style w:type="table" w:styleId="ColorfulGrid-Accent6">
    <w:name w:val="Colorful Grid Accent 6"/>
    <w:basedOn w:val="TableNormal"/>
    <w:uiPriority w:val="73"/>
    <w:locked/>
    <w:rsid w:val="00F80750"/>
    <w:rPr>
      <w:color w:val="000000" w:themeColor="text1"/>
    </w:rPr>
    <w:tblPr>
      <w:tblStyleRowBandSize w:val="1"/>
      <w:tblStyleColBandSize w:val="1"/>
      <w:tblBorders>
        <w:insideH w:val="single" w:sz="4" w:space="0" w:color="FFFFFF" w:themeColor="background1"/>
      </w:tblBorders>
    </w:tblPr>
    <w:tcPr>
      <w:shd w:val="clear" w:color="auto" w:fill="D3DDEA" w:themeFill="accent6" w:themeFillTint="33"/>
    </w:tcPr>
    <w:tblStylePr w:type="firstRow">
      <w:rPr>
        <w:b/>
        <w:bCs/>
      </w:rPr>
      <w:tblPr/>
      <w:tcPr>
        <w:shd w:val="clear" w:color="auto" w:fill="A8BCD4" w:themeFill="accent6" w:themeFillTint="66"/>
      </w:tcPr>
    </w:tblStylePr>
    <w:tblStylePr w:type="lastRow">
      <w:rPr>
        <w:b/>
        <w:bCs/>
        <w:color w:val="000000" w:themeColor="text1"/>
      </w:rPr>
      <w:tblPr/>
      <w:tcPr>
        <w:shd w:val="clear" w:color="auto" w:fill="A8BCD4" w:themeFill="accent6" w:themeFillTint="66"/>
      </w:tcPr>
    </w:tblStylePr>
    <w:tblStylePr w:type="firstCol">
      <w:rPr>
        <w:color w:val="FFFFFF" w:themeColor="background1"/>
      </w:rPr>
      <w:tblPr/>
      <w:tcPr>
        <w:shd w:val="clear" w:color="auto" w:fill="2E445E" w:themeFill="accent6" w:themeFillShade="BF"/>
      </w:tcPr>
    </w:tblStylePr>
    <w:tblStylePr w:type="lastCol">
      <w:rPr>
        <w:color w:val="FFFFFF" w:themeColor="background1"/>
      </w:rPr>
      <w:tblPr/>
      <w:tcPr>
        <w:shd w:val="clear" w:color="auto" w:fill="2E445E" w:themeFill="accent6" w:themeFillShade="BF"/>
      </w:tcPr>
    </w:tblStylePr>
    <w:tblStylePr w:type="band1Vert">
      <w:tblPr/>
      <w:tcPr>
        <w:shd w:val="clear" w:color="auto" w:fill="93ACCA" w:themeFill="accent6" w:themeFillTint="7F"/>
      </w:tcPr>
    </w:tblStylePr>
    <w:tblStylePr w:type="band1Horz">
      <w:tblPr/>
      <w:tcPr>
        <w:shd w:val="clear" w:color="auto" w:fill="93ACCA" w:themeFill="accent6" w:themeFillTint="7F"/>
      </w:tcPr>
    </w:tblStylePr>
  </w:style>
  <w:style w:type="table" w:styleId="ColorfulList">
    <w:name w:val="Colorful List"/>
    <w:basedOn w:val="TableNormal"/>
    <w:uiPriority w:val="72"/>
    <w:locked/>
    <w:rsid w:val="00F80750"/>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F7784" w:themeFill="accent2" w:themeFillShade="CC"/>
      </w:tcPr>
    </w:tblStylePr>
    <w:tblStylePr w:type="lastRow">
      <w:rPr>
        <w:b/>
        <w:bCs/>
        <w:color w:val="6F77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rPr>
      <w:color w:val="000000" w:themeColor="text1"/>
    </w:rPr>
    <w:tblPr>
      <w:tblStyleRowBandSize w:val="1"/>
      <w:tblStyleColBandSize w:val="1"/>
    </w:tblPr>
    <w:tcPr>
      <w:shd w:val="clear" w:color="auto" w:fill="E3EAF2" w:themeFill="accent1" w:themeFillTint="19"/>
    </w:tcPr>
    <w:tblStylePr w:type="firstRow">
      <w:rPr>
        <w:b/>
        <w:bCs/>
        <w:color w:val="FFFFFF" w:themeColor="background1"/>
      </w:rPr>
      <w:tblPr/>
      <w:tcPr>
        <w:tcBorders>
          <w:bottom w:val="single" w:sz="12" w:space="0" w:color="FFFFFF" w:themeColor="background1"/>
        </w:tcBorders>
        <w:shd w:val="clear" w:color="auto" w:fill="6F7784" w:themeFill="accent2" w:themeFillShade="CC"/>
      </w:tcPr>
    </w:tblStylePr>
    <w:tblStylePr w:type="lastRow">
      <w:rPr>
        <w:b/>
        <w:bCs/>
        <w:color w:val="6F77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CADF" w:themeFill="accent1" w:themeFillTint="3F"/>
      </w:tcPr>
    </w:tblStylePr>
    <w:tblStylePr w:type="band1Horz">
      <w:tblPr/>
      <w:tcPr>
        <w:shd w:val="clear" w:color="auto" w:fill="C6D4E5" w:themeFill="accent1" w:themeFillTint="33"/>
      </w:tcPr>
    </w:tblStylePr>
  </w:style>
  <w:style w:type="table" w:styleId="ColorfulList-Accent2">
    <w:name w:val="Colorful List Accent 2"/>
    <w:basedOn w:val="TableNormal"/>
    <w:uiPriority w:val="72"/>
    <w:locked/>
    <w:rsid w:val="00F80750"/>
    <w:rPr>
      <w:color w:val="000000" w:themeColor="text1"/>
    </w:rPr>
    <w:tblPr>
      <w:tblStyleRowBandSize w:val="1"/>
      <w:tblStyleColBandSize w:val="1"/>
    </w:tblPr>
    <w:tcPr>
      <w:shd w:val="clear" w:color="auto" w:fill="F3F4F5" w:themeFill="accent2" w:themeFillTint="19"/>
    </w:tcPr>
    <w:tblStylePr w:type="firstRow">
      <w:rPr>
        <w:b/>
        <w:bCs/>
        <w:color w:val="FFFFFF" w:themeColor="background1"/>
      </w:rPr>
      <w:tblPr/>
      <w:tcPr>
        <w:tcBorders>
          <w:bottom w:val="single" w:sz="12" w:space="0" w:color="FFFFFF" w:themeColor="background1"/>
        </w:tcBorders>
        <w:shd w:val="clear" w:color="auto" w:fill="6F7784" w:themeFill="accent2" w:themeFillShade="CC"/>
      </w:tcPr>
    </w:tblStylePr>
    <w:tblStylePr w:type="lastRow">
      <w:rPr>
        <w:b/>
        <w:bCs/>
        <w:color w:val="6F77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4E7" w:themeFill="accent2" w:themeFillTint="3F"/>
      </w:tcPr>
    </w:tblStylePr>
    <w:tblStylePr w:type="band1Horz">
      <w:tblPr/>
      <w:tcPr>
        <w:shd w:val="clear" w:color="auto" w:fill="E8E9EC" w:themeFill="accent2" w:themeFillTint="33"/>
      </w:tcPr>
    </w:tblStylePr>
  </w:style>
  <w:style w:type="table" w:styleId="ColorfulList-Accent3">
    <w:name w:val="Colorful List Accent 3"/>
    <w:basedOn w:val="TableNormal"/>
    <w:uiPriority w:val="72"/>
    <w:locked/>
    <w:rsid w:val="00F80750"/>
    <w:rPr>
      <w:color w:val="000000" w:themeColor="text1"/>
    </w:rPr>
    <w:tblPr>
      <w:tblStyleRowBandSize w:val="1"/>
      <w:tblStyleColBandSize w:val="1"/>
    </w:tblPr>
    <w:tcPr>
      <w:shd w:val="clear" w:color="auto" w:fill="F4F7F5" w:themeFill="accent3" w:themeFillTint="19"/>
    </w:tcPr>
    <w:tblStylePr w:type="firstRow">
      <w:rPr>
        <w:b/>
        <w:bCs/>
        <w:color w:val="FFFFFF" w:themeColor="background1"/>
      </w:rPr>
      <w:tblPr/>
      <w:tcPr>
        <w:tcBorders>
          <w:bottom w:val="single" w:sz="12" w:space="0" w:color="FFFFFF" w:themeColor="background1"/>
        </w:tcBorders>
        <w:shd w:val="clear" w:color="auto" w:fill="FFC50C" w:themeFill="accent4" w:themeFillShade="CC"/>
      </w:tcPr>
    </w:tblStylePr>
    <w:tblStylePr w:type="lastRow">
      <w:rPr>
        <w:b/>
        <w:bCs/>
        <w:color w:val="FFC50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CE5" w:themeFill="accent3" w:themeFillTint="3F"/>
      </w:tcPr>
    </w:tblStylePr>
    <w:tblStylePr w:type="band1Horz">
      <w:tblPr/>
      <w:tcPr>
        <w:shd w:val="clear" w:color="auto" w:fill="E8EFEA" w:themeFill="accent3" w:themeFillTint="33"/>
      </w:tcPr>
    </w:tblStylePr>
  </w:style>
  <w:style w:type="table" w:styleId="ColorfulList-Accent4">
    <w:name w:val="Colorful List Accent 4"/>
    <w:basedOn w:val="TableNormal"/>
    <w:uiPriority w:val="72"/>
    <w:locked/>
    <w:rsid w:val="00F80750"/>
    <w:rPr>
      <w:color w:val="000000" w:themeColor="text1"/>
    </w:rPr>
    <w:tblPr>
      <w:tblStyleRowBandSize w:val="1"/>
      <w:tblStyleColBandSize w:val="1"/>
    </w:tblPr>
    <w:tcPr>
      <w:shd w:val="clear" w:color="auto" w:fill="FFFAED" w:themeFill="accent4" w:themeFillTint="19"/>
    </w:tcPr>
    <w:tblStylePr w:type="firstRow">
      <w:rPr>
        <w:b/>
        <w:bCs/>
        <w:color w:val="FFFFFF" w:themeColor="background1"/>
      </w:rPr>
      <w:tblPr/>
      <w:tcPr>
        <w:tcBorders>
          <w:bottom w:val="single" w:sz="12" w:space="0" w:color="FFFFFF" w:themeColor="background1"/>
        </w:tcBorders>
        <w:shd w:val="clear" w:color="auto" w:fill="699876" w:themeFill="accent3" w:themeFillShade="CC"/>
      </w:tcPr>
    </w:tblStylePr>
    <w:tblStylePr w:type="lastRow">
      <w:rPr>
        <w:b/>
        <w:bCs/>
        <w:color w:val="69987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4D3" w:themeFill="accent4" w:themeFillTint="3F"/>
      </w:tcPr>
    </w:tblStylePr>
    <w:tblStylePr w:type="band1Horz">
      <w:tblPr/>
      <w:tcPr>
        <w:shd w:val="clear" w:color="auto" w:fill="FFF6DB" w:themeFill="accent4" w:themeFillTint="33"/>
      </w:tcPr>
    </w:tblStylePr>
  </w:style>
  <w:style w:type="table" w:styleId="ColorfulList-Accent5">
    <w:name w:val="Colorful List Accent 5"/>
    <w:basedOn w:val="TableNormal"/>
    <w:uiPriority w:val="72"/>
    <w:locked/>
    <w:rsid w:val="00F80750"/>
    <w:rPr>
      <w:color w:val="000000" w:themeColor="text1"/>
    </w:rPr>
    <w:tblPr>
      <w:tblStyleRowBandSize w:val="1"/>
      <w:tblStyleColBandSize w:val="1"/>
    </w:tblPr>
    <w:tcPr>
      <w:shd w:val="clear" w:color="auto" w:fill="FEF2ED" w:themeFill="accent5" w:themeFillTint="19"/>
    </w:tcPr>
    <w:tblStylePr w:type="firstRow">
      <w:rPr>
        <w:b/>
        <w:bCs/>
        <w:color w:val="FFFFFF" w:themeColor="background1"/>
      </w:rPr>
      <w:tblPr/>
      <w:tcPr>
        <w:tcBorders>
          <w:bottom w:val="single" w:sz="12" w:space="0" w:color="FFFFFF" w:themeColor="background1"/>
        </w:tcBorders>
        <w:shd w:val="clear" w:color="auto" w:fill="314965" w:themeFill="accent6" w:themeFillShade="CC"/>
      </w:tcPr>
    </w:tblStylePr>
    <w:tblStylePr w:type="lastRow">
      <w:rPr>
        <w:b/>
        <w:bCs/>
        <w:color w:val="31496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0D2" w:themeFill="accent5" w:themeFillTint="3F"/>
      </w:tcPr>
    </w:tblStylePr>
    <w:tblStylePr w:type="band1Horz">
      <w:tblPr/>
      <w:tcPr>
        <w:shd w:val="clear" w:color="auto" w:fill="FDE6DB" w:themeFill="accent5" w:themeFillTint="33"/>
      </w:tcPr>
    </w:tblStylePr>
  </w:style>
  <w:style w:type="table" w:styleId="ColorfulList-Accent6">
    <w:name w:val="Colorful List Accent 6"/>
    <w:basedOn w:val="TableNormal"/>
    <w:uiPriority w:val="72"/>
    <w:locked/>
    <w:rsid w:val="00F80750"/>
    <w:rPr>
      <w:color w:val="000000" w:themeColor="text1"/>
    </w:rPr>
    <w:tblPr>
      <w:tblStyleRowBandSize w:val="1"/>
      <w:tblStyleColBandSize w:val="1"/>
    </w:tblPr>
    <w:tcPr>
      <w:shd w:val="clear" w:color="auto" w:fill="E9EEF4" w:themeFill="accent6" w:themeFillTint="19"/>
    </w:tcPr>
    <w:tblStylePr w:type="firstRow">
      <w:rPr>
        <w:b/>
        <w:bCs/>
        <w:color w:val="FFFFFF" w:themeColor="background1"/>
      </w:rPr>
      <w:tblPr/>
      <w:tcPr>
        <w:tcBorders>
          <w:bottom w:val="single" w:sz="12" w:space="0" w:color="FFFFFF" w:themeColor="background1"/>
        </w:tcBorders>
        <w:shd w:val="clear" w:color="auto" w:fill="F1590E" w:themeFill="accent5" w:themeFillShade="CC"/>
      </w:tcPr>
    </w:tblStylePr>
    <w:tblStylePr w:type="lastRow">
      <w:rPr>
        <w:b/>
        <w:bCs/>
        <w:color w:val="F1590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D6E5" w:themeFill="accent6" w:themeFillTint="3F"/>
      </w:tcPr>
    </w:tblStylePr>
    <w:tblStylePr w:type="band1Horz">
      <w:tblPr/>
      <w:tcPr>
        <w:shd w:val="clear" w:color="auto" w:fill="D3DDEA" w:themeFill="accent6" w:themeFillTint="33"/>
      </w:tcPr>
    </w:tblStylePr>
  </w:style>
  <w:style w:type="table" w:styleId="ColorfulShading">
    <w:name w:val="Colorful Shading"/>
    <w:basedOn w:val="TableNormal"/>
    <w:uiPriority w:val="71"/>
    <w:locked/>
    <w:rsid w:val="00F80750"/>
    <w:rPr>
      <w:color w:val="000000" w:themeColor="text1"/>
    </w:rPr>
    <w:tblPr>
      <w:tblStyleRowBandSize w:val="1"/>
      <w:tblStyleColBandSize w:val="1"/>
      <w:tblBorders>
        <w:top w:val="single" w:sz="24" w:space="0" w:color="8F96A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rPr>
      <w:color w:val="000000" w:themeColor="text1"/>
    </w:rPr>
    <w:tblPr>
      <w:tblStyleRowBandSize w:val="1"/>
      <w:tblStyleColBandSize w:val="1"/>
      <w:tblBorders>
        <w:top w:val="single" w:sz="24" w:space="0" w:color="8F96A1" w:themeColor="accent2"/>
        <w:left w:val="single" w:sz="4" w:space="0" w:color="203145" w:themeColor="accent1"/>
        <w:bottom w:val="single" w:sz="4" w:space="0" w:color="203145" w:themeColor="accent1"/>
        <w:right w:val="single" w:sz="4" w:space="0" w:color="203145" w:themeColor="accent1"/>
        <w:insideH w:val="single" w:sz="4" w:space="0" w:color="FFFFFF" w:themeColor="background1"/>
        <w:insideV w:val="single" w:sz="4" w:space="0" w:color="FFFFFF" w:themeColor="background1"/>
      </w:tblBorders>
    </w:tblPr>
    <w:tcPr>
      <w:shd w:val="clear" w:color="auto" w:fill="E3EAF2" w:themeFill="accent1" w:themeFillTint="19"/>
    </w:tcPr>
    <w:tblStylePr w:type="firstRow">
      <w:rPr>
        <w:b/>
        <w:bCs/>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1D29" w:themeFill="accent1" w:themeFillShade="99"/>
      </w:tcPr>
    </w:tblStylePr>
    <w:tblStylePr w:type="firstCol">
      <w:rPr>
        <w:color w:val="FFFFFF" w:themeColor="background1"/>
      </w:rPr>
      <w:tblPr/>
      <w:tcPr>
        <w:tcBorders>
          <w:top w:val="nil"/>
          <w:left w:val="nil"/>
          <w:bottom w:val="nil"/>
          <w:right w:val="nil"/>
          <w:insideH w:val="single" w:sz="4" w:space="0" w:color="131D29" w:themeColor="accent1" w:themeShade="99"/>
          <w:insideV w:val="nil"/>
        </w:tcBorders>
        <w:shd w:val="clear" w:color="auto" w:fill="131D2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1D29" w:themeFill="accent1" w:themeFillShade="99"/>
      </w:tcPr>
    </w:tblStylePr>
    <w:tblStylePr w:type="band1Vert">
      <w:tblPr/>
      <w:tcPr>
        <w:shd w:val="clear" w:color="auto" w:fill="8FAACB" w:themeFill="accent1" w:themeFillTint="66"/>
      </w:tcPr>
    </w:tblStylePr>
    <w:tblStylePr w:type="band1Horz">
      <w:tblPr/>
      <w:tcPr>
        <w:shd w:val="clear" w:color="auto" w:fill="7395B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rPr>
      <w:color w:val="000000" w:themeColor="text1"/>
    </w:rPr>
    <w:tblPr>
      <w:tblStyleRowBandSize w:val="1"/>
      <w:tblStyleColBandSize w:val="1"/>
      <w:tblBorders>
        <w:top w:val="single" w:sz="24" w:space="0" w:color="8F96A1" w:themeColor="accent2"/>
        <w:left w:val="single" w:sz="4" w:space="0" w:color="8F96A1" w:themeColor="accent2"/>
        <w:bottom w:val="single" w:sz="4" w:space="0" w:color="8F96A1" w:themeColor="accent2"/>
        <w:right w:val="single" w:sz="4" w:space="0" w:color="8F96A1" w:themeColor="accent2"/>
        <w:insideH w:val="single" w:sz="4" w:space="0" w:color="FFFFFF" w:themeColor="background1"/>
        <w:insideV w:val="single" w:sz="4" w:space="0" w:color="FFFFFF" w:themeColor="background1"/>
      </w:tblBorders>
    </w:tblPr>
    <w:tcPr>
      <w:shd w:val="clear" w:color="auto" w:fill="F3F4F5" w:themeFill="accent2" w:themeFillTint="19"/>
    </w:tcPr>
    <w:tblStylePr w:type="firstRow">
      <w:rPr>
        <w:b/>
        <w:bCs/>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35963" w:themeFill="accent2" w:themeFillShade="99"/>
      </w:tcPr>
    </w:tblStylePr>
    <w:tblStylePr w:type="firstCol">
      <w:rPr>
        <w:color w:val="FFFFFF" w:themeColor="background1"/>
      </w:rPr>
      <w:tblPr/>
      <w:tcPr>
        <w:tcBorders>
          <w:top w:val="nil"/>
          <w:left w:val="nil"/>
          <w:bottom w:val="nil"/>
          <w:right w:val="nil"/>
          <w:insideH w:val="single" w:sz="4" w:space="0" w:color="535963" w:themeColor="accent2" w:themeShade="99"/>
          <w:insideV w:val="nil"/>
        </w:tcBorders>
        <w:shd w:val="clear" w:color="auto" w:fill="53596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35963" w:themeFill="accent2" w:themeFillShade="99"/>
      </w:tcPr>
    </w:tblStylePr>
    <w:tblStylePr w:type="band1Vert">
      <w:tblPr/>
      <w:tcPr>
        <w:shd w:val="clear" w:color="auto" w:fill="D2D4D9" w:themeFill="accent2" w:themeFillTint="66"/>
      </w:tcPr>
    </w:tblStylePr>
    <w:tblStylePr w:type="band1Horz">
      <w:tblPr/>
      <w:tcPr>
        <w:shd w:val="clear" w:color="auto" w:fill="C7CAD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rPr>
      <w:color w:val="000000" w:themeColor="text1"/>
    </w:rPr>
    <w:tblPr>
      <w:tblStyleRowBandSize w:val="1"/>
      <w:tblStyleColBandSize w:val="1"/>
      <w:tblBorders>
        <w:top w:val="single" w:sz="24" w:space="0" w:color="FFD64F" w:themeColor="accent4"/>
        <w:left w:val="single" w:sz="4" w:space="0" w:color="90B39A" w:themeColor="accent3"/>
        <w:bottom w:val="single" w:sz="4" w:space="0" w:color="90B39A" w:themeColor="accent3"/>
        <w:right w:val="single" w:sz="4" w:space="0" w:color="90B39A" w:themeColor="accent3"/>
        <w:insideH w:val="single" w:sz="4" w:space="0" w:color="FFFFFF" w:themeColor="background1"/>
        <w:insideV w:val="single" w:sz="4" w:space="0" w:color="FFFFFF" w:themeColor="background1"/>
      </w:tblBorders>
    </w:tblPr>
    <w:tcPr>
      <w:shd w:val="clear" w:color="auto" w:fill="F4F7F5" w:themeFill="accent3" w:themeFillTint="19"/>
    </w:tcPr>
    <w:tblStylePr w:type="firstRow">
      <w:rPr>
        <w:b/>
        <w:bCs/>
      </w:rPr>
      <w:tblPr/>
      <w:tcPr>
        <w:tcBorders>
          <w:top w:val="nil"/>
          <w:left w:val="nil"/>
          <w:bottom w:val="single" w:sz="24" w:space="0" w:color="FFD64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E7258" w:themeFill="accent3" w:themeFillShade="99"/>
      </w:tcPr>
    </w:tblStylePr>
    <w:tblStylePr w:type="firstCol">
      <w:rPr>
        <w:color w:val="FFFFFF" w:themeColor="background1"/>
      </w:rPr>
      <w:tblPr/>
      <w:tcPr>
        <w:tcBorders>
          <w:top w:val="nil"/>
          <w:left w:val="nil"/>
          <w:bottom w:val="nil"/>
          <w:right w:val="nil"/>
          <w:insideH w:val="single" w:sz="4" w:space="0" w:color="4E7258" w:themeColor="accent3" w:themeShade="99"/>
          <w:insideV w:val="nil"/>
        </w:tcBorders>
        <w:shd w:val="clear" w:color="auto" w:fill="4E725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E7258" w:themeFill="accent3" w:themeFillShade="99"/>
      </w:tcPr>
    </w:tblStylePr>
    <w:tblStylePr w:type="band1Vert">
      <w:tblPr/>
      <w:tcPr>
        <w:shd w:val="clear" w:color="auto" w:fill="D2E0D6" w:themeFill="accent3" w:themeFillTint="66"/>
      </w:tcPr>
    </w:tblStylePr>
    <w:tblStylePr w:type="band1Horz">
      <w:tblPr/>
      <w:tcPr>
        <w:shd w:val="clear" w:color="auto" w:fill="C7D9CC" w:themeFill="accent3" w:themeFillTint="7F"/>
      </w:tcPr>
    </w:tblStylePr>
  </w:style>
  <w:style w:type="table" w:styleId="ColorfulShading-Accent4">
    <w:name w:val="Colorful Shading Accent 4"/>
    <w:basedOn w:val="TableNormal"/>
    <w:uiPriority w:val="71"/>
    <w:locked/>
    <w:rsid w:val="00F80750"/>
    <w:rPr>
      <w:color w:val="000000" w:themeColor="text1"/>
    </w:rPr>
    <w:tblPr>
      <w:tblStyleRowBandSize w:val="1"/>
      <w:tblStyleColBandSize w:val="1"/>
      <w:tblBorders>
        <w:top w:val="single" w:sz="24" w:space="0" w:color="90B39A" w:themeColor="accent3"/>
        <w:left w:val="single" w:sz="4" w:space="0" w:color="FFD64F" w:themeColor="accent4"/>
        <w:bottom w:val="single" w:sz="4" w:space="0" w:color="FFD64F" w:themeColor="accent4"/>
        <w:right w:val="single" w:sz="4" w:space="0" w:color="FFD64F" w:themeColor="accent4"/>
        <w:insideH w:val="single" w:sz="4" w:space="0" w:color="FFFFFF" w:themeColor="background1"/>
        <w:insideV w:val="single" w:sz="4" w:space="0" w:color="FFFFFF" w:themeColor="background1"/>
      </w:tblBorders>
    </w:tblPr>
    <w:tcPr>
      <w:shd w:val="clear" w:color="auto" w:fill="FFFAED" w:themeFill="accent4" w:themeFillTint="19"/>
    </w:tcPr>
    <w:tblStylePr w:type="firstRow">
      <w:rPr>
        <w:b/>
        <w:bCs/>
      </w:rPr>
      <w:tblPr/>
      <w:tcPr>
        <w:tcBorders>
          <w:top w:val="nil"/>
          <w:left w:val="nil"/>
          <w:bottom w:val="single" w:sz="24" w:space="0" w:color="90B39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89900" w:themeFill="accent4" w:themeFillShade="99"/>
      </w:tcPr>
    </w:tblStylePr>
    <w:tblStylePr w:type="firstCol">
      <w:rPr>
        <w:color w:val="FFFFFF" w:themeColor="background1"/>
      </w:rPr>
      <w:tblPr/>
      <w:tcPr>
        <w:tcBorders>
          <w:top w:val="nil"/>
          <w:left w:val="nil"/>
          <w:bottom w:val="nil"/>
          <w:right w:val="nil"/>
          <w:insideH w:val="single" w:sz="4" w:space="0" w:color="C89900" w:themeColor="accent4" w:themeShade="99"/>
          <w:insideV w:val="nil"/>
        </w:tcBorders>
        <w:shd w:val="clear" w:color="auto" w:fill="C899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C89900" w:themeFill="accent4" w:themeFillShade="99"/>
      </w:tcPr>
    </w:tblStylePr>
    <w:tblStylePr w:type="band1Vert">
      <w:tblPr/>
      <w:tcPr>
        <w:shd w:val="clear" w:color="auto" w:fill="FFEEB8" w:themeFill="accent4" w:themeFillTint="66"/>
      </w:tcPr>
    </w:tblStylePr>
    <w:tblStylePr w:type="band1Horz">
      <w:tblPr/>
      <w:tcPr>
        <w:shd w:val="clear" w:color="auto" w:fill="FFEAA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rPr>
      <w:color w:val="000000" w:themeColor="text1"/>
    </w:rPr>
    <w:tblPr>
      <w:tblStyleRowBandSize w:val="1"/>
      <w:tblStyleColBandSize w:val="1"/>
      <w:tblBorders>
        <w:top w:val="single" w:sz="24" w:space="0" w:color="3E5C7F" w:themeColor="accent6"/>
        <w:left w:val="single" w:sz="4" w:space="0" w:color="F5834B" w:themeColor="accent5"/>
        <w:bottom w:val="single" w:sz="4" w:space="0" w:color="F5834B" w:themeColor="accent5"/>
        <w:right w:val="single" w:sz="4" w:space="0" w:color="F5834B" w:themeColor="accent5"/>
        <w:insideH w:val="single" w:sz="4" w:space="0" w:color="FFFFFF" w:themeColor="background1"/>
        <w:insideV w:val="single" w:sz="4" w:space="0" w:color="FFFFFF" w:themeColor="background1"/>
      </w:tblBorders>
    </w:tblPr>
    <w:tcPr>
      <w:shd w:val="clear" w:color="auto" w:fill="FEF2ED" w:themeFill="accent5" w:themeFillTint="19"/>
    </w:tcPr>
    <w:tblStylePr w:type="firstRow">
      <w:rPr>
        <w:b/>
        <w:bCs/>
      </w:rPr>
      <w:tblPr/>
      <w:tcPr>
        <w:tcBorders>
          <w:top w:val="nil"/>
          <w:left w:val="nil"/>
          <w:bottom w:val="single" w:sz="24" w:space="0" w:color="3E5C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20A" w:themeFill="accent5" w:themeFillShade="99"/>
      </w:tcPr>
    </w:tblStylePr>
    <w:tblStylePr w:type="firstCol">
      <w:rPr>
        <w:color w:val="FFFFFF" w:themeColor="background1"/>
      </w:rPr>
      <w:tblPr/>
      <w:tcPr>
        <w:tcBorders>
          <w:top w:val="nil"/>
          <w:left w:val="nil"/>
          <w:bottom w:val="nil"/>
          <w:right w:val="nil"/>
          <w:insideH w:val="single" w:sz="4" w:space="0" w:color="B5420A" w:themeColor="accent5" w:themeShade="99"/>
          <w:insideV w:val="nil"/>
        </w:tcBorders>
        <w:shd w:val="clear" w:color="auto" w:fill="B5420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5420A" w:themeFill="accent5" w:themeFillShade="99"/>
      </w:tcPr>
    </w:tblStylePr>
    <w:tblStylePr w:type="band1Vert">
      <w:tblPr/>
      <w:tcPr>
        <w:shd w:val="clear" w:color="auto" w:fill="FBCDB7" w:themeFill="accent5" w:themeFillTint="66"/>
      </w:tcPr>
    </w:tblStylePr>
    <w:tblStylePr w:type="band1Horz">
      <w:tblPr/>
      <w:tcPr>
        <w:shd w:val="clear" w:color="auto" w:fill="FAC1A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rPr>
      <w:color w:val="000000" w:themeColor="text1"/>
    </w:rPr>
    <w:tblPr>
      <w:tblStyleRowBandSize w:val="1"/>
      <w:tblStyleColBandSize w:val="1"/>
      <w:tblBorders>
        <w:top w:val="single" w:sz="24" w:space="0" w:color="F5834B" w:themeColor="accent5"/>
        <w:left w:val="single" w:sz="4" w:space="0" w:color="3E5C7F" w:themeColor="accent6"/>
        <w:bottom w:val="single" w:sz="4" w:space="0" w:color="3E5C7F" w:themeColor="accent6"/>
        <w:right w:val="single" w:sz="4" w:space="0" w:color="3E5C7F" w:themeColor="accent6"/>
        <w:insideH w:val="single" w:sz="4" w:space="0" w:color="FFFFFF" w:themeColor="background1"/>
        <w:insideV w:val="single" w:sz="4" w:space="0" w:color="FFFFFF" w:themeColor="background1"/>
      </w:tblBorders>
    </w:tblPr>
    <w:tcPr>
      <w:shd w:val="clear" w:color="auto" w:fill="E9EEF4" w:themeFill="accent6" w:themeFillTint="19"/>
    </w:tcPr>
    <w:tblStylePr w:type="firstRow">
      <w:rPr>
        <w:b/>
        <w:bCs/>
      </w:rPr>
      <w:tblPr/>
      <w:tcPr>
        <w:tcBorders>
          <w:top w:val="nil"/>
          <w:left w:val="nil"/>
          <w:bottom w:val="single" w:sz="24" w:space="0" w:color="F5834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374C" w:themeFill="accent6" w:themeFillShade="99"/>
      </w:tcPr>
    </w:tblStylePr>
    <w:tblStylePr w:type="firstCol">
      <w:rPr>
        <w:color w:val="FFFFFF" w:themeColor="background1"/>
      </w:rPr>
      <w:tblPr/>
      <w:tcPr>
        <w:tcBorders>
          <w:top w:val="nil"/>
          <w:left w:val="nil"/>
          <w:bottom w:val="nil"/>
          <w:right w:val="nil"/>
          <w:insideH w:val="single" w:sz="4" w:space="0" w:color="25374C" w:themeColor="accent6" w:themeShade="99"/>
          <w:insideV w:val="nil"/>
        </w:tcBorders>
        <w:shd w:val="clear" w:color="auto" w:fill="25374C"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5374C" w:themeFill="accent6" w:themeFillShade="99"/>
      </w:tcPr>
    </w:tblStylePr>
    <w:tblStylePr w:type="band1Vert">
      <w:tblPr/>
      <w:tcPr>
        <w:shd w:val="clear" w:color="auto" w:fill="A8BCD4" w:themeFill="accent6" w:themeFillTint="66"/>
      </w:tcPr>
    </w:tblStylePr>
    <w:tblStylePr w:type="band1Horz">
      <w:tblPr/>
      <w:tcPr>
        <w:shd w:val="clear" w:color="auto" w:fill="93ACCA"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locked/>
    <w:rsid w:val="00F80750"/>
    <w:rPr>
      <w:noProof w:val="0"/>
      <w:sz w:val="16"/>
      <w:szCs w:val="16"/>
      <w:lang w:val="en-AU"/>
    </w:rPr>
  </w:style>
  <w:style w:type="paragraph" w:styleId="CommentText">
    <w:name w:val="annotation text"/>
    <w:basedOn w:val="Normal"/>
    <w:link w:val="CommentTextChar"/>
    <w:uiPriority w:val="99"/>
    <w:semiHidden/>
    <w:unhideWhenUsed/>
    <w:locked/>
    <w:rsid w:val="00F80750"/>
  </w:style>
  <w:style w:type="character" w:customStyle="1" w:styleId="CommentTextChar">
    <w:name w:val="Comment Text Char"/>
    <w:basedOn w:val="DefaultParagraphFont"/>
    <w:link w:val="CommentText"/>
    <w:uiPriority w:val="99"/>
    <w:semiHidden/>
    <w:rsid w:val="00F80750"/>
    <w:rPr>
      <w:noProof w:val="0"/>
      <w:sz w:val="20"/>
      <w:szCs w:val="20"/>
      <w:lang w:val="en-AU"/>
    </w:rPr>
  </w:style>
  <w:style w:type="paragraph" w:styleId="CommentSubject">
    <w:name w:val="annotation subject"/>
    <w:basedOn w:val="CommentText"/>
    <w:next w:val="CommentText"/>
    <w:link w:val="CommentSubjectChar"/>
    <w:uiPriority w:val="99"/>
    <w:semiHidden/>
    <w:unhideWhenUsed/>
    <w:locked/>
    <w:rsid w:val="00F80750"/>
    <w:rPr>
      <w:b/>
      <w:bCs/>
    </w:rPr>
  </w:style>
  <w:style w:type="character" w:customStyle="1" w:styleId="CommentSubjectChar">
    <w:name w:val="Comment Subject Char"/>
    <w:basedOn w:val="CommentTextChar"/>
    <w:link w:val="CommentSubject"/>
    <w:uiPriority w:val="99"/>
    <w:semiHidden/>
    <w:rsid w:val="00F80750"/>
    <w:rPr>
      <w:b/>
      <w:bCs/>
      <w:noProof w:val="0"/>
      <w:sz w:val="20"/>
      <w:szCs w:val="20"/>
      <w:lang w:val="en-AU"/>
    </w:rPr>
  </w:style>
  <w:style w:type="table" w:styleId="DarkList">
    <w:name w:val="Dark List"/>
    <w:basedOn w:val="TableNormal"/>
    <w:uiPriority w:val="70"/>
    <w:locked/>
    <w:rsid w:val="00F80750"/>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rPr>
      <w:color w:val="FFFFFF" w:themeColor="background1"/>
    </w:rPr>
    <w:tblPr>
      <w:tblStyleRowBandSize w:val="1"/>
      <w:tblStyleColBandSize w:val="1"/>
    </w:tblPr>
    <w:tcPr>
      <w:shd w:val="clear" w:color="auto" w:fill="20314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182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8243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82433" w:themeFill="accent1" w:themeFillShade="BF"/>
      </w:tcPr>
    </w:tblStylePr>
    <w:tblStylePr w:type="band1Vert">
      <w:tblPr/>
      <w:tcPr>
        <w:tcBorders>
          <w:top w:val="nil"/>
          <w:left w:val="nil"/>
          <w:bottom w:val="nil"/>
          <w:right w:val="nil"/>
          <w:insideH w:val="nil"/>
          <w:insideV w:val="nil"/>
        </w:tcBorders>
        <w:shd w:val="clear" w:color="auto" w:fill="182433" w:themeFill="accent1" w:themeFillShade="BF"/>
      </w:tcPr>
    </w:tblStylePr>
    <w:tblStylePr w:type="band1Horz">
      <w:tblPr/>
      <w:tcPr>
        <w:tcBorders>
          <w:top w:val="nil"/>
          <w:left w:val="nil"/>
          <w:bottom w:val="nil"/>
          <w:right w:val="nil"/>
          <w:insideH w:val="nil"/>
          <w:insideV w:val="nil"/>
        </w:tcBorders>
        <w:shd w:val="clear" w:color="auto" w:fill="182433" w:themeFill="accent1" w:themeFillShade="BF"/>
      </w:tcPr>
    </w:tblStylePr>
  </w:style>
  <w:style w:type="table" w:styleId="DarkList-Accent2">
    <w:name w:val="Dark List Accent 2"/>
    <w:basedOn w:val="TableNormal"/>
    <w:uiPriority w:val="70"/>
    <w:locked/>
    <w:rsid w:val="00F80750"/>
    <w:rPr>
      <w:color w:val="FFFFFF" w:themeColor="background1"/>
    </w:rPr>
    <w:tblPr>
      <w:tblStyleRowBandSize w:val="1"/>
      <w:tblStyleColBandSize w:val="1"/>
    </w:tblPr>
    <w:tcPr>
      <w:shd w:val="clear" w:color="auto" w:fill="8F96A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4A5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86F7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86F7B" w:themeFill="accent2" w:themeFillShade="BF"/>
      </w:tcPr>
    </w:tblStylePr>
    <w:tblStylePr w:type="band1Vert">
      <w:tblPr/>
      <w:tcPr>
        <w:tcBorders>
          <w:top w:val="nil"/>
          <w:left w:val="nil"/>
          <w:bottom w:val="nil"/>
          <w:right w:val="nil"/>
          <w:insideH w:val="nil"/>
          <w:insideV w:val="nil"/>
        </w:tcBorders>
        <w:shd w:val="clear" w:color="auto" w:fill="686F7B" w:themeFill="accent2" w:themeFillShade="BF"/>
      </w:tcPr>
    </w:tblStylePr>
    <w:tblStylePr w:type="band1Horz">
      <w:tblPr/>
      <w:tcPr>
        <w:tcBorders>
          <w:top w:val="nil"/>
          <w:left w:val="nil"/>
          <w:bottom w:val="nil"/>
          <w:right w:val="nil"/>
          <w:insideH w:val="nil"/>
          <w:insideV w:val="nil"/>
        </w:tcBorders>
        <w:shd w:val="clear" w:color="auto" w:fill="686F7B" w:themeFill="accent2" w:themeFillShade="BF"/>
      </w:tcPr>
    </w:tblStylePr>
  </w:style>
  <w:style w:type="table" w:styleId="DarkList-Accent3">
    <w:name w:val="Dark List Accent 3"/>
    <w:basedOn w:val="TableNormal"/>
    <w:uiPriority w:val="70"/>
    <w:locked/>
    <w:rsid w:val="00F80750"/>
    <w:rPr>
      <w:color w:val="FFFFFF" w:themeColor="background1"/>
    </w:rPr>
    <w:tblPr>
      <w:tblStyleRowBandSize w:val="1"/>
      <w:tblStyleColBandSize w:val="1"/>
    </w:tblPr>
    <w:tcPr>
      <w:shd w:val="clear" w:color="auto" w:fill="90B39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5F4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28F6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28F6F" w:themeFill="accent3" w:themeFillShade="BF"/>
      </w:tcPr>
    </w:tblStylePr>
    <w:tblStylePr w:type="band1Vert">
      <w:tblPr/>
      <w:tcPr>
        <w:tcBorders>
          <w:top w:val="nil"/>
          <w:left w:val="nil"/>
          <w:bottom w:val="nil"/>
          <w:right w:val="nil"/>
          <w:insideH w:val="nil"/>
          <w:insideV w:val="nil"/>
        </w:tcBorders>
        <w:shd w:val="clear" w:color="auto" w:fill="628F6F" w:themeFill="accent3" w:themeFillShade="BF"/>
      </w:tcPr>
    </w:tblStylePr>
    <w:tblStylePr w:type="band1Horz">
      <w:tblPr/>
      <w:tcPr>
        <w:tcBorders>
          <w:top w:val="nil"/>
          <w:left w:val="nil"/>
          <w:bottom w:val="nil"/>
          <w:right w:val="nil"/>
          <w:insideH w:val="nil"/>
          <w:insideV w:val="nil"/>
        </w:tcBorders>
        <w:shd w:val="clear" w:color="auto" w:fill="628F6F" w:themeFill="accent3" w:themeFillShade="BF"/>
      </w:tcPr>
    </w:tblStylePr>
  </w:style>
  <w:style w:type="table" w:styleId="DarkList-Accent4">
    <w:name w:val="Dark List Accent 4"/>
    <w:basedOn w:val="TableNormal"/>
    <w:uiPriority w:val="70"/>
    <w:locked/>
    <w:rsid w:val="00F80750"/>
    <w:rPr>
      <w:color w:val="FFFFFF" w:themeColor="background1"/>
    </w:rPr>
    <w:tblPr>
      <w:tblStyleRowBandSize w:val="1"/>
      <w:tblStyleColBandSize w:val="1"/>
    </w:tblPr>
    <w:tcPr>
      <w:shd w:val="clear" w:color="auto" w:fill="FFD64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67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AB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ABF00" w:themeFill="accent4" w:themeFillShade="BF"/>
      </w:tcPr>
    </w:tblStylePr>
    <w:tblStylePr w:type="band1Vert">
      <w:tblPr/>
      <w:tcPr>
        <w:tcBorders>
          <w:top w:val="nil"/>
          <w:left w:val="nil"/>
          <w:bottom w:val="nil"/>
          <w:right w:val="nil"/>
          <w:insideH w:val="nil"/>
          <w:insideV w:val="nil"/>
        </w:tcBorders>
        <w:shd w:val="clear" w:color="auto" w:fill="FABF00" w:themeFill="accent4" w:themeFillShade="BF"/>
      </w:tcPr>
    </w:tblStylePr>
    <w:tblStylePr w:type="band1Horz">
      <w:tblPr/>
      <w:tcPr>
        <w:tcBorders>
          <w:top w:val="nil"/>
          <w:left w:val="nil"/>
          <w:bottom w:val="nil"/>
          <w:right w:val="nil"/>
          <w:insideH w:val="nil"/>
          <w:insideV w:val="nil"/>
        </w:tcBorders>
        <w:shd w:val="clear" w:color="auto" w:fill="FABF00" w:themeFill="accent4" w:themeFillShade="BF"/>
      </w:tcPr>
    </w:tblStylePr>
  </w:style>
  <w:style w:type="table" w:styleId="DarkList-Accent5">
    <w:name w:val="Dark List Accent 5"/>
    <w:basedOn w:val="TableNormal"/>
    <w:uiPriority w:val="70"/>
    <w:locked/>
    <w:rsid w:val="00F80750"/>
    <w:rPr>
      <w:color w:val="FFFFFF" w:themeColor="background1"/>
    </w:rPr>
    <w:tblPr>
      <w:tblStyleRowBandSize w:val="1"/>
      <w:tblStyleColBandSize w:val="1"/>
    </w:tblPr>
    <w:tcPr>
      <w:shd w:val="clear" w:color="auto" w:fill="F5834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370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2530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2530C" w:themeFill="accent5" w:themeFillShade="BF"/>
      </w:tcPr>
    </w:tblStylePr>
    <w:tblStylePr w:type="band1Vert">
      <w:tblPr/>
      <w:tcPr>
        <w:tcBorders>
          <w:top w:val="nil"/>
          <w:left w:val="nil"/>
          <w:bottom w:val="nil"/>
          <w:right w:val="nil"/>
          <w:insideH w:val="nil"/>
          <w:insideV w:val="nil"/>
        </w:tcBorders>
        <w:shd w:val="clear" w:color="auto" w:fill="E2530C" w:themeFill="accent5" w:themeFillShade="BF"/>
      </w:tcPr>
    </w:tblStylePr>
    <w:tblStylePr w:type="band1Horz">
      <w:tblPr/>
      <w:tcPr>
        <w:tcBorders>
          <w:top w:val="nil"/>
          <w:left w:val="nil"/>
          <w:bottom w:val="nil"/>
          <w:right w:val="nil"/>
          <w:insideH w:val="nil"/>
          <w:insideV w:val="nil"/>
        </w:tcBorders>
        <w:shd w:val="clear" w:color="auto" w:fill="E2530C" w:themeFill="accent5" w:themeFillShade="BF"/>
      </w:tcPr>
    </w:tblStylePr>
  </w:style>
  <w:style w:type="table" w:styleId="DarkList-Accent6">
    <w:name w:val="Dark List Accent 6"/>
    <w:basedOn w:val="TableNormal"/>
    <w:uiPriority w:val="70"/>
    <w:locked/>
    <w:rsid w:val="00F80750"/>
    <w:rPr>
      <w:color w:val="FFFFFF" w:themeColor="background1"/>
    </w:rPr>
    <w:tblPr>
      <w:tblStyleRowBandSize w:val="1"/>
      <w:tblStyleColBandSize w:val="1"/>
    </w:tblPr>
    <w:tcPr>
      <w:shd w:val="clear" w:color="auto" w:fill="3E5C7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2D3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E445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E445E" w:themeFill="accent6" w:themeFillShade="BF"/>
      </w:tcPr>
    </w:tblStylePr>
    <w:tblStylePr w:type="band1Vert">
      <w:tblPr/>
      <w:tcPr>
        <w:tcBorders>
          <w:top w:val="nil"/>
          <w:left w:val="nil"/>
          <w:bottom w:val="nil"/>
          <w:right w:val="nil"/>
          <w:insideH w:val="nil"/>
          <w:insideV w:val="nil"/>
        </w:tcBorders>
        <w:shd w:val="clear" w:color="auto" w:fill="2E445E" w:themeFill="accent6" w:themeFillShade="BF"/>
      </w:tcPr>
    </w:tblStylePr>
    <w:tblStylePr w:type="band1Horz">
      <w:tblPr/>
      <w:tcPr>
        <w:tcBorders>
          <w:top w:val="nil"/>
          <w:left w:val="nil"/>
          <w:bottom w:val="nil"/>
          <w:right w:val="nil"/>
          <w:insideH w:val="nil"/>
          <w:insideV w:val="nil"/>
        </w:tcBorders>
        <w:shd w:val="clear" w:color="auto" w:fill="2E445E" w:themeFill="accent6" w:themeFillShade="BF"/>
      </w:tcPr>
    </w:tblStylePr>
  </w:style>
  <w:style w:type="paragraph" w:styleId="Date">
    <w:name w:val="Date"/>
    <w:basedOn w:val="Normal"/>
    <w:next w:val="Normal"/>
    <w:link w:val="DateChar"/>
    <w:uiPriority w:val="99"/>
    <w:semiHidden/>
    <w:unhideWhenUsed/>
    <w:locked/>
    <w:rsid w:val="00F80750"/>
  </w:style>
  <w:style w:type="character" w:customStyle="1" w:styleId="DateChar">
    <w:name w:val="Date Char"/>
    <w:basedOn w:val="DefaultParagraphFont"/>
    <w:link w:val="Date"/>
    <w:uiPriority w:val="99"/>
    <w:semiHidden/>
    <w:rsid w:val="00F80750"/>
    <w:rPr>
      <w:noProof w:val="0"/>
      <w:lang w:val="en-AU"/>
    </w:rPr>
  </w:style>
  <w:style w:type="paragraph" w:styleId="DocumentMap">
    <w:name w:val="Document Map"/>
    <w:basedOn w:val="Normal"/>
    <w:link w:val="DocumentMapChar"/>
    <w:uiPriority w:val="99"/>
    <w:semiHidden/>
    <w:unhideWhenUsed/>
    <w:locked/>
    <w:rsid w:val="00F80750"/>
    <w:rPr>
      <w:rFonts w:ascii="Tahoma" w:hAnsi="Tahoma" w:cs="Tahoma"/>
      <w:sz w:val="16"/>
      <w:szCs w:val="16"/>
    </w:rPr>
  </w:style>
  <w:style w:type="character" w:customStyle="1" w:styleId="DocumentMapChar">
    <w:name w:val="Document Map Char"/>
    <w:basedOn w:val="DefaultParagraphFont"/>
    <w:link w:val="DocumentMap"/>
    <w:uiPriority w:val="99"/>
    <w:semiHidden/>
    <w:rsid w:val="00F80750"/>
    <w:rPr>
      <w:rFonts w:ascii="Tahoma" w:hAnsi="Tahoma" w:cs="Tahoma"/>
      <w:noProof w:val="0"/>
      <w:sz w:val="16"/>
      <w:szCs w:val="16"/>
      <w:lang w:val="en-AU"/>
    </w:rPr>
  </w:style>
  <w:style w:type="paragraph" w:styleId="E-mailSignature">
    <w:name w:val="E-mail Signature"/>
    <w:basedOn w:val="Normal"/>
    <w:link w:val="E-mailSignatureChar"/>
    <w:uiPriority w:val="99"/>
    <w:semiHidden/>
    <w:unhideWhenUsed/>
    <w:locked/>
    <w:rsid w:val="00F80750"/>
  </w:style>
  <w:style w:type="character" w:customStyle="1" w:styleId="E-mailSignatureChar">
    <w:name w:val="E-mail Signature Char"/>
    <w:basedOn w:val="DefaultParagraphFont"/>
    <w:link w:val="E-mailSignature"/>
    <w:uiPriority w:val="99"/>
    <w:semiHidden/>
    <w:rsid w:val="00F80750"/>
    <w:rPr>
      <w:noProof w:val="0"/>
      <w:lang w:val="en-AU"/>
    </w:rPr>
  </w:style>
  <w:style w:type="character" w:styleId="Emphasis">
    <w:name w:val="Emphasis"/>
    <w:basedOn w:val="DefaultParagraphFont"/>
    <w:uiPriority w:val="20"/>
    <w:qFormat/>
    <w:locked/>
    <w:rsid w:val="00F80750"/>
    <w:rPr>
      <w:i/>
      <w:iCs/>
      <w:noProof w:val="0"/>
      <w:lang w:val="en-AU"/>
    </w:rPr>
  </w:style>
  <w:style w:type="character" w:styleId="EndnoteReference">
    <w:name w:val="endnote reference"/>
    <w:basedOn w:val="DefaultParagraphFont"/>
    <w:uiPriority w:val="99"/>
    <w:rsid w:val="00F80750"/>
    <w:rPr>
      <w:noProof w:val="0"/>
      <w:vertAlign w:val="superscript"/>
      <w:lang w:val="en-AU"/>
    </w:rPr>
  </w:style>
  <w:style w:type="paragraph" w:styleId="EndnoteText">
    <w:name w:val="endnote text"/>
    <w:basedOn w:val="Normal"/>
    <w:link w:val="EndnoteTextChar"/>
    <w:uiPriority w:val="99"/>
    <w:rsid w:val="00F80750"/>
  </w:style>
  <w:style w:type="character" w:customStyle="1" w:styleId="EndnoteTextChar">
    <w:name w:val="Endnote Text Char"/>
    <w:basedOn w:val="DefaultParagraphFont"/>
    <w:link w:val="EndnoteText"/>
    <w:uiPriority w:val="99"/>
    <w:rsid w:val="00F80750"/>
    <w:rPr>
      <w:noProof w:val="0"/>
      <w:sz w:val="20"/>
      <w:szCs w:val="20"/>
      <w:lang w:val="en-AU"/>
    </w:rPr>
  </w:style>
  <w:style w:type="paragraph" w:styleId="EnvelopeAddress">
    <w:name w:val="envelope address"/>
    <w:basedOn w:val="Normal"/>
    <w:uiPriority w:val="99"/>
    <w:semiHidden/>
    <w:unhideWhenUsed/>
    <w:locked/>
    <w:rsid w:val="00F80750"/>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F80750"/>
    <w:rPr>
      <w:rFonts w:asciiTheme="majorHAnsi" w:eastAsiaTheme="majorEastAsia" w:hAnsiTheme="majorHAnsi" w:cstheme="majorBidi"/>
    </w:rPr>
  </w:style>
  <w:style w:type="character" w:styleId="FollowedHyperlink">
    <w:name w:val="FollowedHyperlink"/>
    <w:basedOn w:val="DefaultParagraphFont"/>
    <w:uiPriority w:val="99"/>
    <w:rsid w:val="00F80750"/>
    <w:rPr>
      <w:noProof w:val="0"/>
      <w:color w:val="FFE7C6" w:themeColor="followedHyperlink"/>
      <w:u w:val="single"/>
      <w:lang w:val="en-AU"/>
    </w:rPr>
  </w:style>
  <w:style w:type="character" w:styleId="FootnoteReference">
    <w:name w:val="footnote reference"/>
    <w:basedOn w:val="DefaultParagraphFont"/>
    <w:uiPriority w:val="99"/>
    <w:rsid w:val="00F80750"/>
    <w:rPr>
      <w:noProof w:val="0"/>
      <w:vertAlign w:val="superscript"/>
      <w:lang w:val="en-AU"/>
    </w:rPr>
  </w:style>
  <w:style w:type="paragraph" w:styleId="FootnoteText">
    <w:name w:val="footnote text"/>
    <w:link w:val="FootnoteTextChar"/>
    <w:uiPriority w:val="99"/>
    <w:rsid w:val="00B14601"/>
    <w:pPr>
      <w:tabs>
        <w:tab w:val="left" w:pos="227"/>
      </w:tabs>
      <w:ind w:left="227" w:hanging="227"/>
    </w:pPr>
    <w:rPr>
      <w:sz w:val="14"/>
    </w:rPr>
  </w:style>
  <w:style w:type="character" w:customStyle="1" w:styleId="FootnoteTextChar">
    <w:name w:val="Footnote Text Char"/>
    <w:basedOn w:val="DefaultParagraphFont"/>
    <w:link w:val="FootnoteText"/>
    <w:uiPriority w:val="99"/>
    <w:rsid w:val="00B14601"/>
    <w:rPr>
      <w:sz w:val="14"/>
    </w:rPr>
  </w:style>
  <w:style w:type="character" w:customStyle="1" w:styleId="Heading5Char">
    <w:name w:val="Heading 5 Char"/>
    <w:basedOn w:val="DefaultParagraphFont"/>
    <w:link w:val="Heading5"/>
    <w:uiPriority w:val="9"/>
    <w:semiHidden/>
    <w:rsid w:val="00F80750"/>
    <w:rPr>
      <w:rFonts w:asciiTheme="majorHAnsi" w:eastAsiaTheme="majorEastAsia" w:hAnsiTheme="majorHAnsi" w:cstheme="majorBidi"/>
      <w:color w:val="101822" w:themeColor="accent1" w:themeShade="7F"/>
      <w:sz w:val="18"/>
    </w:rPr>
  </w:style>
  <w:style w:type="character" w:customStyle="1" w:styleId="Heading6Char">
    <w:name w:val="Heading 6 Char"/>
    <w:basedOn w:val="DefaultParagraphFont"/>
    <w:link w:val="Heading6"/>
    <w:uiPriority w:val="9"/>
    <w:semiHidden/>
    <w:rsid w:val="00FD06D5"/>
    <w:rPr>
      <w:rFonts w:asciiTheme="majorHAnsi" w:eastAsiaTheme="majorEastAsia" w:hAnsiTheme="majorHAnsi" w:cstheme="majorBidi"/>
      <w:iCs/>
      <w:color w:val="000000" w:themeColor="text1"/>
      <w:sz w:val="36"/>
    </w:rPr>
  </w:style>
  <w:style w:type="character" w:customStyle="1" w:styleId="Heading7Char">
    <w:name w:val="Heading 7 Char"/>
    <w:basedOn w:val="DefaultParagraphFont"/>
    <w:link w:val="Heading7"/>
    <w:uiPriority w:val="9"/>
    <w:semiHidden/>
    <w:rsid w:val="00F57F7A"/>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F80750"/>
    <w:rPr>
      <w:rFonts w:asciiTheme="majorHAnsi" w:eastAsiaTheme="majorEastAsia" w:hAnsiTheme="majorHAnsi" w:cstheme="majorBidi"/>
      <w:color w:val="404040" w:themeColor="text1" w:themeTint="BF"/>
      <w:sz w:val="18"/>
    </w:rPr>
  </w:style>
  <w:style w:type="character" w:customStyle="1" w:styleId="Heading9Char">
    <w:name w:val="Heading 9 Char"/>
    <w:basedOn w:val="DefaultParagraphFont"/>
    <w:link w:val="Heading9"/>
    <w:uiPriority w:val="9"/>
    <w:semiHidden/>
    <w:rsid w:val="00F80750"/>
    <w:rPr>
      <w:rFonts w:asciiTheme="majorHAnsi" w:eastAsiaTheme="majorEastAsia" w:hAnsiTheme="majorHAnsi" w:cstheme="majorBidi"/>
      <w:i/>
      <w:iCs/>
      <w:color w:val="404040" w:themeColor="text1" w:themeTint="BF"/>
      <w:sz w:val="18"/>
    </w:rPr>
  </w:style>
  <w:style w:type="character" w:styleId="HTMLAcronym">
    <w:name w:val="HTML Acronym"/>
    <w:basedOn w:val="DefaultParagraphFont"/>
    <w:uiPriority w:val="99"/>
    <w:semiHidden/>
    <w:unhideWhenUsed/>
    <w:locked/>
    <w:rsid w:val="00F80750"/>
    <w:rPr>
      <w:noProof w:val="0"/>
      <w:lang w:val="en-AU"/>
    </w:rPr>
  </w:style>
  <w:style w:type="paragraph" w:styleId="HTMLAddress">
    <w:name w:val="HTML Address"/>
    <w:basedOn w:val="Normal"/>
    <w:link w:val="HTMLAddressChar"/>
    <w:uiPriority w:val="99"/>
    <w:semiHidden/>
    <w:unhideWhenUsed/>
    <w:locked/>
    <w:rsid w:val="00F80750"/>
    <w:rPr>
      <w:i/>
      <w:iCs/>
    </w:rPr>
  </w:style>
  <w:style w:type="character" w:customStyle="1" w:styleId="HTMLAddressChar">
    <w:name w:val="HTML Address Char"/>
    <w:basedOn w:val="DefaultParagraphFont"/>
    <w:link w:val="HTMLAddress"/>
    <w:uiPriority w:val="99"/>
    <w:semiHidden/>
    <w:rsid w:val="00F80750"/>
    <w:rPr>
      <w:i/>
      <w:iCs/>
      <w:noProof w:val="0"/>
      <w:lang w:val="en-AU"/>
    </w:rPr>
  </w:style>
  <w:style w:type="character" w:styleId="HTMLCite">
    <w:name w:val="HTML Cite"/>
    <w:basedOn w:val="DefaultParagraphFont"/>
    <w:uiPriority w:val="99"/>
    <w:semiHidden/>
    <w:unhideWhenUsed/>
    <w:locked/>
    <w:rsid w:val="00F80750"/>
    <w:rPr>
      <w:i/>
      <w:iCs/>
      <w:noProof w:val="0"/>
      <w:lang w:val="en-AU"/>
    </w:rPr>
  </w:style>
  <w:style w:type="character" w:styleId="HTMLCode">
    <w:name w:val="HTML Code"/>
    <w:basedOn w:val="DefaultParagraphFont"/>
    <w:uiPriority w:val="99"/>
    <w:semiHidden/>
    <w:unhideWhenUsed/>
    <w:locked/>
    <w:rsid w:val="00F80750"/>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F80750"/>
    <w:rPr>
      <w:i/>
      <w:iCs/>
      <w:noProof w:val="0"/>
      <w:lang w:val="en-AU"/>
    </w:rPr>
  </w:style>
  <w:style w:type="character" w:styleId="HTMLKeyboard">
    <w:name w:val="HTML Keyboard"/>
    <w:basedOn w:val="DefaultParagraphFont"/>
    <w:uiPriority w:val="99"/>
    <w:semiHidden/>
    <w:unhideWhenUsed/>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F80750"/>
    <w:rPr>
      <w:rFonts w:ascii="Consolas" w:hAnsi="Consolas"/>
    </w:rPr>
  </w:style>
  <w:style w:type="character" w:customStyle="1" w:styleId="HTMLPreformattedChar">
    <w:name w:val="HTML Preformatted Char"/>
    <w:basedOn w:val="DefaultParagraphFont"/>
    <w:link w:val="HTMLPreformatted"/>
    <w:uiPriority w:val="99"/>
    <w:semiHidden/>
    <w:rsid w:val="00F80750"/>
    <w:rPr>
      <w:rFonts w:ascii="Consolas" w:hAnsi="Consolas"/>
      <w:noProof w:val="0"/>
      <w:sz w:val="20"/>
      <w:szCs w:val="20"/>
      <w:lang w:val="en-AU"/>
    </w:rPr>
  </w:style>
  <w:style w:type="character" w:styleId="HTMLSample">
    <w:name w:val="HTML Sample"/>
    <w:basedOn w:val="DefaultParagraphFont"/>
    <w:uiPriority w:val="99"/>
    <w:semiHidden/>
    <w:unhideWhenUsed/>
    <w:locked/>
    <w:rsid w:val="00F80750"/>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F80750"/>
    <w:rPr>
      <w:rFonts w:ascii="Consolas" w:hAnsi="Consolas"/>
      <w:noProof w:val="0"/>
      <w:sz w:val="20"/>
      <w:szCs w:val="20"/>
      <w:lang w:val="en-AU"/>
    </w:rPr>
  </w:style>
  <w:style w:type="character" w:styleId="HTMLVariable">
    <w:name w:val="HTML Variable"/>
    <w:basedOn w:val="DefaultParagraphFont"/>
    <w:uiPriority w:val="99"/>
    <w:semiHidden/>
    <w:unhideWhenUsed/>
    <w:locked/>
    <w:rsid w:val="00F80750"/>
    <w:rPr>
      <w:i/>
      <w:iCs/>
      <w:noProof w:val="0"/>
      <w:lang w:val="en-AU"/>
    </w:rPr>
  </w:style>
  <w:style w:type="paragraph" w:styleId="Index1">
    <w:name w:val="index 1"/>
    <w:basedOn w:val="Normal"/>
    <w:next w:val="Normal"/>
    <w:autoRedefine/>
    <w:uiPriority w:val="99"/>
    <w:semiHidden/>
    <w:unhideWhenUsed/>
    <w:locked/>
    <w:rsid w:val="00F80750"/>
    <w:pPr>
      <w:ind w:left="190" w:hanging="190"/>
    </w:pPr>
  </w:style>
  <w:style w:type="paragraph" w:styleId="Index2">
    <w:name w:val="index 2"/>
    <w:basedOn w:val="Normal"/>
    <w:next w:val="Normal"/>
    <w:autoRedefine/>
    <w:uiPriority w:val="99"/>
    <w:semiHidden/>
    <w:unhideWhenUsed/>
    <w:locked/>
    <w:rsid w:val="00F80750"/>
    <w:pPr>
      <w:ind w:left="380" w:hanging="190"/>
    </w:pPr>
  </w:style>
  <w:style w:type="paragraph" w:styleId="Index3">
    <w:name w:val="index 3"/>
    <w:basedOn w:val="Normal"/>
    <w:next w:val="Normal"/>
    <w:autoRedefine/>
    <w:uiPriority w:val="99"/>
    <w:semiHidden/>
    <w:unhideWhenUsed/>
    <w:locked/>
    <w:rsid w:val="00F80750"/>
    <w:pPr>
      <w:ind w:left="570" w:hanging="190"/>
    </w:pPr>
  </w:style>
  <w:style w:type="paragraph" w:styleId="Index4">
    <w:name w:val="index 4"/>
    <w:basedOn w:val="Normal"/>
    <w:next w:val="Normal"/>
    <w:autoRedefine/>
    <w:uiPriority w:val="99"/>
    <w:semiHidden/>
    <w:unhideWhenUsed/>
    <w:locked/>
    <w:rsid w:val="00F80750"/>
    <w:pPr>
      <w:ind w:left="760" w:hanging="190"/>
    </w:pPr>
  </w:style>
  <w:style w:type="paragraph" w:styleId="Index5">
    <w:name w:val="index 5"/>
    <w:basedOn w:val="Normal"/>
    <w:next w:val="Normal"/>
    <w:autoRedefine/>
    <w:uiPriority w:val="99"/>
    <w:semiHidden/>
    <w:unhideWhenUsed/>
    <w:locked/>
    <w:rsid w:val="00F80750"/>
    <w:pPr>
      <w:ind w:left="950" w:hanging="190"/>
    </w:pPr>
  </w:style>
  <w:style w:type="paragraph" w:styleId="Index6">
    <w:name w:val="index 6"/>
    <w:basedOn w:val="Normal"/>
    <w:next w:val="Normal"/>
    <w:autoRedefine/>
    <w:uiPriority w:val="99"/>
    <w:semiHidden/>
    <w:unhideWhenUsed/>
    <w:locked/>
    <w:rsid w:val="00F80750"/>
    <w:pPr>
      <w:ind w:left="1140" w:hanging="190"/>
    </w:pPr>
  </w:style>
  <w:style w:type="paragraph" w:styleId="Index7">
    <w:name w:val="index 7"/>
    <w:basedOn w:val="Normal"/>
    <w:next w:val="Normal"/>
    <w:autoRedefine/>
    <w:uiPriority w:val="99"/>
    <w:semiHidden/>
    <w:unhideWhenUsed/>
    <w:locked/>
    <w:rsid w:val="00F80750"/>
    <w:pPr>
      <w:ind w:left="1330" w:hanging="190"/>
    </w:pPr>
  </w:style>
  <w:style w:type="paragraph" w:styleId="Index8">
    <w:name w:val="index 8"/>
    <w:basedOn w:val="Normal"/>
    <w:next w:val="Normal"/>
    <w:autoRedefine/>
    <w:uiPriority w:val="99"/>
    <w:semiHidden/>
    <w:unhideWhenUsed/>
    <w:locked/>
    <w:rsid w:val="00F80750"/>
    <w:pPr>
      <w:ind w:left="1520" w:hanging="190"/>
    </w:pPr>
  </w:style>
  <w:style w:type="paragraph" w:styleId="Index9">
    <w:name w:val="index 9"/>
    <w:basedOn w:val="Normal"/>
    <w:next w:val="Normal"/>
    <w:autoRedefine/>
    <w:uiPriority w:val="99"/>
    <w:semiHidden/>
    <w:unhideWhenUsed/>
    <w:locked/>
    <w:rsid w:val="00F80750"/>
    <w:pPr>
      <w:ind w:left="1710" w:hanging="190"/>
    </w:pPr>
  </w:style>
  <w:style w:type="paragraph" w:styleId="IndexHeading">
    <w:name w:val="index heading"/>
    <w:basedOn w:val="Normal"/>
    <w:next w:val="Index1"/>
    <w:uiPriority w:val="99"/>
    <w:semiHidden/>
    <w:unhideWhenUsed/>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F80750"/>
    <w:rPr>
      <w:b/>
      <w:bCs/>
      <w:i/>
      <w:iCs/>
      <w:noProof w:val="0"/>
      <w:color w:val="203145" w:themeColor="accent1"/>
      <w:lang w:val="en-AU"/>
    </w:rPr>
  </w:style>
  <w:style w:type="paragraph" w:styleId="IntenseQuote">
    <w:name w:val="Intense Quote"/>
    <w:basedOn w:val="Normal"/>
    <w:next w:val="Normal"/>
    <w:link w:val="IntenseQuoteChar"/>
    <w:uiPriority w:val="30"/>
    <w:semiHidden/>
    <w:qFormat/>
    <w:locked/>
    <w:rsid w:val="00F80750"/>
    <w:pPr>
      <w:pBdr>
        <w:bottom w:val="single" w:sz="4" w:space="4" w:color="203145" w:themeColor="accent1"/>
      </w:pBdr>
      <w:spacing w:before="200" w:after="280"/>
      <w:ind w:left="936" w:right="936"/>
    </w:pPr>
    <w:rPr>
      <w:b/>
      <w:bCs/>
      <w:i/>
      <w:iCs/>
      <w:color w:val="203145" w:themeColor="accent1"/>
    </w:rPr>
  </w:style>
  <w:style w:type="character" w:customStyle="1" w:styleId="IntenseQuoteChar">
    <w:name w:val="Intense Quote Char"/>
    <w:basedOn w:val="DefaultParagraphFont"/>
    <w:link w:val="IntenseQuote"/>
    <w:uiPriority w:val="30"/>
    <w:semiHidden/>
    <w:rsid w:val="00F80750"/>
    <w:rPr>
      <w:b/>
      <w:bCs/>
      <w:i/>
      <w:iCs/>
      <w:noProof w:val="0"/>
      <w:color w:val="203145" w:themeColor="accent1"/>
      <w:lang w:val="en-AU"/>
    </w:rPr>
  </w:style>
  <w:style w:type="character" w:styleId="IntenseReference">
    <w:name w:val="Intense Reference"/>
    <w:basedOn w:val="DefaultParagraphFont"/>
    <w:uiPriority w:val="32"/>
    <w:semiHidden/>
    <w:qFormat/>
    <w:locked/>
    <w:rsid w:val="00F80750"/>
    <w:rPr>
      <w:b/>
      <w:bCs/>
      <w:smallCaps/>
      <w:noProof w:val="0"/>
      <w:color w:val="8F96A1" w:themeColor="accent2"/>
      <w:spacing w:val="5"/>
      <w:u w:val="single"/>
      <w:lang w:val="en-AU"/>
    </w:rPr>
  </w:style>
  <w:style w:type="table" w:styleId="LightGrid">
    <w:name w:val="Light Grid"/>
    <w:basedOn w:val="TableNormal"/>
    <w:uiPriority w:val="62"/>
    <w:locked/>
    <w:rsid w:val="00F8075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insideH w:val="single" w:sz="8" w:space="0" w:color="203145" w:themeColor="accent1"/>
        <w:insideV w:val="single" w:sz="8" w:space="0" w:color="20314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3145" w:themeColor="accent1"/>
          <w:left w:val="single" w:sz="8" w:space="0" w:color="203145" w:themeColor="accent1"/>
          <w:bottom w:val="single" w:sz="18" w:space="0" w:color="203145" w:themeColor="accent1"/>
          <w:right w:val="single" w:sz="8" w:space="0" w:color="203145" w:themeColor="accent1"/>
          <w:insideH w:val="nil"/>
          <w:insideV w:val="single" w:sz="8" w:space="0" w:color="20314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3145" w:themeColor="accent1"/>
          <w:left w:val="single" w:sz="8" w:space="0" w:color="203145" w:themeColor="accent1"/>
          <w:bottom w:val="single" w:sz="8" w:space="0" w:color="203145" w:themeColor="accent1"/>
          <w:right w:val="single" w:sz="8" w:space="0" w:color="203145" w:themeColor="accent1"/>
          <w:insideH w:val="nil"/>
          <w:insideV w:val="single" w:sz="8" w:space="0" w:color="20314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tcPr>
    </w:tblStylePr>
    <w:tblStylePr w:type="band1Vert">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shd w:val="clear" w:color="auto" w:fill="B9CADF" w:themeFill="accent1" w:themeFillTint="3F"/>
      </w:tcPr>
    </w:tblStylePr>
    <w:tblStylePr w:type="band1Horz">
      <w:tblPr/>
      <w:tcPr>
        <w:tcBorders>
          <w:top w:val="single" w:sz="8" w:space="0" w:color="203145" w:themeColor="accent1"/>
          <w:left w:val="single" w:sz="8" w:space="0" w:color="203145" w:themeColor="accent1"/>
          <w:bottom w:val="single" w:sz="8" w:space="0" w:color="203145" w:themeColor="accent1"/>
          <w:right w:val="single" w:sz="8" w:space="0" w:color="203145" w:themeColor="accent1"/>
          <w:insideV w:val="single" w:sz="8" w:space="0" w:color="203145" w:themeColor="accent1"/>
        </w:tcBorders>
        <w:shd w:val="clear" w:color="auto" w:fill="B9CADF" w:themeFill="accent1" w:themeFillTint="3F"/>
      </w:tcPr>
    </w:tblStylePr>
    <w:tblStylePr w:type="band2Horz">
      <w:tblPr/>
      <w:tcPr>
        <w:tcBorders>
          <w:top w:val="single" w:sz="8" w:space="0" w:color="203145" w:themeColor="accent1"/>
          <w:left w:val="single" w:sz="8" w:space="0" w:color="203145" w:themeColor="accent1"/>
          <w:bottom w:val="single" w:sz="8" w:space="0" w:color="203145" w:themeColor="accent1"/>
          <w:right w:val="single" w:sz="8" w:space="0" w:color="203145" w:themeColor="accent1"/>
          <w:insideV w:val="single" w:sz="8" w:space="0" w:color="203145" w:themeColor="accent1"/>
        </w:tcBorders>
      </w:tcPr>
    </w:tblStylePr>
  </w:style>
  <w:style w:type="table" w:styleId="LightGrid-Accent2">
    <w:name w:val="Light Grid Accent 2"/>
    <w:basedOn w:val="TableNormal"/>
    <w:uiPriority w:val="62"/>
    <w:locked/>
    <w:rsid w:val="00F80750"/>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insideH w:val="single" w:sz="8" w:space="0" w:color="8F96A1" w:themeColor="accent2"/>
        <w:insideV w:val="single" w:sz="8" w:space="0" w:color="8F96A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F96A1" w:themeColor="accent2"/>
          <w:left w:val="single" w:sz="8" w:space="0" w:color="8F96A1" w:themeColor="accent2"/>
          <w:bottom w:val="single" w:sz="18" w:space="0" w:color="8F96A1" w:themeColor="accent2"/>
          <w:right w:val="single" w:sz="8" w:space="0" w:color="8F96A1" w:themeColor="accent2"/>
          <w:insideH w:val="nil"/>
          <w:insideV w:val="single" w:sz="8" w:space="0" w:color="8F96A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F96A1" w:themeColor="accent2"/>
          <w:left w:val="single" w:sz="8" w:space="0" w:color="8F96A1" w:themeColor="accent2"/>
          <w:bottom w:val="single" w:sz="8" w:space="0" w:color="8F96A1" w:themeColor="accent2"/>
          <w:right w:val="single" w:sz="8" w:space="0" w:color="8F96A1" w:themeColor="accent2"/>
          <w:insideH w:val="nil"/>
          <w:insideV w:val="single" w:sz="8" w:space="0" w:color="8F96A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tcPr>
    </w:tblStylePr>
    <w:tblStylePr w:type="band1Vert">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shd w:val="clear" w:color="auto" w:fill="E3E4E7" w:themeFill="accent2" w:themeFillTint="3F"/>
      </w:tcPr>
    </w:tblStylePr>
    <w:tblStylePr w:type="band1Horz">
      <w:tblPr/>
      <w:tcPr>
        <w:tcBorders>
          <w:top w:val="single" w:sz="8" w:space="0" w:color="8F96A1" w:themeColor="accent2"/>
          <w:left w:val="single" w:sz="8" w:space="0" w:color="8F96A1" w:themeColor="accent2"/>
          <w:bottom w:val="single" w:sz="8" w:space="0" w:color="8F96A1" w:themeColor="accent2"/>
          <w:right w:val="single" w:sz="8" w:space="0" w:color="8F96A1" w:themeColor="accent2"/>
          <w:insideV w:val="single" w:sz="8" w:space="0" w:color="8F96A1" w:themeColor="accent2"/>
        </w:tcBorders>
        <w:shd w:val="clear" w:color="auto" w:fill="E3E4E7" w:themeFill="accent2" w:themeFillTint="3F"/>
      </w:tcPr>
    </w:tblStylePr>
    <w:tblStylePr w:type="band2Horz">
      <w:tblPr/>
      <w:tcPr>
        <w:tcBorders>
          <w:top w:val="single" w:sz="8" w:space="0" w:color="8F96A1" w:themeColor="accent2"/>
          <w:left w:val="single" w:sz="8" w:space="0" w:color="8F96A1" w:themeColor="accent2"/>
          <w:bottom w:val="single" w:sz="8" w:space="0" w:color="8F96A1" w:themeColor="accent2"/>
          <w:right w:val="single" w:sz="8" w:space="0" w:color="8F96A1" w:themeColor="accent2"/>
          <w:insideV w:val="single" w:sz="8" w:space="0" w:color="8F96A1" w:themeColor="accent2"/>
        </w:tcBorders>
      </w:tcPr>
    </w:tblStylePr>
  </w:style>
  <w:style w:type="table" w:styleId="LightGrid-Accent3">
    <w:name w:val="Light Grid Accent 3"/>
    <w:basedOn w:val="TableNormal"/>
    <w:uiPriority w:val="62"/>
    <w:locked/>
    <w:rsid w:val="00F80750"/>
    <w:tblPr>
      <w:tblStyleRowBandSize w:val="1"/>
      <w:tblStyleColBandSize w:val="1"/>
      <w:tblBorders>
        <w:top w:val="single" w:sz="8" w:space="0" w:color="90B39A" w:themeColor="accent3"/>
        <w:left w:val="single" w:sz="8" w:space="0" w:color="90B39A" w:themeColor="accent3"/>
        <w:bottom w:val="single" w:sz="8" w:space="0" w:color="90B39A" w:themeColor="accent3"/>
        <w:right w:val="single" w:sz="8" w:space="0" w:color="90B39A" w:themeColor="accent3"/>
        <w:insideH w:val="single" w:sz="8" w:space="0" w:color="90B39A" w:themeColor="accent3"/>
        <w:insideV w:val="single" w:sz="8" w:space="0" w:color="90B39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B39A" w:themeColor="accent3"/>
          <w:left w:val="single" w:sz="8" w:space="0" w:color="90B39A" w:themeColor="accent3"/>
          <w:bottom w:val="single" w:sz="18" w:space="0" w:color="90B39A" w:themeColor="accent3"/>
          <w:right w:val="single" w:sz="8" w:space="0" w:color="90B39A" w:themeColor="accent3"/>
          <w:insideH w:val="nil"/>
          <w:insideV w:val="single" w:sz="8" w:space="0" w:color="90B39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B39A" w:themeColor="accent3"/>
          <w:left w:val="single" w:sz="8" w:space="0" w:color="90B39A" w:themeColor="accent3"/>
          <w:bottom w:val="single" w:sz="8" w:space="0" w:color="90B39A" w:themeColor="accent3"/>
          <w:right w:val="single" w:sz="8" w:space="0" w:color="90B39A" w:themeColor="accent3"/>
          <w:insideH w:val="nil"/>
          <w:insideV w:val="single" w:sz="8" w:space="0" w:color="90B39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B39A" w:themeColor="accent3"/>
          <w:left w:val="single" w:sz="8" w:space="0" w:color="90B39A" w:themeColor="accent3"/>
          <w:bottom w:val="single" w:sz="8" w:space="0" w:color="90B39A" w:themeColor="accent3"/>
          <w:right w:val="single" w:sz="8" w:space="0" w:color="90B39A" w:themeColor="accent3"/>
        </w:tcBorders>
      </w:tcPr>
    </w:tblStylePr>
    <w:tblStylePr w:type="band1Vert">
      <w:tblPr/>
      <w:tcPr>
        <w:tcBorders>
          <w:top w:val="single" w:sz="8" w:space="0" w:color="90B39A" w:themeColor="accent3"/>
          <w:left w:val="single" w:sz="8" w:space="0" w:color="90B39A" w:themeColor="accent3"/>
          <w:bottom w:val="single" w:sz="8" w:space="0" w:color="90B39A" w:themeColor="accent3"/>
          <w:right w:val="single" w:sz="8" w:space="0" w:color="90B39A" w:themeColor="accent3"/>
        </w:tcBorders>
        <w:shd w:val="clear" w:color="auto" w:fill="E3ECE5" w:themeFill="accent3" w:themeFillTint="3F"/>
      </w:tcPr>
    </w:tblStylePr>
    <w:tblStylePr w:type="band1Horz">
      <w:tblPr/>
      <w:tcPr>
        <w:tcBorders>
          <w:top w:val="single" w:sz="8" w:space="0" w:color="90B39A" w:themeColor="accent3"/>
          <w:left w:val="single" w:sz="8" w:space="0" w:color="90B39A" w:themeColor="accent3"/>
          <w:bottom w:val="single" w:sz="8" w:space="0" w:color="90B39A" w:themeColor="accent3"/>
          <w:right w:val="single" w:sz="8" w:space="0" w:color="90B39A" w:themeColor="accent3"/>
          <w:insideV w:val="single" w:sz="8" w:space="0" w:color="90B39A" w:themeColor="accent3"/>
        </w:tcBorders>
        <w:shd w:val="clear" w:color="auto" w:fill="E3ECE5" w:themeFill="accent3" w:themeFillTint="3F"/>
      </w:tcPr>
    </w:tblStylePr>
    <w:tblStylePr w:type="band2Horz">
      <w:tblPr/>
      <w:tcPr>
        <w:tcBorders>
          <w:top w:val="single" w:sz="8" w:space="0" w:color="90B39A" w:themeColor="accent3"/>
          <w:left w:val="single" w:sz="8" w:space="0" w:color="90B39A" w:themeColor="accent3"/>
          <w:bottom w:val="single" w:sz="8" w:space="0" w:color="90B39A" w:themeColor="accent3"/>
          <w:right w:val="single" w:sz="8" w:space="0" w:color="90B39A" w:themeColor="accent3"/>
          <w:insideV w:val="single" w:sz="8" w:space="0" w:color="90B39A" w:themeColor="accent3"/>
        </w:tcBorders>
      </w:tcPr>
    </w:tblStylePr>
  </w:style>
  <w:style w:type="table" w:styleId="LightGrid-Accent4">
    <w:name w:val="Light Grid Accent 4"/>
    <w:basedOn w:val="TableNormal"/>
    <w:uiPriority w:val="62"/>
    <w:locked/>
    <w:rsid w:val="00F80750"/>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insideH w:val="single" w:sz="8" w:space="0" w:color="FFD64F" w:themeColor="accent4"/>
        <w:insideV w:val="single" w:sz="8" w:space="0" w:color="FFD64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D64F" w:themeColor="accent4"/>
          <w:left w:val="single" w:sz="8" w:space="0" w:color="FFD64F" w:themeColor="accent4"/>
          <w:bottom w:val="single" w:sz="18" w:space="0" w:color="FFD64F" w:themeColor="accent4"/>
          <w:right w:val="single" w:sz="8" w:space="0" w:color="FFD64F" w:themeColor="accent4"/>
          <w:insideH w:val="nil"/>
          <w:insideV w:val="single" w:sz="8" w:space="0" w:color="FFD64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64F" w:themeColor="accent4"/>
          <w:left w:val="single" w:sz="8" w:space="0" w:color="FFD64F" w:themeColor="accent4"/>
          <w:bottom w:val="single" w:sz="8" w:space="0" w:color="FFD64F" w:themeColor="accent4"/>
          <w:right w:val="single" w:sz="8" w:space="0" w:color="FFD64F" w:themeColor="accent4"/>
          <w:insideH w:val="nil"/>
          <w:insideV w:val="single" w:sz="8" w:space="0" w:color="FFD64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tcPr>
    </w:tblStylePr>
    <w:tblStylePr w:type="band1Vert">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shd w:val="clear" w:color="auto" w:fill="FFF4D3" w:themeFill="accent4" w:themeFillTint="3F"/>
      </w:tcPr>
    </w:tblStylePr>
    <w:tblStylePr w:type="band1Horz">
      <w:tblPr/>
      <w:tcPr>
        <w:tcBorders>
          <w:top w:val="single" w:sz="8" w:space="0" w:color="FFD64F" w:themeColor="accent4"/>
          <w:left w:val="single" w:sz="8" w:space="0" w:color="FFD64F" w:themeColor="accent4"/>
          <w:bottom w:val="single" w:sz="8" w:space="0" w:color="FFD64F" w:themeColor="accent4"/>
          <w:right w:val="single" w:sz="8" w:space="0" w:color="FFD64F" w:themeColor="accent4"/>
          <w:insideV w:val="single" w:sz="8" w:space="0" w:color="FFD64F" w:themeColor="accent4"/>
        </w:tcBorders>
        <w:shd w:val="clear" w:color="auto" w:fill="FFF4D3" w:themeFill="accent4" w:themeFillTint="3F"/>
      </w:tcPr>
    </w:tblStylePr>
    <w:tblStylePr w:type="band2Horz">
      <w:tblPr/>
      <w:tcPr>
        <w:tcBorders>
          <w:top w:val="single" w:sz="8" w:space="0" w:color="FFD64F" w:themeColor="accent4"/>
          <w:left w:val="single" w:sz="8" w:space="0" w:color="FFD64F" w:themeColor="accent4"/>
          <w:bottom w:val="single" w:sz="8" w:space="0" w:color="FFD64F" w:themeColor="accent4"/>
          <w:right w:val="single" w:sz="8" w:space="0" w:color="FFD64F" w:themeColor="accent4"/>
          <w:insideV w:val="single" w:sz="8" w:space="0" w:color="FFD64F" w:themeColor="accent4"/>
        </w:tcBorders>
      </w:tcPr>
    </w:tblStylePr>
  </w:style>
  <w:style w:type="table" w:styleId="LightGrid-Accent5">
    <w:name w:val="Light Grid Accent 5"/>
    <w:basedOn w:val="TableNormal"/>
    <w:uiPriority w:val="62"/>
    <w:locked/>
    <w:rsid w:val="00F80750"/>
    <w:tblPr>
      <w:tblStyleRowBandSize w:val="1"/>
      <w:tblStyleColBandSize w:val="1"/>
      <w:tblBorders>
        <w:top w:val="single" w:sz="8" w:space="0" w:color="F5834B" w:themeColor="accent5"/>
        <w:left w:val="single" w:sz="8" w:space="0" w:color="F5834B" w:themeColor="accent5"/>
        <w:bottom w:val="single" w:sz="8" w:space="0" w:color="F5834B" w:themeColor="accent5"/>
        <w:right w:val="single" w:sz="8" w:space="0" w:color="F5834B" w:themeColor="accent5"/>
        <w:insideH w:val="single" w:sz="8" w:space="0" w:color="F5834B" w:themeColor="accent5"/>
        <w:insideV w:val="single" w:sz="8" w:space="0" w:color="F5834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5834B" w:themeColor="accent5"/>
          <w:left w:val="single" w:sz="8" w:space="0" w:color="F5834B" w:themeColor="accent5"/>
          <w:bottom w:val="single" w:sz="18" w:space="0" w:color="F5834B" w:themeColor="accent5"/>
          <w:right w:val="single" w:sz="8" w:space="0" w:color="F5834B" w:themeColor="accent5"/>
          <w:insideH w:val="nil"/>
          <w:insideV w:val="single" w:sz="8" w:space="0" w:color="F5834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834B" w:themeColor="accent5"/>
          <w:left w:val="single" w:sz="8" w:space="0" w:color="F5834B" w:themeColor="accent5"/>
          <w:bottom w:val="single" w:sz="8" w:space="0" w:color="F5834B" w:themeColor="accent5"/>
          <w:right w:val="single" w:sz="8" w:space="0" w:color="F5834B" w:themeColor="accent5"/>
          <w:insideH w:val="nil"/>
          <w:insideV w:val="single" w:sz="8" w:space="0" w:color="F5834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834B" w:themeColor="accent5"/>
          <w:left w:val="single" w:sz="8" w:space="0" w:color="F5834B" w:themeColor="accent5"/>
          <w:bottom w:val="single" w:sz="8" w:space="0" w:color="F5834B" w:themeColor="accent5"/>
          <w:right w:val="single" w:sz="8" w:space="0" w:color="F5834B" w:themeColor="accent5"/>
        </w:tcBorders>
      </w:tcPr>
    </w:tblStylePr>
    <w:tblStylePr w:type="band1Vert">
      <w:tblPr/>
      <w:tcPr>
        <w:tcBorders>
          <w:top w:val="single" w:sz="8" w:space="0" w:color="F5834B" w:themeColor="accent5"/>
          <w:left w:val="single" w:sz="8" w:space="0" w:color="F5834B" w:themeColor="accent5"/>
          <w:bottom w:val="single" w:sz="8" w:space="0" w:color="F5834B" w:themeColor="accent5"/>
          <w:right w:val="single" w:sz="8" w:space="0" w:color="F5834B" w:themeColor="accent5"/>
        </w:tcBorders>
        <w:shd w:val="clear" w:color="auto" w:fill="FCE0D2" w:themeFill="accent5" w:themeFillTint="3F"/>
      </w:tcPr>
    </w:tblStylePr>
    <w:tblStylePr w:type="band1Horz">
      <w:tblPr/>
      <w:tcPr>
        <w:tcBorders>
          <w:top w:val="single" w:sz="8" w:space="0" w:color="F5834B" w:themeColor="accent5"/>
          <w:left w:val="single" w:sz="8" w:space="0" w:color="F5834B" w:themeColor="accent5"/>
          <w:bottom w:val="single" w:sz="8" w:space="0" w:color="F5834B" w:themeColor="accent5"/>
          <w:right w:val="single" w:sz="8" w:space="0" w:color="F5834B" w:themeColor="accent5"/>
          <w:insideV w:val="single" w:sz="8" w:space="0" w:color="F5834B" w:themeColor="accent5"/>
        </w:tcBorders>
        <w:shd w:val="clear" w:color="auto" w:fill="FCE0D2" w:themeFill="accent5" w:themeFillTint="3F"/>
      </w:tcPr>
    </w:tblStylePr>
    <w:tblStylePr w:type="band2Horz">
      <w:tblPr/>
      <w:tcPr>
        <w:tcBorders>
          <w:top w:val="single" w:sz="8" w:space="0" w:color="F5834B" w:themeColor="accent5"/>
          <w:left w:val="single" w:sz="8" w:space="0" w:color="F5834B" w:themeColor="accent5"/>
          <w:bottom w:val="single" w:sz="8" w:space="0" w:color="F5834B" w:themeColor="accent5"/>
          <w:right w:val="single" w:sz="8" w:space="0" w:color="F5834B" w:themeColor="accent5"/>
          <w:insideV w:val="single" w:sz="8" w:space="0" w:color="F5834B" w:themeColor="accent5"/>
        </w:tcBorders>
      </w:tcPr>
    </w:tblStylePr>
  </w:style>
  <w:style w:type="table" w:styleId="LightGrid-Accent6">
    <w:name w:val="Light Grid Accent 6"/>
    <w:basedOn w:val="TableNormal"/>
    <w:uiPriority w:val="62"/>
    <w:locked/>
    <w:rsid w:val="00F80750"/>
    <w:tblPr>
      <w:tblStyleRowBandSize w:val="1"/>
      <w:tblStyleColBandSize w:val="1"/>
      <w:tblBorders>
        <w:top w:val="single" w:sz="8" w:space="0" w:color="3E5C7F" w:themeColor="accent6"/>
        <w:left w:val="single" w:sz="8" w:space="0" w:color="3E5C7F" w:themeColor="accent6"/>
        <w:bottom w:val="single" w:sz="8" w:space="0" w:color="3E5C7F" w:themeColor="accent6"/>
        <w:right w:val="single" w:sz="8" w:space="0" w:color="3E5C7F" w:themeColor="accent6"/>
        <w:insideH w:val="single" w:sz="8" w:space="0" w:color="3E5C7F" w:themeColor="accent6"/>
        <w:insideV w:val="single" w:sz="8" w:space="0" w:color="3E5C7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E5C7F" w:themeColor="accent6"/>
          <w:left w:val="single" w:sz="8" w:space="0" w:color="3E5C7F" w:themeColor="accent6"/>
          <w:bottom w:val="single" w:sz="18" w:space="0" w:color="3E5C7F" w:themeColor="accent6"/>
          <w:right w:val="single" w:sz="8" w:space="0" w:color="3E5C7F" w:themeColor="accent6"/>
          <w:insideH w:val="nil"/>
          <w:insideV w:val="single" w:sz="8" w:space="0" w:color="3E5C7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5C7F" w:themeColor="accent6"/>
          <w:left w:val="single" w:sz="8" w:space="0" w:color="3E5C7F" w:themeColor="accent6"/>
          <w:bottom w:val="single" w:sz="8" w:space="0" w:color="3E5C7F" w:themeColor="accent6"/>
          <w:right w:val="single" w:sz="8" w:space="0" w:color="3E5C7F" w:themeColor="accent6"/>
          <w:insideH w:val="nil"/>
          <w:insideV w:val="single" w:sz="8" w:space="0" w:color="3E5C7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5C7F" w:themeColor="accent6"/>
          <w:left w:val="single" w:sz="8" w:space="0" w:color="3E5C7F" w:themeColor="accent6"/>
          <w:bottom w:val="single" w:sz="8" w:space="0" w:color="3E5C7F" w:themeColor="accent6"/>
          <w:right w:val="single" w:sz="8" w:space="0" w:color="3E5C7F" w:themeColor="accent6"/>
        </w:tcBorders>
      </w:tcPr>
    </w:tblStylePr>
    <w:tblStylePr w:type="band1Vert">
      <w:tblPr/>
      <w:tcPr>
        <w:tcBorders>
          <w:top w:val="single" w:sz="8" w:space="0" w:color="3E5C7F" w:themeColor="accent6"/>
          <w:left w:val="single" w:sz="8" w:space="0" w:color="3E5C7F" w:themeColor="accent6"/>
          <w:bottom w:val="single" w:sz="8" w:space="0" w:color="3E5C7F" w:themeColor="accent6"/>
          <w:right w:val="single" w:sz="8" w:space="0" w:color="3E5C7F" w:themeColor="accent6"/>
        </w:tcBorders>
        <w:shd w:val="clear" w:color="auto" w:fill="C9D6E5" w:themeFill="accent6" w:themeFillTint="3F"/>
      </w:tcPr>
    </w:tblStylePr>
    <w:tblStylePr w:type="band1Horz">
      <w:tblPr/>
      <w:tcPr>
        <w:tcBorders>
          <w:top w:val="single" w:sz="8" w:space="0" w:color="3E5C7F" w:themeColor="accent6"/>
          <w:left w:val="single" w:sz="8" w:space="0" w:color="3E5C7F" w:themeColor="accent6"/>
          <w:bottom w:val="single" w:sz="8" w:space="0" w:color="3E5C7F" w:themeColor="accent6"/>
          <w:right w:val="single" w:sz="8" w:space="0" w:color="3E5C7F" w:themeColor="accent6"/>
          <w:insideV w:val="single" w:sz="8" w:space="0" w:color="3E5C7F" w:themeColor="accent6"/>
        </w:tcBorders>
        <w:shd w:val="clear" w:color="auto" w:fill="C9D6E5" w:themeFill="accent6" w:themeFillTint="3F"/>
      </w:tcPr>
    </w:tblStylePr>
    <w:tblStylePr w:type="band2Horz">
      <w:tblPr/>
      <w:tcPr>
        <w:tcBorders>
          <w:top w:val="single" w:sz="8" w:space="0" w:color="3E5C7F" w:themeColor="accent6"/>
          <w:left w:val="single" w:sz="8" w:space="0" w:color="3E5C7F" w:themeColor="accent6"/>
          <w:bottom w:val="single" w:sz="8" w:space="0" w:color="3E5C7F" w:themeColor="accent6"/>
          <w:right w:val="single" w:sz="8" w:space="0" w:color="3E5C7F" w:themeColor="accent6"/>
          <w:insideV w:val="single" w:sz="8" w:space="0" w:color="3E5C7F" w:themeColor="accent6"/>
        </w:tcBorders>
      </w:tcPr>
    </w:tblStylePr>
  </w:style>
  <w:style w:type="table" w:styleId="LightList">
    <w:name w:val="Light List"/>
    <w:basedOn w:val="TableNormal"/>
    <w:uiPriority w:val="61"/>
    <w:locked/>
    <w:rsid w:val="00F8075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tblBorders>
    </w:tblPr>
    <w:tblStylePr w:type="firstRow">
      <w:pPr>
        <w:spacing w:before="0" w:after="0" w:line="240" w:lineRule="auto"/>
      </w:pPr>
      <w:rPr>
        <w:b/>
        <w:bCs/>
        <w:color w:val="FFFFFF" w:themeColor="background1"/>
      </w:rPr>
      <w:tblPr/>
      <w:tcPr>
        <w:shd w:val="clear" w:color="auto" w:fill="203145" w:themeFill="accent1"/>
      </w:tcPr>
    </w:tblStylePr>
    <w:tblStylePr w:type="lastRow">
      <w:pPr>
        <w:spacing w:before="0" w:after="0" w:line="240" w:lineRule="auto"/>
      </w:pPr>
      <w:rPr>
        <w:b/>
        <w:bCs/>
      </w:rPr>
      <w:tblPr/>
      <w:tcPr>
        <w:tcBorders>
          <w:top w:val="double" w:sz="6" w:space="0" w:color="203145" w:themeColor="accent1"/>
          <w:left w:val="single" w:sz="8" w:space="0" w:color="203145" w:themeColor="accent1"/>
          <w:bottom w:val="single" w:sz="8" w:space="0" w:color="203145" w:themeColor="accent1"/>
          <w:right w:val="single" w:sz="8" w:space="0" w:color="203145" w:themeColor="accent1"/>
        </w:tcBorders>
      </w:tcPr>
    </w:tblStylePr>
    <w:tblStylePr w:type="firstCol">
      <w:rPr>
        <w:b/>
        <w:bCs/>
      </w:rPr>
    </w:tblStylePr>
    <w:tblStylePr w:type="lastCol">
      <w:rPr>
        <w:b/>
        <w:bCs/>
      </w:rPr>
    </w:tblStylePr>
    <w:tblStylePr w:type="band1Vert">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tcPr>
    </w:tblStylePr>
    <w:tblStylePr w:type="band1Horz">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tcPr>
    </w:tblStylePr>
  </w:style>
  <w:style w:type="table" w:styleId="LightList-Accent2">
    <w:name w:val="Light List Accent 2"/>
    <w:basedOn w:val="TableNormal"/>
    <w:uiPriority w:val="61"/>
    <w:locked/>
    <w:rsid w:val="00F80750"/>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tblBorders>
    </w:tblPr>
    <w:tblStylePr w:type="firstRow">
      <w:pPr>
        <w:spacing w:before="0" w:after="0" w:line="240" w:lineRule="auto"/>
      </w:pPr>
      <w:rPr>
        <w:b/>
        <w:bCs/>
        <w:color w:val="FFFFFF" w:themeColor="background1"/>
      </w:rPr>
      <w:tblPr/>
      <w:tcPr>
        <w:shd w:val="clear" w:color="auto" w:fill="8F96A1" w:themeFill="accent2"/>
      </w:tcPr>
    </w:tblStylePr>
    <w:tblStylePr w:type="lastRow">
      <w:pPr>
        <w:spacing w:before="0" w:after="0" w:line="240" w:lineRule="auto"/>
      </w:pPr>
      <w:rPr>
        <w:b/>
        <w:bCs/>
      </w:rPr>
      <w:tblPr/>
      <w:tcPr>
        <w:tcBorders>
          <w:top w:val="double" w:sz="6" w:space="0" w:color="8F96A1" w:themeColor="accent2"/>
          <w:left w:val="single" w:sz="8" w:space="0" w:color="8F96A1" w:themeColor="accent2"/>
          <w:bottom w:val="single" w:sz="8" w:space="0" w:color="8F96A1" w:themeColor="accent2"/>
          <w:right w:val="single" w:sz="8" w:space="0" w:color="8F96A1" w:themeColor="accent2"/>
        </w:tcBorders>
      </w:tcPr>
    </w:tblStylePr>
    <w:tblStylePr w:type="firstCol">
      <w:rPr>
        <w:b/>
        <w:bCs/>
      </w:rPr>
    </w:tblStylePr>
    <w:tblStylePr w:type="lastCol">
      <w:rPr>
        <w:b/>
        <w:bCs/>
      </w:rPr>
    </w:tblStylePr>
    <w:tblStylePr w:type="band1Vert">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tcPr>
    </w:tblStylePr>
    <w:tblStylePr w:type="band1Horz">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tcPr>
    </w:tblStylePr>
  </w:style>
  <w:style w:type="table" w:styleId="LightList-Accent3">
    <w:name w:val="Light List Accent 3"/>
    <w:basedOn w:val="TableNormal"/>
    <w:uiPriority w:val="61"/>
    <w:locked/>
    <w:rsid w:val="00F80750"/>
    <w:tblPr>
      <w:tblStyleRowBandSize w:val="1"/>
      <w:tblStyleColBandSize w:val="1"/>
      <w:tblBorders>
        <w:top w:val="single" w:sz="8" w:space="0" w:color="90B39A" w:themeColor="accent3"/>
        <w:left w:val="single" w:sz="8" w:space="0" w:color="90B39A" w:themeColor="accent3"/>
        <w:bottom w:val="single" w:sz="8" w:space="0" w:color="90B39A" w:themeColor="accent3"/>
        <w:right w:val="single" w:sz="8" w:space="0" w:color="90B39A" w:themeColor="accent3"/>
      </w:tblBorders>
    </w:tblPr>
    <w:tblStylePr w:type="firstRow">
      <w:pPr>
        <w:spacing w:before="0" w:after="0" w:line="240" w:lineRule="auto"/>
      </w:pPr>
      <w:rPr>
        <w:b/>
        <w:bCs/>
        <w:color w:val="FFFFFF" w:themeColor="background1"/>
      </w:rPr>
      <w:tblPr/>
      <w:tcPr>
        <w:shd w:val="clear" w:color="auto" w:fill="90B39A" w:themeFill="accent3"/>
      </w:tcPr>
    </w:tblStylePr>
    <w:tblStylePr w:type="lastRow">
      <w:pPr>
        <w:spacing w:before="0" w:after="0" w:line="240" w:lineRule="auto"/>
      </w:pPr>
      <w:rPr>
        <w:b/>
        <w:bCs/>
      </w:rPr>
      <w:tblPr/>
      <w:tcPr>
        <w:tcBorders>
          <w:top w:val="double" w:sz="6" w:space="0" w:color="90B39A" w:themeColor="accent3"/>
          <w:left w:val="single" w:sz="8" w:space="0" w:color="90B39A" w:themeColor="accent3"/>
          <w:bottom w:val="single" w:sz="8" w:space="0" w:color="90B39A" w:themeColor="accent3"/>
          <w:right w:val="single" w:sz="8" w:space="0" w:color="90B39A" w:themeColor="accent3"/>
        </w:tcBorders>
      </w:tcPr>
    </w:tblStylePr>
    <w:tblStylePr w:type="firstCol">
      <w:rPr>
        <w:b/>
        <w:bCs/>
      </w:rPr>
    </w:tblStylePr>
    <w:tblStylePr w:type="lastCol">
      <w:rPr>
        <w:b/>
        <w:bCs/>
      </w:rPr>
    </w:tblStylePr>
    <w:tblStylePr w:type="band1Vert">
      <w:tblPr/>
      <w:tcPr>
        <w:tcBorders>
          <w:top w:val="single" w:sz="8" w:space="0" w:color="90B39A" w:themeColor="accent3"/>
          <w:left w:val="single" w:sz="8" w:space="0" w:color="90B39A" w:themeColor="accent3"/>
          <w:bottom w:val="single" w:sz="8" w:space="0" w:color="90B39A" w:themeColor="accent3"/>
          <w:right w:val="single" w:sz="8" w:space="0" w:color="90B39A" w:themeColor="accent3"/>
        </w:tcBorders>
      </w:tcPr>
    </w:tblStylePr>
    <w:tblStylePr w:type="band1Horz">
      <w:tblPr/>
      <w:tcPr>
        <w:tcBorders>
          <w:top w:val="single" w:sz="8" w:space="0" w:color="90B39A" w:themeColor="accent3"/>
          <w:left w:val="single" w:sz="8" w:space="0" w:color="90B39A" w:themeColor="accent3"/>
          <w:bottom w:val="single" w:sz="8" w:space="0" w:color="90B39A" w:themeColor="accent3"/>
          <w:right w:val="single" w:sz="8" w:space="0" w:color="90B39A" w:themeColor="accent3"/>
        </w:tcBorders>
      </w:tcPr>
    </w:tblStylePr>
  </w:style>
  <w:style w:type="table" w:styleId="LightList-Accent4">
    <w:name w:val="Light List Accent 4"/>
    <w:basedOn w:val="TableNormal"/>
    <w:uiPriority w:val="61"/>
    <w:locked/>
    <w:rsid w:val="00F80750"/>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tblBorders>
    </w:tblPr>
    <w:tblStylePr w:type="firstRow">
      <w:pPr>
        <w:spacing w:before="0" w:after="0" w:line="240" w:lineRule="auto"/>
      </w:pPr>
      <w:rPr>
        <w:b/>
        <w:bCs/>
        <w:color w:val="FFFFFF" w:themeColor="background1"/>
      </w:rPr>
      <w:tblPr/>
      <w:tcPr>
        <w:shd w:val="clear" w:color="auto" w:fill="FFD64F" w:themeFill="accent4"/>
      </w:tcPr>
    </w:tblStylePr>
    <w:tblStylePr w:type="lastRow">
      <w:pPr>
        <w:spacing w:before="0" w:after="0" w:line="240" w:lineRule="auto"/>
      </w:pPr>
      <w:rPr>
        <w:b/>
        <w:bCs/>
      </w:rPr>
      <w:tblPr/>
      <w:tcPr>
        <w:tcBorders>
          <w:top w:val="double" w:sz="6" w:space="0" w:color="FFD64F" w:themeColor="accent4"/>
          <w:left w:val="single" w:sz="8" w:space="0" w:color="FFD64F" w:themeColor="accent4"/>
          <w:bottom w:val="single" w:sz="8" w:space="0" w:color="FFD64F" w:themeColor="accent4"/>
          <w:right w:val="single" w:sz="8" w:space="0" w:color="FFD64F" w:themeColor="accent4"/>
        </w:tcBorders>
      </w:tcPr>
    </w:tblStylePr>
    <w:tblStylePr w:type="firstCol">
      <w:rPr>
        <w:b/>
        <w:bCs/>
      </w:rPr>
    </w:tblStylePr>
    <w:tblStylePr w:type="lastCol">
      <w:rPr>
        <w:b/>
        <w:bCs/>
      </w:rPr>
    </w:tblStylePr>
    <w:tblStylePr w:type="band1Vert">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tcPr>
    </w:tblStylePr>
    <w:tblStylePr w:type="band1Horz">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tcPr>
    </w:tblStylePr>
  </w:style>
  <w:style w:type="table" w:styleId="LightList-Accent5">
    <w:name w:val="Light List Accent 5"/>
    <w:basedOn w:val="TableNormal"/>
    <w:uiPriority w:val="61"/>
    <w:locked/>
    <w:rsid w:val="00F80750"/>
    <w:tblPr>
      <w:tblStyleRowBandSize w:val="1"/>
      <w:tblStyleColBandSize w:val="1"/>
      <w:tblBorders>
        <w:top w:val="single" w:sz="8" w:space="0" w:color="F5834B" w:themeColor="accent5"/>
        <w:left w:val="single" w:sz="8" w:space="0" w:color="F5834B" w:themeColor="accent5"/>
        <w:bottom w:val="single" w:sz="8" w:space="0" w:color="F5834B" w:themeColor="accent5"/>
        <w:right w:val="single" w:sz="8" w:space="0" w:color="F5834B" w:themeColor="accent5"/>
      </w:tblBorders>
    </w:tblPr>
    <w:tblStylePr w:type="firstRow">
      <w:pPr>
        <w:spacing w:before="0" w:after="0" w:line="240" w:lineRule="auto"/>
      </w:pPr>
      <w:rPr>
        <w:b/>
        <w:bCs/>
        <w:color w:val="FFFFFF" w:themeColor="background1"/>
      </w:rPr>
      <w:tblPr/>
      <w:tcPr>
        <w:shd w:val="clear" w:color="auto" w:fill="F5834B" w:themeFill="accent5"/>
      </w:tcPr>
    </w:tblStylePr>
    <w:tblStylePr w:type="lastRow">
      <w:pPr>
        <w:spacing w:before="0" w:after="0" w:line="240" w:lineRule="auto"/>
      </w:pPr>
      <w:rPr>
        <w:b/>
        <w:bCs/>
      </w:rPr>
      <w:tblPr/>
      <w:tcPr>
        <w:tcBorders>
          <w:top w:val="double" w:sz="6" w:space="0" w:color="F5834B" w:themeColor="accent5"/>
          <w:left w:val="single" w:sz="8" w:space="0" w:color="F5834B" w:themeColor="accent5"/>
          <w:bottom w:val="single" w:sz="8" w:space="0" w:color="F5834B" w:themeColor="accent5"/>
          <w:right w:val="single" w:sz="8" w:space="0" w:color="F5834B" w:themeColor="accent5"/>
        </w:tcBorders>
      </w:tcPr>
    </w:tblStylePr>
    <w:tblStylePr w:type="firstCol">
      <w:rPr>
        <w:b/>
        <w:bCs/>
      </w:rPr>
    </w:tblStylePr>
    <w:tblStylePr w:type="lastCol">
      <w:rPr>
        <w:b/>
        <w:bCs/>
      </w:rPr>
    </w:tblStylePr>
    <w:tblStylePr w:type="band1Vert">
      <w:tblPr/>
      <w:tcPr>
        <w:tcBorders>
          <w:top w:val="single" w:sz="8" w:space="0" w:color="F5834B" w:themeColor="accent5"/>
          <w:left w:val="single" w:sz="8" w:space="0" w:color="F5834B" w:themeColor="accent5"/>
          <w:bottom w:val="single" w:sz="8" w:space="0" w:color="F5834B" w:themeColor="accent5"/>
          <w:right w:val="single" w:sz="8" w:space="0" w:color="F5834B" w:themeColor="accent5"/>
        </w:tcBorders>
      </w:tcPr>
    </w:tblStylePr>
    <w:tblStylePr w:type="band1Horz">
      <w:tblPr/>
      <w:tcPr>
        <w:tcBorders>
          <w:top w:val="single" w:sz="8" w:space="0" w:color="F5834B" w:themeColor="accent5"/>
          <w:left w:val="single" w:sz="8" w:space="0" w:color="F5834B" w:themeColor="accent5"/>
          <w:bottom w:val="single" w:sz="8" w:space="0" w:color="F5834B" w:themeColor="accent5"/>
          <w:right w:val="single" w:sz="8" w:space="0" w:color="F5834B" w:themeColor="accent5"/>
        </w:tcBorders>
      </w:tcPr>
    </w:tblStylePr>
  </w:style>
  <w:style w:type="table" w:styleId="LightList-Accent6">
    <w:name w:val="Light List Accent 6"/>
    <w:basedOn w:val="TableNormal"/>
    <w:uiPriority w:val="61"/>
    <w:locked/>
    <w:rsid w:val="00F80750"/>
    <w:tblPr>
      <w:tblStyleRowBandSize w:val="1"/>
      <w:tblStyleColBandSize w:val="1"/>
      <w:tblBorders>
        <w:top w:val="single" w:sz="8" w:space="0" w:color="3E5C7F" w:themeColor="accent6"/>
        <w:left w:val="single" w:sz="8" w:space="0" w:color="3E5C7F" w:themeColor="accent6"/>
        <w:bottom w:val="single" w:sz="8" w:space="0" w:color="3E5C7F" w:themeColor="accent6"/>
        <w:right w:val="single" w:sz="8" w:space="0" w:color="3E5C7F" w:themeColor="accent6"/>
      </w:tblBorders>
    </w:tblPr>
    <w:tblStylePr w:type="firstRow">
      <w:pPr>
        <w:spacing w:before="0" w:after="0" w:line="240" w:lineRule="auto"/>
      </w:pPr>
      <w:rPr>
        <w:b/>
        <w:bCs/>
        <w:color w:val="FFFFFF" w:themeColor="background1"/>
      </w:rPr>
      <w:tblPr/>
      <w:tcPr>
        <w:shd w:val="clear" w:color="auto" w:fill="3E5C7F" w:themeFill="accent6"/>
      </w:tcPr>
    </w:tblStylePr>
    <w:tblStylePr w:type="lastRow">
      <w:pPr>
        <w:spacing w:before="0" w:after="0" w:line="240" w:lineRule="auto"/>
      </w:pPr>
      <w:rPr>
        <w:b/>
        <w:bCs/>
      </w:rPr>
      <w:tblPr/>
      <w:tcPr>
        <w:tcBorders>
          <w:top w:val="double" w:sz="6" w:space="0" w:color="3E5C7F" w:themeColor="accent6"/>
          <w:left w:val="single" w:sz="8" w:space="0" w:color="3E5C7F" w:themeColor="accent6"/>
          <w:bottom w:val="single" w:sz="8" w:space="0" w:color="3E5C7F" w:themeColor="accent6"/>
          <w:right w:val="single" w:sz="8" w:space="0" w:color="3E5C7F" w:themeColor="accent6"/>
        </w:tcBorders>
      </w:tcPr>
    </w:tblStylePr>
    <w:tblStylePr w:type="firstCol">
      <w:rPr>
        <w:b/>
        <w:bCs/>
      </w:rPr>
    </w:tblStylePr>
    <w:tblStylePr w:type="lastCol">
      <w:rPr>
        <w:b/>
        <w:bCs/>
      </w:rPr>
    </w:tblStylePr>
    <w:tblStylePr w:type="band1Vert">
      <w:tblPr/>
      <w:tcPr>
        <w:tcBorders>
          <w:top w:val="single" w:sz="8" w:space="0" w:color="3E5C7F" w:themeColor="accent6"/>
          <w:left w:val="single" w:sz="8" w:space="0" w:color="3E5C7F" w:themeColor="accent6"/>
          <w:bottom w:val="single" w:sz="8" w:space="0" w:color="3E5C7F" w:themeColor="accent6"/>
          <w:right w:val="single" w:sz="8" w:space="0" w:color="3E5C7F" w:themeColor="accent6"/>
        </w:tcBorders>
      </w:tcPr>
    </w:tblStylePr>
    <w:tblStylePr w:type="band1Horz">
      <w:tblPr/>
      <w:tcPr>
        <w:tcBorders>
          <w:top w:val="single" w:sz="8" w:space="0" w:color="3E5C7F" w:themeColor="accent6"/>
          <w:left w:val="single" w:sz="8" w:space="0" w:color="3E5C7F" w:themeColor="accent6"/>
          <w:bottom w:val="single" w:sz="8" w:space="0" w:color="3E5C7F" w:themeColor="accent6"/>
          <w:right w:val="single" w:sz="8" w:space="0" w:color="3E5C7F" w:themeColor="accent6"/>
        </w:tcBorders>
      </w:tcPr>
    </w:tblStylePr>
  </w:style>
  <w:style w:type="table" w:styleId="LightShading">
    <w:name w:val="Light Shading"/>
    <w:basedOn w:val="TableNormal"/>
    <w:uiPriority w:val="60"/>
    <w:locked/>
    <w:rsid w:val="00F8075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rPr>
      <w:color w:val="182433" w:themeColor="accent1" w:themeShade="BF"/>
    </w:rPr>
    <w:tblPr>
      <w:tblStyleRowBandSize w:val="1"/>
      <w:tblStyleColBandSize w:val="1"/>
      <w:tblBorders>
        <w:top w:val="single" w:sz="8" w:space="0" w:color="203145" w:themeColor="accent1"/>
        <w:bottom w:val="single" w:sz="8" w:space="0" w:color="203145" w:themeColor="accent1"/>
      </w:tblBorders>
    </w:tblPr>
    <w:tblStylePr w:type="firstRow">
      <w:pPr>
        <w:spacing w:before="0" w:after="0" w:line="240" w:lineRule="auto"/>
      </w:pPr>
      <w:rPr>
        <w:b/>
        <w:bCs/>
      </w:rPr>
      <w:tblPr/>
      <w:tcPr>
        <w:tcBorders>
          <w:top w:val="single" w:sz="8" w:space="0" w:color="203145" w:themeColor="accent1"/>
          <w:left w:val="nil"/>
          <w:bottom w:val="single" w:sz="8" w:space="0" w:color="203145" w:themeColor="accent1"/>
          <w:right w:val="nil"/>
          <w:insideH w:val="nil"/>
          <w:insideV w:val="nil"/>
        </w:tcBorders>
      </w:tcPr>
    </w:tblStylePr>
    <w:tblStylePr w:type="lastRow">
      <w:pPr>
        <w:spacing w:before="0" w:after="0" w:line="240" w:lineRule="auto"/>
      </w:pPr>
      <w:rPr>
        <w:b/>
        <w:bCs/>
      </w:rPr>
      <w:tblPr/>
      <w:tcPr>
        <w:tcBorders>
          <w:top w:val="single" w:sz="8" w:space="0" w:color="203145" w:themeColor="accent1"/>
          <w:left w:val="nil"/>
          <w:bottom w:val="single" w:sz="8" w:space="0" w:color="20314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CADF" w:themeFill="accent1" w:themeFillTint="3F"/>
      </w:tcPr>
    </w:tblStylePr>
    <w:tblStylePr w:type="band1Horz">
      <w:tblPr/>
      <w:tcPr>
        <w:tcBorders>
          <w:left w:val="nil"/>
          <w:right w:val="nil"/>
          <w:insideH w:val="nil"/>
          <w:insideV w:val="nil"/>
        </w:tcBorders>
        <w:shd w:val="clear" w:color="auto" w:fill="B9CADF" w:themeFill="accent1" w:themeFillTint="3F"/>
      </w:tcPr>
    </w:tblStylePr>
  </w:style>
  <w:style w:type="table" w:styleId="LightShading-Accent2">
    <w:name w:val="Light Shading Accent 2"/>
    <w:basedOn w:val="TableNormal"/>
    <w:uiPriority w:val="60"/>
    <w:locked/>
    <w:rsid w:val="00F80750"/>
    <w:rPr>
      <w:color w:val="686F7B" w:themeColor="accent2" w:themeShade="BF"/>
    </w:rPr>
    <w:tblPr>
      <w:tblStyleRowBandSize w:val="1"/>
      <w:tblStyleColBandSize w:val="1"/>
      <w:tblBorders>
        <w:top w:val="single" w:sz="8" w:space="0" w:color="8F96A1" w:themeColor="accent2"/>
        <w:bottom w:val="single" w:sz="8" w:space="0" w:color="8F96A1" w:themeColor="accent2"/>
      </w:tblBorders>
    </w:tblPr>
    <w:tblStylePr w:type="firstRow">
      <w:pPr>
        <w:spacing w:before="0" w:after="0" w:line="240" w:lineRule="auto"/>
      </w:pPr>
      <w:rPr>
        <w:b/>
        <w:bCs/>
      </w:rPr>
      <w:tblPr/>
      <w:tcPr>
        <w:tcBorders>
          <w:top w:val="single" w:sz="8" w:space="0" w:color="8F96A1" w:themeColor="accent2"/>
          <w:left w:val="nil"/>
          <w:bottom w:val="single" w:sz="8" w:space="0" w:color="8F96A1" w:themeColor="accent2"/>
          <w:right w:val="nil"/>
          <w:insideH w:val="nil"/>
          <w:insideV w:val="nil"/>
        </w:tcBorders>
      </w:tcPr>
    </w:tblStylePr>
    <w:tblStylePr w:type="lastRow">
      <w:pPr>
        <w:spacing w:before="0" w:after="0" w:line="240" w:lineRule="auto"/>
      </w:pPr>
      <w:rPr>
        <w:b/>
        <w:bCs/>
      </w:rPr>
      <w:tblPr/>
      <w:tcPr>
        <w:tcBorders>
          <w:top w:val="single" w:sz="8" w:space="0" w:color="8F96A1" w:themeColor="accent2"/>
          <w:left w:val="nil"/>
          <w:bottom w:val="single" w:sz="8" w:space="0" w:color="8F96A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7" w:themeFill="accent2" w:themeFillTint="3F"/>
      </w:tcPr>
    </w:tblStylePr>
    <w:tblStylePr w:type="band1Horz">
      <w:tblPr/>
      <w:tcPr>
        <w:tcBorders>
          <w:left w:val="nil"/>
          <w:right w:val="nil"/>
          <w:insideH w:val="nil"/>
          <w:insideV w:val="nil"/>
        </w:tcBorders>
        <w:shd w:val="clear" w:color="auto" w:fill="E3E4E7" w:themeFill="accent2" w:themeFillTint="3F"/>
      </w:tcPr>
    </w:tblStylePr>
  </w:style>
  <w:style w:type="table" w:styleId="LightShading-Accent3">
    <w:name w:val="Light Shading Accent 3"/>
    <w:basedOn w:val="TableNormal"/>
    <w:uiPriority w:val="60"/>
    <w:locked/>
    <w:rsid w:val="00F80750"/>
    <w:rPr>
      <w:color w:val="628F6F" w:themeColor="accent3" w:themeShade="BF"/>
    </w:rPr>
    <w:tblPr>
      <w:tblStyleRowBandSize w:val="1"/>
      <w:tblStyleColBandSize w:val="1"/>
      <w:tblBorders>
        <w:top w:val="single" w:sz="8" w:space="0" w:color="90B39A" w:themeColor="accent3"/>
        <w:bottom w:val="single" w:sz="8" w:space="0" w:color="90B39A" w:themeColor="accent3"/>
      </w:tblBorders>
    </w:tblPr>
    <w:tblStylePr w:type="firstRow">
      <w:pPr>
        <w:spacing w:before="0" w:after="0" w:line="240" w:lineRule="auto"/>
      </w:pPr>
      <w:rPr>
        <w:b/>
        <w:bCs/>
      </w:rPr>
      <w:tblPr/>
      <w:tcPr>
        <w:tcBorders>
          <w:top w:val="single" w:sz="8" w:space="0" w:color="90B39A" w:themeColor="accent3"/>
          <w:left w:val="nil"/>
          <w:bottom w:val="single" w:sz="8" w:space="0" w:color="90B39A" w:themeColor="accent3"/>
          <w:right w:val="nil"/>
          <w:insideH w:val="nil"/>
          <w:insideV w:val="nil"/>
        </w:tcBorders>
      </w:tcPr>
    </w:tblStylePr>
    <w:tblStylePr w:type="lastRow">
      <w:pPr>
        <w:spacing w:before="0" w:after="0" w:line="240" w:lineRule="auto"/>
      </w:pPr>
      <w:rPr>
        <w:b/>
        <w:bCs/>
      </w:rPr>
      <w:tblPr/>
      <w:tcPr>
        <w:tcBorders>
          <w:top w:val="single" w:sz="8" w:space="0" w:color="90B39A" w:themeColor="accent3"/>
          <w:left w:val="nil"/>
          <w:bottom w:val="single" w:sz="8" w:space="0" w:color="90B39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CE5" w:themeFill="accent3" w:themeFillTint="3F"/>
      </w:tcPr>
    </w:tblStylePr>
    <w:tblStylePr w:type="band1Horz">
      <w:tblPr/>
      <w:tcPr>
        <w:tcBorders>
          <w:left w:val="nil"/>
          <w:right w:val="nil"/>
          <w:insideH w:val="nil"/>
          <w:insideV w:val="nil"/>
        </w:tcBorders>
        <w:shd w:val="clear" w:color="auto" w:fill="E3ECE5" w:themeFill="accent3" w:themeFillTint="3F"/>
      </w:tcPr>
    </w:tblStylePr>
  </w:style>
  <w:style w:type="table" w:styleId="LightShading-Accent4">
    <w:name w:val="Light Shading Accent 4"/>
    <w:basedOn w:val="TableNormal"/>
    <w:uiPriority w:val="60"/>
    <w:locked/>
    <w:rsid w:val="00F80750"/>
    <w:rPr>
      <w:color w:val="FABF00" w:themeColor="accent4" w:themeShade="BF"/>
    </w:rPr>
    <w:tblPr>
      <w:tblStyleRowBandSize w:val="1"/>
      <w:tblStyleColBandSize w:val="1"/>
      <w:tblBorders>
        <w:top w:val="single" w:sz="8" w:space="0" w:color="FFD64F" w:themeColor="accent4"/>
        <w:bottom w:val="single" w:sz="8" w:space="0" w:color="FFD64F" w:themeColor="accent4"/>
      </w:tblBorders>
    </w:tblPr>
    <w:tblStylePr w:type="firstRow">
      <w:pPr>
        <w:spacing w:before="0" w:after="0" w:line="240" w:lineRule="auto"/>
      </w:pPr>
      <w:rPr>
        <w:b/>
        <w:bCs/>
      </w:rPr>
      <w:tblPr/>
      <w:tcPr>
        <w:tcBorders>
          <w:top w:val="single" w:sz="8" w:space="0" w:color="FFD64F" w:themeColor="accent4"/>
          <w:left w:val="nil"/>
          <w:bottom w:val="single" w:sz="8" w:space="0" w:color="FFD64F" w:themeColor="accent4"/>
          <w:right w:val="nil"/>
          <w:insideH w:val="nil"/>
          <w:insideV w:val="nil"/>
        </w:tcBorders>
      </w:tcPr>
    </w:tblStylePr>
    <w:tblStylePr w:type="lastRow">
      <w:pPr>
        <w:spacing w:before="0" w:after="0" w:line="240" w:lineRule="auto"/>
      </w:pPr>
      <w:rPr>
        <w:b/>
        <w:bCs/>
      </w:rPr>
      <w:tblPr/>
      <w:tcPr>
        <w:tcBorders>
          <w:top w:val="single" w:sz="8" w:space="0" w:color="FFD64F" w:themeColor="accent4"/>
          <w:left w:val="nil"/>
          <w:bottom w:val="single" w:sz="8" w:space="0" w:color="FFD64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4D3" w:themeFill="accent4" w:themeFillTint="3F"/>
      </w:tcPr>
    </w:tblStylePr>
    <w:tblStylePr w:type="band1Horz">
      <w:tblPr/>
      <w:tcPr>
        <w:tcBorders>
          <w:left w:val="nil"/>
          <w:right w:val="nil"/>
          <w:insideH w:val="nil"/>
          <w:insideV w:val="nil"/>
        </w:tcBorders>
        <w:shd w:val="clear" w:color="auto" w:fill="FFF4D3" w:themeFill="accent4" w:themeFillTint="3F"/>
      </w:tcPr>
    </w:tblStylePr>
  </w:style>
  <w:style w:type="table" w:styleId="LightShading-Accent5">
    <w:name w:val="Light Shading Accent 5"/>
    <w:basedOn w:val="TableNormal"/>
    <w:uiPriority w:val="60"/>
    <w:locked/>
    <w:rsid w:val="00F80750"/>
    <w:rPr>
      <w:color w:val="E2530C" w:themeColor="accent5" w:themeShade="BF"/>
    </w:rPr>
    <w:tblPr>
      <w:tblStyleRowBandSize w:val="1"/>
      <w:tblStyleColBandSize w:val="1"/>
      <w:tblBorders>
        <w:top w:val="single" w:sz="8" w:space="0" w:color="F5834B" w:themeColor="accent5"/>
        <w:bottom w:val="single" w:sz="8" w:space="0" w:color="F5834B" w:themeColor="accent5"/>
      </w:tblBorders>
    </w:tblPr>
    <w:tblStylePr w:type="firstRow">
      <w:pPr>
        <w:spacing w:before="0" w:after="0" w:line="240" w:lineRule="auto"/>
      </w:pPr>
      <w:rPr>
        <w:b/>
        <w:bCs/>
      </w:rPr>
      <w:tblPr/>
      <w:tcPr>
        <w:tcBorders>
          <w:top w:val="single" w:sz="8" w:space="0" w:color="F5834B" w:themeColor="accent5"/>
          <w:left w:val="nil"/>
          <w:bottom w:val="single" w:sz="8" w:space="0" w:color="F5834B" w:themeColor="accent5"/>
          <w:right w:val="nil"/>
          <w:insideH w:val="nil"/>
          <w:insideV w:val="nil"/>
        </w:tcBorders>
      </w:tcPr>
    </w:tblStylePr>
    <w:tblStylePr w:type="lastRow">
      <w:pPr>
        <w:spacing w:before="0" w:after="0" w:line="240" w:lineRule="auto"/>
      </w:pPr>
      <w:rPr>
        <w:b/>
        <w:bCs/>
      </w:rPr>
      <w:tblPr/>
      <w:tcPr>
        <w:tcBorders>
          <w:top w:val="single" w:sz="8" w:space="0" w:color="F5834B" w:themeColor="accent5"/>
          <w:left w:val="nil"/>
          <w:bottom w:val="single" w:sz="8" w:space="0" w:color="F5834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0D2" w:themeFill="accent5" w:themeFillTint="3F"/>
      </w:tcPr>
    </w:tblStylePr>
    <w:tblStylePr w:type="band1Horz">
      <w:tblPr/>
      <w:tcPr>
        <w:tcBorders>
          <w:left w:val="nil"/>
          <w:right w:val="nil"/>
          <w:insideH w:val="nil"/>
          <w:insideV w:val="nil"/>
        </w:tcBorders>
        <w:shd w:val="clear" w:color="auto" w:fill="FCE0D2" w:themeFill="accent5" w:themeFillTint="3F"/>
      </w:tcPr>
    </w:tblStylePr>
  </w:style>
  <w:style w:type="table" w:styleId="LightShading-Accent6">
    <w:name w:val="Light Shading Accent 6"/>
    <w:basedOn w:val="TableNormal"/>
    <w:uiPriority w:val="60"/>
    <w:locked/>
    <w:rsid w:val="00F80750"/>
    <w:rPr>
      <w:color w:val="2E445E" w:themeColor="accent6" w:themeShade="BF"/>
    </w:rPr>
    <w:tblPr>
      <w:tblStyleRowBandSize w:val="1"/>
      <w:tblStyleColBandSize w:val="1"/>
      <w:tblBorders>
        <w:top w:val="single" w:sz="8" w:space="0" w:color="3E5C7F" w:themeColor="accent6"/>
        <w:bottom w:val="single" w:sz="8" w:space="0" w:color="3E5C7F" w:themeColor="accent6"/>
      </w:tblBorders>
    </w:tblPr>
    <w:tblStylePr w:type="firstRow">
      <w:pPr>
        <w:spacing w:before="0" w:after="0" w:line="240" w:lineRule="auto"/>
      </w:pPr>
      <w:rPr>
        <w:b/>
        <w:bCs/>
      </w:rPr>
      <w:tblPr/>
      <w:tcPr>
        <w:tcBorders>
          <w:top w:val="single" w:sz="8" w:space="0" w:color="3E5C7F" w:themeColor="accent6"/>
          <w:left w:val="nil"/>
          <w:bottom w:val="single" w:sz="8" w:space="0" w:color="3E5C7F" w:themeColor="accent6"/>
          <w:right w:val="nil"/>
          <w:insideH w:val="nil"/>
          <w:insideV w:val="nil"/>
        </w:tcBorders>
      </w:tcPr>
    </w:tblStylePr>
    <w:tblStylePr w:type="lastRow">
      <w:pPr>
        <w:spacing w:before="0" w:after="0" w:line="240" w:lineRule="auto"/>
      </w:pPr>
      <w:rPr>
        <w:b/>
        <w:bCs/>
      </w:rPr>
      <w:tblPr/>
      <w:tcPr>
        <w:tcBorders>
          <w:top w:val="single" w:sz="8" w:space="0" w:color="3E5C7F" w:themeColor="accent6"/>
          <w:left w:val="nil"/>
          <w:bottom w:val="single" w:sz="8" w:space="0" w:color="3E5C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6E5" w:themeFill="accent6" w:themeFillTint="3F"/>
      </w:tcPr>
    </w:tblStylePr>
    <w:tblStylePr w:type="band1Horz">
      <w:tblPr/>
      <w:tcPr>
        <w:tcBorders>
          <w:left w:val="nil"/>
          <w:right w:val="nil"/>
          <w:insideH w:val="nil"/>
          <w:insideV w:val="nil"/>
        </w:tcBorders>
        <w:shd w:val="clear" w:color="auto" w:fill="C9D6E5" w:themeFill="accent6" w:themeFillTint="3F"/>
      </w:tcPr>
    </w:tblStylePr>
  </w:style>
  <w:style w:type="character" w:styleId="LineNumber">
    <w:name w:val="line number"/>
    <w:basedOn w:val="DefaultParagraphFont"/>
    <w:uiPriority w:val="99"/>
    <w:semiHidden/>
    <w:unhideWhenUsed/>
    <w:locked/>
    <w:rsid w:val="00F80750"/>
    <w:rPr>
      <w:noProof w:val="0"/>
      <w:lang w:val="en-AU"/>
    </w:rPr>
  </w:style>
  <w:style w:type="paragraph" w:styleId="List">
    <w:name w:val="List"/>
    <w:basedOn w:val="Normal"/>
    <w:uiPriority w:val="99"/>
    <w:semiHidden/>
    <w:unhideWhenUsed/>
    <w:locked/>
    <w:rsid w:val="00F80750"/>
    <w:pPr>
      <w:ind w:left="283" w:hanging="283"/>
      <w:contextualSpacing/>
    </w:pPr>
  </w:style>
  <w:style w:type="paragraph" w:styleId="List2">
    <w:name w:val="List 2"/>
    <w:basedOn w:val="Normal"/>
    <w:uiPriority w:val="99"/>
    <w:semiHidden/>
    <w:unhideWhenUsed/>
    <w:locked/>
    <w:rsid w:val="00F80750"/>
    <w:pPr>
      <w:ind w:left="566" w:hanging="283"/>
      <w:contextualSpacing/>
    </w:pPr>
  </w:style>
  <w:style w:type="paragraph" w:styleId="List3">
    <w:name w:val="List 3"/>
    <w:basedOn w:val="Normal"/>
    <w:uiPriority w:val="99"/>
    <w:semiHidden/>
    <w:unhideWhenUsed/>
    <w:locked/>
    <w:rsid w:val="00F80750"/>
    <w:pPr>
      <w:ind w:left="849" w:hanging="283"/>
      <w:contextualSpacing/>
    </w:pPr>
  </w:style>
  <w:style w:type="paragraph" w:styleId="List4">
    <w:name w:val="List 4"/>
    <w:basedOn w:val="Normal"/>
    <w:uiPriority w:val="99"/>
    <w:semiHidden/>
    <w:unhideWhenUsed/>
    <w:locked/>
    <w:rsid w:val="00F80750"/>
    <w:pPr>
      <w:ind w:left="1132" w:hanging="283"/>
      <w:contextualSpacing/>
    </w:pPr>
  </w:style>
  <w:style w:type="paragraph" w:styleId="List5">
    <w:name w:val="List 5"/>
    <w:basedOn w:val="Normal"/>
    <w:uiPriority w:val="99"/>
    <w:semiHidden/>
    <w:unhideWhenUsed/>
    <w:locked/>
    <w:rsid w:val="00F80750"/>
    <w:pPr>
      <w:ind w:left="1415" w:hanging="283"/>
      <w:contextualSpacing/>
    </w:pPr>
  </w:style>
  <w:style w:type="paragraph" w:styleId="ListContinue">
    <w:name w:val="List Continue"/>
    <w:basedOn w:val="Normal"/>
    <w:uiPriority w:val="99"/>
    <w:semiHidden/>
    <w:unhideWhenUsed/>
    <w:locked/>
    <w:rsid w:val="00F80750"/>
    <w:pPr>
      <w:ind w:left="283"/>
      <w:contextualSpacing/>
    </w:pPr>
  </w:style>
  <w:style w:type="paragraph" w:styleId="ListContinue2">
    <w:name w:val="List Continue 2"/>
    <w:basedOn w:val="Normal"/>
    <w:uiPriority w:val="99"/>
    <w:semiHidden/>
    <w:unhideWhenUsed/>
    <w:locked/>
    <w:rsid w:val="00F80750"/>
    <w:pPr>
      <w:ind w:left="566"/>
      <w:contextualSpacing/>
    </w:pPr>
  </w:style>
  <w:style w:type="paragraph" w:styleId="ListContinue3">
    <w:name w:val="List Continue 3"/>
    <w:basedOn w:val="Normal"/>
    <w:uiPriority w:val="99"/>
    <w:semiHidden/>
    <w:unhideWhenUsed/>
    <w:locked/>
    <w:rsid w:val="00F80750"/>
    <w:pPr>
      <w:ind w:left="849"/>
      <w:contextualSpacing/>
    </w:pPr>
  </w:style>
  <w:style w:type="paragraph" w:styleId="ListContinue4">
    <w:name w:val="List Continue 4"/>
    <w:basedOn w:val="Normal"/>
    <w:uiPriority w:val="99"/>
    <w:semiHidden/>
    <w:unhideWhenUsed/>
    <w:locked/>
    <w:rsid w:val="00F80750"/>
    <w:pPr>
      <w:ind w:left="1132"/>
      <w:contextualSpacing/>
    </w:pPr>
  </w:style>
  <w:style w:type="paragraph" w:styleId="ListContinue5">
    <w:name w:val="List Continue 5"/>
    <w:basedOn w:val="Normal"/>
    <w:uiPriority w:val="99"/>
    <w:semiHidden/>
    <w:unhideWhenUsed/>
    <w:locked/>
    <w:rsid w:val="00F80750"/>
    <w:pPr>
      <w:ind w:left="1415"/>
      <w:contextualSpacing/>
    </w:pPr>
  </w:style>
  <w:style w:type="paragraph" w:styleId="ListNumber5">
    <w:name w:val="List Number 5"/>
    <w:basedOn w:val="Normal"/>
    <w:uiPriority w:val="99"/>
    <w:semiHidden/>
    <w:rsid w:val="008D3395"/>
    <w:pPr>
      <w:numPr>
        <w:numId w:val="5"/>
      </w:numPr>
      <w:contextualSpacing/>
    </w:pPr>
  </w:style>
  <w:style w:type="paragraph" w:styleId="ListParagraph">
    <w:name w:val="List Paragraph"/>
    <w:basedOn w:val="Normal"/>
    <w:uiPriority w:val="34"/>
    <w:unhideWhenUsed/>
    <w:qFormat/>
    <w:rsid w:val="00F80750"/>
    <w:pPr>
      <w:ind w:left="720"/>
      <w:contextualSpacing/>
    </w:pPr>
  </w:style>
  <w:style w:type="paragraph" w:styleId="MacroText">
    <w:name w:val="macro"/>
    <w:link w:val="MacroTextChar"/>
    <w:uiPriority w:val="99"/>
    <w:semiHidden/>
    <w:unhideWhenUsed/>
    <w:locked/>
    <w:rsid w:val="00F8075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F80750"/>
    <w:rPr>
      <w:rFonts w:ascii="Consolas" w:hAnsi="Consolas"/>
      <w:noProof w:val="0"/>
      <w:sz w:val="20"/>
      <w:szCs w:val="20"/>
      <w:lang w:val="en-AU"/>
    </w:rPr>
  </w:style>
  <w:style w:type="table" w:styleId="MediumGrid1">
    <w:name w:val="Medium Grid 1"/>
    <w:basedOn w:val="TableNormal"/>
    <w:uiPriority w:val="67"/>
    <w:locked/>
    <w:rsid w:val="00F8075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tblPr>
      <w:tblStyleRowBandSize w:val="1"/>
      <w:tblStyleColBandSize w:val="1"/>
      <w:tblBorders>
        <w:top w:val="single" w:sz="8"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single" w:sz="8" w:space="0" w:color="40628A" w:themeColor="accent1" w:themeTint="BF"/>
        <w:insideV w:val="single" w:sz="8" w:space="0" w:color="40628A" w:themeColor="accent1" w:themeTint="BF"/>
      </w:tblBorders>
    </w:tblPr>
    <w:tcPr>
      <w:shd w:val="clear" w:color="auto" w:fill="B9CADF" w:themeFill="accent1" w:themeFillTint="3F"/>
    </w:tcPr>
    <w:tblStylePr w:type="firstRow">
      <w:rPr>
        <w:b/>
        <w:bCs/>
      </w:rPr>
    </w:tblStylePr>
    <w:tblStylePr w:type="lastRow">
      <w:rPr>
        <w:b/>
        <w:bCs/>
      </w:rPr>
      <w:tblPr/>
      <w:tcPr>
        <w:tcBorders>
          <w:top w:val="single" w:sz="18" w:space="0" w:color="40628A" w:themeColor="accent1" w:themeTint="BF"/>
        </w:tcBorders>
      </w:tcPr>
    </w:tblStylePr>
    <w:tblStylePr w:type="firstCol">
      <w:rPr>
        <w:b/>
        <w:bCs/>
      </w:rPr>
    </w:tblStylePr>
    <w:tblStylePr w:type="lastCol">
      <w:rPr>
        <w:b/>
        <w:bCs/>
      </w:rPr>
    </w:tblStylePr>
    <w:tblStylePr w:type="band1Vert">
      <w:tblPr/>
      <w:tcPr>
        <w:shd w:val="clear" w:color="auto" w:fill="7395BE" w:themeFill="accent1" w:themeFillTint="7F"/>
      </w:tcPr>
    </w:tblStylePr>
    <w:tblStylePr w:type="band1Horz">
      <w:tblPr/>
      <w:tcPr>
        <w:shd w:val="clear" w:color="auto" w:fill="7395BE" w:themeFill="accent1" w:themeFillTint="7F"/>
      </w:tcPr>
    </w:tblStylePr>
  </w:style>
  <w:style w:type="table" w:styleId="MediumGrid1-Accent2">
    <w:name w:val="Medium Grid 1 Accent 2"/>
    <w:basedOn w:val="TableNormal"/>
    <w:uiPriority w:val="67"/>
    <w:locked/>
    <w:rsid w:val="00F80750"/>
    <w:tblPr>
      <w:tblStyleRowBandSize w:val="1"/>
      <w:tblStyleColBandSize w:val="1"/>
      <w:tblBorders>
        <w:top w:val="single" w:sz="8"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single" w:sz="8" w:space="0" w:color="ABB0B8" w:themeColor="accent2" w:themeTint="BF"/>
        <w:insideV w:val="single" w:sz="8" w:space="0" w:color="ABB0B8" w:themeColor="accent2" w:themeTint="BF"/>
      </w:tblBorders>
    </w:tblPr>
    <w:tcPr>
      <w:shd w:val="clear" w:color="auto" w:fill="E3E4E7" w:themeFill="accent2" w:themeFillTint="3F"/>
    </w:tcPr>
    <w:tblStylePr w:type="firstRow">
      <w:rPr>
        <w:b/>
        <w:bCs/>
      </w:rPr>
    </w:tblStylePr>
    <w:tblStylePr w:type="lastRow">
      <w:rPr>
        <w:b/>
        <w:bCs/>
      </w:rPr>
      <w:tblPr/>
      <w:tcPr>
        <w:tcBorders>
          <w:top w:val="single" w:sz="18" w:space="0" w:color="ABB0B8" w:themeColor="accent2" w:themeTint="BF"/>
        </w:tcBorders>
      </w:tcPr>
    </w:tblStylePr>
    <w:tblStylePr w:type="firstCol">
      <w:rPr>
        <w:b/>
        <w:bCs/>
      </w:rPr>
    </w:tblStylePr>
    <w:tblStylePr w:type="lastCol">
      <w:rPr>
        <w:b/>
        <w:bCs/>
      </w:rPr>
    </w:tblStylePr>
    <w:tblStylePr w:type="band1Vert">
      <w:tblPr/>
      <w:tcPr>
        <w:shd w:val="clear" w:color="auto" w:fill="C7CAD0" w:themeFill="accent2" w:themeFillTint="7F"/>
      </w:tcPr>
    </w:tblStylePr>
    <w:tblStylePr w:type="band1Horz">
      <w:tblPr/>
      <w:tcPr>
        <w:shd w:val="clear" w:color="auto" w:fill="C7CAD0" w:themeFill="accent2" w:themeFillTint="7F"/>
      </w:tcPr>
    </w:tblStylePr>
  </w:style>
  <w:style w:type="table" w:styleId="MediumGrid1-Accent3">
    <w:name w:val="Medium Grid 1 Accent 3"/>
    <w:basedOn w:val="TableNormal"/>
    <w:uiPriority w:val="67"/>
    <w:locked/>
    <w:rsid w:val="00F80750"/>
    <w:tblPr>
      <w:tblStyleRowBandSize w:val="1"/>
      <w:tblStyleColBandSize w:val="1"/>
      <w:tblBorders>
        <w:top w:val="single" w:sz="8" w:space="0" w:color="ABC6B3" w:themeColor="accent3" w:themeTint="BF"/>
        <w:left w:val="single" w:sz="8" w:space="0" w:color="ABC6B3" w:themeColor="accent3" w:themeTint="BF"/>
        <w:bottom w:val="single" w:sz="8" w:space="0" w:color="ABC6B3" w:themeColor="accent3" w:themeTint="BF"/>
        <w:right w:val="single" w:sz="8" w:space="0" w:color="ABC6B3" w:themeColor="accent3" w:themeTint="BF"/>
        <w:insideH w:val="single" w:sz="8" w:space="0" w:color="ABC6B3" w:themeColor="accent3" w:themeTint="BF"/>
        <w:insideV w:val="single" w:sz="8" w:space="0" w:color="ABC6B3" w:themeColor="accent3" w:themeTint="BF"/>
      </w:tblBorders>
    </w:tblPr>
    <w:tcPr>
      <w:shd w:val="clear" w:color="auto" w:fill="E3ECE5" w:themeFill="accent3" w:themeFillTint="3F"/>
    </w:tcPr>
    <w:tblStylePr w:type="firstRow">
      <w:rPr>
        <w:b/>
        <w:bCs/>
      </w:rPr>
    </w:tblStylePr>
    <w:tblStylePr w:type="lastRow">
      <w:rPr>
        <w:b/>
        <w:bCs/>
      </w:rPr>
      <w:tblPr/>
      <w:tcPr>
        <w:tcBorders>
          <w:top w:val="single" w:sz="18" w:space="0" w:color="ABC6B3" w:themeColor="accent3" w:themeTint="BF"/>
        </w:tcBorders>
      </w:tcPr>
    </w:tblStylePr>
    <w:tblStylePr w:type="firstCol">
      <w:rPr>
        <w:b/>
        <w:bCs/>
      </w:rPr>
    </w:tblStylePr>
    <w:tblStylePr w:type="lastCol">
      <w:rPr>
        <w:b/>
        <w:bCs/>
      </w:rPr>
    </w:tblStylePr>
    <w:tblStylePr w:type="band1Vert">
      <w:tblPr/>
      <w:tcPr>
        <w:shd w:val="clear" w:color="auto" w:fill="C7D9CC" w:themeFill="accent3" w:themeFillTint="7F"/>
      </w:tcPr>
    </w:tblStylePr>
    <w:tblStylePr w:type="band1Horz">
      <w:tblPr/>
      <w:tcPr>
        <w:shd w:val="clear" w:color="auto" w:fill="C7D9CC" w:themeFill="accent3" w:themeFillTint="7F"/>
      </w:tcPr>
    </w:tblStylePr>
  </w:style>
  <w:style w:type="table" w:styleId="MediumGrid1-Accent4">
    <w:name w:val="Medium Grid 1 Accent 4"/>
    <w:basedOn w:val="TableNormal"/>
    <w:uiPriority w:val="67"/>
    <w:locked/>
    <w:rsid w:val="00F80750"/>
    <w:tblPr>
      <w:tblStyleRowBandSize w:val="1"/>
      <w:tblStyleColBandSize w:val="1"/>
      <w:tblBorders>
        <w:top w:val="single" w:sz="8"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single" w:sz="8" w:space="0" w:color="FFDF7B" w:themeColor="accent4" w:themeTint="BF"/>
        <w:insideV w:val="single" w:sz="8" w:space="0" w:color="FFDF7B" w:themeColor="accent4" w:themeTint="BF"/>
      </w:tblBorders>
    </w:tblPr>
    <w:tcPr>
      <w:shd w:val="clear" w:color="auto" w:fill="FFF4D3" w:themeFill="accent4" w:themeFillTint="3F"/>
    </w:tcPr>
    <w:tblStylePr w:type="firstRow">
      <w:rPr>
        <w:b/>
        <w:bCs/>
      </w:rPr>
    </w:tblStylePr>
    <w:tblStylePr w:type="lastRow">
      <w:rPr>
        <w:b/>
        <w:bCs/>
      </w:rPr>
      <w:tblPr/>
      <w:tcPr>
        <w:tcBorders>
          <w:top w:val="single" w:sz="18" w:space="0" w:color="FFDF7B" w:themeColor="accent4" w:themeTint="BF"/>
        </w:tcBorders>
      </w:tcPr>
    </w:tblStylePr>
    <w:tblStylePr w:type="firstCol">
      <w:rPr>
        <w:b/>
        <w:bCs/>
      </w:rPr>
    </w:tblStylePr>
    <w:tblStylePr w:type="lastCol">
      <w:rPr>
        <w:b/>
        <w:bCs/>
      </w:rPr>
    </w:tblStylePr>
    <w:tblStylePr w:type="band1Vert">
      <w:tblPr/>
      <w:tcPr>
        <w:shd w:val="clear" w:color="auto" w:fill="FFEAA7" w:themeFill="accent4" w:themeFillTint="7F"/>
      </w:tcPr>
    </w:tblStylePr>
    <w:tblStylePr w:type="band1Horz">
      <w:tblPr/>
      <w:tcPr>
        <w:shd w:val="clear" w:color="auto" w:fill="FFEAA7" w:themeFill="accent4" w:themeFillTint="7F"/>
      </w:tcPr>
    </w:tblStylePr>
  </w:style>
  <w:style w:type="table" w:styleId="MediumGrid1-Accent5">
    <w:name w:val="Medium Grid 1 Accent 5"/>
    <w:basedOn w:val="TableNormal"/>
    <w:uiPriority w:val="67"/>
    <w:locked/>
    <w:rsid w:val="00F80750"/>
    <w:tblPr>
      <w:tblStyleRowBandSize w:val="1"/>
      <w:tblStyleColBandSize w:val="1"/>
      <w:tblBorders>
        <w:top w:val="single" w:sz="8" w:space="0" w:color="F7A278" w:themeColor="accent5" w:themeTint="BF"/>
        <w:left w:val="single" w:sz="8" w:space="0" w:color="F7A278" w:themeColor="accent5" w:themeTint="BF"/>
        <w:bottom w:val="single" w:sz="8" w:space="0" w:color="F7A278" w:themeColor="accent5" w:themeTint="BF"/>
        <w:right w:val="single" w:sz="8" w:space="0" w:color="F7A278" w:themeColor="accent5" w:themeTint="BF"/>
        <w:insideH w:val="single" w:sz="8" w:space="0" w:color="F7A278" w:themeColor="accent5" w:themeTint="BF"/>
        <w:insideV w:val="single" w:sz="8" w:space="0" w:color="F7A278" w:themeColor="accent5" w:themeTint="BF"/>
      </w:tblBorders>
    </w:tblPr>
    <w:tcPr>
      <w:shd w:val="clear" w:color="auto" w:fill="FCE0D2" w:themeFill="accent5" w:themeFillTint="3F"/>
    </w:tcPr>
    <w:tblStylePr w:type="firstRow">
      <w:rPr>
        <w:b/>
        <w:bCs/>
      </w:rPr>
    </w:tblStylePr>
    <w:tblStylePr w:type="lastRow">
      <w:rPr>
        <w:b/>
        <w:bCs/>
      </w:rPr>
      <w:tblPr/>
      <w:tcPr>
        <w:tcBorders>
          <w:top w:val="single" w:sz="18" w:space="0" w:color="F7A278" w:themeColor="accent5" w:themeTint="BF"/>
        </w:tcBorders>
      </w:tcPr>
    </w:tblStylePr>
    <w:tblStylePr w:type="firstCol">
      <w:rPr>
        <w:b/>
        <w:bCs/>
      </w:rPr>
    </w:tblStylePr>
    <w:tblStylePr w:type="lastCol">
      <w:rPr>
        <w:b/>
        <w:bCs/>
      </w:rPr>
    </w:tblStylePr>
    <w:tblStylePr w:type="band1Vert">
      <w:tblPr/>
      <w:tcPr>
        <w:shd w:val="clear" w:color="auto" w:fill="FAC1A5" w:themeFill="accent5" w:themeFillTint="7F"/>
      </w:tcPr>
    </w:tblStylePr>
    <w:tblStylePr w:type="band1Horz">
      <w:tblPr/>
      <w:tcPr>
        <w:shd w:val="clear" w:color="auto" w:fill="FAC1A5" w:themeFill="accent5" w:themeFillTint="7F"/>
      </w:tcPr>
    </w:tblStylePr>
  </w:style>
  <w:style w:type="table" w:styleId="MediumGrid1-Accent6">
    <w:name w:val="Medium Grid 1 Accent 6"/>
    <w:basedOn w:val="TableNormal"/>
    <w:uiPriority w:val="67"/>
    <w:locked/>
    <w:rsid w:val="00F80750"/>
    <w:tblPr>
      <w:tblStyleRowBandSize w:val="1"/>
      <w:tblStyleColBandSize w:val="1"/>
      <w:tblBorders>
        <w:top w:val="single" w:sz="8" w:space="0" w:color="5D83B0" w:themeColor="accent6" w:themeTint="BF"/>
        <w:left w:val="single" w:sz="8" w:space="0" w:color="5D83B0" w:themeColor="accent6" w:themeTint="BF"/>
        <w:bottom w:val="single" w:sz="8" w:space="0" w:color="5D83B0" w:themeColor="accent6" w:themeTint="BF"/>
        <w:right w:val="single" w:sz="8" w:space="0" w:color="5D83B0" w:themeColor="accent6" w:themeTint="BF"/>
        <w:insideH w:val="single" w:sz="8" w:space="0" w:color="5D83B0" w:themeColor="accent6" w:themeTint="BF"/>
        <w:insideV w:val="single" w:sz="8" w:space="0" w:color="5D83B0" w:themeColor="accent6" w:themeTint="BF"/>
      </w:tblBorders>
    </w:tblPr>
    <w:tcPr>
      <w:shd w:val="clear" w:color="auto" w:fill="C9D6E5" w:themeFill="accent6" w:themeFillTint="3F"/>
    </w:tcPr>
    <w:tblStylePr w:type="firstRow">
      <w:rPr>
        <w:b/>
        <w:bCs/>
      </w:rPr>
    </w:tblStylePr>
    <w:tblStylePr w:type="lastRow">
      <w:rPr>
        <w:b/>
        <w:bCs/>
      </w:rPr>
      <w:tblPr/>
      <w:tcPr>
        <w:tcBorders>
          <w:top w:val="single" w:sz="18" w:space="0" w:color="5D83B0" w:themeColor="accent6" w:themeTint="BF"/>
        </w:tcBorders>
      </w:tcPr>
    </w:tblStylePr>
    <w:tblStylePr w:type="firstCol">
      <w:rPr>
        <w:b/>
        <w:bCs/>
      </w:rPr>
    </w:tblStylePr>
    <w:tblStylePr w:type="lastCol">
      <w:rPr>
        <w:b/>
        <w:bCs/>
      </w:rPr>
    </w:tblStylePr>
    <w:tblStylePr w:type="band1Vert">
      <w:tblPr/>
      <w:tcPr>
        <w:shd w:val="clear" w:color="auto" w:fill="93ACCA" w:themeFill="accent6" w:themeFillTint="7F"/>
      </w:tcPr>
    </w:tblStylePr>
    <w:tblStylePr w:type="band1Horz">
      <w:tblPr/>
      <w:tcPr>
        <w:shd w:val="clear" w:color="auto" w:fill="93ACCA" w:themeFill="accent6" w:themeFillTint="7F"/>
      </w:tcPr>
    </w:tblStylePr>
  </w:style>
  <w:style w:type="table" w:styleId="MediumGrid2">
    <w:name w:val="Medium Grid 2"/>
    <w:basedOn w:val="TableNormal"/>
    <w:uiPriority w:val="68"/>
    <w:locked/>
    <w:rsid w:val="00F80750"/>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rPr>
      <w:rFonts w:asciiTheme="majorHAnsi" w:eastAsiaTheme="majorEastAsia" w:hAnsiTheme="majorHAnsi" w:cstheme="majorBidi"/>
      <w:color w:val="000000" w:themeColor="text1"/>
    </w:r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insideH w:val="single" w:sz="8" w:space="0" w:color="203145" w:themeColor="accent1"/>
        <w:insideV w:val="single" w:sz="8" w:space="0" w:color="203145" w:themeColor="accent1"/>
      </w:tblBorders>
    </w:tblPr>
    <w:tcPr>
      <w:shd w:val="clear" w:color="auto" w:fill="B9CADF" w:themeFill="accent1" w:themeFillTint="3F"/>
    </w:tcPr>
    <w:tblStylePr w:type="firstRow">
      <w:rPr>
        <w:b/>
        <w:bCs/>
        <w:color w:val="000000" w:themeColor="text1"/>
      </w:rPr>
      <w:tblPr/>
      <w:tcPr>
        <w:shd w:val="clear" w:color="auto" w:fill="E3EAF2"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D4E5" w:themeFill="accent1" w:themeFillTint="33"/>
      </w:tcPr>
    </w:tblStylePr>
    <w:tblStylePr w:type="band1Vert">
      <w:tblPr/>
      <w:tcPr>
        <w:shd w:val="clear" w:color="auto" w:fill="7395BE" w:themeFill="accent1" w:themeFillTint="7F"/>
      </w:tcPr>
    </w:tblStylePr>
    <w:tblStylePr w:type="band1Horz">
      <w:tblPr/>
      <w:tcPr>
        <w:tcBorders>
          <w:insideH w:val="single" w:sz="6" w:space="0" w:color="203145" w:themeColor="accent1"/>
          <w:insideV w:val="single" w:sz="6" w:space="0" w:color="203145" w:themeColor="accent1"/>
        </w:tcBorders>
        <w:shd w:val="clear" w:color="auto" w:fill="7395B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rPr>
      <w:rFonts w:asciiTheme="majorHAnsi" w:eastAsiaTheme="majorEastAsia" w:hAnsiTheme="majorHAnsi" w:cstheme="majorBidi"/>
      <w:color w:val="000000" w:themeColor="text1"/>
    </w:r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insideH w:val="single" w:sz="8" w:space="0" w:color="8F96A1" w:themeColor="accent2"/>
        <w:insideV w:val="single" w:sz="8" w:space="0" w:color="8F96A1" w:themeColor="accent2"/>
      </w:tblBorders>
    </w:tblPr>
    <w:tcPr>
      <w:shd w:val="clear" w:color="auto" w:fill="E3E4E7" w:themeFill="accent2" w:themeFillTint="3F"/>
    </w:tcPr>
    <w:tblStylePr w:type="firstRow">
      <w:rPr>
        <w:b/>
        <w:bCs/>
        <w:color w:val="000000" w:themeColor="text1"/>
      </w:rPr>
      <w:tblPr/>
      <w:tcPr>
        <w:shd w:val="clear" w:color="auto" w:fill="F3F4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9EC" w:themeFill="accent2" w:themeFillTint="33"/>
      </w:tcPr>
    </w:tblStylePr>
    <w:tblStylePr w:type="band1Vert">
      <w:tblPr/>
      <w:tcPr>
        <w:shd w:val="clear" w:color="auto" w:fill="C7CAD0" w:themeFill="accent2" w:themeFillTint="7F"/>
      </w:tcPr>
    </w:tblStylePr>
    <w:tblStylePr w:type="band1Horz">
      <w:tblPr/>
      <w:tcPr>
        <w:tcBorders>
          <w:insideH w:val="single" w:sz="6" w:space="0" w:color="8F96A1" w:themeColor="accent2"/>
          <w:insideV w:val="single" w:sz="6" w:space="0" w:color="8F96A1" w:themeColor="accent2"/>
        </w:tcBorders>
        <w:shd w:val="clear" w:color="auto" w:fill="C7CAD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rPr>
      <w:rFonts w:asciiTheme="majorHAnsi" w:eastAsiaTheme="majorEastAsia" w:hAnsiTheme="majorHAnsi" w:cstheme="majorBidi"/>
      <w:color w:val="000000" w:themeColor="text1"/>
    </w:rPr>
    <w:tblPr>
      <w:tblStyleRowBandSize w:val="1"/>
      <w:tblStyleColBandSize w:val="1"/>
      <w:tblBorders>
        <w:top w:val="single" w:sz="8" w:space="0" w:color="90B39A" w:themeColor="accent3"/>
        <w:left w:val="single" w:sz="8" w:space="0" w:color="90B39A" w:themeColor="accent3"/>
        <w:bottom w:val="single" w:sz="8" w:space="0" w:color="90B39A" w:themeColor="accent3"/>
        <w:right w:val="single" w:sz="8" w:space="0" w:color="90B39A" w:themeColor="accent3"/>
        <w:insideH w:val="single" w:sz="8" w:space="0" w:color="90B39A" w:themeColor="accent3"/>
        <w:insideV w:val="single" w:sz="8" w:space="0" w:color="90B39A" w:themeColor="accent3"/>
      </w:tblBorders>
    </w:tblPr>
    <w:tcPr>
      <w:shd w:val="clear" w:color="auto" w:fill="E3ECE5" w:themeFill="accent3" w:themeFillTint="3F"/>
    </w:tcPr>
    <w:tblStylePr w:type="firstRow">
      <w:rPr>
        <w:b/>
        <w:bCs/>
        <w:color w:val="000000" w:themeColor="text1"/>
      </w:rPr>
      <w:tblPr/>
      <w:tcPr>
        <w:shd w:val="clear" w:color="auto" w:fill="F4F7F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FEA" w:themeFill="accent3" w:themeFillTint="33"/>
      </w:tcPr>
    </w:tblStylePr>
    <w:tblStylePr w:type="band1Vert">
      <w:tblPr/>
      <w:tcPr>
        <w:shd w:val="clear" w:color="auto" w:fill="C7D9CC" w:themeFill="accent3" w:themeFillTint="7F"/>
      </w:tcPr>
    </w:tblStylePr>
    <w:tblStylePr w:type="band1Horz">
      <w:tblPr/>
      <w:tcPr>
        <w:tcBorders>
          <w:insideH w:val="single" w:sz="6" w:space="0" w:color="90B39A" w:themeColor="accent3"/>
          <w:insideV w:val="single" w:sz="6" w:space="0" w:color="90B39A" w:themeColor="accent3"/>
        </w:tcBorders>
        <w:shd w:val="clear" w:color="auto" w:fill="C7D9C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rPr>
      <w:rFonts w:asciiTheme="majorHAnsi" w:eastAsiaTheme="majorEastAsia" w:hAnsiTheme="majorHAnsi" w:cstheme="majorBidi"/>
      <w:color w:val="000000" w:themeColor="text1"/>
    </w:r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insideH w:val="single" w:sz="8" w:space="0" w:color="FFD64F" w:themeColor="accent4"/>
        <w:insideV w:val="single" w:sz="8" w:space="0" w:color="FFD64F" w:themeColor="accent4"/>
      </w:tblBorders>
    </w:tblPr>
    <w:tcPr>
      <w:shd w:val="clear" w:color="auto" w:fill="FFF4D3" w:themeFill="accent4" w:themeFillTint="3F"/>
    </w:tcPr>
    <w:tblStylePr w:type="firstRow">
      <w:rPr>
        <w:b/>
        <w:bCs/>
        <w:color w:val="000000" w:themeColor="text1"/>
      </w:rPr>
      <w:tblPr/>
      <w:tcPr>
        <w:shd w:val="clear" w:color="auto" w:fill="FFFA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6DB" w:themeFill="accent4" w:themeFillTint="33"/>
      </w:tcPr>
    </w:tblStylePr>
    <w:tblStylePr w:type="band1Vert">
      <w:tblPr/>
      <w:tcPr>
        <w:shd w:val="clear" w:color="auto" w:fill="FFEAA7" w:themeFill="accent4" w:themeFillTint="7F"/>
      </w:tcPr>
    </w:tblStylePr>
    <w:tblStylePr w:type="band1Horz">
      <w:tblPr/>
      <w:tcPr>
        <w:tcBorders>
          <w:insideH w:val="single" w:sz="6" w:space="0" w:color="FFD64F" w:themeColor="accent4"/>
          <w:insideV w:val="single" w:sz="6" w:space="0" w:color="FFD64F" w:themeColor="accent4"/>
        </w:tcBorders>
        <w:shd w:val="clear" w:color="auto" w:fill="FFEA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rPr>
      <w:rFonts w:asciiTheme="majorHAnsi" w:eastAsiaTheme="majorEastAsia" w:hAnsiTheme="majorHAnsi" w:cstheme="majorBidi"/>
      <w:color w:val="000000" w:themeColor="text1"/>
    </w:rPr>
    <w:tblPr>
      <w:tblStyleRowBandSize w:val="1"/>
      <w:tblStyleColBandSize w:val="1"/>
      <w:tblBorders>
        <w:top w:val="single" w:sz="8" w:space="0" w:color="F5834B" w:themeColor="accent5"/>
        <w:left w:val="single" w:sz="8" w:space="0" w:color="F5834B" w:themeColor="accent5"/>
        <w:bottom w:val="single" w:sz="8" w:space="0" w:color="F5834B" w:themeColor="accent5"/>
        <w:right w:val="single" w:sz="8" w:space="0" w:color="F5834B" w:themeColor="accent5"/>
        <w:insideH w:val="single" w:sz="8" w:space="0" w:color="F5834B" w:themeColor="accent5"/>
        <w:insideV w:val="single" w:sz="8" w:space="0" w:color="F5834B" w:themeColor="accent5"/>
      </w:tblBorders>
    </w:tblPr>
    <w:tcPr>
      <w:shd w:val="clear" w:color="auto" w:fill="FCE0D2" w:themeFill="accent5" w:themeFillTint="3F"/>
    </w:tcPr>
    <w:tblStylePr w:type="firstRow">
      <w:rPr>
        <w:b/>
        <w:bCs/>
        <w:color w:val="000000" w:themeColor="text1"/>
      </w:rPr>
      <w:tblPr/>
      <w:tcPr>
        <w:shd w:val="clear" w:color="auto" w:fill="FEF2E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6DB" w:themeFill="accent5" w:themeFillTint="33"/>
      </w:tcPr>
    </w:tblStylePr>
    <w:tblStylePr w:type="band1Vert">
      <w:tblPr/>
      <w:tcPr>
        <w:shd w:val="clear" w:color="auto" w:fill="FAC1A5" w:themeFill="accent5" w:themeFillTint="7F"/>
      </w:tcPr>
    </w:tblStylePr>
    <w:tblStylePr w:type="band1Horz">
      <w:tblPr/>
      <w:tcPr>
        <w:tcBorders>
          <w:insideH w:val="single" w:sz="6" w:space="0" w:color="F5834B" w:themeColor="accent5"/>
          <w:insideV w:val="single" w:sz="6" w:space="0" w:color="F5834B" w:themeColor="accent5"/>
        </w:tcBorders>
        <w:shd w:val="clear" w:color="auto" w:fill="FAC1A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rPr>
      <w:rFonts w:asciiTheme="majorHAnsi" w:eastAsiaTheme="majorEastAsia" w:hAnsiTheme="majorHAnsi" w:cstheme="majorBidi"/>
      <w:color w:val="000000" w:themeColor="text1"/>
    </w:rPr>
    <w:tblPr>
      <w:tblStyleRowBandSize w:val="1"/>
      <w:tblStyleColBandSize w:val="1"/>
      <w:tblBorders>
        <w:top w:val="single" w:sz="8" w:space="0" w:color="3E5C7F" w:themeColor="accent6"/>
        <w:left w:val="single" w:sz="8" w:space="0" w:color="3E5C7F" w:themeColor="accent6"/>
        <w:bottom w:val="single" w:sz="8" w:space="0" w:color="3E5C7F" w:themeColor="accent6"/>
        <w:right w:val="single" w:sz="8" w:space="0" w:color="3E5C7F" w:themeColor="accent6"/>
        <w:insideH w:val="single" w:sz="8" w:space="0" w:color="3E5C7F" w:themeColor="accent6"/>
        <w:insideV w:val="single" w:sz="8" w:space="0" w:color="3E5C7F" w:themeColor="accent6"/>
      </w:tblBorders>
    </w:tblPr>
    <w:tcPr>
      <w:shd w:val="clear" w:color="auto" w:fill="C9D6E5" w:themeFill="accent6" w:themeFillTint="3F"/>
    </w:tcPr>
    <w:tblStylePr w:type="firstRow">
      <w:rPr>
        <w:b/>
        <w:bCs/>
        <w:color w:val="000000" w:themeColor="text1"/>
      </w:rPr>
      <w:tblPr/>
      <w:tcPr>
        <w:shd w:val="clear" w:color="auto" w:fill="E9EE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DDEA" w:themeFill="accent6" w:themeFillTint="33"/>
      </w:tcPr>
    </w:tblStylePr>
    <w:tblStylePr w:type="band1Vert">
      <w:tblPr/>
      <w:tcPr>
        <w:shd w:val="clear" w:color="auto" w:fill="93ACCA" w:themeFill="accent6" w:themeFillTint="7F"/>
      </w:tcPr>
    </w:tblStylePr>
    <w:tblStylePr w:type="band1Horz">
      <w:tblPr/>
      <w:tcPr>
        <w:tcBorders>
          <w:insideH w:val="single" w:sz="6" w:space="0" w:color="3E5C7F" w:themeColor="accent6"/>
          <w:insideV w:val="single" w:sz="6" w:space="0" w:color="3E5C7F" w:themeColor="accent6"/>
        </w:tcBorders>
        <w:shd w:val="clear" w:color="auto" w:fill="93ACC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CAD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314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314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314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314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95B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95BE" w:themeFill="accent1" w:themeFillTint="7F"/>
      </w:tcPr>
    </w:tblStylePr>
  </w:style>
  <w:style w:type="table" w:styleId="MediumGrid3-Accent2">
    <w:name w:val="Medium Grid 3 Accent 2"/>
    <w:basedOn w:val="TableNormal"/>
    <w:uiPriority w:val="69"/>
    <w:locked/>
    <w:rsid w:val="00F8075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4E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F96A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F96A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F96A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F96A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CAD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CAD0" w:themeFill="accent2" w:themeFillTint="7F"/>
      </w:tcPr>
    </w:tblStylePr>
  </w:style>
  <w:style w:type="table" w:styleId="MediumGrid3-Accent3">
    <w:name w:val="Medium Grid 3 Accent 3"/>
    <w:basedOn w:val="TableNormal"/>
    <w:uiPriority w:val="69"/>
    <w:locked/>
    <w:rsid w:val="00F8075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C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B39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B39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B39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B39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D9C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D9CC" w:themeFill="accent3" w:themeFillTint="7F"/>
      </w:tcPr>
    </w:tblStylePr>
  </w:style>
  <w:style w:type="table" w:styleId="MediumGrid3-Accent4">
    <w:name w:val="Medium Grid 3 Accent 4"/>
    <w:basedOn w:val="TableNormal"/>
    <w:uiPriority w:val="69"/>
    <w:locked/>
    <w:rsid w:val="00F8075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4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64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64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64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64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A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AA7" w:themeFill="accent4" w:themeFillTint="7F"/>
      </w:tcPr>
    </w:tblStylePr>
  </w:style>
  <w:style w:type="table" w:styleId="MediumGrid3-Accent5">
    <w:name w:val="Medium Grid 3 Accent 5"/>
    <w:basedOn w:val="TableNormal"/>
    <w:uiPriority w:val="69"/>
    <w:locked/>
    <w:rsid w:val="00F8075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0D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834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834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834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834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C1A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C1A5" w:themeFill="accent5" w:themeFillTint="7F"/>
      </w:tcPr>
    </w:tblStylePr>
  </w:style>
  <w:style w:type="table" w:styleId="MediumGrid3-Accent6">
    <w:name w:val="Medium Grid 3 Accent 6"/>
    <w:basedOn w:val="TableNormal"/>
    <w:uiPriority w:val="69"/>
    <w:locked/>
    <w:rsid w:val="00F8075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D6E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E5C7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E5C7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E5C7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E5C7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ACC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ACCA" w:themeFill="accent6" w:themeFillTint="7F"/>
      </w:tcPr>
    </w:tblStylePr>
  </w:style>
  <w:style w:type="table" w:styleId="MediumList1">
    <w:name w:val="Medium List 1"/>
    <w:basedOn w:val="TableNormal"/>
    <w:uiPriority w:val="65"/>
    <w:locked/>
    <w:rsid w:val="00F80750"/>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31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rPr>
      <w:color w:val="000000" w:themeColor="text1"/>
    </w:rPr>
    <w:tblPr>
      <w:tblStyleRowBandSize w:val="1"/>
      <w:tblStyleColBandSize w:val="1"/>
      <w:tblBorders>
        <w:top w:val="single" w:sz="8" w:space="0" w:color="203145" w:themeColor="accent1"/>
        <w:bottom w:val="single" w:sz="8" w:space="0" w:color="203145" w:themeColor="accent1"/>
      </w:tblBorders>
    </w:tblPr>
    <w:tblStylePr w:type="firstRow">
      <w:rPr>
        <w:rFonts w:asciiTheme="majorHAnsi" w:eastAsiaTheme="majorEastAsia" w:hAnsiTheme="majorHAnsi" w:cstheme="majorBidi"/>
      </w:rPr>
      <w:tblPr/>
      <w:tcPr>
        <w:tcBorders>
          <w:top w:val="nil"/>
          <w:bottom w:val="single" w:sz="8" w:space="0" w:color="203145" w:themeColor="accent1"/>
        </w:tcBorders>
      </w:tcPr>
    </w:tblStylePr>
    <w:tblStylePr w:type="lastRow">
      <w:rPr>
        <w:b/>
        <w:bCs/>
        <w:color w:val="203145" w:themeColor="text2"/>
      </w:rPr>
      <w:tblPr/>
      <w:tcPr>
        <w:tcBorders>
          <w:top w:val="single" w:sz="8" w:space="0" w:color="203145" w:themeColor="accent1"/>
          <w:bottom w:val="single" w:sz="8" w:space="0" w:color="203145" w:themeColor="accent1"/>
        </w:tcBorders>
      </w:tcPr>
    </w:tblStylePr>
    <w:tblStylePr w:type="firstCol">
      <w:rPr>
        <w:b/>
        <w:bCs/>
      </w:rPr>
    </w:tblStylePr>
    <w:tblStylePr w:type="lastCol">
      <w:rPr>
        <w:b/>
        <w:bCs/>
      </w:rPr>
      <w:tblPr/>
      <w:tcPr>
        <w:tcBorders>
          <w:top w:val="single" w:sz="8" w:space="0" w:color="203145" w:themeColor="accent1"/>
          <w:bottom w:val="single" w:sz="8" w:space="0" w:color="203145" w:themeColor="accent1"/>
        </w:tcBorders>
      </w:tcPr>
    </w:tblStylePr>
    <w:tblStylePr w:type="band1Vert">
      <w:tblPr/>
      <w:tcPr>
        <w:shd w:val="clear" w:color="auto" w:fill="B9CADF" w:themeFill="accent1" w:themeFillTint="3F"/>
      </w:tcPr>
    </w:tblStylePr>
    <w:tblStylePr w:type="band1Horz">
      <w:tblPr/>
      <w:tcPr>
        <w:shd w:val="clear" w:color="auto" w:fill="B9CADF" w:themeFill="accent1" w:themeFillTint="3F"/>
      </w:tcPr>
    </w:tblStylePr>
  </w:style>
  <w:style w:type="table" w:styleId="MediumList1-Accent2">
    <w:name w:val="Medium List 1 Accent 2"/>
    <w:basedOn w:val="TableNormal"/>
    <w:uiPriority w:val="65"/>
    <w:locked/>
    <w:rsid w:val="00F80750"/>
    <w:rPr>
      <w:color w:val="000000" w:themeColor="text1"/>
    </w:rPr>
    <w:tblPr>
      <w:tblStyleRowBandSize w:val="1"/>
      <w:tblStyleColBandSize w:val="1"/>
      <w:tblBorders>
        <w:top w:val="single" w:sz="8" w:space="0" w:color="8F96A1" w:themeColor="accent2"/>
        <w:bottom w:val="single" w:sz="8" w:space="0" w:color="8F96A1" w:themeColor="accent2"/>
      </w:tblBorders>
    </w:tblPr>
    <w:tblStylePr w:type="firstRow">
      <w:rPr>
        <w:rFonts w:asciiTheme="majorHAnsi" w:eastAsiaTheme="majorEastAsia" w:hAnsiTheme="majorHAnsi" w:cstheme="majorBidi"/>
      </w:rPr>
      <w:tblPr/>
      <w:tcPr>
        <w:tcBorders>
          <w:top w:val="nil"/>
          <w:bottom w:val="single" w:sz="8" w:space="0" w:color="8F96A1" w:themeColor="accent2"/>
        </w:tcBorders>
      </w:tcPr>
    </w:tblStylePr>
    <w:tblStylePr w:type="lastRow">
      <w:rPr>
        <w:b/>
        <w:bCs/>
        <w:color w:val="203145" w:themeColor="text2"/>
      </w:rPr>
      <w:tblPr/>
      <w:tcPr>
        <w:tcBorders>
          <w:top w:val="single" w:sz="8" w:space="0" w:color="8F96A1" w:themeColor="accent2"/>
          <w:bottom w:val="single" w:sz="8" w:space="0" w:color="8F96A1" w:themeColor="accent2"/>
        </w:tcBorders>
      </w:tcPr>
    </w:tblStylePr>
    <w:tblStylePr w:type="firstCol">
      <w:rPr>
        <w:b/>
        <w:bCs/>
      </w:rPr>
    </w:tblStylePr>
    <w:tblStylePr w:type="lastCol">
      <w:rPr>
        <w:b/>
        <w:bCs/>
      </w:rPr>
      <w:tblPr/>
      <w:tcPr>
        <w:tcBorders>
          <w:top w:val="single" w:sz="8" w:space="0" w:color="8F96A1" w:themeColor="accent2"/>
          <w:bottom w:val="single" w:sz="8" w:space="0" w:color="8F96A1" w:themeColor="accent2"/>
        </w:tcBorders>
      </w:tcPr>
    </w:tblStylePr>
    <w:tblStylePr w:type="band1Vert">
      <w:tblPr/>
      <w:tcPr>
        <w:shd w:val="clear" w:color="auto" w:fill="E3E4E7" w:themeFill="accent2" w:themeFillTint="3F"/>
      </w:tcPr>
    </w:tblStylePr>
    <w:tblStylePr w:type="band1Horz">
      <w:tblPr/>
      <w:tcPr>
        <w:shd w:val="clear" w:color="auto" w:fill="E3E4E7" w:themeFill="accent2" w:themeFillTint="3F"/>
      </w:tcPr>
    </w:tblStylePr>
  </w:style>
  <w:style w:type="table" w:styleId="MediumList1-Accent3">
    <w:name w:val="Medium List 1 Accent 3"/>
    <w:basedOn w:val="TableNormal"/>
    <w:uiPriority w:val="65"/>
    <w:locked/>
    <w:rsid w:val="00F80750"/>
    <w:rPr>
      <w:color w:val="000000" w:themeColor="text1"/>
    </w:rPr>
    <w:tblPr>
      <w:tblStyleRowBandSize w:val="1"/>
      <w:tblStyleColBandSize w:val="1"/>
      <w:tblBorders>
        <w:top w:val="single" w:sz="8" w:space="0" w:color="90B39A" w:themeColor="accent3"/>
        <w:bottom w:val="single" w:sz="8" w:space="0" w:color="90B39A" w:themeColor="accent3"/>
      </w:tblBorders>
    </w:tblPr>
    <w:tblStylePr w:type="firstRow">
      <w:rPr>
        <w:rFonts w:asciiTheme="majorHAnsi" w:eastAsiaTheme="majorEastAsia" w:hAnsiTheme="majorHAnsi" w:cstheme="majorBidi"/>
      </w:rPr>
      <w:tblPr/>
      <w:tcPr>
        <w:tcBorders>
          <w:top w:val="nil"/>
          <w:bottom w:val="single" w:sz="8" w:space="0" w:color="90B39A" w:themeColor="accent3"/>
        </w:tcBorders>
      </w:tcPr>
    </w:tblStylePr>
    <w:tblStylePr w:type="lastRow">
      <w:rPr>
        <w:b/>
        <w:bCs/>
        <w:color w:val="203145" w:themeColor="text2"/>
      </w:rPr>
      <w:tblPr/>
      <w:tcPr>
        <w:tcBorders>
          <w:top w:val="single" w:sz="8" w:space="0" w:color="90B39A" w:themeColor="accent3"/>
          <w:bottom w:val="single" w:sz="8" w:space="0" w:color="90B39A" w:themeColor="accent3"/>
        </w:tcBorders>
      </w:tcPr>
    </w:tblStylePr>
    <w:tblStylePr w:type="firstCol">
      <w:rPr>
        <w:b/>
        <w:bCs/>
      </w:rPr>
    </w:tblStylePr>
    <w:tblStylePr w:type="lastCol">
      <w:rPr>
        <w:b/>
        <w:bCs/>
      </w:rPr>
      <w:tblPr/>
      <w:tcPr>
        <w:tcBorders>
          <w:top w:val="single" w:sz="8" w:space="0" w:color="90B39A" w:themeColor="accent3"/>
          <w:bottom w:val="single" w:sz="8" w:space="0" w:color="90B39A" w:themeColor="accent3"/>
        </w:tcBorders>
      </w:tcPr>
    </w:tblStylePr>
    <w:tblStylePr w:type="band1Vert">
      <w:tblPr/>
      <w:tcPr>
        <w:shd w:val="clear" w:color="auto" w:fill="E3ECE5" w:themeFill="accent3" w:themeFillTint="3F"/>
      </w:tcPr>
    </w:tblStylePr>
    <w:tblStylePr w:type="band1Horz">
      <w:tblPr/>
      <w:tcPr>
        <w:shd w:val="clear" w:color="auto" w:fill="E3ECE5" w:themeFill="accent3" w:themeFillTint="3F"/>
      </w:tcPr>
    </w:tblStylePr>
  </w:style>
  <w:style w:type="table" w:styleId="MediumList1-Accent4">
    <w:name w:val="Medium List 1 Accent 4"/>
    <w:basedOn w:val="TableNormal"/>
    <w:uiPriority w:val="65"/>
    <w:locked/>
    <w:rsid w:val="00F80750"/>
    <w:rPr>
      <w:color w:val="000000" w:themeColor="text1"/>
    </w:rPr>
    <w:tblPr>
      <w:tblStyleRowBandSize w:val="1"/>
      <w:tblStyleColBandSize w:val="1"/>
      <w:tblBorders>
        <w:top w:val="single" w:sz="8" w:space="0" w:color="FFD64F" w:themeColor="accent4"/>
        <w:bottom w:val="single" w:sz="8" w:space="0" w:color="FFD64F" w:themeColor="accent4"/>
      </w:tblBorders>
    </w:tblPr>
    <w:tblStylePr w:type="firstRow">
      <w:rPr>
        <w:rFonts w:asciiTheme="majorHAnsi" w:eastAsiaTheme="majorEastAsia" w:hAnsiTheme="majorHAnsi" w:cstheme="majorBidi"/>
      </w:rPr>
      <w:tblPr/>
      <w:tcPr>
        <w:tcBorders>
          <w:top w:val="nil"/>
          <w:bottom w:val="single" w:sz="8" w:space="0" w:color="FFD64F" w:themeColor="accent4"/>
        </w:tcBorders>
      </w:tcPr>
    </w:tblStylePr>
    <w:tblStylePr w:type="lastRow">
      <w:rPr>
        <w:b/>
        <w:bCs/>
        <w:color w:val="203145" w:themeColor="text2"/>
      </w:rPr>
      <w:tblPr/>
      <w:tcPr>
        <w:tcBorders>
          <w:top w:val="single" w:sz="8" w:space="0" w:color="FFD64F" w:themeColor="accent4"/>
          <w:bottom w:val="single" w:sz="8" w:space="0" w:color="FFD64F" w:themeColor="accent4"/>
        </w:tcBorders>
      </w:tcPr>
    </w:tblStylePr>
    <w:tblStylePr w:type="firstCol">
      <w:rPr>
        <w:b/>
        <w:bCs/>
      </w:rPr>
    </w:tblStylePr>
    <w:tblStylePr w:type="lastCol">
      <w:rPr>
        <w:b/>
        <w:bCs/>
      </w:rPr>
      <w:tblPr/>
      <w:tcPr>
        <w:tcBorders>
          <w:top w:val="single" w:sz="8" w:space="0" w:color="FFD64F" w:themeColor="accent4"/>
          <w:bottom w:val="single" w:sz="8" w:space="0" w:color="FFD64F" w:themeColor="accent4"/>
        </w:tcBorders>
      </w:tcPr>
    </w:tblStylePr>
    <w:tblStylePr w:type="band1Vert">
      <w:tblPr/>
      <w:tcPr>
        <w:shd w:val="clear" w:color="auto" w:fill="FFF4D3" w:themeFill="accent4" w:themeFillTint="3F"/>
      </w:tcPr>
    </w:tblStylePr>
    <w:tblStylePr w:type="band1Horz">
      <w:tblPr/>
      <w:tcPr>
        <w:shd w:val="clear" w:color="auto" w:fill="FFF4D3" w:themeFill="accent4" w:themeFillTint="3F"/>
      </w:tcPr>
    </w:tblStylePr>
  </w:style>
  <w:style w:type="table" w:styleId="MediumList1-Accent5">
    <w:name w:val="Medium List 1 Accent 5"/>
    <w:basedOn w:val="TableNormal"/>
    <w:uiPriority w:val="65"/>
    <w:locked/>
    <w:rsid w:val="00F80750"/>
    <w:rPr>
      <w:color w:val="000000" w:themeColor="text1"/>
    </w:rPr>
    <w:tblPr>
      <w:tblStyleRowBandSize w:val="1"/>
      <w:tblStyleColBandSize w:val="1"/>
      <w:tblBorders>
        <w:top w:val="single" w:sz="8" w:space="0" w:color="F5834B" w:themeColor="accent5"/>
        <w:bottom w:val="single" w:sz="8" w:space="0" w:color="F5834B" w:themeColor="accent5"/>
      </w:tblBorders>
    </w:tblPr>
    <w:tblStylePr w:type="firstRow">
      <w:rPr>
        <w:rFonts w:asciiTheme="majorHAnsi" w:eastAsiaTheme="majorEastAsia" w:hAnsiTheme="majorHAnsi" w:cstheme="majorBidi"/>
      </w:rPr>
      <w:tblPr/>
      <w:tcPr>
        <w:tcBorders>
          <w:top w:val="nil"/>
          <w:bottom w:val="single" w:sz="8" w:space="0" w:color="F5834B" w:themeColor="accent5"/>
        </w:tcBorders>
      </w:tcPr>
    </w:tblStylePr>
    <w:tblStylePr w:type="lastRow">
      <w:rPr>
        <w:b/>
        <w:bCs/>
        <w:color w:val="203145" w:themeColor="text2"/>
      </w:rPr>
      <w:tblPr/>
      <w:tcPr>
        <w:tcBorders>
          <w:top w:val="single" w:sz="8" w:space="0" w:color="F5834B" w:themeColor="accent5"/>
          <w:bottom w:val="single" w:sz="8" w:space="0" w:color="F5834B" w:themeColor="accent5"/>
        </w:tcBorders>
      </w:tcPr>
    </w:tblStylePr>
    <w:tblStylePr w:type="firstCol">
      <w:rPr>
        <w:b/>
        <w:bCs/>
      </w:rPr>
    </w:tblStylePr>
    <w:tblStylePr w:type="lastCol">
      <w:rPr>
        <w:b/>
        <w:bCs/>
      </w:rPr>
      <w:tblPr/>
      <w:tcPr>
        <w:tcBorders>
          <w:top w:val="single" w:sz="8" w:space="0" w:color="F5834B" w:themeColor="accent5"/>
          <w:bottom w:val="single" w:sz="8" w:space="0" w:color="F5834B" w:themeColor="accent5"/>
        </w:tcBorders>
      </w:tcPr>
    </w:tblStylePr>
    <w:tblStylePr w:type="band1Vert">
      <w:tblPr/>
      <w:tcPr>
        <w:shd w:val="clear" w:color="auto" w:fill="FCE0D2" w:themeFill="accent5" w:themeFillTint="3F"/>
      </w:tcPr>
    </w:tblStylePr>
    <w:tblStylePr w:type="band1Horz">
      <w:tblPr/>
      <w:tcPr>
        <w:shd w:val="clear" w:color="auto" w:fill="FCE0D2" w:themeFill="accent5" w:themeFillTint="3F"/>
      </w:tcPr>
    </w:tblStylePr>
  </w:style>
  <w:style w:type="table" w:styleId="MediumList1-Accent6">
    <w:name w:val="Medium List 1 Accent 6"/>
    <w:basedOn w:val="TableNormal"/>
    <w:uiPriority w:val="65"/>
    <w:locked/>
    <w:rsid w:val="00F80750"/>
    <w:rPr>
      <w:color w:val="000000" w:themeColor="text1"/>
    </w:rPr>
    <w:tblPr>
      <w:tblStyleRowBandSize w:val="1"/>
      <w:tblStyleColBandSize w:val="1"/>
      <w:tblBorders>
        <w:top w:val="single" w:sz="8" w:space="0" w:color="3E5C7F" w:themeColor="accent6"/>
        <w:bottom w:val="single" w:sz="8" w:space="0" w:color="3E5C7F" w:themeColor="accent6"/>
      </w:tblBorders>
    </w:tblPr>
    <w:tblStylePr w:type="firstRow">
      <w:rPr>
        <w:rFonts w:asciiTheme="majorHAnsi" w:eastAsiaTheme="majorEastAsia" w:hAnsiTheme="majorHAnsi" w:cstheme="majorBidi"/>
      </w:rPr>
      <w:tblPr/>
      <w:tcPr>
        <w:tcBorders>
          <w:top w:val="nil"/>
          <w:bottom w:val="single" w:sz="8" w:space="0" w:color="3E5C7F" w:themeColor="accent6"/>
        </w:tcBorders>
      </w:tcPr>
    </w:tblStylePr>
    <w:tblStylePr w:type="lastRow">
      <w:rPr>
        <w:b/>
        <w:bCs/>
        <w:color w:val="203145" w:themeColor="text2"/>
      </w:rPr>
      <w:tblPr/>
      <w:tcPr>
        <w:tcBorders>
          <w:top w:val="single" w:sz="8" w:space="0" w:color="3E5C7F" w:themeColor="accent6"/>
          <w:bottom w:val="single" w:sz="8" w:space="0" w:color="3E5C7F" w:themeColor="accent6"/>
        </w:tcBorders>
      </w:tcPr>
    </w:tblStylePr>
    <w:tblStylePr w:type="firstCol">
      <w:rPr>
        <w:b/>
        <w:bCs/>
      </w:rPr>
    </w:tblStylePr>
    <w:tblStylePr w:type="lastCol">
      <w:rPr>
        <w:b/>
        <w:bCs/>
      </w:rPr>
      <w:tblPr/>
      <w:tcPr>
        <w:tcBorders>
          <w:top w:val="single" w:sz="8" w:space="0" w:color="3E5C7F" w:themeColor="accent6"/>
          <w:bottom w:val="single" w:sz="8" w:space="0" w:color="3E5C7F" w:themeColor="accent6"/>
        </w:tcBorders>
      </w:tcPr>
    </w:tblStylePr>
    <w:tblStylePr w:type="band1Vert">
      <w:tblPr/>
      <w:tcPr>
        <w:shd w:val="clear" w:color="auto" w:fill="C9D6E5" w:themeFill="accent6" w:themeFillTint="3F"/>
      </w:tcPr>
    </w:tblStylePr>
    <w:tblStylePr w:type="band1Horz">
      <w:tblPr/>
      <w:tcPr>
        <w:shd w:val="clear" w:color="auto" w:fill="C9D6E5" w:themeFill="accent6" w:themeFillTint="3F"/>
      </w:tcPr>
    </w:tblStylePr>
  </w:style>
  <w:style w:type="table" w:styleId="MediumList2">
    <w:name w:val="Medium List 2"/>
    <w:basedOn w:val="TableNormal"/>
    <w:uiPriority w:val="66"/>
    <w:locked/>
    <w:rsid w:val="00F80750"/>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rPr>
      <w:rFonts w:asciiTheme="majorHAnsi" w:eastAsiaTheme="majorEastAsia" w:hAnsiTheme="majorHAnsi" w:cstheme="majorBidi"/>
      <w:color w:val="000000" w:themeColor="text1"/>
    </w:r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tblBorders>
    </w:tblPr>
    <w:tblStylePr w:type="firstRow">
      <w:rPr>
        <w:sz w:val="24"/>
        <w:szCs w:val="24"/>
      </w:rPr>
      <w:tblPr/>
      <w:tcPr>
        <w:tcBorders>
          <w:top w:val="nil"/>
          <w:left w:val="nil"/>
          <w:bottom w:val="single" w:sz="24" w:space="0" w:color="203145" w:themeColor="accent1"/>
          <w:right w:val="nil"/>
          <w:insideH w:val="nil"/>
          <w:insideV w:val="nil"/>
        </w:tcBorders>
        <w:shd w:val="clear" w:color="auto" w:fill="FFFFFF" w:themeFill="background1"/>
      </w:tcPr>
    </w:tblStylePr>
    <w:tblStylePr w:type="lastRow">
      <w:tblPr/>
      <w:tcPr>
        <w:tcBorders>
          <w:top w:val="single" w:sz="8" w:space="0" w:color="20314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3145" w:themeColor="accent1"/>
          <w:insideH w:val="nil"/>
          <w:insideV w:val="nil"/>
        </w:tcBorders>
        <w:shd w:val="clear" w:color="auto" w:fill="FFFFFF" w:themeFill="background1"/>
      </w:tcPr>
    </w:tblStylePr>
    <w:tblStylePr w:type="lastCol">
      <w:tblPr/>
      <w:tcPr>
        <w:tcBorders>
          <w:top w:val="nil"/>
          <w:left w:val="single" w:sz="8" w:space="0" w:color="20314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CADF" w:themeFill="accent1" w:themeFillTint="3F"/>
      </w:tcPr>
    </w:tblStylePr>
    <w:tblStylePr w:type="band1Horz">
      <w:tblPr/>
      <w:tcPr>
        <w:tcBorders>
          <w:top w:val="nil"/>
          <w:bottom w:val="nil"/>
          <w:insideH w:val="nil"/>
          <w:insideV w:val="nil"/>
        </w:tcBorders>
        <w:shd w:val="clear" w:color="auto" w:fill="B9CAD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rPr>
      <w:rFonts w:asciiTheme="majorHAnsi" w:eastAsiaTheme="majorEastAsia" w:hAnsiTheme="majorHAnsi" w:cstheme="majorBidi"/>
      <w:color w:val="000000" w:themeColor="text1"/>
    </w:r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tblBorders>
    </w:tblPr>
    <w:tblStylePr w:type="firstRow">
      <w:rPr>
        <w:sz w:val="24"/>
        <w:szCs w:val="24"/>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tblPr/>
      <w:tcPr>
        <w:tcBorders>
          <w:top w:val="single" w:sz="8" w:space="0" w:color="8F96A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F96A1" w:themeColor="accent2"/>
          <w:insideH w:val="nil"/>
          <w:insideV w:val="nil"/>
        </w:tcBorders>
        <w:shd w:val="clear" w:color="auto" w:fill="FFFFFF" w:themeFill="background1"/>
      </w:tcPr>
    </w:tblStylePr>
    <w:tblStylePr w:type="lastCol">
      <w:tblPr/>
      <w:tcPr>
        <w:tcBorders>
          <w:top w:val="nil"/>
          <w:left w:val="single" w:sz="8" w:space="0" w:color="8F96A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4E7" w:themeFill="accent2" w:themeFillTint="3F"/>
      </w:tcPr>
    </w:tblStylePr>
    <w:tblStylePr w:type="band1Horz">
      <w:tblPr/>
      <w:tcPr>
        <w:tcBorders>
          <w:top w:val="nil"/>
          <w:bottom w:val="nil"/>
          <w:insideH w:val="nil"/>
          <w:insideV w:val="nil"/>
        </w:tcBorders>
        <w:shd w:val="clear" w:color="auto" w:fill="E3E4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rPr>
      <w:rFonts w:asciiTheme="majorHAnsi" w:eastAsiaTheme="majorEastAsia" w:hAnsiTheme="majorHAnsi" w:cstheme="majorBidi"/>
      <w:color w:val="000000" w:themeColor="text1"/>
    </w:rPr>
    <w:tblPr>
      <w:tblStyleRowBandSize w:val="1"/>
      <w:tblStyleColBandSize w:val="1"/>
      <w:tblBorders>
        <w:top w:val="single" w:sz="8" w:space="0" w:color="90B39A" w:themeColor="accent3"/>
        <w:left w:val="single" w:sz="8" w:space="0" w:color="90B39A" w:themeColor="accent3"/>
        <w:bottom w:val="single" w:sz="8" w:space="0" w:color="90B39A" w:themeColor="accent3"/>
        <w:right w:val="single" w:sz="8" w:space="0" w:color="90B39A" w:themeColor="accent3"/>
      </w:tblBorders>
    </w:tblPr>
    <w:tblStylePr w:type="firstRow">
      <w:rPr>
        <w:sz w:val="24"/>
        <w:szCs w:val="24"/>
      </w:rPr>
      <w:tblPr/>
      <w:tcPr>
        <w:tcBorders>
          <w:top w:val="nil"/>
          <w:left w:val="nil"/>
          <w:bottom w:val="single" w:sz="24" w:space="0" w:color="90B39A" w:themeColor="accent3"/>
          <w:right w:val="nil"/>
          <w:insideH w:val="nil"/>
          <w:insideV w:val="nil"/>
        </w:tcBorders>
        <w:shd w:val="clear" w:color="auto" w:fill="FFFFFF" w:themeFill="background1"/>
      </w:tcPr>
    </w:tblStylePr>
    <w:tblStylePr w:type="lastRow">
      <w:tblPr/>
      <w:tcPr>
        <w:tcBorders>
          <w:top w:val="single" w:sz="8" w:space="0" w:color="90B39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0B39A" w:themeColor="accent3"/>
          <w:insideH w:val="nil"/>
          <w:insideV w:val="nil"/>
        </w:tcBorders>
        <w:shd w:val="clear" w:color="auto" w:fill="FFFFFF" w:themeFill="background1"/>
      </w:tcPr>
    </w:tblStylePr>
    <w:tblStylePr w:type="lastCol">
      <w:tblPr/>
      <w:tcPr>
        <w:tcBorders>
          <w:top w:val="nil"/>
          <w:left w:val="single" w:sz="8" w:space="0" w:color="90B39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CE5" w:themeFill="accent3" w:themeFillTint="3F"/>
      </w:tcPr>
    </w:tblStylePr>
    <w:tblStylePr w:type="band1Horz">
      <w:tblPr/>
      <w:tcPr>
        <w:tcBorders>
          <w:top w:val="nil"/>
          <w:bottom w:val="nil"/>
          <w:insideH w:val="nil"/>
          <w:insideV w:val="nil"/>
        </w:tcBorders>
        <w:shd w:val="clear" w:color="auto" w:fill="E3EC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rPr>
      <w:rFonts w:asciiTheme="majorHAnsi" w:eastAsiaTheme="majorEastAsia" w:hAnsiTheme="majorHAnsi" w:cstheme="majorBidi"/>
      <w:color w:val="000000" w:themeColor="text1"/>
    </w:r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tblBorders>
    </w:tblPr>
    <w:tblStylePr w:type="firstRow">
      <w:rPr>
        <w:sz w:val="24"/>
        <w:szCs w:val="24"/>
      </w:rPr>
      <w:tblPr/>
      <w:tcPr>
        <w:tcBorders>
          <w:top w:val="nil"/>
          <w:left w:val="nil"/>
          <w:bottom w:val="single" w:sz="24" w:space="0" w:color="FFD64F" w:themeColor="accent4"/>
          <w:right w:val="nil"/>
          <w:insideH w:val="nil"/>
          <w:insideV w:val="nil"/>
        </w:tcBorders>
        <w:shd w:val="clear" w:color="auto" w:fill="FFFFFF" w:themeFill="background1"/>
      </w:tcPr>
    </w:tblStylePr>
    <w:tblStylePr w:type="lastRow">
      <w:tblPr/>
      <w:tcPr>
        <w:tcBorders>
          <w:top w:val="single" w:sz="8" w:space="0" w:color="FFD64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64F" w:themeColor="accent4"/>
          <w:insideH w:val="nil"/>
          <w:insideV w:val="nil"/>
        </w:tcBorders>
        <w:shd w:val="clear" w:color="auto" w:fill="FFFFFF" w:themeFill="background1"/>
      </w:tcPr>
    </w:tblStylePr>
    <w:tblStylePr w:type="lastCol">
      <w:tblPr/>
      <w:tcPr>
        <w:tcBorders>
          <w:top w:val="nil"/>
          <w:left w:val="single" w:sz="8" w:space="0" w:color="FFD64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4D3" w:themeFill="accent4" w:themeFillTint="3F"/>
      </w:tcPr>
    </w:tblStylePr>
    <w:tblStylePr w:type="band1Horz">
      <w:tblPr/>
      <w:tcPr>
        <w:tcBorders>
          <w:top w:val="nil"/>
          <w:bottom w:val="nil"/>
          <w:insideH w:val="nil"/>
          <w:insideV w:val="nil"/>
        </w:tcBorders>
        <w:shd w:val="clear" w:color="auto" w:fill="FFF4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rPr>
      <w:rFonts w:asciiTheme="majorHAnsi" w:eastAsiaTheme="majorEastAsia" w:hAnsiTheme="majorHAnsi" w:cstheme="majorBidi"/>
      <w:color w:val="000000" w:themeColor="text1"/>
    </w:rPr>
    <w:tblPr>
      <w:tblStyleRowBandSize w:val="1"/>
      <w:tblStyleColBandSize w:val="1"/>
      <w:tblBorders>
        <w:top w:val="single" w:sz="8" w:space="0" w:color="F5834B" w:themeColor="accent5"/>
        <w:left w:val="single" w:sz="8" w:space="0" w:color="F5834B" w:themeColor="accent5"/>
        <w:bottom w:val="single" w:sz="8" w:space="0" w:color="F5834B" w:themeColor="accent5"/>
        <w:right w:val="single" w:sz="8" w:space="0" w:color="F5834B" w:themeColor="accent5"/>
      </w:tblBorders>
    </w:tblPr>
    <w:tblStylePr w:type="firstRow">
      <w:rPr>
        <w:sz w:val="24"/>
        <w:szCs w:val="24"/>
      </w:rPr>
      <w:tblPr/>
      <w:tcPr>
        <w:tcBorders>
          <w:top w:val="nil"/>
          <w:left w:val="nil"/>
          <w:bottom w:val="single" w:sz="24" w:space="0" w:color="F5834B" w:themeColor="accent5"/>
          <w:right w:val="nil"/>
          <w:insideH w:val="nil"/>
          <w:insideV w:val="nil"/>
        </w:tcBorders>
        <w:shd w:val="clear" w:color="auto" w:fill="FFFFFF" w:themeFill="background1"/>
      </w:tcPr>
    </w:tblStylePr>
    <w:tblStylePr w:type="lastRow">
      <w:tblPr/>
      <w:tcPr>
        <w:tcBorders>
          <w:top w:val="single" w:sz="8" w:space="0" w:color="F5834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834B" w:themeColor="accent5"/>
          <w:insideH w:val="nil"/>
          <w:insideV w:val="nil"/>
        </w:tcBorders>
        <w:shd w:val="clear" w:color="auto" w:fill="FFFFFF" w:themeFill="background1"/>
      </w:tcPr>
    </w:tblStylePr>
    <w:tblStylePr w:type="lastCol">
      <w:tblPr/>
      <w:tcPr>
        <w:tcBorders>
          <w:top w:val="nil"/>
          <w:left w:val="single" w:sz="8" w:space="0" w:color="F5834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0D2" w:themeFill="accent5" w:themeFillTint="3F"/>
      </w:tcPr>
    </w:tblStylePr>
    <w:tblStylePr w:type="band1Horz">
      <w:tblPr/>
      <w:tcPr>
        <w:tcBorders>
          <w:top w:val="nil"/>
          <w:bottom w:val="nil"/>
          <w:insideH w:val="nil"/>
          <w:insideV w:val="nil"/>
        </w:tcBorders>
        <w:shd w:val="clear" w:color="auto" w:fill="FCE0D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rPr>
      <w:rFonts w:asciiTheme="majorHAnsi" w:eastAsiaTheme="majorEastAsia" w:hAnsiTheme="majorHAnsi" w:cstheme="majorBidi"/>
      <w:color w:val="000000" w:themeColor="text1"/>
    </w:rPr>
    <w:tblPr>
      <w:tblStyleRowBandSize w:val="1"/>
      <w:tblStyleColBandSize w:val="1"/>
      <w:tblBorders>
        <w:top w:val="single" w:sz="8" w:space="0" w:color="3E5C7F" w:themeColor="accent6"/>
        <w:left w:val="single" w:sz="8" w:space="0" w:color="3E5C7F" w:themeColor="accent6"/>
        <w:bottom w:val="single" w:sz="8" w:space="0" w:color="3E5C7F" w:themeColor="accent6"/>
        <w:right w:val="single" w:sz="8" w:space="0" w:color="3E5C7F" w:themeColor="accent6"/>
      </w:tblBorders>
    </w:tblPr>
    <w:tblStylePr w:type="firstRow">
      <w:rPr>
        <w:sz w:val="24"/>
        <w:szCs w:val="24"/>
      </w:rPr>
      <w:tblPr/>
      <w:tcPr>
        <w:tcBorders>
          <w:top w:val="nil"/>
          <w:left w:val="nil"/>
          <w:bottom w:val="single" w:sz="24" w:space="0" w:color="3E5C7F" w:themeColor="accent6"/>
          <w:right w:val="nil"/>
          <w:insideH w:val="nil"/>
          <w:insideV w:val="nil"/>
        </w:tcBorders>
        <w:shd w:val="clear" w:color="auto" w:fill="FFFFFF" w:themeFill="background1"/>
      </w:tcPr>
    </w:tblStylePr>
    <w:tblStylePr w:type="lastRow">
      <w:tblPr/>
      <w:tcPr>
        <w:tcBorders>
          <w:top w:val="single" w:sz="8" w:space="0" w:color="3E5C7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E5C7F" w:themeColor="accent6"/>
          <w:insideH w:val="nil"/>
          <w:insideV w:val="nil"/>
        </w:tcBorders>
        <w:shd w:val="clear" w:color="auto" w:fill="FFFFFF" w:themeFill="background1"/>
      </w:tcPr>
    </w:tblStylePr>
    <w:tblStylePr w:type="lastCol">
      <w:tblPr/>
      <w:tcPr>
        <w:tcBorders>
          <w:top w:val="nil"/>
          <w:left w:val="single" w:sz="8" w:space="0" w:color="3E5C7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D6E5" w:themeFill="accent6" w:themeFillTint="3F"/>
      </w:tcPr>
    </w:tblStylePr>
    <w:tblStylePr w:type="band1Horz">
      <w:tblPr/>
      <w:tcPr>
        <w:tcBorders>
          <w:top w:val="nil"/>
          <w:bottom w:val="nil"/>
          <w:insideH w:val="nil"/>
          <w:insideV w:val="nil"/>
        </w:tcBorders>
        <w:shd w:val="clear" w:color="auto" w:fill="C9D6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tblPr>
      <w:tblStyleRowBandSize w:val="1"/>
      <w:tblStyleColBandSize w:val="1"/>
      <w:tblBorders>
        <w:top w:val="single" w:sz="8"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single" w:sz="8" w:space="0" w:color="40628A" w:themeColor="accent1" w:themeTint="BF"/>
      </w:tblBorders>
    </w:tblPr>
    <w:tblStylePr w:type="firstRow">
      <w:pPr>
        <w:spacing w:before="0" w:after="0" w:line="240" w:lineRule="auto"/>
      </w:pPr>
      <w:rPr>
        <w:b/>
        <w:bCs/>
        <w:color w:val="FFFFFF" w:themeColor="background1"/>
      </w:rPr>
      <w:tblPr/>
      <w:tcPr>
        <w:tcBorders>
          <w:top w:val="single" w:sz="8"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nil"/>
          <w:insideV w:val="nil"/>
        </w:tcBorders>
        <w:shd w:val="clear" w:color="auto" w:fill="203145" w:themeFill="accent1"/>
      </w:tcPr>
    </w:tblStylePr>
    <w:tblStylePr w:type="lastRow">
      <w:pPr>
        <w:spacing w:before="0" w:after="0" w:line="240" w:lineRule="auto"/>
      </w:pPr>
      <w:rPr>
        <w:b/>
        <w:bCs/>
      </w:rPr>
      <w:tblPr/>
      <w:tcPr>
        <w:tcBorders>
          <w:top w:val="double" w:sz="6"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nil"/>
          <w:insideV w:val="nil"/>
        </w:tcBorders>
      </w:tcPr>
    </w:tblStylePr>
    <w:tblStylePr w:type="firstCol">
      <w:rPr>
        <w:b/>
        <w:bCs/>
      </w:rPr>
    </w:tblStylePr>
    <w:tblStylePr w:type="lastCol">
      <w:rPr>
        <w:b/>
        <w:bCs/>
      </w:rPr>
    </w:tblStylePr>
    <w:tblStylePr w:type="band1Vert">
      <w:tblPr/>
      <w:tcPr>
        <w:shd w:val="clear" w:color="auto" w:fill="B9CADF" w:themeFill="accent1" w:themeFillTint="3F"/>
      </w:tcPr>
    </w:tblStylePr>
    <w:tblStylePr w:type="band1Horz">
      <w:tblPr/>
      <w:tcPr>
        <w:tcBorders>
          <w:insideH w:val="nil"/>
          <w:insideV w:val="nil"/>
        </w:tcBorders>
        <w:shd w:val="clear" w:color="auto" w:fill="B9CAD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tblPr>
      <w:tblStyleRowBandSize w:val="1"/>
      <w:tblStyleColBandSize w:val="1"/>
      <w:tblBorders>
        <w:top w:val="single" w:sz="8"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single" w:sz="8" w:space="0" w:color="ABB0B8" w:themeColor="accent2" w:themeTint="BF"/>
      </w:tblBorders>
    </w:tblPr>
    <w:tblStylePr w:type="firstRow">
      <w:pPr>
        <w:spacing w:before="0" w:after="0" w:line="240" w:lineRule="auto"/>
      </w:pPr>
      <w:rPr>
        <w:b/>
        <w:bCs/>
        <w:color w:val="FFFFFF" w:themeColor="background1"/>
      </w:rPr>
      <w:tblPr/>
      <w:tcPr>
        <w:tcBorders>
          <w:top w:val="single" w:sz="8"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nil"/>
          <w:insideV w:val="nil"/>
        </w:tcBorders>
        <w:shd w:val="clear" w:color="auto" w:fill="8F96A1" w:themeFill="accent2"/>
      </w:tcPr>
    </w:tblStylePr>
    <w:tblStylePr w:type="lastRow">
      <w:pPr>
        <w:spacing w:before="0" w:after="0" w:line="240" w:lineRule="auto"/>
      </w:pPr>
      <w:rPr>
        <w:b/>
        <w:bCs/>
      </w:rPr>
      <w:tblPr/>
      <w:tcPr>
        <w:tcBorders>
          <w:top w:val="double" w:sz="6"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4E7" w:themeFill="accent2" w:themeFillTint="3F"/>
      </w:tcPr>
    </w:tblStylePr>
    <w:tblStylePr w:type="band1Horz">
      <w:tblPr/>
      <w:tcPr>
        <w:tcBorders>
          <w:insideH w:val="nil"/>
          <w:insideV w:val="nil"/>
        </w:tcBorders>
        <w:shd w:val="clear" w:color="auto" w:fill="E3E4E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tblPr>
      <w:tblStyleRowBandSize w:val="1"/>
      <w:tblStyleColBandSize w:val="1"/>
      <w:tblBorders>
        <w:top w:val="single" w:sz="8" w:space="0" w:color="ABC6B3" w:themeColor="accent3" w:themeTint="BF"/>
        <w:left w:val="single" w:sz="8" w:space="0" w:color="ABC6B3" w:themeColor="accent3" w:themeTint="BF"/>
        <w:bottom w:val="single" w:sz="8" w:space="0" w:color="ABC6B3" w:themeColor="accent3" w:themeTint="BF"/>
        <w:right w:val="single" w:sz="8" w:space="0" w:color="ABC6B3" w:themeColor="accent3" w:themeTint="BF"/>
        <w:insideH w:val="single" w:sz="8" w:space="0" w:color="ABC6B3" w:themeColor="accent3" w:themeTint="BF"/>
      </w:tblBorders>
    </w:tblPr>
    <w:tblStylePr w:type="firstRow">
      <w:pPr>
        <w:spacing w:before="0" w:after="0" w:line="240" w:lineRule="auto"/>
      </w:pPr>
      <w:rPr>
        <w:b/>
        <w:bCs/>
        <w:color w:val="FFFFFF" w:themeColor="background1"/>
      </w:rPr>
      <w:tblPr/>
      <w:tcPr>
        <w:tcBorders>
          <w:top w:val="single" w:sz="8" w:space="0" w:color="ABC6B3" w:themeColor="accent3" w:themeTint="BF"/>
          <w:left w:val="single" w:sz="8" w:space="0" w:color="ABC6B3" w:themeColor="accent3" w:themeTint="BF"/>
          <w:bottom w:val="single" w:sz="8" w:space="0" w:color="ABC6B3" w:themeColor="accent3" w:themeTint="BF"/>
          <w:right w:val="single" w:sz="8" w:space="0" w:color="ABC6B3" w:themeColor="accent3" w:themeTint="BF"/>
          <w:insideH w:val="nil"/>
          <w:insideV w:val="nil"/>
        </w:tcBorders>
        <w:shd w:val="clear" w:color="auto" w:fill="90B39A" w:themeFill="accent3"/>
      </w:tcPr>
    </w:tblStylePr>
    <w:tblStylePr w:type="lastRow">
      <w:pPr>
        <w:spacing w:before="0" w:after="0" w:line="240" w:lineRule="auto"/>
      </w:pPr>
      <w:rPr>
        <w:b/>
        <w:bCs/>
      </w:rPr>
      <w:tblPr/>
      <w:tcPr>
        <w:tcBorders>
          <w:top w:val="double" w:sz="6" w:space="0" w:color="ABC6B3" w:themeColor="accent3" w:themeTint="BF"/>
          <w:left w:val="single" w:sz="8" w:space="0" w:color="ABC6B3" w:themeColor="accent3" w:themeTint="BF"/>
          <w:bottom w:val="single" w:sz="8" w:space="0" w:color="ABC6B3" w:themeColor="accent3" w:themeTint="BF"/>
          <w:right w:val="single" w:sz="8" w:space="0" w:color="ABC6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E3ECE5" w:themeFill="accent3" w:themeFillTint="3F"/>
      </w:tcPr>
    </w:tblStylePr>
    <w:tblStylePr w:type="band1Horz">
      <w:tblPr/>
      <w:tcPr>
        <w:tcBorders>
          <w:insideH w:val="nil"/>
          <w:insideV w:val="nil"/>
        </w:tcBorders>
        <w:shd w:val="clear" w:color="auto" w:fill="E3EC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tblPr>
      <w:tblStyleRowBandSize w:val="1"/>
      <w:tblStyleColBandSize w:val="1"/>
      <w:tblBorders>
        <w:top w:val="single" w:sz="8"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single" w:sz="8" w:space="0" w:color="FFDF7B" w:themeColor="accent4" w:themeTint="BF"/>
      </w:tblBorders>
    </w:tblPr>
    <w:tblStylePr w:type="firstRow">
      <w:pPr>
        <w:spacing w:before="0" w:after="0" w:line="240" w:lineRule="auto"/>
      </w:pPr>
      <w:rPr>
        <w:b/>
        <w:bCs/>
        <w:color w:val="FFFFFF" w:themeColor="background1"/>
      </w:rPr>
      <w:tblPr/>
      <w:tcPr>
        <w:tcBorders>
          <w:top w:val="single" w:sz="8"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nil"/>
          <w:insideV w:val="nil"/>
        </w:tcBorders>
        <w:shd w:val="clear" w:color="auto" w:fill="FFD64F" w:themeFill="accent4"/>
      </w:tcPr>
    </w:tblStylePr>
    <w:tblStylePr w:type="lastRow">
      <w:pPr>
        <w:spacing w:before="0" w:after="0" w:line="240" w:lineRule="auto"/>
      </w:pPr>
      <w:rPr>
        <w:b/>
        <w:bCs/>
      </w:rPr>
      <w:tblPr/>
      <w:tcPr>
        <w:tcBorders>
          <w:top w:val="double" w:sz="6"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4D3" w:themeFill="accent4" w:themeFillTint="3F"/>
      </w:tcPr>
    </w:tblStylePr>
    <w:tblStylePr w:type="band1Horz">
      <w:tblPr/>
      <w:tcPr>
        <w:tcBorders>
          <w:insideH w:val="nil"/>
          <w:insideV w:val="nil"/>
        </w:tcBorders>
        <w:shd w:val="clear" w:color="auto" w:fill="FFF4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tblPr>
      <w:tblStyleRowBandSize w:val="1"/>
      <w:tblStyleColBandSize w:val="1"/>
      <w:tblBorders>
        <w:top w:val="single" w:sz="8" w:space="0" w:color="F7A278" w:themeColor="accent5" w:themeTint="BF"/>
        <w:left w:val="single" w:sz="8" w:space="0" w:color="F7A278" w:themeColor="accent5" w:themeTint="BF"/>
        <w:bottom w:val="single" w:sz="8" w:space="0" w:color="F7A278" w:themeColor="accent5" w:themeTint="BF"/>
        <w:right w:val="single" w:sz="8" w:space="0" w:color="F7A278" w:themeColor="accent5" w:themeTint="BF"/>
        <w:insideH w:val="single" w:sz="8" w:space="0" w:color="F7A278" w:themeColor="accent5" w:themeTint="BF"/>
      </w:tblBorders>
    </w:tblPr>
    <w:tblStylePr w:type="firstRow">
      <w:pPr>
        <w:spacing w:before="0" w:after="0" w:line="240" w:lineRule="auto"/>
      </w:pPr>
      <w:rPr>
        <w:b/>
        <w:bCs/>
        <w:color w:val="FFFFFF" w:themeColor="background1"/>
      </w:rPr>
      <w:tblPr/>
      <w:tcPr>
        <w:tcBorders>
          <w:top w:val="single" w:sz="8" w:space="0" w:color="F7A278" w:themeColor="accent5" w:themeTint="BF"/>
          <w:left w:val="single" w:sz="8" w:space="0" w:color="F7A278" w:themeColor="accent5" w:themeTint="BF"/>
          <w:bottom w:val="single" w:sz="8" w:space="0" w:color="F7A278" w:themeColor="accent5" w:themeTint="BF"/>
          <w:right w:val="single" w:sz="8" w:space="0" w:color="F7A278" w:themeColor="accent5" w:themeTint="BF"/>
          <w:insideH w:val="nil"/>
          <w:insideV w:val="nil"/>
        </w:tcBorders>
        <w:shd w:val="clear" w:color="auto" w:fill="F5834B" w:themeFill="accent5"/>
      </w:tcPr>
    </w:tblStylePr>
    <w:tblStylePr w:type="lastRow">
      <w:pPr>
        <w:spacing w:before="0" w:after="0" w:line="240" w:lineRule="auto"/>
      </w:pPr>
      <w:rPr>
        <w:b/>
        <w:bCs/>
      </w:rPr>
      <w:tblPr/>
      <w:tcPr>
        <w:tcBorders>
          <w:top w:val="double" w:sz="6" w:space="0" w:color="F7A278" w:themeColor="accent5" w:themeTint="BF"/>
          <w:left w:val="single" w:sz="8" w:space="0" w:color="F7A278" w:themeColor="accent5" w:themeTint="BF"/>
          <w:bottom w:val="single" w:sz="8" w:space="0" w:color="F7A278" w:themeColor="accent5" w:themeTint="BF"/>
          <w:right w:val="single" w:sz="8" w:space="0" w:color="F7A27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CE0D2" w:themeFill="accent5" w:themeFillTint="3F"/>
      </w:tcPr>
    </w:tblStylePr>
    <w:tblStylePr w:type="band1Horz">
      <w:tblPr/>
      <w:tcPr>
        <w:tcBorders>
          <w:insideH w:val="nil"/>
          <w:insideV w:val="nil"/>
        </w:tcBorders>
        <w:shd w:val="clear" w:color="auto" w:fill="FCE0D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tblPr>
      <w:tblStyleRowBandSize w:val="1"/>
      <w:tblStyleColBandSize w:val="1"/>
      <w:tblBorders>
        <w:top w:val="single" w:sz="8" w:space="0" w:color="5D83B0" w:themeColor="accent6" w:themeTint="BF"/>
        <w:left w:val="single" w:sz="8" w:space="0" w:color="5D83B0" w:themeColor="accent6" w:themeTint="BF"/>
        <w:bottom w:val="single" w:sz="8" w:space="0" w:color="5D83B0" w:themeColor="accent6" w:themeTint="BF"/>
        <w:right w:val="single" w:sz="8" w:space="0" w:color="5D83B0" w:themeColor="accent6" w:themeTint="BF"/>
        <w:insideH w:val="single" w:sz="8" w:space="0" w:color="5D83B0" w:themeColor="accent6" w:themeTint="BF"/>
      </w:tblBorders>
    </w:tblPr>
    <w:tblStylePr w:type="firstRow">
      <w:pPr>
        <w:spacing w:before="0" w:after="0" w:line="240" w:lineRule="auto"/>
      </w:pPr>
      <w:rPr>
        <w:b/>
        <w:bCs/>
        <w:color w:val="FFFFFF" w:themeColor="background1"/>
      </w:rPr>
      <w:tblPr/>
      <w:tcPr>
        <w:tcBorders>
          <w:top w:val="single" w:sz="8" w:space="0" w:color="5D83B0" w:themeColor="accent6" w:themeTint="BF"/>
          <w:left w:val="single" w:sz="8" w:space="0" w:color="5D83B0" w:themeColor="accent6" w:themeTint="BF"/>
          <w:bottom w:val="single" w:sz="8" w:space="0" w:color="5D83B0" w:themeColor="accent6" w:themeTint="BF"/>
          <w:right w:val="single" w:sz="8" w:space="0" w:color="5D83B0" w:themeColor="accent6" w:themeTint="BF"/>
          <w:insideH w:val="nil"/>
          <w:insideV w:val="nil"/>
        </w:tcBorders>
        <w:shd w:val="clear" w:color="auto" w:fill="3E5C7F" w:themeFill="accent6"/>
      </w:tcPr>
    </w:tblStylePr>
    <w:tblStylePr w:type="lastRow">
      <w:pPr>
        <w:spacing w:before="0" w:after="0" w:line="240" w:lineRule="auto"/>
      </w:pPr>
      <w:rPr>
        <w:b/>
        <w:bCs/>
      </w:rPr>
      <w:tblPr/>
      <w:tcPr>
        <w:tcBorders>
          <w:top w:val="double" w:sz="6" w:space="0" w:color="5D83B0" w:themeColor="accent6" w:themeTint="BF"/>
          <w:left w:val="single" w:sz="8" w:space="0" w:color="5D83B0" w:themeColor="accent6" w:themeTint="BF"/>
          <w:bottom w:val="single" w:sz="8" w:space="0" w:color="5D83B0" w:themeColor="accent6" w:themeTint="BF"/>
          <w:right w:val="single" w:sz="8" w:space="0" w:color="5D83B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9D6E5" w:themeFill="accent6" w:themeFillTint="3F"/>
      </w:tcPr>
    </w:tblStylePr>
    <w:tblStylePr w:type="band1Horz">
      <w:tblPr/>
      <w:tcPr>
        <w:tcBorders>
          <w:insideH w:val="nil"/>
          <w:insideV w:val="nil"/>
        </w:tcBorders>
        <w:shd w:val="clear" w:color="auto" w:fill="C9D6E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314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3145" w:themeFill="accent1"/>
      </w:tcPr>
    </w:tblStylePr>
    <w:tblStylePr w:type="lastCol">
      <w:rPr>
        <w:b/>
        <w:bCs/>
        <w:color w:val="FFFFFF" w:themeColor="background1"/>
      </w:rPr>
      <w:tblPr/>
      <w:tcPr>
        <w:tcBorders>
          <w:left w:val="nil"/>
          <w:right w:val="nil"/>
          <w:insideH w:val="nil"/>
          <w:insideV w:val="nil"/>
        </w:tcBorders>
        <w:shd w:val="clear" w:color="auto" w:fill="20314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F96A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F96A1" w:themeFill="accent2"/>
      </w:tcPr>
    </w:tblStylePr>
    <w:tblStylePr w:type="lastCol">
      <w:rPr>
        <w:b/>
        <w:bCs/>
        <w:color w:val="FFFFFF" w:themeColor="background1"/>
      </w:rPr>
      <w:tblPr/>
      <w:tcPr>
        <w:tcBorders>
          <w:left w:val="nil"/>
          <w:right w:val="nil"/>
          <w:insideH w:val="nil"/>
          <w:insideV w:val="nil"/>
        </w:tcBorders>
        <w:shd w:val="clear" w:color="auto" w:fill="8F96A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0B39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0B39A" w:themeFill="accent3"/>
      </w:tcPr>
    </w:tblStylePr>
    <w:tblStylePr w:type="lastCol">
      <w:rPr>
        <w:b/>
        <w:bCs/>
        <w:color w:val="FFFFFF" w:themeColor="background1"/>
      </w:rPr>
      <w:tblPr/>
      <w:tcPr>
        <w:tcBorders>
          <w:left w:val="nil"/>
          <w:right w:val="nil"/>
          <w:insideH w:val="nil"/>
          <w:insideV w:val="nil"/>
        </w:tcBorders>
        <w:shd w:val="clear" w:color="auto" w:fill="90B39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D64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D64F" w:themeFill="accent4"/>
      </w:tcPr>
    </w:tblStylePr>
    <w:tblStylePr w:type="lastCol">
      <w:rPr>
        <w:b/>
        <w:bCs/>
        <w:color w:val="FFFFFF" w:themeColor="background1"/>
      </w:rPr>
      <w:tblPr/>
      <w:tcPr>
        <w:tcBorders>
          <w:left w:val="nil"/>
          <w:right w:val="nil"/>
          <w:insideH w:val="nil"/>
          <w:insideV w:val="nil"/>
        </w:tcBorders>
        <w:shd w:val="clear" w:color="auto" w:fill="FFD64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5834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834B" w:themeFill="accent5"/>
      </w:tcPr>
    </w:tblStylePr>
    <w:tblStylePr w:type="lastCol">
      <w:rPr>
        <w:b/>
        <w:bCs/>
        <w:color w:val="FFFFFF" w:themeColor="background1"/>
      </w:rPr>
      <w:tblPr/>
      <w:tcPr>
        <w:tcBorders>
          <w:left w:val="nil"/>
          <w:right w:val="nil"/>
          <w:insideH w:val="nil"/>
          <w:insideV w:val="nil"/>
        </w:tcBorders>
        <w:shd w:val="clear" w:color="auto" w:fill="F5834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5C7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5C7F" w:themeFill="accent6"/>
      </w:tcPr>
    </w:tblStylePr>
    <w:tblStylePr w:type="lastCol">
      <w:rPr>
        <w:b/>
        <w:bCs/>
        <w:color w:val="FFFFFF" w:themeColor="background1"/>
      </w:rPr>
      <w:tblPr/>
      <w:tcPr>
        <w:tcBorders>
          <w:left w:val="nil"/>
          <w:right w:val="nil"/>
          <w:insideH w:val="nil"/>
          <w:insideV w:val="nil"/>
        </w:tcBorders>
        <w:shd w:val="clear" w:color="auto" w:fill="3E5C7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F8075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80750"/>
    <w:rPr>
      <w:rFonts w:asciiTheme="majorHAnsi" w:eastAsiaTheme="majorEastAsia" w:hAnsiTheme="majorHAnsi" w:cstheme="majorBidi"/>
      <w:noProof w:val="0"/>
      <w:sz w:val="24"/>
      <w:szCs w:val="24"/>
      <w:shd w:val="pct20" w:color="auto" w:fill="auto"/>
      <w:lang w:val="en-AU"/>
    </w:rPr>
  </w:style>
  <w:style w:type="paragraph" w:styleId="NoSpacing">
    <w:name w:val="No Spacing"/>
    <w:uiPriority w:val="16"/>
    <w:qFormat/>
    <w:rsid w:val="00CA4ACE"/>
    <w:pPr>
      <w:ind w:left="0" w:right="0"/>
    </w:pPr>
  </w:style>
  <w:style w:type="paragraph" w:styleId="NormalWeb">
    <w:name w:val="Normal (Web)"/>
    <w:basedOn w:val="Normal"/>
    <w:uiPriority w:val="99"/>
    <w:semiHidden/>
    <w:unhideWhenUsed/>
    <w:locked/>
    <w:rsid w:val="00F80750"/>
    <w:rPr>
      <w:rFonts w:ascii="Times New Roman" w:hAnsi="Times New Roman" w:cs="Times New Roman"/>
    </w:rPr>
  </w:style>
  <w:style w:type="paragraph" w:styleId="NormalIndent">
    <w:name w:val="Normal Indent"/>
    <w:basedOn w:val="Normal"/>
    <w:uiPriority w:val="99"/>
    <w:semiHidden/>
    <w:unhideWhenUsed/>
    <w:locked/>
    <w:rsid w:val="00F80750"/>
    <w:pPr>
      <w:ind w:left="720"/>
    </w:pPr>
  </w:style>
  <w:style w:type="paragraph" w:styleId="NoteHeading">
    <w:name w:val="Note Heading"/>
    <w:basedOn w:val="Normal"/>
    <w:next w:val="Normal"/>
    <w:link w:val="NoteHeadingChar"/>
    <w:uiPriority w:val="99"/>
    <w:semiHidden/>
    <w:unhideWhenUsed/>
    <w:locked/>
    <w:rsid w:val="00F80750"/>
  </w:style>
  <w:style w:type="character" w:customStyle="1" w:styleId="NoteHeadingChar">
    <w:name w:val="Note Heading Char"/>
    <w:basedOn w:val="DefaultParagraphFont"/>
    <w:link w:val="NoteHeading"/>
    <w:uiPriority w:val="99"/>
    <w:semiHidden/>
    <w:rsid w:val="00F80750"/>
    <w:rPr>
      <w:noProof w:val="0"/>
      <w:lang w:val="en-AU"/>
    </w:rPr>
  </w:style>
  <w:style w:type="character" w:styleId="PageNumber">
    <w:name w:val="page number"/>
    <w:basedOn w:val="DefaultParagraphFont"/>
    <w:uiPriority w:val="99"/>
    <w:semiHidden/>
    <w:unhideWhenUsed/>
    <w:locked/>
    <w:rsid w:val="00F80750"/>
    <w:rPr>
      <w:noProof w:val="0"/>
      <w:lang w:val="en-AU"/>
    </w:rPr>
  </w:style>
  <w:style w:type="paragraph" w:styleId="PlainText">
    <w:name w:val="Plain Text"/>
    <w:basedOn w:val="Normal"/>
    <w:link w:val="PlainTextChar"/>
    <w:uiPriority w:val="99"/>
    <w:semiHidden/>
    <w:unhideWhenUsed/>
    <w:locked/>
    <w:rsid w:val="00F80750"/>
    <w:rPr>
      <w:rFonts w:ascii="Consolas" w:hAnsi="Consolas"/>
      <w:sz w:val="21"/>
      <w:szCs w:val="21"/>
    </w:rPr>
  </w:style>
  <w:style w:type="character" w:customStyle="1" w:styleId="PlainTextChar">
    <w:name w:val="Plain Text Char"/>
    <w:basedOn w:val="DefaultParagraphFont"/>
    <w:link w:val="PlainText"/>
    <w:uiPriority w:val="99"/>
    <w:semiHidden/>
    <w:rsid w:val="00F80750"/>
    <w:rPr>
      <w:rFonts w:ascii="Consolas" w:hAnsi="Consolas"/>
      <w:noProof w:val="0"/>
      <w:sz w:val="21"/>
      <w:szCs w:val="21"/>
      <w:lang w:val="en-AU"/>
    </w:rPr>
  </w:style>
  <w:style w:type="paragraph" w:styleId="Quote">
    <w:name w:val="Quote"/>
    <w:basedOn w:val="Normal"/>
    <w:next w:val="Normal"/>
    <w:link w:val="QuoteChar"/>
    <w:uiPriority w:val="29"/>
    <w:semiHidden/>
    <w:qFormat/>
    <w:locked/>
    <w:rsid w:val="00A0218E"/>
    <w:pPr>
      <w:ind w:left="567" w:right="567"/>
    </w:pPr>
    <w:rPr>
      <w:i/>
      <w:iCs/>
      <w:color w:val="000000" w:themeColor="text1"/>
    </w:rPr>
  </w:style>
  <w:style w:type="character" w:customStyle="1" w:styleId="QuoteChar">
    <w:name w:val="Quote Char"/>
    <w:basedOn w:val="DefaultParagraphFont"/>
    <w:link w:val="Quote"/>
    <w:uiPriority w:val="29"/>
    <w:semiHidden/>
    <w:rsid w:val="00A0218E"/>
    <w:rPr>
      <w:i/>
      <w:iCs/>
      <w:color w:val="000000" w:themeColor="text1"/>
    </w:rPr>
  </w:style>
  <w:style w:type="paragraph" w:styleId="Salutation">
    <w:name w:val="Salutation"/>
    <w:basedOn w:val="Normal"/>
    <w:next w:val="Normal"/>
    <w:link w:val="SalutationChar"/>
    <w:uiPriority w:val="99"/>
    <w:semiHidden/>
    <w:unhideWhenUsed/>
    <w:locked/>
    <w:rsid w:val="00F80750"/>
  </w:style>
  <w:style w:type="character" w:customStyle="1" w:styleId="SalutationChar">
    <w:name w:val="Salutation Char"/>
    <w:basedOn w:val="DefaultParagraphFont"/>
    <w:link w:val="Salutation"/>
    <w:uiPriority w:val="99"/>
    <w:semiHidden/>
    <w:rsid w:val="00F80750"/>
    <w:rPr>
      <w:noProof w:val="0"/>
      <w:lang w:val="en-AU"/>
    </w:rPr>
  </w:style>
  <w:style w:type="paragraph" w:styleId="Signature">
    <w:name w:val="Signature"/>
    <w:basedOn w:val="Normal"/>
    <w:link w:val="SignatureChar"/>
    <w:uiPriority w:val="99"/>
    <w:semiHidden/>
    <w:unhideWhenUsed/>
    <w:locked/>
    <w:rsid w:val="00F80750"/>
    <w:pPr>
      <w:ind w:left="4252"/>
    </w:pPr>
  </w:style>
  <w:style w:type="character" w:customStyle="1" w:styleId="SignatureChar">
    <w:name w:val="Signature Char"/>
    <w:basedOn w:val="DefaultParagraphFont"/>
    <w:link w:val="Signature"/>
    <w:uiPriority w:val="99"/>
    <w:semiHidden/>
    <w:rsid w:val="00F80750"/>
    <w:rPr>
      <w:noProof w:val="0"/>
      <w:lang w:val="en-AU"/>
    </w:rPr>
  </w:style>
  <w:style w:type="character" w:styleId="Strong">
    <w:name w:val="Strong"/>
    <w:basedOn w:val="DefaultParagraphFont"/>
    <w:uiPriority w:val="22"/>
    <w:qFormat/>
    <w:locked/>
    <w:rsid w:val="00F80750"/>
    <w:rPr>
      <w:b/>
      <w:bCs/>
      <w:noProof w:val="0"/>
      <w:lang w:val="en-AU"/>
    </w:rPr>
  </w:style>
  <w:style w:type="paragraph" w:styleId="Subtitle">
    <w:name w:val="Subtitle"/>
    <w:basedOn w:val="Normal"/>
    <w:next w:val="Normal"/>
    <w:link w:val="SubtitleChar"/>
    <w:uiPriority w:val="11"/>
    <w:semiHidden/>
    <w:unhideWhenUsed/>
    <w:qFormat/>
    <w:locked/>
    <w:rsid w:val="00F80750"/>
    <w:pPr>
      <w:tabs>
        <w:tab w:val="num" w:pos="357"/>
      </w:tabs>
      <w:ind w:left="357" w:hanging="357"/>
    </w:pPr>
    <w:rPr>
      <w:rFonts w:asciiTheme="majorHAnsi" w:eastAsiaTheme="majorEastAsia" w:hAnsiTheme="majorHAnsi" w:cstheme="majorBidi"/>
      <w:i/>
      <w:iCs/>
      <w:color w:val="203145" w:themeColor="accent1"/>
      <w:spacing w:val="15"/>
    </w:rPr>
  </w:style>
  <w:style w:type="character" w:customStyle="1" w:styleId="SubtitleChar">
    <w:name w:val="Subtitle Char"/>
    <w:basedOn w:val="DefaultParagraphFont"/>
    <w:link w:val="Subtitle"/>
    <w:uiPriority w:val="11"/>
    <w:semiHidden/>
    <w:rsid w:val="00F80750"/>
    <w:rPr>
      <w:rFonts w:asciiTheme="majorHAnsi" w:eastAsiaTheme="majorEastAsia" w:hAnsiTheme="majorHAnsi" w:cstheme="majorBidi"/>
      <w:i/>
      <w:iCs/>
      <w:color w:val="203145" w:themeColor="accent1"/>
      <w:spacing w:val="15"/>
    </w:rPr>
  </w:style>
  <w:style w:type="character" w:styleId="SubtleEmphasis">
    <w:name w:val="Subtle Emphasis"/>
    <w:basedOn w:val="DefaultParagraphFont"/>
    <w:uiPriority w:val="19"/>
    <w:semiHidden/>
    <w:qFormat/>
    <w:locked/>
    <w:rsid w:val="00F80750"/>
    <w:rPr>
      <w:i/>
      <w:iCs/>
      <w:noProof w:val="0"/>
      <w:color w:val="808080" w:themeColor="text1" w:themeTint="7F"/>
      <w:lang w:val="en-AU"/>
    </w:rPr>
  </w:style>
  <w:style w:type="character" w:styleId="SubtleReference">
    <w:name w:val="Subtle Reference"/>
    <w:basedOn w:val="DefaultParagraphFont"/>
    <w:uiPriority w:val="31"/>
    <w:semiHidden/>
    <w:qFormat/>
    <w:locked/>
    <w:rsid w:val="00F80750"/>
    <w:rPr>
      <w:smallCaps/>
      <w:noProof w:val="0"/>
      <w:color w:val="8F96A1"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F80750"/>
    <w:pPr>
      <w:ind w:left="190" w:hanging="190"/>
    </w:pPr>
  </w:style>
  <w:style w:type="paragraph" w:styleId="TableofFigures">
    <w:name w:val="table of figures"/>
    <w:basedOn w:val="Normal"/>
    <w:next w:val="Normal"/>
    <w:uiPriority w:val="99"/>
    <w:semiHidden/>
    <w:unhideWhenUsed/>
    <w:locked/>
    <w:rsid w:val="00F80750"/>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F80750"/>
    <w:rPr>
      <w:rFonts w:asciiTheme="majorHAnsi" w:eastAsiaTheme="majorEastAsia" w:hAnsiTheme="majorHAnsi" w:cstheme="majorBidi"/>
      <w:b/>
      <w:bCs/>
    </w:rPr>
  </w:style>
  <w:style w:type="paragraph" w:styleId="TOC2">
    <w:name w:val="toc 2"/>
    <w:next w:val="Normal"/>
    <w:autoRedefine/>
    <w:uiPriority w:val="39"/>
    <w:rsid w:val="006904F6"/>
    <w:pPr>
      <w:tabs>
        <w:tab w:val="left" w:pos="1140"/>
        <w:tab w:val="right" w:pos="9639"/>
      </w:tabs>
      <w:spacing w:after="60"/>
      <w:ind w:left="442"/>
    </w:pPr>
    <w:rPr>
      <w:caps/>
      <w:color w:val="203145" w:themeColor="text2"/>
    </w:rPr>
  </w:style>
  <w:style w:type="paragraph" w:styleId="TOC3">
    <w:name w:val="toc 3"/>
    <w:basedOn w:val="Normal"/>
    <w:next w:val="Normal"/>
    <w:autoRedefine/>
    <w:uiPriority w:val="39"/>
    <w:rsid w:val="00677304"/>
    <w:pPr>
      <w:tabs>
        <w:tab w:val="left" w:pos="2030"/>
        <w:tab w:val="right" w:pos="9639"/>
      </w:tabs>
      <w:ind w:left="1140"/>
    </w:pPr>
    <w:rPr>
      <w:caps/>
      <w:color w:val="203145" w:themeColor="text2"/>
    </w:rPr>
  </w:style>
  <w:style w:type="paragraph" w:styleId="TOC4">
    <w:name w:val="toc 4"/>
    <w:basedOn w:val="Normal"/>
    <w:next w:val="Normal"/>
    <w:autoRedefine/>
    <w:uiPriority w:val="39"/>
    <w:unhideWhenUsed/>
    <w:locked/>
    <w:rsid w:val="00F80750"/>
    <w:pPr>
      <w:spacing w:after="100"/>
      <w:ind w:left="570"/>
    </w:pPr>
  </w:style>
  <w:style w:type="paragraph" w:styleId="TOC5">
    <w:name w:val="toc 5"/>
    <w:basedOn w:val="Normal"/>
    <w:next w:val="Normal"/>
    <w:autoRedefine/>
    <w:uiPriority w:val="39"/>
    <w:unhideWhenUsed/>
    <w:locked/>
    <w:rsid w:val="00F80750"/>
    <w:pPr>
      <w:spacing w:after="100"/>
      <w:ind w:left="760"/>
    </w:pPr>
  </w:style>
  <w:style w:type="paragraph" w:styleId="TOC6">
    <w:name w:val="toc 6"/>
    <w:basedOn w:val="Normal"/>
    <w:next w:val="Normal"/>
    <w:autoRedefine/>
    <w:uiPriority w:val="39"/>
    <w:unhideWhenUsed/>
    <w:locked/>
    <w:rsid w:val="00F80750"/>
    <w:pPr>
      <w:spacing w:after="100"/>
      <w:ind w:left="950"/>
    </w:pPr>
  </w:style>
  <w:style w:type="paragraph" w:styleId="TOC7">
    <w:name w:val="toc 7"/>
    <w:basedOn w:val="Normal"/>
    <w:next w:val="Normal"/>
    <w:autoRedefine/>
    <w:uiPriority w:val="39"/>
    <w:unhideWhenUsed/>
    <w:locked/>
    <w:rsid w:val="00F80750"/>
    <w:pPr>
      <w:spacing w:after="100"/>
      <w:ind w:left="1140"/>
    </w:pPr>
  </w:style>
  <w:style w:type="paragraph" w:styleId="TOC8">
    <w:name w:val="toc 8"/>
    <w:basedOn w:val="Normal"/>
    <w:next w:val="Normal"/>
    <w:autoRedefine/>
    <w:uiPriority w:val="39"/>
    <w:unhideWhenUsed/>
    <w:locked/>
    <w:rsid w:val="00F80750"/>
    <w:pPr>
      <w:spacing w:after="100"/>
      <w:ind w:left="1330"/>
    </w:pPr>
  </w:style>
  <w:style w:type="paragraph" w:styleId="TOC9">
    <w:name w:val="toc 9"/>
    <w:basedOn w:val="Normal"/>
    <w:next w:val="Normal"/>
    <w:autoRedefine/>
    <w:uiPriority w:val="39"/>
    <w:unhideWhenUsed/>
    <w:locked/>
    <w:rsid w:val="00F80750"/>
    <w:pPr>
      <w:spacing w:after="100"/>
      <w:ind w:left="1520"/>
    </w:pPr>
  </w:style>
  <w:style w:type="paragraph" w:customStyle="1" w:styleId="Notes">
    <w:name w:val="Notes"/>
    <w:basedOn w:val="Normal"/>
    <w:semiHidden/>
    <w:qFormat/>
    <w:rsid w:val="00503A51"/>
    <w:pPr>
      <w:spacing w:after="240"/>
    </w:pPr>
  </w:style>
  <w:style w:type="numbering" w:customStyle="1" w:styleId="GeneralList">
    <w:name w:val="General List"/>
    <w:uiPriority w:val="99"/>
    <w:rsid w:val="008D3395"/>
    <w:pPr>
      <w:numPr>
        <w:numId w:val="6"/>
      </w:numPr>
    </w:pPr>
  </w:style>
  <w:style w:type="numbering" w:customStyle="1" w:styleId="CustomHeadingList">
    <w:name w:val="Custom Heading List"/>
    <w:uiPriority w:val="99"/>
    <w:rsid w:val="008D3395"/>
    <w:pPr>
      <w:numPr>
        <w:numId w:val="7"/>
      </w:numPr>
    </w:pPr>
  </w:style>
  <w:style w:type="paragraph" w:customStyle="1" w:styleId="ShadedEmphasisStyle">
    <w:name w:val="Shaded Emphasis Style"/>
    <w:basedOn w:val="Normal"/>
    <w:uiPriority w:val="11"/>
    <w:semiHidden/>
    <w:qFormat/>
    <w:locked/>
    <w:rsid w:val="003B6E16"/>
    <w:pPr>
      <w:shd w:val="clear" w:color="auto" w:fill="203145" w:themeFill="accent1"/>
    </w:pPr>
  </w:style>
  <w:style w:type="paragraph" w:customStyle="1" w:styleId="Introduction">
    <w:name w:val="Introduction"/>
    <w:basedOn w:val="Normal"/>
    <w:next w:val="BodyNormal"/>
    <w:uiPriority w:val="11"/>
    <w:qFormat/>
    <w:rsid w:val="00871C1E"/>
    <w:pPr>
      <w:spacing w:after="567"/>
      <w:ind w:left="0" w:right="0"/>
    </w:pPr>
    <w:rPr>
      <w:sz w:val="30"/>
    </w:rPr>
  </w:style>
  <w:style w:type="paragraph" w:customStyle="1" w:styleId="CoverReportNumber">
    <w:name w:val="Cover Report Number"/>
    <w:basedOn w:val="Normal"/>
    <w:uiPriority w:val="26"/>
    <w:rsid w:val="00755163"/>
  </w:style>
  <w:style w:type="paragraph" w:customStyle="1" w:styleId="CoverVersionDate">
    <w:name w:val="Cover Version / Date"/>
    <w:basedOn w:val="CoverReportNumber"/>
    <w:uiPriority w:val="26"/>
    <w:rsid w:val="00F807A7"/>
    <w:pPr>
      <w:spacing w:before="2560" w:after="1701"/>
      <w:ind w:left="1418"/>
    </w:pPr>
    <w:rPr>
      <w:b/>
      <w:caps/>
      <w:color w:val="203145" w:themeColor="text2"/>
      <w:spacing w:val="54"/>
    </w:rPr>
  </w:style>
  <w:style w:type="table" w:customStyle="1" w:styleId="TableGridLight1">
    <w:name w:val="Table Grid Light1"/>
    <w:basedOn w:val="TableNormal"/>
    <w:uiPriority w:val="40"/>
    <w:rsid w:val="0049743E"/>
    <w:pPr>
      <w:jc w:val="center"/>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style>
  <w:style w:type="numbering" w:customStyle="1" w:styleId="AppendixList">
    <w:name w:val="Appendix List"/>
    <w:uiPriority w:val="99"/>
    <w:locked/>
    <w:rsid w:val="008D3395"/>
    <w:pPr>
      <w:numPr>
        <w:numId w:val="8"/>
      </w:numPr>
    </w:pPr>
  </w:style>
  <w:style w:type="paragraph" w:customStyle="1" w:styleId="Heading1NoNumbers">
    <w:name w:val="Heading 1 No Numbers"/>
    <w:basedOn w:val="Normal"/>
    <w:next w:val="BodyNormal"/>
    <w:uiPriority w:val="1"/>
    <w:qFormat/>
    <w:rsid w:val="000F3990"/>
    <w:pPr>
      <w:keepNext/>
      <w:keepLines/>
      <w:spacing w:before="400" w:after="240"/>
      <w:ind w:left="0" w:right="0"/>
    </w:pPr>
    <w:rPr>
      <w:rFonts w:ascii="Palatino Linotype" w:hAnsi="Palatino Linotype"/>
      <w:b/>
      <w:color w:val="203145"/>
      <w:sz w:val="44"/>
    </w:rPr>
  </w:style>
  <w:style w:type="paragraph" w:customStyle="1" w:styleId="Body">
    <w:name w:val="Body"/>
    <w:semiHidden/>
    <w:qFormat/>
    <w:locked/>
    <w:rsid w:val="00EA6B2D"/>
    <w:rPr>
      <w:szCs w:val="16"/>
      <w:lang w:val="en-US"/>
    </w:rPr>
  </w:style>
  <w:style w:type="paragraph" w:customStyle="1" w:styleId="MessageBoxHeading">
    <w:name w:val="Message Box Heading"/>
    <w:next w:val="MessageBoxBody"/>
    <w:uiPriority w:val="20"/>
    <w:qFormat/>
    <w:rsid w:val="00DE3291"/>
    <w:pPr>
      <w:framePr w:w="4678" w:wrap="notBeside" w:vAnchor="text" w:hAnchor="text" w:x="114" w:y="1"/>
      <w:pBdr>
        <w:top w:val="single" w:sz="48" w:space="1" w:color="9098A1"/>
        <w:left w:val="single" w:sz="48" w:space="4" w:color="9098A1"/>
        <w:bottom w:val="single" w:sz="48" w:space="1" w:color="9098A1"/>
        <w:right w:val="single" w:sz="48" w:space="4" w:color="9098A1"/>
      </w:pBdr>
      <w:shd w:val="clear" w:color="auto" w:fill="9098A1"/>
      <w:spacing w:after="60" w:line="240" w:lineRule="auto"/>
      <w:ind w:left="113" w:right="0"/>
    </w:pPr>
    <w:rPr>
      <w:rFonts w:ascii="Arial Bold" w:hAnsi="Arial Bold" w:cs="Times New Roman (Body CS)"/>
      <w:b/>
      <w:caps/>
      <w:color w:val="FFFFFF" w:themeColor="background1"/>
      <w:spacing w:val="54"/>
    </w:rPr>
  </w:style>
  <w:style w:type="paragraph" w:customStyle="1" w:styleId="MessageBoxBullet">
    <w:name w:val="Message Box Bullet"/>
    <w:basedOn w:val="Normal"/>
    <w:uiPriority w:val="21"/>
    <w:qFormat/>
    <w:rsid w:val="00DE3291"/>
    <w:pPr>
      <w:framePr w:w="4678" w:wrap="notBeside" w:vAnchor="text" w:hAnchor="text" w:x="114" w:y="1"/>
      <w:numPr>
        <w:numId w:val="17"/>
      </w:numPr>
      <w:pBdr>
        <w:top w:val="single" w:sz="48" w:space="1" w:color="9098A1"/>
        <w:left w:val="single" w:sz="48" w:space="4" w:color="9098A1"/>
        <w:bottom w:val="single" w:sz="48" w:space="1" w:color="9098A1"/>
        <w:right w:val="single" w:sz="48" w:space="4" w:color="9098A1"/>
      </w:pBdr>
      <w:shd w:val="clear" w:color="auto" w:fill="9098A1"/>
      <w:spacing w:before="60"/>
      <w:ind w:right="0"/>
      <w:contextualSpacing/>
    </w:pPr>
    <w:rPr>
      <w:color w:val="FFFFFF" w:themeColor="background1"/>
      <w:sz w:val="20"/>
    </w:rPr>
  </w:style>
  <w:style w:type="paragraph" w:customStyle="1" w:styleId="TableBulletShadedTable">
    <w:name w:val="Table Bullet Shaded Table"/>
    <w:uiPriority w:val="2"/>
    <w:qFormat/>
    <w:rsid w:val="009E1A3B"/>
    <w:pPr>
      <w:numPr>
        <w:numId w:val="10"/>
      </w:numPr>
      <w:tabs>
        <w:tab w:val="clear" w:pos="357"/>
        <w:tab w:val="left" w:pos="340"/>
      </w:tabs>
      <w:spacing w:before="60" w:after="60"/>
      <w:ind w:left="453" w:right="113" w:hanging="340"/>
    </w:pPr>
    <w:rPr>
      <w:color w:val="FFFFFF" w:themeColor="background1"/>
      <w:sz w:val="18"/>
    </w:rPr>
  </w:style>
  <w:style w:type="table" w:customStyle="1" w:styleId="JobNoTable">
    <w:name w:val="Job No. Table"/>
    <w:basedOn w:val="TableNormal"/>
    <w:uiPriority w:val="99"/>
    <w:rsid w:val="00AE14A0"/>
    <w:rPr>
      <w:rFonts w:cs="Times New Roman (Body CS)"/>
      <w:sz w:val="16"/>
    </w:rPr>
    <w:tblPr>
      <w:tblBorders>
        <w:top w:val="single" w:sz="4" w:space="0" w:color="B9B9B9" w:themeColor="background2" w:themeShade="BF"/>
        <w:left w:val="single" w:sz="4" w:space="0" w:color="B9B9B9" w:themeColor="background2" w:themeShade="BF"/>
        <w:bottom w:val="single" w:sz="4" w:space="0" w:color="B9B9B9" w:themeColor="background2" w:themeShade="BF"/>
        <w:right w:val="single" w:sz="4" w:space="0" w:color="B9B9B9" w:themeColor="background2" w:themeShade="BF"/>
        <w:insideH w:val="single" w:sz="4" w:space="0" w:color="B9B9B9" w:themeColor="background2" w:themeShade="BF"/>
        <w:insideV w:val="single" w:sz="4" w:space="0" w:color="B9B9B9" w:themeColor="background2" w:themeShade="BF"/>
      </w:tblBorders>
    </w:tblPr>
    <w:tcPr>
      <w:tcMar>
        <w:left w:w="0" w:type="dxa"/>
        <w:right w:w="0" w:type="dxa"/>
      </w:tcMar>
    </w:tcPr>
    <w:tblStylePr w:type="firstRow">
      <w:pPr>
        <w:wordWrap/>
        <w:jc w:val="left"/>
      </w:pPr>
      <w:rPr>
        <w:rFonts w:asciiTheme="minorHAnsi" w:hAnsiTheme="minorHAnsi"/>
        <w:b/>
        <w:i w:val="0"/>
        <w:sz w:val="16"/>
      </w:rPr>
    </w:tblStylePr>
  </w:style>
  <w:style w:type="paragraph" w:customStyle="1" w:styleId="CallOutHeading">
    <w:name w:val="Call Out Heading"/>
    <w:next w:val="Calloutbody"/>
    <w:uiPriority w:val="22"/>
    <w:qFormat/>
    <w:rsid w:val="00DE3291"/>
    <w:pPr>
      <w:framePr w:w="9327" w:wrap="around" w:vAnchor="text" w:hAnchor="text" w:x="114" w:y="1"/>
      <w:pBdr>
        <w:top w:val="single" w:sz="48" w:space="1" w:color="9098A1"/>
        <w:left w:val="single" w:sz="48" w:space="4" w:color="9098A1"/>
        <w:bottom w:val="single" w:sz="48" w:space="1" w:color="9098A1"/>
        <w:right w:val="single" w:sz="48" w:space="4" w:color="9098A1"/>
      </w:pBdr>
      <w:shd w:val="clear" w:color="auto" w:fill="9098A1"/>
      <w:spacing w:after="60" w:line="240" w:lineRule="auto"/>
      <w:ind w:left="113" w:right="0"/>
    </w:pPr>
    <w:rPr>
      <w:rFonts w:ascii="Arial Bold" w:hAnsi="Arial Bold" w:cs="Times New Roman (Body CS)"/>
      <w:b/>
      <w:caps/>
      <w:color w:val="FFFFFF" w:themeColor="background1"/>
      <w:spacing w:val="54"/>
    </w:rPr>
  </w:style>
  <w:style w:type="paragraph" w:customStyle="1" w:styleId="Heading2noNumbers">
    <w:name w:val="Heading 2 no Numbers"/>
    <w:basedOn w:val="Heading2"/>
    <w:next w:val="BodyNormal"/>
    <w:uiPriority w:val="1"/>
    <w:qFormat/>
    <w:rsid w:val="00970C8E"/>
    <w:pPr>
      <w:numPr>
        <w:ilvl w:val="0"/>
        <w:numId w:val="0"/>
      </w:numPr>
    </w:pPr>
  </w:style>
  <w:style w:type="paragraph" w:customStyle="1" w:styleId="CoverAdress">
    <w:name w:val="Cover Adress"/>
    <w:uiPriority w:val="26"/>
    <w:rsid w:val="001505CC"/>
    <w:pPr>
      <w:framePr w:wrap="around" w:vAnchor="page" w:hAnchor="margin" w:y="15140"/>
      <w:spacing w:after="120"/>
      <w:ind w:left="1418" w:right="113"/>
    </w:pPr>
    <w:rPr>
      <w:color w:val="203145" w:themeColor="text2"/>
      <w:sz w:val="14"/>
    </w:rPr>
  </w:style>
  <w:style w:type="character" w:customStyle="1" w:styleId="Yellow">
    <w:name w:val="Yellow"/>
    <w:basedOn w:val="DefaultParagraphFont"/>
    <w:uiPriority w:val="14"/>
    <w:qFormat/>
    <w:rsid w:val="00925EF0"/>
    <w:rPr>
      <w:color w:val="FFD64F" w:themeColor="accent4"/>
      <w:sz w:val="18"/>
    </w:rPr>
  </w:style>
  <w:style w:type="character" w:customStyle="1" w:styleId="Green">
    <w:name w:val="Green"/>
    <w:basedOn w:val="DefaultParagraphFont"/>
    <w:uiPriority w:val="14"/>
    <w:qFormat/>
    <w:rsid w:val="00925EF0"/>
    <w:rPr>
      <w:color w:val="90B39A" w:themeColor="accent3"/>
    </w:rPr>
  </w:style>
  <w:style w:type="character" w:customStyle="1" w:styleId="BurntOrange">
    <w:name w:val="Burnt Orange"/>
    <w:basedOn w:val="DefaultParagraphFont"/>
    <w:uiPriority w:val="14"/>
    <w:qFormat/>
    <w:rsid w:val="00925EF0"/>
    <w:rPr>
      <w:color w:val="F5834B" w:themeColor="accent5"/>
    </w:rPr>
  </w:style>
  <w:style w:type="character" w:customStyle="1" w:styleId="Blue">
    <w:name w:val="Blue"/>
    <w:basedOn w:val="DefaultParagraphFont"/>
    <w:uiPriority w:val="14"/>
    <w:qFormat/>
    <w:rsid w:val="00925EF0"/>
    <w:rPr>
      <w:color w:val="203145" w:themeColor="accent1"/>
    </w:rPr>
  </w:style>
  <w:style w:type="character" w:customStyle="1" w:styleId="Grey">
    <w:name w:val="Grey"/>
    <w:basedOn w:val="DefaultParagraphFont"/>
    <w:uiPriority w:val="14"/>
    <w:qFormat/>
    <w:rsid w:val="00925EF0"/>
    <w:rPr>
      <w:color w:val="8F96A1" w:themeColor="accent2"/>
    </w:rPr>
  </w:style>
  <w:style w:type="character" w:customStyle="1" w:styleId="Highlight">
    <w:name w:val="Highlight"/>
    <w:basedOn w:val="DefaultParagraphFont"/>
    <w:uiPriority w:val="15"/>
    <w:qFormat/>
    <w:rsid w:val="00925EF0"/>
    <w:rPr>
      <w:bdr w:val="none" w:sz="0" w:space="0" w:color="auto"/>
      <w:shd w:val="clear" w:color="auto" w:fill="FFFF00"/>
    </w:rPr>
  </w:style>
  <w:style w:type="character" w:customStyle="1" w:styleId="RemoveHighlight">
    <w:name w:val="Remove Highlight"/>
    <w:basedOn w:val="DefaultParagraphFont"/>
    <w:uiPriority w:val="15"/>
    <w:qFormat/>
    <w:rsid w:val="00925EF0"/>
    <w:rPr>
      <w:bdr w:val="none" w:sz="0" w:space="0" w:color="auto"/>
      <w:shd w:val="clear" w:color="auto" w:fill="auto"/>
    </w:rPr>
  </w:style>
  <w:style w:type="paragraph" w:customStyle="1" w:styleId="Calloutbody">
    <w:name w:val="Callout body"/>
    <w:basedOn w:val="CallOutHeading"/>
    <w:uiPriority w:val="22"/>
    <w:rsid w:val="009C15E6"/>
    <w:pPr>
      <w:framePr w:wrap="around"/>
    </w:pPr>
    <w:rPr>
      <w:b w:val="0"/>
      <w:caps w:val="0"/>
      <w:spacing w:val="0"/>
    </w:rPr>
  </w:style>
  <w:style w:type="paragraph" w:customStyle="1" w:styleId="MessageBoxBody">
    <w:name w:val="Message Box Body"/>
    <w:basedOn w:val="MessageBoxHeading"/>
    <w:uiPriority w:val="21"/>
    <w:qFormat/>
    <w:rsid w:val="009C15E6"/>
    <w:pPr>
      <w:framePr w:wrap="notBeside"/>
    </w:pPr>
    <w:rPr>
      <w:b w:val="0"/>
      <w:caps w:val="0"/>
      <w:spacing w:val="0"/>
    </w:rPr>
  </w:style>
  <w:style w:type="paragraph" w:customStyle="1" w:styleId="TableBullet">
    <w:name w:val="Table Bullet"/>
    <w:uiPriority w:val="2"/>
    <w:qFormat/>
    <w:rsid w:val="00701020"/>
    <w:pPr>
      <w:numPr>
        <w:ilvl w:val="1"/>
        <w:numId w:val="10"/>
      </w:numPr>
      <w:spacing w:before="60" w:after="60"/>
      <w:ind w:right="113"/>
    </w:pPr>
    <w:rPr>
      <w:color w:val="000000" w:themeColor="text1"/>
      <w:sz w:val="18"/>
    </w:rPr>
  </w:style>
  <w:style w:type="paragraph" w:customStyle="1" w:styleId="RomanNumeral">
    <w:name w:val="Roman Numeral"/>
    <w:uiPriority w:val="1"/>
    <w:qFormat/>
    <w:rsid w:val="008D3395"/>
    <w:pPr>
      <w:numPr>
        <w:numId w:val="13"/>
      </w:numPr>
      <w:spacing w:before="60" w:after="60"/>
    </w:pPr>
  </w:style>
  <w:style w:type="paragraph" w:customStyle="1" w:styleId="LetterBullet">
    <w:name w:val="Letter Bullet"/>
    <w:uiPriority w:val="1"/>
    <w:qFormat/>
    <w:rsid w:val="008D3395"/>
    <w:pPr>
      <w:numPr>
        <w:numId w:val="14"/>
      </w:numPr>
      <w:spacing w:before="60" w:after="60"/>
    </w:pPr>
  </w:style>
  <w:style w:type="paragraph" w:customStyle="1" w:styleId="QuoteItalics">
    <w:name w:val="Quote Italics"/>
    <w:basedOn w:val="BodyNormal"/>
    <w:qFormat/>
    <w:rsid w:val="00A0218E"/>
    <w:pPr>
      <w:ind w:left="567" w:right="567"/>
    </w:pPr>
    <w:rPr>
      <w:i/>
    </w:rPr>
  </w:style>
  <w:style w:type="paragraph" w:customStyle="1" w:styleId="BodyNormal">
    <w:name w:val="Body Normal"/>
    <w:basedOn w:val="Body"/>
    <w:qFormat/>
    <w:rsid w:val="007229AD"/>
    <w:pPr>
      <w:spacing w:before="240" w:after="120"/>
      <w:ind w:left="0" w:right="0"/>
      <w:jc w:val="both"/>
    </w:pPr>
    <w:rPr>
      <w:lang w:val="en-AU"/>
    </w:rPr>
  </w:style>
  <w:style w:type="paragraph" w:customStyle="1" w:styleId="Heading3NoNumber">
    <w:name w:val="Heading 3 No Number"/>
    <w:basedOn w:val="Heading2noNumbers"/>
    <w:next w:val="BodyNormal"/>
    <w:uiPriority w:val="1"/>
    <w:qFormat/>
    <w:rsid w:val="00970C8E"/>
    <w:rPr>
      <w:sz w:val="20"/>
    </w:rPr>
  </w:style>
  <w:style w:type="table" w:customStyle="1" w:styleId="Callout">
    <w:name w:val="Callout"/>
    <w:basedOn w:val="TableNormal"/>
    <w:uiPriority w:val="99"/>
    <w:rsid w:val="00BD3F5E"/>
    <w:pPr>
      <w:spacing w:line="240" w:lineRule="auto"/>
      <w:ind w:left="0" w:right="0"/>
    </w:pPr>
    <w:tblPr>
      <w:tblBorders>
        <w:top w:val="single" w:sz="4" w:space="0" w:color="B8CADE" w:themeColor="accent1" w:themeTint="40"/>
        <w:left w:val="single" w:sz="4" w:space="0" w:color="B8CADE" w:themeColor="accent1" w:themeTint="40"/>
        <w:bottom w:val="single" w:sz="4" w:space="0" w:color="B8CADE" w:themeColor="accent1" w:themeTint="40"/>
        <w:right w:val="single" w:sz="4" w:space="0" w:color="B8CADE" w:themeColor="accent1" w:themeTint="40"/>
      </w:tblBorders>
    </w:tblPr>
    <w:tcPr>
      <w:shd w:val="clear" w:color="auto" w:fill="B8CADE" w:themeFill="accent1" w:themeFillTint="40"/>
    </w:tcPr>
  </w:style>
  <w:style w:type="table" w:customStyle="1" w:styleId="ColouredTable">
    <w:name w:val="Coloured Table"/>
    <w:basedOn w:val="TableNormal"/>
    <w:uiPriority w:val="99"/>
    <w:rsid w:val="00FD0BAD"/>
    <w:pPr>
      <w:spacing w:line="240" w:lineRule="auto"/>
    </w:pPr>
    <w:rPr>
      <w:rFonts w:cs="Times New Roman (Body CS)"/>
      <w:sz w:val="18"/>
    </w:rPr>
    <w:tblPr>
      <w:tblBorders>
        <w:insideH w:val="single" w:sz="18" w:space="0" w:color="FFFFFF" w:themeColor="background1"/>
        <w:insideV w:val="single" w:sz="18" w:space="0" w:color="FFFFFF" w:themeColor="background1"/>
      </w:tblBorders>
    </w:tblPr>
    <w:tcPr>
      <w:shd w:val="clear" w:color="auto" w:fill="213144"/>
    </w:tcPr>
    <w:tblStylePr w:type="firstRow">
      <w:pPr>
        <w:wordWrap/>
        <w:spacing w:beforeLines="0" w:before="0" w:beforeAutospacing="0" w:afterLines="0" w:after="0" w:afterAutospacing="0" w:line="240" w:lineRule="auto"/>
      </w:pPr>
      <w:rPr>
        <w:rFonts w:asciiTheme="minorHAnsi" w:hAnsiTheme="minorHAnsi"/>
        <w:b/>
        <w:i w:val="0"/>
        <w:caps/>
        <w:smallCaps w:val="0"/>
        <w:color w:val="FFFFFF" w:themeColor="background1"/>
        <w:sz w:val="18"/>
      </w:rPr>
      <w:tblPr/>
      <w:tcPr>
        <w:tcBorders>
          <w:top w:val="nil"/>
          <w:left w:val="nil"/>
          <w:bottom w:val="single" w:sz="18" w:space="0" w:color="FFFFFF" w:themeColor="background1"/>
          <w:right w:val="nil"/>
          <w:insideH w:val="single" w:sz="18" w:space="0" w:color="FFFFFF" w:themeColor="background1"/>
          <w:insideV w:val="single" w:sz="18" w:space="0" w:color="FFFFFF" w:themeColor="background1"/>
          <w:tl2br w:val="nil"/>
          <w:tr2bl w:val="nil"/>
        </w:tcBorders>
        <w:shd w:val="clear" w:color="auto" w:fill="9098A1"/>
      </w:tcPr>
    </w:tblStylePr>
  </w:style>
  <w:style w:type="paragraph" w:customStyle="1" w:styleId="CalloutBullet">
    <w:name w:val="Callout Bullet"/>
    <w:basedOn w:val="Normal"/>
    <w:uiPriority w:val="22"/>
    <w:qFormat/>
    <w:rsid w:val="00DE3291"/>
    <w:pPr>
      <w:framePr w:w="9327" w:wrap="around" w:vAnchor="text" w:hAnchor="text" w:x="114" w:y="1"/>
      <w:numPr>
        <w:numId w:val="16"/>
      </w:numPr>
      <w:pBdr>
        <w:top w:val="single" w:sz="48" w:space="1" w:color="9098A1"/>
        <w:left w:val="single" w:sz="48" w:space="4" w:color="9098A1"/>
        <w:bottom w:val="single" w:sz="48" w:space="1" w:color="9098A1"/>
        <w:right w:val="single" w:sz="48" w:space="4" w:color="9098A1"/>
      </w:pBdr>
      <w:shd w:val="clear" w:color="auto" w:fill="9098A1"/>
      <w:spacing w:before="60"/>
      <w:ind w:right="0"/>
      <w:contextualSpacing/>
    </w:pPr>
    <w:rPr>
      <w:color w:val="FFFFFF" w:themeColor="background1"/>
      <w:sz w:val="20"/>
    </w:rPr>
  </w:style>
  <w:style w:type="paragraph" w:styleId="Revision">
    <w:name w:val="Revision"/>
    <w:hidden/>
    <w:uiPriority w:val="99"/>
    <w:semiHidden/>
    <w:rsid w:val="0024046C"/>
    <w:pPr>
      <w:spacing w:line="240" w:lineRule="auto"/>
      <w:ind w:left="0" w:right="0"/>
    </w:pPr>
    <w:rPr>
      <w:rFonts w:cs="Times New Roman (Body CS)"/>
      <w:sz w:val="18"/>
    </w:rPr>
  </w:style>
  <w:style w:type="paragraph" w:customStyle="1" w:styleId="Default">
    <w:name w:val="Default"/>
    <w:rsid w:val="00343341"/>
    <w:pPr>
      <w:autoSpaceDE w:val="0"/>
      <w:autoSpaceDN w:val="0"/>
      <w:adjustRightInd w:val="0"/>
      <w:spacing w:line="240" w:lineRule="auto"/>
      <w:ind w:left="0" w:right="0"/>
    </w:pPr>
    <w:rPr>
      <w:rFonts w:ascii="Calibri" w:hAnsi="Calibri" w:cs="Calibri"/>
      <w:color w:val="000000"/>
      <w:sz w:val="24"/>
      <w:szCs w:val="24"/>
      <w:lang w:val="en-US"/>
    </w:rPr>
  </w:style>
  <w:style w:type="character" w:customStyle="1" w:styleId="apple-converted-space">
    <w:name w:val="apple-converted-space"/>
    <w:basedOn w:val="DefaultParagraphFont"/>
    <w:rsid w:val="00343341"/>
  </w:style>
  <w:style w:type="character" w:styleId="UnresolvedMention">
    <w:name w:val="Unresolved Mention"/>
    <w:basedOn w:val="DefaultParagraphFont"/>
    <w:uiPriority w:val="99"/>
    <w:semiHidden/>
    <w:unhideWhenUsed/>
    <w:rsid w:val="00A15B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32017">
      <w:bodyDiv w:val="1"/>
      <w:marLeft w:val="0"/>
      <w:marRight w:val="0"/>
      <w:marTop w:val="0"/>
      <w:marBottom w:val="0"/>
      <w:divBdr>
        <w:top w:val="none" w:sz="0" w:space="0" w:color="auto"/>
        <w:left w:val="none" w:sz="0" w:space="0" w:color="auto"/>
        <w:bottom w:val="none" w:sz="0" w:space="0" w:color="auto"/>
        <w:right w:val="none" w:sz="0" w:space="0" w:color="auto"/>
      </w:divBdr>
      <w:divsChild>
        <w:div w:id="50159369">
          <w:marLeft w:val="0"/>
          <w:marRight w:val="0"/>
          <w:marTop w:val="0"/>
          <w:marBottom w:val="0"/>
          <w:divBdr>
            <w:top w:val="none" w:sz="0" w:space="0" w:color="auto"/>
            <w:left w:val="none" w:sz="0" w:space="0" w:color="auto"/>
            <w:bottom w:val="none" w:sz="0" w:space="0" w:color="auto"/>
            <w:right w:val="none" w:sz="0" w:space="0" w:color="auto"/>
          </w:divBdr>
          <w:divsChild>
            <w:div w:id="1391422241">
              <w:marLeft w:val="0"/>
              <w:marRight w:val="0"/>
              <w:marTop w:val="0"/>
              <w:marBottom w:val="0"/>
              <w:divBdr>
                <w:top w:val="none" w:sz="0" w:space="0" w:color="auto"/>
                <w:left w:val="none" w:sz="0" w:space="0" w:color="auto"/>
                <w:bottom w:val="none" w:sz="0" w:space="0" w:color="auto"/>
                <w:right w:val="none" w:sz="0" w:space="0" w:color="auto"/>
              </w:divBdr>
              <w:divsChild>
                <w:div w:id="147155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257445228">
      <w:bodyDiv w:val="1"/>
      <w:marLeft w:val="0"/>
      <w:marRight w:val="0"/>
      <w:marTop w:val="0"/>
      <w:marBottom w:val="0"/>
      <w:divBdr>
        <w:top w:val="none" w:sz="0" w:space="0" w:color="auto"/>
        <w:left w:val="none" w:sz="0" w:space="0" w:color="auto"/>
        <w:bottom w:val="none" w:sz="0" w:space="0" w:color="auto"/>
        <w:right w:val="none" w:sz="0" w:space="0" w:color="auto"/>
      </w:divBdr>
      <w:divsChild>
        <w:div w:id="442574634">
          <w:marLeft w:val="0"/>
          <w:marRight w:val="0"/>
          <w:marTop w:val="0"/>
          <w:marBottom w:val="0"/>
          <w:divBdr>
            <w:top w:val="none" w:sz="0" w:space="0" w:color="auto"/>
            <w:left w:val="none" w:sz="0" w:space="0" w:color="auto"/>
            <w:bottom w:val="none" w:sz="0" w:space="0" w:color="auto"/>
            <w:right w:val="none" w:sz="0" w:space="0" w:color="auto"/>
          </w:divBdr>
          <w:divsChild>
            <w:div w:id="169564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195737">
      <w:bodyDiv w:val="1"/>
      <w:marLeft w:val="0"/>
      <w:marRight w:val="0"/>
      <w:marTop w:val="0"/>
      <w:marBottom w:val="0"/>
      <w:divBdr>
        <w:top w:val="none" w:sz="0" w:space="0" w:color="auto"/>
        <w:left w:val="none" w:sz="0" w:space="0" w:color="auto"/>
        <w:bottom w:val="none" w:sz="0" w:space="0" w:color="auto"/>
        <w:right w:val="none" w:sz="0" w:space="0" w:color="auto"/>
      </w:divBdr>
    </w:div>
    <w:div w:id="351882201">
      <w:bodyDiv w:val="1"/>
      <w:marLeft w:val="0"/>
      <w:marRight w:val="0"/>
      <w:marTop w:val="0"/>
      <w:marBottom w:val="0"/>
      <w:divBdr>
        <w:top w:val="none" w:sz="0" w:space="0" w:color="auto"/>
        <w:left w:val="none" w:sz="0" w:space="0" w:color="auto"/>
        <w:bottom w:val="none" w:sz="0" w:space="0" w:color="auto"/>
        <w:right w:val="none" w:sz="0" w:space="0" w:color="auto"/>
      </w:divBdr>
    </w:div>
    <w:div w:id="536545850">
      <w:bodyDiv w:val="1"/>
      <w:marLeft w:val="0"/>
      <w:marRight w:val="0"/>
      <w:marTop w:val="0"/>
      <w:marBottom w:val="0"/>
      <w:divBdr>
        <w:top w:val="none" w:sz="0" w:space="0" w:color="auto"/>
        <w:left w:val="none" w:sz="0" w:space="0" w:color="auto"/>
        <w:bottom w:val="none" w:sz="0" w:space="0" w:color="auto"/>
        <w:right w:val="none" w:sz="0" w:space="0" w:color="auto"/>
      </w:divBdr>
    </w:div>
    <w:div w:id="671448049">
      <w:bodyDiv w:val="1"/>
      <w:marLeft w:val="0"/>
      <w:marRight w:val="0"/>
      <w:marTop w:val="0"/>
      <w:marBottom w:val="0"/>
      <w:divBdr>
        <w:top w:val="none" w:sz="0" w:space="0" w:color="auto"/>
        <w:left w:val="none" w:sz="0" w:space="0" w:color="auto"/>
        <w:bottom w:val="none" w:sz="0" w:space="0" w:color="auto"/>
        <w:right w:val="none" w:sz="0" w:space="0" w:color="auto"/>
      </w:divBdr>
    </w:div>
    <w:div w:id="675424124">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843934349">
      <w:bodyDiv w:val="1"/>
      <w:marLeft w:val="0"/>
      <w:marRight w:val="0"/>
      <w:marTop w:val="0"/>
      <w:marBottom w:val="0"/>
      <w:divBdr>
        <w:top w:val="none" w:sz="0" w:space="0" w:color="auto"/>
        <w:left w:val="none" w:sz="0" w:space="0" w:color="auto"/>
        <w:bottom w:val="none" w:sz="0" w:space="0" w:color="auto"/>
        <w:right w:val="none" w:sz="0" w:space="0" w:color="auto"/>
      </w:divBdr>
    </w:div>
    <w:div w:id="853299293">
      <w:bodyDiv w:val="1"/>
      <w:marLeft w:val="0"/>
      <w:marRight w:val="0"/>
      <w:marTop w:val="0"/>
      <w:marBottom w:val="0"/>
      <w:divBdr>
        <w:top w:val="none" w:sz="0" w:space="0" w:color="auto"/>
        <w:left w:val="none" w:sz="0" w:space="0" w:color="auto"/>
        <w:bottom w:val="none" w:sz="0" w:space="0" w:color="auto"/>
        <w:right w:val="none" w:sz="0" w:space="0" w:color="auto"/>
      </w:divBdr>
    </w:div>
    <w:div w:id="866988466">
      <w:bodyDiv w:val="1"/>
      <w:marLeft w:val="0"/>
      <w:marRight w:val="0"/>
      <w:marTop w:val="0"/>
      <w:marBottom w:val="0"/>
      <w:divBdr>
        <w:top w:val="none" w:sz="0" w:space="0" w:color="auto"/>
        <w:left w:val="none" w:sz="0" w:space="0" w:color="auto"/>
        <w:bottom w:val="none" w:sz="0" w:space="0" w:color="auto"/>
        <w:right w:val="none" w:sz="0" w:space="0" w:color="auto"/>
      </w:divBdr>
      <w:divsChild>
        <w:div w:id="961229892">
          <w:marLeft w:val="0"/>
          <w:marRight w:val="0"/>
          <w:marTop w:val="0"/>
          <w:marBottom w:val="0"/>
          <w:divBdr>
            <w:top w:val="none" w:sz="0" w:space="0" w:color="auto"/>
            <w:left w:val="none" w:sz="0" w:space="0" w:color="auto"/>
            <w:bottom w:val="none" w:sz="0" w:space="0" w:color="auto"/>
            <w:right w:val="none" w:sz="0" w:space="0" w:color="auto"/>
          </w:divBdr>
          <w:divsChild>
            <w:div w:id="122385407">
              <w:marLeft w:val="0"/>
              <w:marRight w:val="0"/>
              <w:marTop w:val="0"/>
              <w:marBottom w:val="0"/>
              <w:divBdr>
                <w:top w:val="none" w:sz="0" w:space="0" w:color="auto"/>
                <w:left w:val="none" w:sz="0" w:space="0" w:color="auto"/>
                <w:bottom w:val="none" w:sz="0" w:space="0" w:color="auto"/>
                <w:right w:val="none" w:sz="0" w:space="0" w:color="auto"/>
              </w:divBdr>
              <w:divsChild>
                <w:div w:id="81699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59516">
      <w:bodyDiv w:val="1"/>
      <w:marLeft w:val="0"/>
      <w:marRight w:val="0"/>
      <w:marTop w:val="0"/>
      <w:marBottom w:val="0"/>
      <w:divBdr>
        <w:top w:val="none" w:sz="0" w:space="0" w:color="auto"/>
        <w:left w:val="none" w:sz="0" w:space="0" w:color="auto"/>
        <w:bottom w:val="none" w:sz="0" w:space="0" w:color="auto"/>
        <w:right w:val="none" w:sz="0" w:space="0" w:color="auto"/>
      </w:divBdr>
      <w:divsChild>
        <w:div w:id="90709225">
          <w:marLeft w:val="0"/>
          <w:marRight w:val="0"/>
          <w:marTop w:val="0"/>
          <w:marBottom w:val="0"/>
          <w:divBdr>
            <w:top w:val="none" w:sz="0" w:space="0" w:color="auto"/>
            <w:left w:val="none" w:sz="0" w:space="0" w:color="auto"/>
            <w:bottom w:val="none" w:sz="0" w:space="0" w:color="auto"/>
            <w:right w:val="none" w:sz="0" w:space="0" w:color="auto"/>
          </w:divBdr>
          <w:divsChild>
            <w:div w:id="1306736757">
              <w:marLeft w:val="0"/>
              <w:marRight w:val="0"/>
              <w:marTop w:val="0"/>
              <w:marBottom w:val="0"/>
              <w:divBdr>
                <w:top w:val="none" w:sz="0" w:space="0" w:color="auto"/>
                <w:left w:val="none" w:sz="0" w:space="0" w:color="auto"/>
                <w:bottom w:val="none" w:sz="0" w:space="0" w:color="auto"/>
                <w:right w:val="none" w:sz="0" w:space="0" w:color="auto"/>
              </w:divBdr>
              <w:divsChild>
                <w:div w:id="168142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794002">
      <w:bodyDiv w:val="1"/>
      <w:marLeft w:val="0"/>
      <w:marRight w:val="0"/>
      <w:marTop w:val="0"/>
      <w:marBottom w:val="0"/>
      <w:divBdr>
        <w:top w:val="none" w:sz="0" w:space="0" w:color="auto"/>
        <w:left w:val="none" w:sz="0" w:space="0" w:color="auto"/>
        <w:bottom w:val="none" w:sz="0" w:space="0" w:color="auto"/>
        <w:right w:val="none" w:sz="0" w:space="0" w:color="auto"/>
      </w:divBdr>
    </w:div>
    <w:div w:id="896551734">
      <w:bodyDiv w:val="1"/>
      <w:marLeft w:val="0"/>
      <w:marRight w:val="0"/>
      <w:marTop w:val="0"/>
      <w:marBottom w:val="0"/>
      <w:divBdr>
        <w:top w:val="none" w:sz="0" w:space="0" w:color="auto"/>
        <w:left w:val="none" w:sz="0" w:space="0" w:color="auto"/>
        <w:bottom w:val="none" w:sz="0" w:space="0" w:color="auto"/>
        <w:right w:val="none" w:sz="0" w:space="0" w:color="auto"/>
      </w:divBdr>
    </w:div>
    <w:div w:id="1002664449">
      <w:bodyDiv w:val="1"/>
      <w:marLeft w:val="0"/>
      <w:marRight w:val="0"/>
      <w:marTop w:val="0"/>
      <w:marBottom w:val="0"/>
      <w:divBdr>
        <w:top w:val="none" w:sz="0" w:space="0" w:color="auto"/>
        <w:left w:val="none" w:sz="0" w:space="0" w:color="auto"/>
        <w:bottom w:val="none" w:sz="0" w:space="0" w:color="auto"/>
        <w:right w:val="none" w:sz="0" w:space="0" w:color="auto"/>
      </w:divBdr>
      <w:divsChild>
        <w:div w:id="1981617662">
          <w:marLeft w:val="0"/>
          <w:marRight w:val="0"/>
          <w:marTop w:val="0"/>
          <w:marBottom w:val="0"/>
          <w:divBdr>
            <w:top w:val="none" w:sz="0" w:space="0" w:color="auto"/>
            <w:left w:val="none" w:sz="0" w:space="0" w:color="auto"/>
            <w:bottom w:val="none" w:sz="0" w:space="0" w:color="auto"/>
            <w:right w:val="none" w:sz="0" w:space="0" w:color="auto"/>
          </w:divBdr>
          <w:divsChild>
            <w:div w:id="871651951">
              <w:marLeft w:val="0"/>
              <w:marRight w:val="0"/>
              <w:marTop w:val="0"/>
              <w:marBottom w:val="0"/>
              <w:divBdr>
                <w:top w:val="none" w:sz="0" w:space="0" w:color="auto"/>
                <w:left w:val="none" w:sz="0" w:space="0" w:color="auto"/>
                <w:bottom w:val="none" w:sz="0" w:space="0" w:color="auto"/>
                <w:right w:val="none" w:sz="0" w:space="0" w:color="auto"/>
              </w:divBdr>
              <w:divsChild>
                <w:div w:id="771514576">
                  <w:marLeft w:val="0"/>
                  <w:marRight w:val="0"/>
                  <w:marTop w:val="0"/>
                  <w:marBottom w:val="0"/>
                  <w:divBdr>
                    <w:top w:val="none" w:sz="0" w:space="0" w:color="auto"/>
                    <w:left w:val="none" w:sz="0" w:space="0" w:color="auto"/>
                    <w:bottom w:val="none" w:sz="0" w:space="0" w:color="auto"/>
                    <w:right w:val="none" w:sz="0" w:space="0" w:color="auto"/>
                  </w:divBdr>
                  <w:divsChild>
                    <w:div w:id="135773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03062">
      <w:bodyDiv w:val="1"/>
      <w:marLeft w:val="0"/>
      <w:marRight w:val="0"/>
      <w:marTop w:val="0"/>
      <w:marBottom w:val="0"/>
      <w:divBdr>
        <w:top w:val="none" w:sz="0" w:space="0" w:color="auto"/>
        <w:left w:val="none" w:sz="0" w:space="0" w:color="auto"/>
        <w:bottom w:val="none" w:sz="0" w:space="0" w:color="auto"/>
        <w:right w:val="none" w:sz="0" w:space="0" w:color="auto"/>
      </w:divBdr>
    </w:div>
    <w:div w:id="1425833586">
      <w:bodyDiv w:val="1"/>
      <w:marLeft w:val="0"/>
      <w:marRight w:val="0"/>
      <w:marTop w:val="0"/>
      <w:marBottom w:val="0"/>
      <w:divBdr>
        <w:top w:val="none" w:sz="0" w:space="0" w:color="auto"/>
        <w:left w:val="none" w:sz="0" w:space="0" w:color="auto"/>
        <w:bottom w:val="none" w:sz="0" w:space="0" w:color="auto"/>
        <w:right w:val="none" w:sz="0" w:space="0" w:color="auto"/>
      </w:divBdr>
    </w:div>
    <w:div w:id="1427267414">
      <w:bodyDiv w:val="1"/>
      <w:marLeft w:val="0"/>
      <w:marRight w:val="0"/>
      <w:marTop w:val="0"/>
      <w:marBottom w:val="0"/>
      <w:divBdr>
        <w:top w:val="none" w:sz="0" w:space="0" w:color="auto"/>
        <w:left w:val="none" w:sz="0" w:space="0" w:color="auto"/>
        <w:bottom w:val="none" w:sz="0" w:space="0" w:color="auto"/>
        <w:right w:val="none" w:sz="0" w:space="0" w:color="auto"/>
      </w:divBdr>
      <w:divsChild>
        <w:div w:id="298539330">
          <w:marLeft w:val="547"/>
          <w:marRight w:val="0"/>
          <w:marTop w:val="0"/>
          <w:marBottom w:val="0"/>
          <w:divBdr>
            <w:top w:val="none" w:sz="0" w:space="0" w:color="auto"/>
            <w:left w:val="none" w:sz="0" w:space="0" w:color="auto"/>
            <w:bottom w:val="none" w:sz="0" w:space="0" w:color="auto"/>
            <w:right w:val="none" w:sz="0" w:space="0" w:color="auto"/>
          </w:divBdr>
        </w:div>
        <w:div w:id="760370806">
          <w:marLeft w:val="547"/>
          <w:marRight w:val="0"/>
          <w:marTop w:val="0"/>
          <w:marBottom w:val="0"/>
          <w:divBdr>
            <w:top w:val="none" w:sz="0" w:space="0" w:color="auto"/>
            <w:left w:val="none" w:sz="0" w:space="0" w:color="auto"/>
            <w:bottom w:val="none" w:sz="0" w:space="0" w:color="auto"/>
            <w:right w:val="none" w:sz="0" w:space="0" w:color="auto"/>
          </w:divBdr>
        </w:div>
        <w:div w:id="1939561605">
          <w:marLeft w:val="547"/>
          <w:marRight w:val="0"/>
          <w:marTop w:val="0"/>
          <w:marBottom w:val="0"/>
          <w:divBdr>
            <w:top w:val="none" w:sz="0" w:space="0" w:color="auto"/>
            <w:left w:val="none" w:sz="0" w:space="0" w:color="auto"/>
            <w:bottom w:val="none" w:sz="0" w:space="0" w:color="auto"/>
            <w:right w:val="none" w:sz="0" w:space="0" w:color="auto"/>
          </w:divBdr>
        </w:div>
      </w:divsChild>
    </w:div>
    <w:div w:id="1505582839">
      <w:bodyDiv w:val="1"/>
      <w:marLeft w:val="0"/>
      <w:marRight w:val="0"/>
      <w:marTop w:val="0"/>
      <w:marBottom w:val="0"/>
      <w:divBdr>
        <w:top w:val="none" w:sz="0" w:space="0" w:color="auto"/>
        <w:left w:val="none" w:sz="0" w:space="0" w:color="auto"/>
        <w:bottom w:val="none" w:sz="0" w:space="0" w:color="auto"/>
        <w:right w:val="none" w:sz="0" w:space="0" w:color="auto"/>
      </w:divBdr>
      <w:divsChild>
        <w:div w:id="877475299">
          <w:marLeft w:val="0"/>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698964913">
      <w:bodyDiv w:val="1"/>
      <w:marLeft w:val="0"/>
      <w:marRight w:val="0"/>
      <w:marTop w:val="0"/>
      <w:marBottom w:val="0"/>
      <w:divBdr>
        <w:top w:val="none" w:sz="0" w:space="0" w:color="auto"/>
        <w:left w:val="none" w:sz="0" w:space="0" w:color="auto"/>
        <w:bottom w:val="none" w:sz="0" w:space="0" w:color="auto"/>
        <w:right w:val="none" w:sz="0" w:space="0" w:color="auto"/>
      </w:divBdr>
    </w:div>
    <w:div w:id="1758595820">
      <w:bodyDiv w:val="1"/>
      <w:marLeft w:val="0"/>
      <w:marRight w:val="0"/>
      <w:marTop w:val="0"/>
      <w:marBottom w:val="0"/>
      <w:divBdr>
        <w:top w:val="none" w:sz="0" w:space="0" w:color="auto"/>
        <w:left w:val="none" w:sz="0" w:space="0" w:color="auto"/>
        <w:bottom w:val="none" w:sz="0" w:space="0" w:color="auto"/>
        <w:right w:val="none" w:sz="0" w:space="0" w:color="auto"/>
      </w:divBdr>
      <w:divsChild>
        <w:div w:id="1510558885">
          <w:marLeft w:val="0"/>
          <w:marRight w:val="0"/>
          <w:marTop w:val="0"/>
          <w:marBottom w:val="0"/>
          <w:divBdr>
            <w:top w:val="none" w:sz="0" w:space="0" w:color="auto"/>
            <w:left w:val="none" w:sz="0" w:space="0" w:color="auto"/>
            <w:bottom w:val="none" w:sz="0" w:space="0" w:color="auto"/>
            <w:right w:val="none" w:sz="0" w:space="0" w:color="auto"/>
          </w:divBdr>
          <w:divsChild>
            <w:div w:id="1573007075">
              <w:marLeft w:val="0"/>
              <w:marRight w:val="0"/>
              <w:marTop w:val="0"/>
              <w:marBottom w:val="0"/>
              <w:divBdr>
                <w:top w:val="none" w:sz="0" w:space="0" w:color="auto"/>
                <w:left w:val="none" w:sz="0" w:space="0" w:color="auto"/>
                <w:bottom w:val="none" w:sz="0" w:space="0" w:color="auto"/>
                <w:right w:val="none" w:sz="0" w:space="0" w:color="auto"/>
              </w:divBdr>
              <w:divsChild>
                <w:div w:id="647831373">
                  <w:marLeft w:val="0"/>
                  <w:marRight w:val="0"/>
                  <w:marTop w:val="0"/>
                  <w:marBottom w:val="0"/>
                  <w:divBdr>
                    <w:top w:val="none" w:sz="0" w:space="0" w:color="auto"/>
                    <w:left w:val="none" w:sz="0" w:space="0" w:color="auto"/>
                    <w:bottom w:val="none" w:sz="0" w:space="0" w:color="auto"/>
                    <w:right w:val="none" w:sz="0" w:space="0" w:color="auto"/>
                  </w:divBdr>
                  <w:divsChild>
                    <w:div w:id="73069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979806">
      <w:bodyDiv w:val="1"/>
      <w:marLeft w:val="0"/>
      <w:marRight w:val="0"/>
      <w:marTop w:val="0"/>
      <w:marBottom w:val="0"/>
      <w:divBdr>
        <w:top w:val="none" w:sz="0" w:space="0" w:color="auto"/>
        <w:left w:val="none" w:sz="0" w:space="0" w:color="auto"/>
        <w:bottom w:val="none" w:sz="0" w:space="0" w:color="auto"/>
        <w:right w:val="none" w:sz="0" w:space="0" w:color="auto"/>
      </w:divBdr>
    </w:div>
    <w:div w:id="1866943417">
      <w:bodyDiv w:val="1"/>
      <w:marLeft w:val="0"/>
      <w:marRight w:val="0"/>
      <w:marTop w:val="0"/>
      <w:marBottom w:val="0"/>
      <w:divBdr>
        <w:top w:val="none" w:sz="0" w:space="0" w:color="auto"/>
        <w:left w:val="none" w:sz="0" w:space="0" w:color="auto"/>
        <w:bottom w:val="none" w:sz="0" w:space="0" w:color="auto"/>
        <w:right w:val="none" w:sz="0" w:space="0" w:color="auto"/>
      </w:divBdr>
      <w:divsChild>
        <w:div w:id="182131083">
          <w:marLeft w:val="0"/>
          <w:marRight w:val="0"/>
          <w:marTop w:val="0"/>
          <w:marBottom w:val="0"/>
          <w:divBdr>
            <w:top w:val="none" w:sz="0" w:space="0" w:color="auto"/>
            <w:left w:val="none" w:sz="0" w:space="0" w:color="auto"/>
            <w:bottom w:val="none" w:sz="0" w:space="0" w:color="auto"/>
            <w:right w:val="none" w:sz="0" w:space="0" w:color="auto"/>
          </w:divBdr>
          <w:divsChild>
            <w:div w:id="132212750">
              <w:marLeft w:val="0"/>
              <w:marRight w:val="0"/>
              <w:marTop w:val="0"/>
              <w:marBottom w:val="0"/>
              <w:divBdr>
                <w:top w:val="none" w:sz="0" w:space="0" w:color="auto"/>
                <w:left w:val="none" w:sz="0" w:space="0" w:color="auto"/>
                <w:bottom w:val="none" w:sz="0" w:space="0" w:color="auto"/>
                <w:right w:val="none" w:sz="0" w:space="0" w:color="auto"/>
              </w:divBdr>
              <w:divsChild>
                <w:div w:id="41590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81642">
      <w:bodyDiv w:val="1"/>
      <w:marLeft w:val="0"/>
      <w:marRight w:val="0"/>
      <w:marTop w:val="0"/>
      <w:marBottom w:val="0"/>
      <w:divBdr>
        <w:top w:val="none" w:sz="0" w:space="0" w:color="auto"/>
        <w:left w:val="none" w:sz="0" w:space="0" w:color="auto"/>
        <w:bottom w:val="none" w:sz="0" w:space="0" w:color="auto"/>
        <w:right w:val="none" w:sz="0" w:space="0" w:color="auto"/>
      </w:divBdr>
    </w:div>
    <w:div w:id="1990088549">
      <w:bodyDiv w:val="1"/>
      <w:marLeft w:val="0"/>
      <w:marRight w:val="0"/>
      <w:marTop w:val="0"/>
      <w:marBottom w:val="0"/>
      <w:divBdr>
        <w:top w:val="none" w:sz="0" w:space="0" w:color="auto"/>
        <w:left w:val="none" w:sz="0" w:space="0" w:color="auto"/>
        <w:bottom w:val="none" w:sz="0" w:space="0" w:color="auto"/>
        <w:right w:val="none" w:sz="0" w:space="0" w:color="auto"/>
      </w:divBdr>
    </w:div>
    <w:div w:id="2139488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diagramLayout" Target="diagrams/layout1.xml"/><Relationship Id="rId39"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6.emf"/><Relationship Id="rId42" Type="http://schemas.openxmlformats.org/officeDocument/2006/relationships/image" Target="media/image13.jpg"/><Relationship Id="rId47" Type="http://schemas.openxmlformats.org/officeDocument/2006/relationships/glossaryDocument" Target="glossary/document.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diagramData" Target="diagrams/data1.xml"/><Relationship Id="rId33" Type="http://schemas.openxmlformats.org/officeDocument/2006/relationships/image" Target="media/image5.emf"/><Relationship Id="rId38" Type="http://schemas.openxmlformats.org/officeDocument/2006/relationships/image" Target="media/image10.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microsoft.com/office/2007/relationships/diagramDrawing" Target="diagrams/drawing1.xm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emf"/><Relationship Id="rId32" Type="http://schemas.openxmlformats.org/officeDocument/2006/relationships/image" Target="media/image4.jpg"/><Relationship Id="rId37" Type="http://schemas.openxmlformats.org/officeDocument/2006/relationships/image" Target="media/image9.png"/><Relationship Id="rId40" Type="http://schemas.openxmlformats.org/officeDocument/2006/relationships/hyperlink" Target="https://www.environment.vic.gov.au/conserving-threatened-species/victorias-framework-for-conserving-threatened-species" TargetMode="External"/><Relationship Id="rId45"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diagramColors" Target="diagrams/colors1.xml"/><Relationship Id="rId36" Type="http://schemas.openxmlformats.org/officeDocument/2006/relationships/image" Target="media/image8.emf"/><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image" Target="media/image3.png"/><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diagramQuickStyle" Target="diagrams/quickStyle1.xml"/><Relationship Id="rId30" Type="http://schemas.openxmlformats.org/officeDocument/2006/relationships/image" Target="media/image2.png"/><Relationship Id="rId35" Type="http://schemas.openxmlformats.org/officeDocument/2006/relationships/image" Target="media/image7.emf"/><Relationship Id="rId43" Type="http://schemas.openxmlformats.org/officeDocument/2006/relationships/image" Target="media/image130.jpg"/><Relationship Id="rId48"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BC6AD4-9ADF-1F4E-B8F0-2C09D0EBDAEC}" type="doc">
      <dgm:prSet loTypeId="urn:microsoft.com/office/officeart/2005/8/layout/vList5" loCatId="" qsTypeId="urn:microsoft.com/office/officeart/2005/8/quickstyle/simple1" qsCatId="simple" csTypeId="urn:microsoft.com/office/officeart/2005/8/colors/accent1_2" csCatId="accent1" phldr="1"/>
      <dgm:spPr/>
      <dgm:t>
        <a:bodyPr/>
        <a:lstStyle/>
        <a:p>
          <a:endParaRPr lang="en-GB"/>
        </a:p>
      </dgm:t>
    </dgm:pt>
    <dgm:pt modelId="{AB350C30-D91E-D745-924A-199E1C59C997}">
      <dgm:prSet phldrT="[Text]" custT="1"/>
      <dgm:spPr/>
      <dgm:t>
        <a:bodyPr/>
        <a:lstStyle/>
        <a:p>
          <a:r>
            <a:rPr lang="en-GB" sz="1000"/>
            <a:t>Stage 1 - </a:t>
          </a:r>
        </a:p>
        <a:p>
          <a:r>
            <a:rPr lang="en-GB" sz="1000"/>
            <a:t>Clarification</a:t>
          </a:r>
        </a:p>
      </dgm:t>
    </dgm:pt>
    <dgm:pt modelId="{588DEF76-C307-E641-AFDD-6E70725664AD}" type="parTrans" cxnId="{F034D22C-5663-644E-B0B6-71F2B961F92F}">
      <dgm:prSet/>
      <dgm:spPr/>
      <dgm:t>
        <a:bodyPr/>
        <a:lstStyle/>
        <a:p>
          <a:endParaRPr lang="en-GB" sz="1000"/>
        </a:p>
      </dgm:t>
    </dgm:pt>
    <dgm:pt modelId="{C98489D9-3932-F143-829B-C56E5D017964}" type="sibTrans" cxnId="{F034D22C-5663-644E-B0B6-71F2B961F92F}">
      <dgm:prSet/>
      <dgm:spPr/>
      <dgm:t>
        <a:bodyPr/>
        <a:lstStyle/>
        <a:p>
          <a:endParaRPr lang="en-GB" sz="1000"/>
        </a:p>
      </dgm:t>
    </dgm:pt>
    <dgm:pt modelId="{6E15DD12-A5F6-0648-8603-6F645EDD8BA9}">
      <dgm:prSet phldrT="[Text]" custT="1"/>
      <dgm:spPr/>
      <dgm:t>
        <a:bodyPr/>
        <a:lstStyle/>
        <a:p>
          <a:r>
            <a:rPr lang="en-GB" sz="1000"/>
            <a:t>Clarify problem regarding potential gaps in protection measures for threatened species and communities</a:t>
          </a:r>
        </a:p>
      </dgm:t>
    </dgm:pt>
    <dgm:pt modelId="{83084DA8-D332-2A43-992D-9AE4A96C5960}" type="parTrans" cxnId="{B9C414F4-70FB-A743-B654-8815B0F9E560}">
      <dgm:prSet/>
      <dgm:spPr/>
      <dgm:t>
        <a:bodyPr/>
        <a:lstStyle/>
        <a:p>
          <a:endParaRPr lang="en-GB" sz="1000"/>
        </a:p>
      </dgm:t>
    </dgm:pt>
    <dgm:pt modelId="{65BAC276-739A-3544-B4A8-4A1137B58437}" type="sibTrans" cxnId="{B9C414F4-70FB-A743-B654-8815B0F9E560}">
      <dgm:prSet/>
      <dgm:spPr/>
      <dgm:t>
        <a:bodyPr/>
        <a:lstStyle/>
        <a:p>
          <a:endParaRPr lang="en-GB" sz="1000"/>
        </a:p>
      </dgm:t>
    </dgm:pt>
    <dgm:pt modelId="{62471E53-E528-C248-A5FF-84CD8AC7ACFB}">
      <dgm:prSet phldrT="[Text]" custT="1"/>
      <dgm:spPr/>
      <dgm:t>
        <a:bodyPr/>
        <a:lstStyle/>
        <a:p>
          <a:r>
            <a:rPr lang="en-GB" sz="1000"/>
            <a:t>Stage 2 -</a:t>
          </a:r>
        </a:p>
        <a:p>
          <a:r>
            <a:rPr lang="en-GB" sz="1000"/>
            <a:t>Consultation (Victorian Government) and draft options paper</a:t>
          </a:r>
        </a:p>
      </dgm:t>
    </dgm:pt>
    <dgm:pt modelId="{167AA86E-CFDB-264A-95B1-1CFD817E0201}" type="parTrans" cxnId="{76A7C326-B303-4B4F-851D-1E4FE309CD7D}">
      <dgm:prSet/>
      <dgm:spPr/>
      <dgm:t>
        <a:bodyPr/>
        <a:lstStyle/>
        <a:p>
          <a:endParaRPr lang="en-GB" sz="1000"/>
        </a:p>
      </dgm:t>
    </dgm:pt>
    <dgm:pt modelId="{9CAA8169-DD8A-2C40-ABB7-DB6156CD61B5}" type="sibTrans" cxnId="{76A7C326-B303-4B4F-851D-1E4FE309CD7D}">
      <dgm:prSet/>
      <dgm:spPr/>
      <dgm:t>
        <a:bodyPr/>
        <a:lstStyle/>
        <a:p>
          <a:endParaRPr lang="en-GB" sz="1000"/>
        </a:p>
      </dgm:t>
    </dgm:pt>
    <dgm:pt modelId="{41DC9E8C-3BAF-454F-82EC-97AB1FD9B898}">
      <dgm:prSet phldrT="[Text]" custT="1"/>
      <dgm:spPr/>
      <dgm:t>
        <a:bodyPr/>
        <a:lstStyle/>
        <a:p>
          <a:r>
            <a:rPr lang="en-GB" sz="1000"/>
            <a:t>Stage 3 -</a:t>
          </a:r>
        </a:p>
        <a:p>
          <a:r>
            <a:rPr lang="en-GB" sz="1000"/>
            <a:t>Draft review paper</a:t>
          </a:r>
        </a:p>
      </dgm:t>
    </dgm:pt>
    <dgm:pt modelId="{CA08F643-A3E4-3549-94E5-AAD345A70B64}" type="parTrans" cxnId="{A710DB10-1B47-1748-A031-9576DD9DE1F6}">
      <dgm:prSet/>
      <dgm:spPr/>
      <dgm:t>
        <a:bodyPr/>
        <a:lstStyle/>
        <a:p>
          <a:endParaRPr lang="en-GB" sz="1000"/>
        </a:p>
      </dgm:t>
    </dgm:pt>
    <dgm:pt modelId="{30179CC4-DFFC-1740-8A39-C11C65805F14}" type="sibTrans" cxnId="{A710DB10-1B47-1748-A031-9576DD9DE1F6}">
      <dgm:prSet/>
      <dgm:spPr/>
      <dgm:t>
        <a:bodyPr/>
        <a:lstStyle/>
        <a:p>
          <a:endParaRPr lang="en-GB" sz="1000"/>
        </a:p>
      </dgm:t>
    </dgm:pt>
    <dgm:pt modelId="{57E904F9-72C0-0A44-B529-F361698666B6}">
      <dgm:prSet phldrT="[Text]" custT="1"/>
      <dgm:spPr/>
      <dgm:t>
        <a:bodyPr/>
        <a:lstStyle/>
        <a:p>
          <a:r>
            <a:rPr lang="en-GB" sz="1000"/>
            <a:t>Prepare draft review paper and distribute to Working Group for consideration and response</a:t>
          </a:r>
        </a:p>
      </dgm:t>
    </dgm:pt>
    <dgm:pt modelId="{DFFC942C-F7F4-2040-8D0D-7AB1334203CD}" type="parTrans" cxnId="{F9289A2C-A8F0-664A-A091-A0301121E693}">
      <dgm:prSet/>
      <dgm:spPr/>
      <dgm:t>
        <a:bodyPr/>
        <a:lstStyle/>
        <a:p>
          <a:endParaRPr lang="en-GB" sz="1000"/>
        </a:p>
      </dgm:t>
    </dgm:pt>
    <dgm:pt modelId="{E39CBB18-90BA-4144-942E-B98F8FB74E03}" type="sibTrans" cxnId="{F9289A2C-A8F0-664A-A091-A0301121E693}">
      <dgm:prSet/>
      <dgm:spPr/>
      <dgm:t>
        <a:bodyPr/>
        <a:lstStyle/>
        <a:p>
          <a:endParaRPr lang="en-GB" sz="1000"/>
        </a:p>
      </dgm:t>
    </dgm:pt>
    <dgm:pt modelId="{ACF68691-9A33-F84E-B181-08E1BF23D12D}">
      <dgm:prSet phldrT="[Text]" custT="1"/>
      <dgm:spPr/>
      <dgm:t>
        <a:bodyPr/>
        <a:lstStyle/>
        <a:p>
          <a:r>
            <a:rPr lang="en-GB" sz="1000"/>
            <a:t>Stage 4 -</a:t>
          </a:r>
        </a:p>
        <a:p>
          <a:r>
            <a:rPr lang="en-GB" sz="1000"/>
            <a:t>Final review paper</a:t>
          </a:r>
        </a:p>
      </dgm:t>
    </dgm:pt>
    <dgm:pt modelId="{416BC0DE-D667-7147-9EFF-9EF4E66EB7A9}" type="parTrans" cxnId="{34FC9FAE-383A-264E-9D98-4BF08DE99F26}">
      <dgm:prSet/>
      <dgm:spPr/>
      <dgm:t>
        <a:bodyPr/>
        <a:lstStyle/>
        <a:p>
          <a:endParaRPr lang="en-GB" sz="1000"/>
        </a:p>
      </dgm:t>
    </dgm:pt>
    <dgm:pt modelId="{CB9FF064-AEF4-DF4B-A2B0-25B2C1C023EE}" type="sibTrans" cxnId="{34FC9FAE-383A-264E-9D98-4BF08DE99F26}">
      <dgm:prSet/>
      <dgm:spPr/>
      <dgm:t>
        <a:bodyPr/>
        <a:lstStyle/>
        <a:p>
          <a:endParaRPr lang="en-GB" sz="1000"/>
        </a:p>
      </dgm:t>
    </dgm:pt>
    <dgm:pt modelId="{E2B19330-F456-4A4A-A070-0A3E812D8851}">
      <dgm:prSet phldrT="[Text]" custT="1"/>
      <dgm:spPr/>
      <dgm:t>
        <a:bodyPr/>
        <a:lstStyle/>
        <a:p>
          <a:r>
            <a:rPr lang="en-GB" sz="1000"/>
            <a:t> Finalise paper based on Working Group response</a:t>
          </a:r>
        </a:p>
      </dgm:t>
    </dgm:pt>
    <dgm:pt modelId="{726A7B5A-1D30-EE4F-A407-7D0273C269FE}" type="parTrans" cxnId="{950FE543-C437-8E4B-8B4D-4A45B07A773E}">
      <dgm:prSet/>
      <dgm:spPr/>
      <dgm:t>
        <a:bodyPr/>
        <a:lstStyle/>
        <a:p>
          <a:endParaRPr lang="en-GB"/>
        </a:p>
      </dgm:t>
    </dgm:pt>
    <dgm:pt modelId="{ED83CA84-B3A9-FF4A-82A1-0F6CC563D116}" type="sibTrans" cxnId="{950FE543-C437-8E4B-8B4D-4A45B07A773E}">
      <dgm:prSet/>
      <dgm:spPr/>
      <dgm:t>
        <a:bodyPr/>
        <a:lstStyle/>
        <a:p>
          <a:endParaRPr lang="en-GB"/>
        </a:p>
      </dgm:t>
    </dgm:pt>
    <dgm:pt modelId="{774D3B61-676E-3841-B4EA-6777F903E9C7}">
      <dgm:prSet phldrT="[Text]" custT="1"/>
      <dgm:spPr/>
      <dgm:t>
        <a:bodyPr/>
        <a:lstStyle/>
        <a:p>
          <a:r>
            <a:rPr lang="en-GB" sz="1000"/>
            <a:t> Submission to DELWP</a:t>
          </a:r>
        </a:p>
      </dgm:t>
    </dgm:pt>
    <dgm:pt modelId="{EFC434A2-5F5F-554E-A04A-8EED4D097872}" type="parTrans" cxnId="{052BB9B3-02BF-6B4D-828C-04799486B5E9}">
      <dgm:prSet/>
      <dgm:spPr/>
      <dgm:t>
        <a:bodyPr/>
        <a:lstStyle/>
        <a:p>
          <a:endParaRPr lang="en-GB"/>
        </a:p>
      </dgm:t>
    </dgm:pt>
    <dgm:pt modelId="{4E4C435F-FDEA-D742-B4E9-697447700A95}" type="sibTrans" cxnId="{052BB9B3-02BF-6B4D-828C-04799486B5E9}">
      <dgm:prSet/>
      <dgm:spPr/>
      <dgm:t>
        <a:bodyPr/>
        <a:lstStyle/>
        <a:p>
          <a:endParaRPr lang="en-GB"/>
        </a:p>
      </dgm:t>
    </dgm:pt>
    <dgm:pt modelId="{64CD8DC8-2E6C-B24D-8019-417CDBABD7E9}">
      <dgm:prSet phldrT="[Text]" custT="1"/>
      <dgm:spPr/>
      <dgm:t>
        <a:bodyPr/>
        <a:lstStyle/>
        <a:p>
          <a:r>
            <a:rPr lang="en-GB" sz="1000"/>
            <a:t>Develop analysis framework to support review</a:t>
          </a:r>
        </a:p>
      </dgm:t>
    </dgm:pt>
    <dgm:pt modelId="{7B8DDF58-84C5-0B43-830F-2E51561AB72A}" type="sibTrans" cxnId="{C8DFA5A7-C1DC-9B41-A1A7-EAAEF8E51E39}">
      <dgm:prSet/>
      <dgm:spPr/>
      <dgm:t>
        <a:bodyPr/>
        <a:lstStyle/>
        <a:p>
          <a:endParaRPr lang="en-GB" sz="1000"/>
        </a:p>
      </dgm:t>
    </dgm:pt>
    <dgm:pt modelId="{A8F17415-FE19-E049-92C3-FDB1EAE0E057}" type="parTrans" cxnId="{C8DFA5A7-C1DC-9B41-A1A7-EAAEF8E51E39}">
      <dgm:prSet/>
      <dgm:spPr/>
      <dgm:t>
        <a:bodyPr/>
        <a:lstStyle/>
        <a:p>
          <a:endParaRPr lang="en-GB" sz="1000"/>
        </a:p>
      </dgm:t>
    </dgm:pt>
    <dgm:pt modelId="{9A0C5158-3349-8941-82B5-7A3D1F99D74A}">
      <dgm:prSet phldrT="[Text]" custT="1"/>
      <dgm:spPr/>
      <dgm:t>
        <a:bodyPr/>
        <a:lstStyle/>
        <a:p>
          <a:r>
            <a:rPr lang="en-GB" sz="1000"/>
            <a:t>Identify legislation and subordinate instruments in scope</a:t>
          </a:r>
        </a:p>
      </dgm:t>
    </dgm:pt>
    <dgm:pt modelId="{20A0DD76-C6B1-AB4D-8480-1993CE2303FE}" type="parTrans" cxnId="{D6BD7BF6-6C38-7843-8B39-FC4DC6897AFC}">
      <dgm:prSet/>
      <dgm:spPr/>
      <dgm:t>
        <a:bodyPr/>
        <a:lstStyle/>
        <a:p>
          <a:endParaRPr lang="en-AU"/>
        </a:p>
      </dgm:t>
    </dgm:pt>
    <dgm:pt modelId="{6840BC3E-FB2D-B44C-9D19-24AD8502220C}" type="sibTrans" cxnId="{D6BD7BF6-6C38-7843-8B39-FC4DC6897AFC}">
      <dgm:prSet/>
      <dgm:spPr/>
      <dgm:t>
        <a:bodyPr/>
        <a:lstStyle/>
        <a:p>
          <a:endParaRPr lang="en-AU"/>
        </a:p>
      </dgm:t>
    </dgm:pt>
    <dgm:pt modelId="{3FA418FB-5619-7C46-AEC6-F5DD6F678892}">
      <dgm:prSet phldrT="[Text]" custT="1"/>
      <dgm:spPr/>
      <dgm:t>
        <a:bodyPr/>
        <a:lstStyle/>
        <a:p>
          <a:r>
            <a:rPr lang="en-GB" sz="1000"/>
            <a:t>Consultation with Working Group and desktop review of legislation</a:t>
          </a:r>
        </a:p>
      </dgm:t>
    </dgm:pt>
    <dgm:pt modelId="{B701329B-EF67-5948-80A6-0C7EC062E800}" type="parTrans" cxnId="{74AA7A7C-BD20-B448-B1EC-76041EB7C320}">
      <dgm:prSet/>
      <dgm:spPr/>
      <dgm:t>
        <a:bodyPr/>
        <a:lstStyle/>
        <a:p>
          <a:endParaRPr lang="en-AU"/>
        </a:p>
      </dgm:t>
    </dgm:pt>
    <dgm:pt modelId="{FD07442E-1128-BE42-AF26-B871AC9C2681}" type="sibTrans" cxnId="{74AA7A7C-BD20-B448-B1EC-76041EB7C320}">
      <dgm:prSet/>
      <dgm:spPr/>
      <dgm:t>
        <a:bodyPr/>
        <a:lstStyle/>
        <a:p>
          <a:endParaRPr lang="en-AU"/>
        </a:p>
      </dgm:t>
    </dgm:pt>
    <dgm:pt modelId="{DCCCC50B-F123-7D4C-89F5-A72C79E9E20E}">
      <dgm:prSet phldrT="[Text]" custScaleX="102609" custT="1"/>
      <dgm:spPr/>
      <dgm:t>
        <a:bodyPr/>
        <a:lstStyle/>
        <a:p>
          <a:r>
            <a:rPr lang="en-GB" sz="1000"/>
            <a:t>Establish expert panel via Working Group (i.e. DELWP and DJPR)</a:t>
          </a:r>
        </a:p>
      </dgm:t>
    </dgm:pt>
    <dgm:pt modelId="{04333EE3-7203-E041-92C2-08A1F204D1CD}" type="parTrans" cxnId="{3350785F-7EB9-D64E-ABAC-8A42E164F0A4}">
      <dgm:prSet/>
      <dgm:spPr/>
      <dgm:t>
        <a:bodyPr/>
        <a:lstStyle/>
        <a:p>
          <a:endParaRPr lang="en-AU"/>
        </a:p>
      </dgm:t>
    </dgm:pt>
    <dgm:pt modelId="{C99C394F-497C-8843-B53E-1F10771B7776}" type="sibTrans" cxnId="{3350785F-7EB9-D64E-ABAC-8A42E164F0A4}">
      <dgm:prSet/>
      <dgm:spPr/>
      <dgm:t>
        <a:bodyPr/>
        <a:lstStyle/>
        <a:p>
          <a:endParaRPr lang="en-AU"/>
        </a:p>
      </dgm:t>
    </dgm:pt>
    <dgm:pt modelId="{EB26E1BB-70C6-AB44-AADA-B55CBE87ED06}">
      <dgm:prSet phldrT="[Text]" custT="1"/>
      <dgm:spPr/>
      <dgm:t>
        <a:bodyPr/>
        <a:lstStyle/>
        <a:p>
          <a:endParaRPr lang="en-GB" sz="1000"/>
        </a:p>
      </dgm:t>
    </dgm:pt>
    <dgm:pt modelId="{6FA7D25E-4C66-D744-B549-9025AD3D741C}" type="parTrans" cxnId="{C899ED15-29E1-3E40-B0EA-88A5A996DAC0}">
      <dgm:prSet/>
      <dgm:spPr/>
      <dgm:t>
        <a:bodyPr/>
        <a:lstStyle/>
        <a:p>
          <a:endParaRPr lang="en-AU"/>
        </a:p>
      </dgm:t>
    </dgm:pt>
    <dgm:pt modelId="{B20BF788-B7C6-0E43-B218-87649851962C}" type="sibTrans" cxnId="{C899ED15-29E1-3E40-B0EA-88A5A996DAC0}">
      <dgm:prSet/>
      <dgm:spPr/>
      <dgm:t>
        <a:bodyPr/>
        <a:lstStyle/>
        <a:p>
          <a:endParaRPr lang="en-AU"/>
        </a:p>
      </dgm:t>
    </dgm:pt>
    <dgm:pt modelId="{049BD007-0BC1-9643-AECD-3D449E018A1A}">
      <dgm:prSet phldrT="[Text]" custT="1"/>
      <dgm:spPr/>
      <dgm:t>
        <a:bodyPr/>
        <a:lstStyle/>
        <a:p>
          <a:r>
            <a:rPr lang="en-GB" sz="1000"/>
            <a:t>Explore options to strengthen protection measures (draft options paper)</a:t>
          </a:r>
        </a:p>
      </dgm:t>
    </dgm:pt>
    <dgm:pt modelId="{9BD855E9-128A-684C-AA8A-A473105881B8}" type="parTrans" cxnId="{1B81143C-E394-9D41-89A2-6D02311A00F9}">
      <dgm:prSet/>
      <dgm:spPr/>
      <dgm:t>
        <a:bodyPr/>
        <a:lstStyle/>
        <a:p>
          <a:endParaRPr lang="en-AU"/>
        </a:p>
      </dgm:t>
    </dgm:pt>
    <dgm:pt modelId="{BC045B3C-F601-4241-B828-B5FE0A6E9B82}" type="sibTrans" cxnId="{1B81143C-E394-9D41-89A2-6D02311A00F9}">
      <dgm:prSet/>
      <dgm:spPr/>
      <dgm:t>
        <a:bodyPr/>
        <a:lstStyle/>
        <a:p>
          <a:endParaRPr lang="en-AU"/>
        </a:p>
      </dgm:t>
    </dgm:pt>
    <dgm:pt modelId="{F56C452C-9FD4-A14F-AB99-AC0D4B5C3DF8}" type="pres">
      <dgm:prSet presAssocID="{06BC6AD4-9ADF-1F4E-B8F0-2C09D0EBDAEC}" presName="Name0" presStyleCnt="0">
        <dgm:presLayoutVars>
          <dgm:dir/>
          <dgm:animLvl val="lvl"/>
          <dgm:resizeHandles val="exact"/>
        </dgm:presLayoutVars>
      </dgm:prSet>
      <dgm:spPr/>
    </dgm:pt>
    <dgm:pt modelId="{061A3793-D7AD-0147-8D61-696EC459C22B}" type="pres">
      <dgm:prSet presAssocID="{AB350C30-D91E-D745-924A-199E1C59C997}" presName="linNode" presStyleCnt="0"/>
      <dgm:spPr/>
    </dgm:pt>
    <dgm:pt modelId="{D9E8B9D4-DC70-474E-80D8-59B7FC0F015D}" type="pres">
      <dgm:prSet presAssocID="{AB350C30-D91E-D745-924A-199E1C59C997}" presName="parentText" presStyleLbl="node1" presStyleIdx="0" presStyleCnt="4" custScaleX="59085" custScaleY="82936">
        <dgm:presLayoutVars>
          <dgm:chMax val="1"/>
          <dgm:bulletEnabled val="1"/>
        </dgm:presLayoutVars>
      </dgm:prSet>
      <dgm:spPr/>
    </dgm:pt>
    <dgm:pt modelId="{3F02C5B7-652F-9D47-80E4-AE30D7548F67}" type="pres">
      <dgm:prSet presAssocID="{AB350C30-D91E-D745-924A-199E1C59C997}" presName="descendantText" presStyleLbl="alignAccFollowNode1" presStyleIdx="0" presStyleCnt="4" custScaleX="102223">
        <dgm:presLayoutVars>
          <dgm:bulletEnabled val="1"/>
        </dgm:presLayoutVars>
      </dgm:prSet>
      <dgm:spPr/>
    </dgm:pt>
    <dgm:pt modelId="{7F32CA7E-95B7-5C45-B26D-DA18EF722CF9}" type="pres">
      <dgm:prSet presAssocID="{C98489D9-3932-F143-829B-C56E5D017964}" presName="sp" presStyleCnt="0"/>
      <dgm:spPr/>
    </dgm:pt>
    <dgm:pt modelId="{1A4DE193-7EF7-CE48-BD87-D6803FE69E60}" type="pres">
      <dgm:prSet presAssocID="{62471E53-E528-C248-A5FF-84CD8AC7ACFB}" presName="linNode" presStyleCnt="0"/>
      <dgm:spPr/>
    </dgm:pt>
    <dgm:pt modelId="{9527DEB9-E04D-534A-8E23-09B48013EC81}" type="pres">
      <dgm:prSet presAssocID="{62471E53-E528-C248-A5FF-84CD8AC7ACFB}" presName="parentText" presStyleLbl="node1" presStyleIdx="1" presStyleCnt="4" custScaleX="59085">
        <dgm:presLayoutVars>
          <dgm:chMax val="1"/>
          <dgm:bulletEnabled val="1"/>
        </dgm:presLayoutVars>
      </dgm:prSet>
      <dgm:spPr/>
    </dgm:pt>
    <dgm:pt modelId="{675A8B06-4841-494F-88AD-DB3525EF2086}" type="pres">
      <dgm:prSet presAssocID="{62471E53-E528-C248-A5FF-84CD8AC7ACFB}" presName="descendantText" presStyleLbl="alignAccFollowNode1" presStyleIdx="1" presStyleCnt="4" custScaleX="102609" custScaleY="110157">
        <dgm:presLayoutVars>
          <dgm:bulletEnabled val="1"/>
        </dgm:presLayoutVars>
      </dgm:prSet>
      <dgm:spPr/>
    </dgm:pt>
    <dgm:pt modelId="{2D557B29-FE98-EA49-B38E-E5C003ECF3A1}" type="pres">
      <dgm:prSet presAssocID="{9CAA8169-DD8A-2C40-ABB7-DB6156CD61B5}" presName="sp" presStyleCnt="0"/>
      <dgm:spPr/>
    </dgm:pt>
    <dgm:pt modelId="{717A83B8-6778-5E49-8BB7-43454B6EA143}" type="pres">
      <dgm:prSet presAssocID="{41DC9E8C-3BAF-454F-82EC-97AB1FD9B898}" presName="linNode" presStyleCnt="0"/>
      <dgm:spPr/>
    </dgm:pt>
    <dgm:pt modelId="{6BA41834-29C6-4649-A664-16E774393507}" type="pres">
      <dgm:prSet presAssocID="{41DC9E8C-3BAF-454F-82EC-97AB1FD9B898}" presName="parentText" presStyleLbl="node1" presStyleIdx="2" presStyleCnt="4" custScaleX="59448">
        <dgm:presLayoutVars>
          <dgm:chMax val="1"/>
          <dgm:bulletEnabled val="1"/>
        </dgm:presLayoutVars>
      </dgm:prSet>
      <dgm:spPr/>
    </dgm:pt>
    <dgm:pt modelId="{0EF94F28-53F7-1942-ABAF-4DE3BED6A544}" type="pres">
      <dgm:prSet presAssocID="{41DC9E8C-3BAF-454F-82EC-97AB1FD9B898}" presName="descendantText" presStyleLbl="alignAccFollowNode1" presStyleIdx="2" presStyleCnt="4" custScaleX="102791" custLinFactNeighborX="411">
        <dgm:presLayoutVars>
          <dgm:bulletEnabled val="1"/>
        </dgm:presLayoutVars>
      </dgm:prSet>
      <dgm:spPr/>
    </dgm:pt>
    <dgm:pt modelId="{10DFFE66-A1AB-B24D-B371-0EAEA19D5515}" type="pres">
      <dgm:prSet presAssocID="{30179CC4-DFFC-1740-8A39-C11C65805F14}" presName="sp" presStyleCnt="0"/>
      <dgm:spPr/>
    </dgm:pt>
    <dgm:pt modelId="{497E04BC-9E78-7E4D-AC45-80064EE2BFD6}" type="pres">
      <dgm:prSet presAssocID="{ACF68691-9A33-F84E-B181-08E1BF23D12D}" presName="linNode" presStyleCnt="0"/>
      <dgm:spPr/>
    </dgm:pt>
    <dgm:pt modelId="{600A9468-6FAC-A140-A29A-F4A337CB848D}" type="pres">
      <dgm:prSet presAssocID="{ACF68691-9A33-F84E-B181-08E1BF23D12D}" presName="parentText" presStyleLbl="node1" presStyleIdx="3" presStyleCnt="4" custScaleX="59034">
        <dgm:presLayoutVars>
          <dgm:chMax val="1"/>
          <dgm:bulletEnabled val="1"/>
        </dgm:presLayoutVars>
      </dgm:prSet>
      <dgm:spPr/>
    </dgm:pt>
    <dgm:pt modelId="{3F412ED4-F0D3-0441-8ADA-CB49B85DEAE1}" type="pres">
      <dgm:prSet presAssocID="{ACF68691-9A33-F84E-B181-08E1BF23D12D}" presName="descendantText" presStyleLbl="alignAccFollowNode1" presStyleIdx="3" presStyleCnt="4" custScaleX="103023">
        <dgm:presLayoutVars>
          <dgm:bulletEnabled val="1"/>
        </dgm:presLayoutVars>
      </dgm:prSet>
      <dgm:spPr/>
    </dgm:pt>
  </dgm:ptLst>
  <dgm:cxnLst>
    <dgm:cxn modelId="{E7ACF407-176C-EE41-95DF-00ACDEB3BB97}" type="presOf" srcId="{049BD007-0BC1-9643-AECD-3D449E018A1A}" destId="{675A8B06-4841-494F-88AD-DB3525EF2086}" srcOrd="0" destOrd="2" presId="urn:microsoft.com/office/officeart/2005/8/layout/vList5"/>
    <dgm:cxn modelId="{A710DB10-1B47-1748-A031-9576DD9DE1F6}" srcId="{06BC6AD4-9ADF-1F4E-B8F0-2C09D0EBDAEC}" destId="{41DC9E8C-3BAF-454F-82EC-97AB1FD9B898}" srcOrd="2" destOrd="0" parTransId="{CA08F643-A3E4-3549-94E5-AAD345A70B64}" sibTransId="{30179CC4-DFFC-1740-8A39-C11C65805F14}"/>
    <dgm:cxn modelId="{C899ED15-29E1-3E40-B0EA-88A5A996DAC0}" srcId="{62471E53-E528-C248-A5FF-84CD8AC7ACFB}" destId="{EB26E1BB-70C6-AB44-AADA-B55CBE87ED06}" srcOrd="3" destOrd="0" parTransId="{6FA7D25E-4C66-D744-B549-9025AD3D741C}" sibTransId="{B20BF788-B7C6-0E43-B218-87649851962C}"/>
    <dgm:cxn modelId="{826BA119-5197-6E42-9C50-C6BFC9996B58}" type="presOf" srcId="{774D3B61-676E-3841-B4EA-6777F903E9C7}" destId="{3F412ED4-F0D3-0441-8ADA-CB49B85DEAE1}" srcOrd="0" destOrd="1" presId="urn:microsoft.com/office/officeart/2005/8/layout/vList5"/>
    <dgm:cxn modelId="{76A7C326-B303-4B4F-851D-1E4FE309CD7D}" srcId="{06BC6AD4-9ADF-1F4E-B8F0-2C09D0EBDAEC}" destId="{62471E53-E528-C248-A5FF-84CD8AC7ACFB}" srcOrd="1" destOrd="0" parTransId="{167AA86E-CFDB-264A-95B1-1CFD817E0201}" sibTransId="{9CAA8169-DD8A-2C40-ABB7-DB6156CD61B5}"/>
    <dgm:cxn modelId="{F9289A2C-A8F0-664A-A091-A0301121E693}" srcId="{41DC9E8C-3BAF-454F-82EC-97AB1FD9B898}" destId="{57E904F9-72C0-0A44-B529-F361698666B6}" srcOrd="0" destOrd="0" parTransId="{DFFC942C-F7F4-2040-8D0D-7AB1334203CD}" sibTransId="{E39CBB18-90BA-4144-942E-B98F8FB74E03}"/>
    <dgm:cxn modelId="{F034D22C-5663-644E-B0B6-71F2B961F92F}" srcId="{06BC6AD4-9ADF-1F4E-B8F0-2C09D0EBDAEC}" destId="{AB350C30-D91E-D745-924A-199E1C59C997}" srcOrd="0" destOrd="0" parTransId="{588DEF76-C307-E641-AFDD-6E70725664AD}" sibTransId="{C98489D9-3932-F143-829B-C56E5D017964}"/>
    <dgm:cxn modelId="{59EDFD39-BC2B-2E40-BD1B-2CB6E6678FD1}" type="presOf" srcId="{57E904F9-72C0-0A44-B529-F361698666B6}" destId="{0EF94F28-53F7-1942-ABAF-4DE3BED6A544}" srcOrd="0" destOrd="0" presId="urn:microsoft.com/office/officeart/2005/8/layout/vList5"/>
    <dgm:cxn modelId="{1B81143C-E394-9D41-89A2-6D02311A00F9}" srcId="{62471E53-E528-C248-A5FF-84CD8AC7ACFB}" destId="{049BD007-0BC1-9643-AECD-3D449E018A1A}" srcOrd="2" destOrd="0" parTransId="{9BD855E9-128A-684C-AA8A-A473105881B8}" sibTransId="{BC045B3C-F601-4241-B828-B5FE0A6E9B82}"/>
    <dgm:cxn modelId="{3350785F-7EB9-D64E-ABAC-8A42E164F0A4}" srcId="{AB350C30-D91E-D745-924A-199E1C59C997}" destId="{DCCCC50B-F123-7D4C-89F5-A72C79E9E20E}" srcOrd="2" destOrd="0" parTransId="{04333EE3-7203-E041-92C2-08A1F204D1CD}" sibTransId="{C99C394F-497C-8843-B53E-1F10771B7776}"/>
    <dgm:cxn modelId="{950FE543-C437-8E4B-8B4D-4A45B07A773E}" srcId="{ACF68691-9A33-F84E-B181-08E1BF23D12D}" destId="{E2B19330-F456-4A4A-A070-0A3E812D8851}" srcOrd="0" destOrd="0" parTransId="{726A7B5A-1D30-EE4F-A407-7D0273C269FE}" sibTransId="{ED83CA84-B3A9-FF4A-82A1-0F6CC563D116}"/>
    <dgm:cxn modelId="{33021549-7EF3-2A45-AC54-35667592CF23}" type="presOf" srcId="{06BC6AD4-9ADF-1F4E-B8F0-2C09D0EBDAEC}" destId="{F56C452C-9FD4-A14F-AB99-AC0D4B5C3DF8}" srcOrd="0" destOrd="0" presId="urn:microsoft.com/office/officeart/2005/8/layout/vList5"/>
    <dgm:cxn modelId="{628BB252-67B6-3F4A-8C68-1B5D20BAFA3F}" type="presOf" srcId="{64CD8DC8-2E6C-B24D-8019-417CDBABD7E9}" destId="{675A8B06-4841-494F-88AD-DB3525EF2086}" srcOrd="0" destOrd="0" presId="urn:microsoft.com/office/officeart/2005/8/layout/vList5"/>
    <dgm:cxn modelId="{74AA7A7C-BD20-B448-B1EC-76041EB7C320}" srcId="{62471E53-E528-C248-A5FF-84CD8AC7ACFB}" destId="{3FA418FB-5619-7C46-AEC6-F5DD6F678892}" srcOrd="1" destOrd="0" parTransId="{B701329B-EF67-5948-80A6-0C7EC062E800}" sibTransId="{FD07442E-1128-BE42-AF26-B871AC9C2681}"/>
    <dgm:cxn modelId="{1D7F407F-734F-8443-8E16-D1A029F89ED7}" type="presOf" srcId="{DCCCC50B-F123-7D4C-89F5-A72C79E9E20E}" destId="{3F02C5B7-652F-9D47-80E4-AE30D7548F67}" srcOrd="0" destOrd="2" presId="urn:microsoft.com/office/officeart/2005/8/layout/vList5"/>
    <dgm:cxn modelId="{6EDBB281-24D2-034F-BD60-C682AF5DD514}" type="presOf" srcId="{6E15DD12-A5F6-0648-8603-6F645EDD8BA9}" destId="{3F02C5B7-652F-9D47-80E4-AE30D7548F67}" srcOrd="0" destOrd="0" presId="urn:microsoft.com/office/officeart/2005/8/layout/vList5"/>
    <dgm:cxn modelId="{279A858A-9A70-B942-A598-9213F6B5B3DE}" type="presOf" srcId="{AB350C30-D91E-D745-924A-199E1C59C997}" destId="{D9E8B9D4-DC70-474E-80D8-59B7FC0F015D}" srcOrd="0" destOrd="0" presId="urn:microsoft.com/office/officeart/2005/8/layout/vList5"/>
    <dgm:cxn modelId="{3C9E4298-7637-1245-AAC6-A3365DBFA9B6}" type="presOf" srcId="{41DC9E8C-3BAF-454F-82EC-97AB1FD9B898}" destId="{6BA41834-29C6-4649-A664-16E774393507}" srcOrd="0" destOrd="0" presId="urn:microsoft.com/office/officeart/2005/8/layout/vList5"/>
    <dgm:cxn modelId="{C8DFA5A7-C1DC-9B41-A1A7-EAAEF8E51E39}" srcId="{62471E53-E528-C248-A5FF-84CD8AC7ACFB}" destId="{64CD8DC8-2E6C-B24D-8019-417CDBABD7E9}" srcOrd="0" destOrd="0" parTransId="{A8F17415-FE19-E049-92C3-FDB1EAE0E057}" sibTransId="{7B8DDF58-84C5-0B43-830F-2E51561AB72A}"/>
    <dgm:cxn modelId="{34FC9FAE-383A-264E-9D98-4BF08DE99F26}" srcId="{06BC6AD4-9ADF-1F4E-B8F0-2C09D0EBDAEC}" destId="{ACF68691-9A33-F84E-B181-08E1BF23D12D}" srcOrd="3" destOrd="0" parTransId="{416BC0DE-D667-7147-9EFF-9EF4E66EB7A9}" sibTransId="{CB9FF064-AEF4-DF4B-A2B0-25B2C1C023EE}"/>
    <dgm:cxn modelId="{852F8FB0-FF09-0F47-81E0-38F7AA34A324}" type="presOf" srcId="{62471E53-E528-C248-A5FF-84CD8AC7ACFB}" destId="{9527DEB9-E04D-534A-8E23-09B48013EC81}" srcOrd="0" destOrd="0" presId="urn:microsoft.com/office/officeart/2005/8/layout/vList5"/>
    <dgm:cxn modelId="{052BB9B3-02BF-6B4D-828C-04799486B5E9}" srcId="{ACF68691-9A33-F84E-B181-08E1BF23D12D}" destId="{774D3B61-676E-3841-B4EA-6777F903E9C7}" srcOrd="1" destOrd="0" parTransId="{EFC434A2-5F5F-554E-A04A-8EED4D097872}" sibTransId="{4E4C435F-FDEA-D742-B4E9-697447700A95}"/>
    <dgm:cxn modelId="{417713C4-48EA-0445-898F-2123F197631D}" type="presOf" srcId="{E2B19330-F456-4A4A-A070-0A3E812D8851}" destId="{3F412ED4-F0D3-0441-8ADA-CB49B85DEAE1}" srcOrd="0" destOrd="0" presId="urn:microsoft.com/office/officeart/2005/8/layout/vList5"/>
    <dgm:cxn modelId="{D11E0AC6-4113-F944-A569-C6B45D4796D6}" type="presOf" srcId="{ACF68691-9A33-F84E-B181-08E1BF23D12D}" destId="{600A9468-6FAC-A140-A29A-F4A337CB848D}" srcOrd="0" destOrd="0" presId="urn:microsoft.com/office/officeart/2005/8/layout/vList5"/>
    <dgm:cxn modelId="{04EE48DA-FD9D-DE45-93CD-FB2BEB6C19FD}" type="presOf" srcId="{9A0C5158-3349-8941-82B5-7A3D1F99D74A}" destId="{3F02C5B7-652F-9D47-80E4-AE30D7548F67}" srcOrd="0" destOrd="1" presId="urn:microsoft.com/office/officeart/2005/8/layout/vList5"/>
    <dgm:cxn modelId="{829610EA-10C4-184E-A27A-FCD432816CF0}" type="presOf" srcId="{EB26E1BB-70C6-AB44-AADA-B55CBE87ED06}" destId="{675A8B06-4841-494F-88AD-DB3525EF2086}" srcOrd="0" destOrd="3" presId="urn:microsoft.com/office/officeart/2005/8/layout/vList5"/>
    <dgm:cxn modelId="{A4B6E2ED-BF88-FF45-9575-82CE591FE1D5}" type="presOf" srcId="{3FA418FB-5619-7C46-AEC6-F5DD6F678892}" destId="{675A8B06-4841-494F-88AD-DB3525EF2086}" srcOrd="0" destOrd="1" presId="urn:microsoft.com/office/officeart/2005/8/layout/vList5"/>
    <dgm:cxn modelId="{B9C414F4-70FB-A743-B654-8815B0F9E560}" srcId="{AB350C30-D91E-D745-924A-199E1C59C997}" destId="{6E15DD12-A5F6-0648-8603-6F645EDD8BA9}" srcOrd="0" destOrd="0" parTransId="{83084DA8-D332-2A43-992D-9AE4A96C5960}" sibTransId="{65BAC276-739A-3544-B4A8-4A1137B58437}"/>
    <dgm:cxn modelId="{D6BD7BF6-6C38-7843-8B39-FC4DC6897AFC}" srcId="{AB350C30-D91E-D745-924A-199E1C59C997}" destId="{9A0C5158-3349-8941-82B5-7A3D1F99D74A}" srcOrd="1" destOrd="0" parTransId="{20A0DD76-C6B1-AB4D-8480-1993CE2303FE}" sibTransId="{6840BC3E-FB2D-B44C-9D19-24AD8502220C}"/>
    <dgm:cxn modelId="{2BE9DA7C-3937-034D-953A-8F2AFAA39D59}" type="presParOf" srcId="{F56C452C-9FD4-A14F-AB99-AC0D4B5C3DF8}" destId="{061A3793-D7AD-0147-8D61-696EC459C22B}" srcOrd="0" destOrd="0" presId="urn:microsoft.com/office/officeart/2005/8/layout/vList5"/>
    <dgm:cxn modelId="{58E6C074-0D59-0E40-9C2F-F7744009BB0A}" type="presParOf" srcId="{061A3793-D7AD-0147-8D61-696EC459C22B}" destId="{D9E8B9D4-DC70-474E-80D8-59B7FC0F015D}" srcOrd="0" destOrd="0" presId="urn:microsoft.com/office/officeart/2005/8/layout/vList5"/>
    <dgm:cxn modelId="{B5B0EBEC-C722-2346-B3DA-489DEBA09562}" type="presParOf" srcId="{061A3793-D7AD-0147-8D61-696EC459C22B}" destId="{3F02C5B7-652F-9D47-80E4-AE30D7548F67}" srcOrd="1" destOrd="0" presId="urn:microsoft.com/office/officeart/2005/8/layout/vList5"/>
    <dgm:cxn modelId="{159659A5-D3DD-0941-A6B2-14926A43B483}" type="presParOf" srcId="{F56C452C-9FD4-A14F-AB99-AC0D4B5C3DF8}" destId="{7F32CA7E-95B7-5C45-B26D-DA18EF722CF9}" srcOrd="1" destOrd="0" presId="urn:microsoft.com/office/officeart/2005/8/layout/vList5"/>
    <dgm:cxn modelId="{67C4DA2C-9BDE-C04E-9058-5CCAA96934FC}" type="presParOf" srcId="{F56C452C-9FD4-A14F-AB99-AC0D4B5C3DF8}" destId="{1A4DE193-7EF7-CE48-BD87-D6803FE69E60}" srcOrd="2" destOrd="0" presId="urn:microsoft.com/office/officeart/2005/8/layout/vList5"/>
    <dgm:cxn modelId="{C6CD9200-DD6F-944F-BB36-48ABF2B1D738}" type="presParOf" srcId="{1A4DE193-7EF7-CE48-BD87-D6803FE69E60}" destId="{9527DEB9-E04D-534A-8E23-09B48013EC81}" srcOrd="0" destOrd="0" presId="urn:microsoft.com/office/officeart/2005/8/layout/vList5"/>
    <dgm:cxn modelId="{70572FF7-2075-4146-A78A-7143D9085F9E}" type="presParOf" srcId="{1A4DE193-7EF7-CE48-BD87-D6803FE69E60}" destId="{675A8B06-4841-494F-88AD-DB3525EF2086}" srcOrd="1" destOrd="0" presId="urn:microsoft.com/office/officeart/2005/8/layout/vList5"/>
    <dgm:cxn modelId="{E3F434D6-5EF3-344C-B9EF-3C3FA1361388}" type="presParOf" srcId="{F56C452C-9FD4-A14F-AB99-AC0D4B5C3DF8}" destId="{2D557B29-FE98-EA49-B38E-E5C003ECF3A1}" srcOrd="3" destOrd="0" presId="urn:microsoft.com/office/officeart/2005/8/layout/vList5"/>
    <dgm:cxn modelId="{A8A04F79-58D7-C54B-A6D4-667C79AAAB35}" type="presParOf" srcId="{F56C452C-9FD4-A14F-AB99-AC0D4B5C3DF8}" destId="{717A83B8-6778-5E49-8BB7-43454B6EA143}" srcOrd="4" destOrd="0" presId="urn:microsoft.com/office/officeart/2005/8/layout/vList5"/>
    <dgm:cxn modelId="{7CC34DB5-78C5-AA47-A553-7ABB1AA14643}" type="presParOf" srcId="{717A83B8-6778-5E49-8BB7-43454B6EA143}" destId="{6BA41834-29C6-4649-A664-16E774393507}" srcOrd="0" destOrd="0" presId="urn:microsoft.com/office/officeart/2005/8/layout/vList5"/>
    <dgm:cxn modelId="{DE84BBC8-C4CE-0746-A44E-4EB49E1BFAC5}" type="presParOf" srcId="{717A83B8-6778-5E49-8BB7-43454B6EA143}" destId="{0EF94F28-53F7-1942-ABAF-4DE3BED6A544}" srcOrd="1" destOrd="0" presId="urn:microsoft.com/office/officeart/2005/8/layout/vList5"/>
    <dgm:cxn modelId="{39213ABE-B3DD-7E49-8F8F-C7A2683E0204}" type="presParOf" srcId="{F56C452C-9FD4-A14F-AB99-AC0D4B5C3DF8}" destId="{10DFFE66-A1AB-B24D-B371-0EAEA19D5515}" srcOrd="5" destOrd="0" presId="urn:microsoft.com/office/officeart/2005/8/layout/vList5"/>
    <dgm:cxn modelId="{98290AEB-8FE5-544C-89FA-7D25994698C4}" type="presParOf" srcId="{F56C452C-9FD4-A14F-AB99-AC0D4B5C3DF8}" destId="{497E04BC-9E78-7E4D-AC45-80064EE2BFD6}" srcOrd="6" destOrd="0" presId="urn:microsoft.com/office/officeart/2005/8/layout/vList5"/>
    <dgm:cxn modelId="{77B2B2D4-ECA6-034F-B840-456DE87242AA}" type="presParOf" srcId="{497E04BC-9E78-7E4D-AC45-80064EE2BFD6}" destId="{600A9468-6FAC-A140-A29A-F4A337CB848D}" srcOrd="0" destOrd="0" presId="urn:microsoft.com/office/officeart/2005/8/layout/vList5"/>
    <dgm:cxn modelId="{A6A296B9-38ED-A04A-9B96-22295799583F}" type="presParOf" srcId="{497E04BC-9E78-7E4D-AC45-80064EE2BFD6}" destId="{3F412ED4-F0D3-0441-8ADA-CB49B85DEAE1}" srcOrd="1" destOrd="0" presId="urn:microsoft.com/office/officeart/2005/8/layout/vList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02C5B7-652F-9D47-80E4-AE30D7548F67}">
      <dsp:nvSpPr>
        <dsp:cNvPr id="0" name=""/>
        <dsp:cNvSpPr/>
      </dsp:nvSpPr>
      <dsp:spPr>
        <a:xfrm rot="5400000">
          <a:off x="3258582" y="-1545902"/>
          <a:ext cx="874507" cy="4003955"/>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t>Clarify problem regarding potential gaps in protection measures for threatened species and communities</a:t>
          </a:r>
        </a:p>
        <a:p>
          <a:pPr marL="57150" lvl="1" indent="-57150" algn="l" defTabSz="444500">
            <a:lnSpc>
              <a:spcPct val="90000"/>
            </a:lnSpc>
            <a:spcBef>
              <a:spcPct val="0"/>
            </a:spcBef>
            <a:spcAft>
              <a:spcPct val="15000"/>
            </a:spcAft>
            <a:buChar char="•"/>
          </a:pPr>
          <a:r>
            <a:rPr lang="en-GB" sz="1000" kern="1200"/>
            <a:t>Identify legislation and subordinate instruments in scope</a:t>
          </a:r>
        </a:p>
        <a:p>
          <a:pPr marL="57150" lvl="1" indent="-57150" algn="l" defTabSz="444500">
            <a:lnSpc>
              <a:spcPct val="90000"/>
            </a:lnSpc>
            <a:spcBef>
              <a:spcPct val="0"/>
            </a:spcBef>
            <a:spcAft>
              <a:spcPct val="15000"/>
            </a:spcAft>
            <a:buChar char="•"/>
          </a:pPr>
          <a:r>
            <a:rPr lang="en-GB" sz="1000" kern="1200"/>
            <a:t>Establish expert panel via Working Group (i.e. DELWP and DJPR)</a:t>
          </a:r>
        </a:p>
      </dsp:txBody>
      <dsp:txXfrm rot="-5400000">
        <a:off x="1693858" y="61512"/>
        <a:ext cx="3961265" cy="789127"/>
      </dsp:txXfrm>
    </dsp:sp>
    <dsp:sp modelId="{D9E8B9D4-DC70-474E-80D8-59B7FC0F015D}">
      <dsp:nvSpPr>
        <dsp:cNvPr id="0" name=""/>
        <dsp:cNvSpPr/>
      </dsp:nvSpPr>
      <dsp:spPr>
        <a:xfrm>
          <a:off x="392070" y="2774"/>
          <a:ext cx="1301788" cy="90660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n-GB" sz="1000" kern="1200"/>
            <a:t>Stage 1 - </a:t>
          </a:r>
        </a:p>
        <a:p>
          <a:pPr marL="0" lvl="0" indent="0" algn="ctr" defTabSz="444500">
            <a:lnSpc>
              <a:spcPct val="90000"/>
            </a:lnSpc>
            <a:spcBef>
              <a:spcPct val="0"/>
            </a:spcBef>
            <a:spcAft>
              <a:spcPct val="35000"/>
            </a:spcAft>
            <a:buNone/>
          </a:pPr>
          <a:r>
            <a:rPr lang="en-GB" sz="1000" kern="1200"/>
            <a:t>Clarification</a:t>
          </a:r>
        </a:p>
      </dsp:txBody>
      <dsp:txXfrm>
        <a:off x="436327" y="47031"/>
        <a:ext cx="1213274" cy="818088"/>
      </dsp:txXfrm>
    </dsp:sp>
    <dsp:sp modelId="{675A8B06-4841-494F-88AD-DB3525EF2086}">
      <dsp:nvSpPr>
        <dsp:cNvPr id="0" name=""/>
        <dsp:cNvSpPr/>
      </dsp:nvSpPr>
      <dsp:spPr>
        <a:xfrm rot="5400000">
          <a:off x="3221730" y="-498936"/>
          <a:ext cx="963331" cy="4019074"/>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t>Develop analysis framework to support review</a:t>
          </a:r>
        </a:p>
        <a:p>
          <a:pPr marL="57150" lvl="1" indent="-57150" algn="l" defTabSz="444500">
            <a:lnSpc>
              <a:spcPct val="90000"/>
            </a:lnSpc>
            <a:spcBef>
              <a:spcPct val="0"/>
            </a:spcBef>
            <a:spcAft>
              <a:spcPct val="15000"/>
            </a:spcAft>
            <a:buChar char="•"/>
          </a:pPr>
          <a:r>
            <a:rPr lang="en-GB" sz="1000" kern="1200"/>
            <a:t>Consultation with Working Group and desktop review of legislation</a:t>
          </a:r>
        </a:p>
        <a:p>
          <a:pPr marL="57150" lvl="1" indent="-57150" algn="l" defTabSz="444500">
            <a:lnSpc>
              <a:spcPct val="90000"/>
            </a:lnSpc>
            <a:spcBef>
              <a:spcPct val="0"/>
            </a:spcBef>
            <a:spcAft>
              <a:spcPct val="15000"/>
            </a:spcAft>
            <a:buChar char="•"/>
          </a:pPr>
          <a:r>
            <a:rPr lang="en-GB" sz="1000" kern="1200"/>
            <a:t>Explore options to strengthen protection measures (draft options paper)</a:t>
          </a:r>
        </a:p>
        <a:p>
          <a:pPr marL="57150" lvl="1" indent="-57150" algn="l" defTabSz="444500">
            <a:lnSpc>
              <a:spcPct val="90000"/>
            </a:lnSpc>
            <a:spcBef>
              <a:spcPct val="0"/>
            </a:spcBef>
            <a:spcAft>
              <a:spcPct val="15000"/>
            </a:spcAft>
            <a:buChar char="•"/>
          </a:pPr>
          <a:endParaRPr lang="en-GB" sz="1000" kern="1200"/>
        </a:p>
      </dsp:txBody>
      <dsp:txXfrm rot="-5400000">
        <a:off x="1693859" y="1075961"/>
        <a:ext cx="3972048" cy="869279"/>
      </dsp:txXfrm>
    </dsp:sp>
    <dsp:sp modelId="{9527DEB9-E04D-534A-8E23-09B48013EC81}">
      <dsp:nvSpPr>
        <dsp:cNvPr id="0" name=""/>
        <dsp:cNvSpPr/>
      </dsp:nvSpPr>
      <dsp:spPr>
        <a:xfrm>
          <a:off x="392070" y="964033"/>
          <a:ext cx="1301788" cy="109313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n-GB" sz="1000" kern="1200"/>
            <a:t>Stage 2 -</a:t>
          </a:r>
        </a:p>
        <a:p>
          <a:pPr marL="0" lvl="0" indent="0" algn="ctr" defTabSz="444500">
            <a:lnSpc>
              <a:spcPct val="90000"/>
            </a:lnSpc>
            <a:spcBef>
              <a:spcPct val="0"/>
            </a:spcBef>
            <a:spcAft>
              <a:spcPct val="35000"/>
            </a:spcAft>
            <a:buNone/>
          </a:pPr>
          <a:r>
            <a:rPr lang="en-GB" sz="1000" kern="1200"/>
            <a:t>Consultation (Victorian Government) and draft options paper</a:t>
          </a:r>
        </a:p>
      </dsp:txBody>
      <dsp:txXfrm>
        <a:off x="445432" y="1017395"/>
        <a:ext cx="1195064" cy="986410"/>
      </dsp:txXfrm>
    </dsp:sp>
    <dsp:sp modelId="{0EF94F28-53F7-1942-ABAF-4DE3BED6A544}">
      <dsp:nvSpPr>
        <dsp:cNvPr id="0" name=""/>
        <dsp:cNvSpPr/>
      </dsp:nvSpPr>
      <dsp:spPr>
        <a:xfrm rot="5400000">
          <a:off x="3286759" y="645290"/>
          <a:ext cx="874507" cy="4026203"/>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t>Prepare draft review paper and distribute to Working Group for consideration and response</a:t>
          </a:r>
        </a:p>
      </dsp:txBody>
      <dsp:txXfrm rot="-5400000">
        <a:off x="1710911" y="2263828"/>
        <a:ext cx="3983513" cy="789127"/>
      </dsp:txXfrm>
    </dsp:sp>
    <dsp:sp modelId="{6BA41834-29C6-4649-A664-16E774393507}">
      <dsp:nvSpPr>
        <dsp:cNvPr id="0" name=""/>
        <dsp:cNvSpPr/>
      </dsp:nvSpPr>
      <dsp:spPr>
        <a:xfrm>
          <a:off x="392070" y="2111824"/>
          <a:ext cx="1309786" cy="109313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n-GB" sz="1000" kern="1200"/>
            <a:t>Stage 3 -</a:t>
          </a:r>
        </a:p>
        <a:p>
          <a:pPr marL="0" lvl="0" indent="0" algn="ctr" defTabSz="444500">
            <a:lnSpc>
              <a:spcPct val="90000"/>
            </a:lnSpc>
            <a:spcBef>
              <a:spcPct val="0"/>
            </a:spcBef>
            <a:spcAft>
              <a:spcPct val="35000"/>
            </a:spcAft>
            <a:buNone/>
          </a:pPr>
          <a:r>
            <a:rPr lang="en-GB" sz="1000" kern="1200"/>
            <a:t>Draft review paper</a:t>
          </a:r>
        </a:p>
      </dsp:txBody>
      <dsp:txXfrm>
        <a:off x="445432" y="2165186"/>
        <a:ext cx="1203062" cy="986410"/>
      </dsp:txXfrm>
    </dsp:sp>
    <dsp:sp modelId="{3F412ED4-F0D3-0441-8ADA-CB49B85DEAE1}">
      <dsp:nvSpPr>
        <dsp:cNvPr id="0" name=""/>
        <dsp:cNvSpPr/>
      </dsp:nvSpPr>
      <dsp:spPr>
        <a:xfrm rot="5400000">
          <a:off x="3273126" y="1788538"/>
          <a:ext cx="874507" cy="403529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t> Finalise paper based on Working Group response</a:t>
          </a:r>
        </a:p>
        <a:p>
          <a:pPr marL="57150" lvl="1" indent="-57150" algn="l" defTabSz="444500">
            <a:lnSpc>
              <a:spcPct val="90000"/>
            </a:lnSpc>
            <a:spcBef>
              <a:spcPct val="0"/>
            </a:spcBef>
            <a:spcAft>
              <a:spcPct val="15000"/>
            </a:spcAft>
            <a:buChar char="•"/>
          </a:pPr>
          <a:r>
            <a:rPr lang="en-GB" sz="1000" kern="1200"/>
            <a:t> Submission to DELWP</a:t>
          </a:r>
        </a:p>
      </dsp:txBody>
      <dsp:txXfrm rot="-5400000">
        <a:off x="1692735" y="3411619"/>
        <a:ext cx="3992600" cy="789127"/>
      </dsp:txXfrm>
    </dsp:sp>
    <dsp:sp modelId="{600A9468-6FAC-A140-A29A-F4A337CB848D}">
      <dsp:nvSpPr>
        <dsp:cNvPr id="0" name=""/>
        <dsp:cNvSpPr/>
      </dsp:nvSpPr>
      <dsp:spPr>
        <a:xfrm>
          <a:off x="392070" y="3259616"/>
          <a:ext cx="1300664" cy="109313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n-GB" sz="1000" kern="1200"/>
            <a:t>Stage 4 -</a:t>
          </a:r>
        </a:p>
        <a:p>
          <a:pPr marL="0" lvl="0" indent="0" algn="ctr" defTabSz="444500">
            <a:lnSpc>
              <a:spcPct val="90000"/>
            </a:lnSpc>
            <a:spcBef>
              <a:spcPct val="0"/>
            </a:spcBef>
            <a:spcAft>
              <a:spcPct val="35000"/>
            </a:spcAft>
            <a:buNone/>
          </a:pPr>
          <a:r>
            <a:rPr lang="en-GB" sz="1000" kern="1200"/>
            <a:t>Final review paper</a:t>
          </a:r>
        </a:p>
      </dsp:txBody>
      <dsp:txXfrm>
        <a:off x="445432" y="3312978"/>
        <a:ext cx="1193940" cy="986410"/>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AAE7AE54157814B8F1FD57DDC0D9BCF"/>
        <w:category>
          <w:name w:val="General"/>
          <w:gallery w:val="placeholder"/>
        </w:category>
        <w:types>
          <w:type w:val="bbPlcHdr"/>
        </w:types>
        <w:behaviors>
          <w:behavior w:val="content"/>
        </w:behaviors>
        <w:guid w:val="{41A86476-5FA4-F343-A941-20270927F724}"/>
      </w:docPartPr>
      <w:docPartBody>
        <w:p w:rsidR="00280165" w:rsidRDefault="00A92131">
          <w:pPr>
            <w:pStyle w:val="CAAE7AE54157814B8F1FD57DDC0D9BCF"/>
          </w:pPr>
          <w:r w:rsidRPr="009F5209">
            <w:rPr>
              <w:rStyle w:val="PlaceholderText"/>
            </w:rPr>
            <w:t>(H3) DATE GOES - JUNE 2016</w:t>
          </w:r>
        </w:p>
      </w:docPartBody>
    </w:docPart>
    <w:docPart>
      <w:docPartPr>
        <w:name w:val="D09BD25DCA97C54CBFD2A64914114CCE"/>
        <w:category>
          <w:name w:val="General"/>
          <w:gallery w:val="placeholder"/>
        </w:category>
        <w:types>
          <w:type w:val="bbPlcHdr"/>
        </w:types>
        <w:behaviors>
          <w:behavior w:val="content"/>
        </w:behaviors>
        <w:guid w:val="{527558DB-027A-5347-9C90-185A3EA11441}"/>
      </w:docPartPr>
      <w:docPartBody>
        <w:p w:rsidR="00280165" w:rsidRDefault="00A92131">
          <w:pPr>
            <w:pStyle w:val="D09BD25DCA97C54CBFD2A64914114CCE"/>
          </w:pPr>
          <w:r w:rsidRPr="009F5209">
            <w:rPr>
              <w:rStyle w:val="PlaceholderText"/>
            </w:rPr>
            <w:t>(H2) Sub heading. Draft Report Version 2.</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Arial Bold">
    <w:altName w:val="Arial"/>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MT">
    <w:altName w:val="Arial"/>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37C"/>
    <w:rsid w:val="00004EA4"/>
    <w:rsid w:val="0000637C"/>
    <w:rsid w:val="00023563"/>
    <w:rsid w:val="00031E9B"/>
    <w:rsid w:val="000F5850"/>
    <w:rsid w:val="00103BB4"/>
    <w:rsid w:val="001265A7"/>
    <w:rsid w:val="00131205"/>
    <w:rsid w:val="00176598"/>
    <w:rsid w:val="001D598F"/>
    <w:rsid w:val="001E4E0A"/>
    <w:rsid w:val="002031BA"/>
    <w:rsid w:val="00206D43"/>
    <w:rsid w:val="00214562"/>
    <w:rsid w:val="00280165"/>
    <w:rsid w:val="00284E73"/>
    <w:rsid w:val="002A2609"/>
    <w:rsid w:val="002A47CC"/>
    <w:rsid w:val="002D1CC5"/>
    <w:rsid w:val="002F2B5B"/>
    <w:rsid w:val="00314D35"/>
    <w:rsid w:val="003214AE"/>
    <w:rsid w:val="00340AAC"/>
    <w:rsid w:val="00351BA5"/>
    <w:rsid w:val="003E65B0"/>
    <w:rsid w:val="0042569C"/>
    <w:rsid w:val="00470BBC"/>
    <w:rsid w:val="00492A93"/>
    <w:rsid w:val="004A3A79"/>
    <w:rsid w:val="004D5E2A"/>
    <w:rsid w:val="005212CF"/>
    <w:rsid w:val="0055081C"/>
    <w:rsid w:val="00577B70"/>
    <w:rsid w:val="00587007"/>
    <w:rsid w:val="005A3C23"/>
    <w:rsid w:val="00612C44"/>
    <w:rsid w:val="00695051"/>
    <w:rsid w:val="006D3C37"/>
    <w:rsid w:val="006D5D7E"/>
    <w:rsid w:val="006E5E02"/>
    <w:rsid w:val="00745753"/>
    <w:rsid w:val="007551F3"/>
    <w:rsid w:val="007720EE"/>
    <w:rsid w:val="007A6B09"/>
    <w:rsid w:val="007C3697"/>
    <w:rsid w:val="007F41C1"/>
    <w:rsid w:val="008369A3"/>
    <w:rsid w:val="0084748B"/>
    <w:rsid w:val="008A3F7F"/>
    <w:rsid w:val="008A4565"/>
    <w:rsid w:val="008B1E74"/>
    <w:rsid w:val="009348D1"/>
    <w:rsid w:val="0095721A"/>
    <w:rsid w:val="009A48B2"/>
    <w:rsid w:val="009E3F38"/>
    <w:rsid w:val="00A0160A"/>
    <w:rsid w:val="00A06FB2"/>
    <w:rsid w:val="00A16401"/>
    <w:rsid w:val="00A2789B"/>
    <w:rsid w:val="00A315E3"/>
    <w:rsid w:val="00A35B19"/>
    <w:rsid w:val="00A47850"/>
    <w:rsid w:val="00A53582"/>
    <w:rsid w:val="00A7672E"/>
    <w:rsid w:val="00A92131"/>
    <w:rsid w:val="00AB14C2"/>
    <w:rsid w:val="00AC7694"/>
    <w:rsid w:val="00AD3C4B"/>
    <w:rsid w:val="00AE0D15"/>
    <w:rsid w:val="00AF4EBB"/>
    <w:rsid w:val="00B36953"/>
    <w:rsid w:val="00B656ED"/>
    <w:rsid w:val="00B80C20"/>
    <w:rsid w:val="00BC5011"/>
    <w:rsid w:val="00BC7C01"/>
    <w:rsid w:val="00C657D6"/>
    <w:rsid w:val="00CB4ADA"/>
    <w:rsid w:val="00CB69DD"/>
    <w:rsid w:val="00CD1215"/>
    <w:rsid w:val="00D00CD3"/>
    <w:rsid w:val="00D65708"/>
    <w:rsid w:val="00D805DB"/>
    <w:rsid w:val="00DA4BB6"/>
    <w:rsid w:val="00DB043F"/>
    <w:rsid w:val="00DC7765"/>
    <w:rsid w:val="00DD7219"/>
    <w:rsid w:val="00DF0D8D"/>
    <w:rsid w:val="00E02B3D"/>
    <w:rsid w:val="00E37031"/>
    <w:rsid w:val="00E75C1F"/>
    <w:rsid w:val="00EC2AB4"/>
    <w:rsid w:val="00EF745D"/>
    <w:rsid w:val="00EF7603"/>
    <w:rsid w:val="00F1021B"/>
    <w:rsid w:val="00F205DD"/>
    <w:rsid w:val="00F5051A"/>
    <w:rsid w:val="00FE449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Pr>
      <w:noProof w:val="0"/>
      <w:color w:val="000000" w:themeColor="text1"/>
      <w:sz w:val="16"/>
      <w:lang w:val="en-AU"/>
    </w:rPr>
  </w:style>
  <w:style w:type="paragraph" w:customStyle="1" w:styleId="CAAE7AE54157814B8F1FD57DDC0D9BCF">
    <w:name w:val="CAAE7AE54157814B8F1FD57DDC0D9BCF"/>
  </w:style>
  <w:style w:type="paragraph" w:customStyle="1" w:styleId="D09BD25DCA97C54CBFD2A64914114CCE">
    <w:name w:val="D09BD25DCA97C54CBFD2A64914114C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RMCG 1">
  <a:themeElements>
    <a:clrScheme name="RMCG 1">
      <a:dk1>
        <a:sysClr val="windowText" lastClr="000000"/>
      </a:dk1>
      <a:lt1>
        <a:sysClr val="window" lastClr="FFFFFF"/>
      </a:lt1>
      <a:dk2>
        <a:srgbClr val="203145"/>
      </a:dk2>
      <a:lt2>
        <a:srgbClr val="F8F8F8"/>
      </a:lt2>
      <a:accent1>
        <a:srgbClr val="203145"/>
      </a:accent1>
      <a:accent2>
        <a:srgbClr val="8F96A1"/>
      </a:accent2>
      <a:accent3>
        <a:srgbClr val="90B39A"/>
      </a:accent3>
      <a:accent4>
        <a:srgbClr val="FFD64F"/>
      </a:accent4>
      <a:accent5>
        <a:srgbClr val="F5834B"/>
      </a:accent5>
      <a:accent6>
        <a:srgbClr val="3E5C7F"/>
      </a:accent6>
      <a:hlink>
        <a:srgbClr val="203145"/>
      </a:hlink>
      <a:folHlink>
        <a:srgbClr val="FFE7C6"/>
      </a:folHlink>
    </a:clrScheme>
    <a:fontScheme name="Yoke">
      <a:majorFont>
        <a:latin typeface="Palatino Linotype"/>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97aeec6-0273-40f2-ab3e-beee73212332" ContentTypeId="0x0101009298E819CE1EBB4F8D2096B3E0F0C291" PreviousValue="false"/>
</file>

<file path=customXml/item2.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B8DA825A29FDD147B8117961633C452E" ma:contentTypeVersion="200" ma:contentTypeDescription="All project related information. The library can be used to manage multiple projects." ma:contentTypeScope="" ma:versionID="78b260406d218c44be905a6e04fb0666">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774132bf-4845-461e-964d-2929711a68b5" xmlns:ns6="87cff1ca-ac70-466e-bde4-5d92114c20f9" targetNamespace="http://schemas.microsoft.com/office/2006/metadata/properties" ma:root="true" ma:fieldsID="78e93d4cd6fa2827ef27475378e77dce" ns1:_="" ns2:_="" ns3:_="" ns4:_="" ns5:_="" ns6:_="">
    <xsd:import namespace="http://schemas.microsoft.com/sharepoint/v3"/>
    <xsd:import namespace="9fd47c19-1c4a-4d7d-b342-c10cef269344"/>
    <xsd:import namespace="a5f32de4-e402-4188-b034-e71ca7d22e54"/>
    <xsd:import namespace="05aa45cf-ed89-4733-97a8-db4ce5c51511"/>
    <xsd:import namespace="774132bf-4845-461e-964d-2929711a68b5"/>
    <xsd:import namespace="87cff1ca-ac70-466e-bde4-5d92114c20f9"/>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2:ProjName" minOccurs="0"/>
                <xsd:element ref="ns6:SharedWithUsers" minOccurs="0"/>
                <xsd:element ref="ns6:SharedWithDetails" minOccurs="0"/>
                <xsd:element ref="ns5:lcf76f155ced4ddcb4097134ff3c332f"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ProjName" ma:index="30"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2"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4"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4132bf-4845-461e-964d-2929711a68b5"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cff1ca-ac70-466e-bde4-5d92114c20f9"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48</Value>
      <Value>26</Value>
      <Value>2</Value>
      <Value>1</Value>
    </TaxCatchAll>
    <ProjName xmlns="9fd47c19-1c4a-4d7d-b342-c10cef269344" xsi:nil="true"/>
    <lcf76f155ced4ddcb4097134ff3c332f xmlns="774132bf-4845-461e-964d-2929711a68b5">
      <Terms xmlns="http://schemas.microsoft.com/office/infopath/2007/PartnerControls"/>
    </lcf76f155ced4ddcb4097134ff3c332f>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68f408df-3c0e-45dc-a0eb-b580fdedae5b</TermId>
        </TermInfo>
      </Term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Policies and Procedures</TermName>
          <TermId xmlns="http://schemas.microsoft.com/office/infopath/2007/PartnerControls">106771be-6573-4a30-b5c8-d3b1f646d5eb</TermId>
        </TermInfo>
      </Terms>
    </f2ccc2d036544b63b99cbcec8aa9ae6a>
    <DLCPolicyLabelClientValue xmlns="05aa45cf-ed89-4733-97a8-db4ce5c51511">Version {_UIVersionString}</DLCPolicyLabelClientValue>
    <DLCPolicyLabelLock xmlns="05aa45cf-ed89-4733-97a8-db4ce5c51511" xsi:nil="true"/>
    <_dlc_DocId xmlns="a5f32de4-e402-4188-b034-e71ca7d22e54">DOCID771-358765812-11265</_dlc_DocId>
    <_dlc_DocIdUrl xmlns="a5f32de4-e402-4188-b034-e71ca7d22e54">
      <Url>https://delwpvicgovau.sharepoint.com/sites/ecm_771/_layouts/15/DocIdRedir.aspx?ID=DOCID771-358765812-11265</Url>
      <Description>DOCID771-358765812-11265</Description>
    </_dlc_DocIdUrl>
    <DLCPolicyLabelValue xmlns="05aa45cf-ed89-4733-97a8-db4ce5c51511">Version 0.2</DLCPolicyLabelValue>
    <SharedWithUsers xmlns="87cff1ca-ac70-466e-bde4-5d92114c20f9">
      <UserInfo>
        <DisplayName>Diane L Cotterell (DELWP)</DisplayName>
        <AccountId>35</AccountId>
        <AccountType/>
      </UserInfo>
      <UserInfo>
        <DisplayName>Christopher M Mildren (DELWP)</DisplayName>
        <AccountId>231</AccountId>
        <AccountType/>
      </UserInfo>
    </SharedWithUsers>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584C62-EAE1-4312-B51A-D43866748CD6}">
  <ds:schemaRefs>
    <ds:schemaRef ds:uri="Microsoft.SharePoint.Taxonomy.ContentTypeSync"/>
  </ds:schemaRefs>
</ds:datastoreItem>
</file>

<file path=customXml/itemProps2.xml><?xml version="1.0" encoding="utf-8"?>
<ds:datastoreItem xmlns:ds="http://schemas.openxmlformats.org/officeDocument/2006/customXml" ds:itemID="{71F4CDF9-BC5A-4748-BEFB-FD1228B61579}">
  <ds:schemaRefs>
    <ds:schemaRef ds:uri="office.server.policy"/>
  </ds:schemaRefs>
</ds:datastoreItem>
</file>

<file path=customXml/itemProps3.xml><?xml version="1.0" encoding="utf-8"?>
<ds:datastoreItem xmlns:ds="http://schemas.openxmlformats.org/officeDocument/2006/customXml" ds:itemID="{9BFAFC37-81B9-354A-85D7-9EAB4815F0DA}">
  <ds:schemaRefs>
    <ds:schemaRef ds:uri="http://schemas.openxmlformats.org/officeDocument/2006/bibliography"/>
  </ds:schemaRefs>
</ds:datastoreItem>
</file>

<file path=customXml/itemProps4.xml><?xml version="1.0" encoding="utf-8"?>
<ds:datastoreItem xmlns:ds="http://schemas.openxmlformats.org/officeDocument/2006/customXml" ds:itemID="{6A97F17A-9E15-4ED1-9EA2-5950363553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774132bf-4845-461e-964d-2929711a68b5"/>
    <ds:schemaRef ds:uri="87cff1ca-ac70-466e-bde4-5d92114c20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59B119A-F8D7-4814-83F8-2B136A7C2C46}">
  <ds:schemaRefs>
    <ds:schemaRef ds:uri="http://schemas.microsoft.com/office/2006/metadata/properties"/>
    <ds:schemaRef ds:uri="http://schemas.microsoft.com/office/infopath/2007/PartnerControls"/>
    <ds:schemaRef ds:uri="9fd47c19-1c4a-4d7d-b342-c10cef269344"/>
    <ds:schemaRef ds:uri="774132bf-4845-461e-964d-2929711a68b5"/>
    <ds:schemaRef ds:uri="05aa45cf-ed89-4733-97a8-db4ce5c51511"/>
    <ds:schemaRef ds:uri="a5f32de4-e402-4188-b034-e71ca7d22e54"/>
    <ds:schemaRef ds:uri="87cff1ca-ac70-466e-bde4-5d92114c20f9"/>
  </ds:schemaRefs>
</ds:datastoreItem>
</file>

<file path=customXml/itemProps6.xml><?xml version="1.0" encoding="utf-8"?>
<ds:datastoreItem xmlns:ds="http://schemas.openxmlformats.org/officeDocument/2006/customXml" ds:itemID="{8824F4D1-92E8-432F-920F-81AF047E9286}">
  <ds:schemaRefs>
    <ds:schemaRef ds:uri="http://schemas.microsoft.com/sharepoint/events"/>
  </ds:schemaRefs>
</ds:datastoreItem>
</file>

<file path=customXml/itemProps7.xml><?xml version="1.0" encoding="utf-8"?>
<ds:datastoreItem xmlns:ds="http://schemas.openxmlformats.org/officeDocument/2006/customXml" ds:itemID="{79493F65-9914-47D0-82C1-6DC02379C0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42</Pages>
  <Words>13075</Words>
  <Characters>74528</Characters>
  <Application>Microsoft Office Word</Application>
  <DocSecurity>0</DocSecurity>
  <Lines>621</Lines>
  <Paragraphs>174</Paragraphs>
  <ScaleCrop>false</ScaleCrop>
  <Company/>
  <LinksUpToDate>false</LinksUpToDate>
  <CharactersWithSpaces>87429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TSCLR Draft Report for WG_10Nov22</dc:title>
  <dc:subject/>
  <dc:creator>Microsoft Office User</dc:creator>
  <cp:keywords/>
  <cp:lastModifiedBy>Christopher M Mildren (DEECA)</cp:lastModifiedBy>
  <cp:revision>46</cp:revision>
  <cp:lastPrinted>2023-04-12T05:18:00Z</cp:lastPrinted>
  <dcterms:created xsi:type="dcterms:W3CDTF">2023-02-05T21:06:00Z</dcterms:created>
  <dcterms:modified xsi:type="dcterms:W3CDTF">2023-04-12T05:18:00Z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0x0101009298E819CE1EBB4F8D2096B3E0F0C2911D00B8DA825A29FDD147B8117961633C452E</vt:lpwstr>
  </property>
  <property fmtid="{D5CDD505-2E9C-101B-9397-08002B2CF9AE}" pid="3" name="Dissemination Limiting Marker">
    <vt:lpwstr>2;#FOUO|955eb6fc-b35a-4808-8aa5-31e514fa3f26</vt:lpwstr>
  </property>
  <property fmtid="{D5CDD505-2E9C-101B-9397-08002B2CF9AE}" pid="4" name="Security Classification">
    <vt:lpwstr>1;#Unclassified|7fa379f4-4aba-4692-ab80-7d39d3a23cf4</vt:lpwstr>
  </property>
  <property fmtid="{D5CDD505-2E9C-101B-9397-08002B2CF9AE}" pid="5" name="_dlc_DocIdItemGuid">
    <vt:lpwstr>e3d48b68-a823-420b-9262-40961702bbb0</vt:lpwstr>
  </property>
  <property fmtid="{D5CDD505-2E9C-101B-9397-08002B2CF9AE}" pid="6" name="Order">
    <vt:r8>971200</vt:r8>
  </property>
  <property fmtid="{D5CDD505-2E9C-101B-9397-08002B2CF9AE}" pid="7" name="g91c59fb10974fa1a03160ad8386f0f4">
    <vt:lpwstr/>
  </property>
  <property fmtid="{D5CDD505-2E9C-101B-9397-08002B2CF9AE}" pid="8" name="MediaServiceImageTags">
    <vt:lpwstr/>
  </property>
  <property fmtid="{D5CDD505-2E9C-101B-9397-08002B2CF9AE}" pid="9" name="Department Document Type">
    <vt:lpwstr>48;#Report|68f408df-3c0e-45dc-a0eb-b580fdedae5b</vt:lpwstr>
  </property>
  <property fmtid="{D5CDD505-2E9C-101B-9397-08002B2CF9AE}" pid="10" name="Record_x0020_Purpose">
    <vt:lpwstr/>
  </property>
  <property fmtid="{D5CDD505-2E9C-101B-9397-08002B2CF9AE}" pid="11" name="Record Purpose">
    <vt:lpwstr/>
  </property>
  <property fmtid="{D5CDD505-2E9C-101B-9397-08002B2CF9AE}" pid="12" name="_docset_NoMedatataSyncRequired">
    <vt:lpwstr>False</vt:lpwstr>
  </property>
  <property fmtid="{D5CDD505-2E9C-101B-9397-08002B2CF9AE}" pid="13" name="Records Class Project">
    <vt:lpwstr>26</vt:lpwstr>
  </property>
  <property fmtid="{D5CDD505-2E9C-101B-9397-08002B2CF9AE}" pid="14" name="MSIP_Label_4257e2ab-f512-40e2-9c9a-c64247360765_Enabled">
    <vt:lpwstr>true</vt:lpwstr>
  </property>
  <property fmtid="{D5CDD505-2E9C-101B-9397-08002B2CF9AE}" pid="15" name="MSIP_Label_4257e2ab-f512-40e2-9c9a-c64247360765_SetDate">
    <vt:lpwstr>2023-04-12T05:18:20Z</vt:lpwstr>
  </property>
  <property fmtid="{D5CDD505-2E9C-101B-9397-08002B2CF9AE}" pid="16" name="MSIP_Label_4257e2ab-f512-40e2-9c9a-c64247360765_Method">
    <vt:lpwstr>Privileged</vt:lpwstr>
  </property>
  <property fmtid="{D5CDD505-2E9C-101B-9397-08002B2CF9AE}" pid="17" name="MSIP_Label_4257e2ab-f512-40e2-9c9a-c64247360765_Name">
    <vt:lpwstr>OFFICIAL</vt:lpwstr>
  </property>
  <property fmtid="{D5CDD505-2E9C-101B-9397-08002B2CF9AE}" pid="18" name="MSIP_Label_4257e2ab-f512-40e2-9c9a-c64247360765_SiteId">
    <vt:lpwstr>e8bdd6f7-fc18-4e48-a554-7f547927223b</vt:lpwstr>
  </property>
  <property fmtid="{D5CDD505-2E9C-101B-9397-08002B2CF9AE}" pid="19" name="MSIP_Label_4257e2ab-f512-40e2-9c9a-c64247360765_ActionId">
    <vt:lpwstr>e5c47191-1b61-421d-bbbd-70f8db4436c7</vt:lpwstr>
  </property>
  <property fmtid="{D5CDD505-2E9C-101B-9397-08002B2CF9AE}" pid="20" name="MSIP_Label_4257e2ab-f512-40e2-9c9a-c64247360765_ContentBits">
    <vt:lpwstr>2</vt:lpwstr>
  </property>
</Properties>
</file>